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p>
      <w:pPr>
        <w:spacing w:line="718" w:lineRule="exact"/>
        <w:ind w:left="270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2878820" cy="45605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878820" cy="456056"/>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460" w:lineRule="exact" w:before="0"/>
        <w:ind w:left="133" w:right="1119" w:firstLine="0"/>
        <w:jc w:val="center"/>
        <w:rPr>
          <w:rFonts w:ascii="宋体" w:hAnsi="宋体" w:cs="宋体" w:eastAsia="宋体" w:hint="default"/>
          <w:sz w:val="36"/>
          <w:szCs w:val="36"/>
        </w:rPr>
      </w:pPr>
      <w:r>
        <w:rPr>
          <w:rFonts w:ascii="宋体" w:hAnsi="宋体" w:cs="宋体" w:eastAsia="宋体" w:hint="default"/>
          <w:b/>
          <w:bCs/>
          <w:sz w:val="36"/>
          <w:szCs w:val="36"/>
        </w:rPr>
        <w:t>深圳市证通电子股份有限公司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133"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8"/>
        <w:rPr>
          <w:rFonts w:ascii="宋体" w:hAnsi="宋体" w:cs="宋体" w:eastAsia="宋体" w:hint="default"/>
          <w:b/>
          <w:bCs/>
          <w:sz w:val="32"/>
          <w:szCs w:val="32"/>
        </w:rPr>
      </w:pPr>
    </w:p>
    <w:p>
      <w:pPr>
        <w:spacing w:before="0"/>
        <w:ind w:left="133" w:right="1111" w:firstLine="0"/>
        <w:jc w:val="center"/>
        <w:rPr>
          <w:rFonts w:ascii="Times New Roman" w:hAnsi="Times New Roman" w:cs="Times New Roman" w:eastAsia="Times New Roman" w:hint="default"/>
          <w:sz w:val="22"/>
          <w:szCs w:val="22"/>
        </w:rPr>
      </w:pPr>
      <w:r>
        <w:rPr>
          <w:rFonts w:ascii="Times New Roman"/>
          <w:b/>
          <w:sz w:val="22"/>
        </w:rPr>
        <w:t>2020-035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133"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公司负责人曾胜强、主管会计工作负责人黄毅及会计机构负责人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谌光荣声明：保证年度报告中财务报告的真实、准确、完整。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公司存在宏观经济不确定性及经营管控风险、行业竞争加剧的风险、新增</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固定资产折旧风险、应收账款风险及现金流风险，敬请广大投资者注意投资风</w:t>
      </w:r>
      <w:r>
        <w:rPr>
          <w:rFonts w:ascii="宋体" w:hAnsi="宋体" w:cs="宋体" w:eastAsia="宋体" w:hint="default"/>
          <w:b/>
          <w:bCs/>
          <w:w w:val="99"/>
          <w:sz w:val="28"/>
          <w:szCs w:val="28"/>
        </w:rPr>
        <w:t> </w:t>
      </w:r>
      <w:r>
        <w:rPr>
          <w:rFonts w:ascii="宋体" w:hAnsi="宋体" w:cs="宋体" w:eastAsia="宋体" w:hint="default"/>
          <w:b/>
          <w:bCs/>
          <w:sz w:val="28"/>
          <w:szCs w:val="28"/>
        </w:rPr>
        <w:t>险。详细内容见本报告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第四节、九（四）公司面临的风险和应对措施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20"/>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0"/>
        <w:ind w:left="133"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32"/>
          <w:szCs w:val="3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227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133"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80"/>
        <w:gridCol w:w="686"/>
        <w:gridCol w:w="6605"/>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证通电子</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r>
      <w:tr>
        <w:trPr>
          <w:trHeight w:val="404"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证通佳明</w:t>
            </w:r>
            <w:r>
              <w:rPr>
                <w:rFonts w:ascii="Times New Roman" w:hAnsi="Times New Roman" w:cs="Times New Roman" w:eastAsia="Times New Roman" w:hint="default"/>
                <w:sz w:val="18"/>
                <w:szCs w:val="18"/>
              </w:rPr>
              <w:t>/</w:t>
            </w:r>
            <w:r>
              <w:rPr>
                <w:rFonts w:ascii="宋体" w:hAnsi="宋体" w:cs="宋体" w:eastAsia="宋体" w:hint="default"/>
                <w:sz w:val="18"/>
                <w:szCs w:val="18"/>
              </w:rPr>
              <w:t>佳明光电</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贵州证通光电</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贵州证通光电有限公司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定州中标</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证通南非</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SZZT</w:t>
            </w:r>
            <w:r>
              <w:rPr>
                <w:rFonts w:ascii="Times New Roman"/>
                <w:spacing w:val="-17"/>
                <w:sz w:val="18"/>
              </w:rPr>
              <w:t> </w:t>
            </w:r>
            <w:r>
              <w:rPr>
                <w:rFonts w:ascii="Times New Roman"/>
                <w:sz w:val="18"/>
              </w:rPr>
              <w:t>Africa,SZZT</w:t>
            </w:r>
            <w:r>
              <w:rPr>
                <w:rFonts w:ascii="Times New Roman"/>
                <w:spacing w:val="-8"/>
                <w:sz w:val="18"/>
              </w:rPr>
              <w:t> </w:t>
            </w:r>
            <w:r>
              <w:rPr>
                <w:rFonts w:ascii="Times New Roman"/>
                <w:sz w:val="18"/>
              </w:rPr>
              <w:t>SOUTH</w:t>
            </w:r>
            <w:r>
              <w:rPr>
                <w:rFonts w:ascii="Times New Roman"/>
                <w:spacing w:val="-11"/>
                <w:sz w:val="18"/>
              </w:rPr>
              <w:t> </w:t>
            </w:r>
            <w:r>
              <w:rPr>
                <w:rFonts w:ascii="Times New Roman"/>
                <w:sz w:val="18"/>
              </w:rPr>
              <w:t>Africa(PTY).,Ltd</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证通国际</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证通网络</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广州证通网络科技有限公司，系原广州佩博利思电子科技有限公司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四川蜀信易</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证通邦客</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证通邦客（广州）信息科技有限公司，系现广州水晶智联科技有限公司</w:t>
            </w:r>
          </w:p>
        </w:tc>
      </w:tr>
      <w:tr>
        <w:trPr>
          <w:trHeight w:val="404"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水晶智联</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广州水晶智联科技有限公司，系原证通邦客（广州）信息科技有限公司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长沙证通</w:t>
            </w:r>
            <w:r>
              <w:rPr>
                <w:rFonts w:ascii="Times New Roman" w:hAnsi="Times New Roman" w:cs="Times New Roman" w:eastAsia="Times New Roman" w:hint="default"/>
                <w:sz w:val="18"/>
                <w:szCs w:val="18"/>
              </w:rPr>
              <w:t>/</w:t>
            </w:r>
            <w:r>
              <w:rPr>
                <w:rFonts w:ascii="宋体" w:hAnsi="宋体" w:cs="宋体" w:eastAsia="宋体" w:hint="default"/>
                <w:sz w:val="18"/>
                <w:szCs w:val="18"/>
              </w:rPr>
              <w:t>长沙证通云计算</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深圳证通云计算</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证通普润</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证通数码</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江苏睿博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江苏睿博数据技术有限公司</w:t>
            </w:r>
          </w:p>
        </w:tc>
      </w:tr>
      <w:tr>
        <w:trPr>
          <w:trHeight w:val="404"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江苏中茂</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江苏中茂节能环保产业创业投资基金合伙企业（有限合伙）</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盛灿科技</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华东电脑</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觅鑫蜂网络</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南京市觅鑫蜂网络科技有限公司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纳鑫控股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深圳市前海纳鑫控股集团有限公司，系现深圳前海纳鑫集团有限公司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金谷农商行</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内蒙古呼和浩特金谷农村商业银行股份有限公司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中信建投</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高新投</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r>
      <w:tr>
        <w:trPr>
          <w:trHeight w:val="404"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中勤万信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鹏元资信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中证鹏元资信评估股份有限公司，系原鹏元资信评估有限公司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97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0"/>
                    <w:gridCol w:w="707"/>
                    <w:gridCol w:w="6594"/>
                  </w:tblGrid>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平安通信</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深圳平安通信科技有限公司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建设银行</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邮政储蓄银行</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长沙移动</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中国移动通信集团湖南有限公司长沙分公司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深圳市证通电子股份有限公司股东大会</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深圳市证通电子股份有限公司董事会</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深圳市证通电子股份有限公司监事会</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《深圳市证通电子股份有限公司章程》</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102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r>
                          <w:rPr>
                            <w:rFonts w:ascii="Times New Roman" w:hAnsi="Times New Roman" w:cs="Times New Roman" w:eastAsia="Times New Roman" w:hint="default"/>
                            <w:sz w:val="18"/>
                            <w:szCs w:val="18"/>
                          </w:rPr>
                          <w:t>/</w:t>
                        </w:r>
                        <w:r>
                          <w:rPr>
                            <w:rFonts w:ascii="宋体" w:hAnsi="宋体" w:cs="宋体" w:eastAsia="宋体" w:hint="default"/>
                            <w:sz w:val="18"/>
                            <w:szCs w:val="18"/>
                          </w:rPr>
                          <w:t>自助终端</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5"/>
                          <w:jc w:val="both"/>
                          <w:rPr>
                            <w:rFonts w:ascii="宋体" w:hAnsi="宋体" w:cs="宋体" w:eastAsia="宋体" w:hint="default"/>
                            <w:sz w:val="18"/>
                            <w:szCs w:val="18"/>
                          </w:rPr>
                        </w:pPr>
                        <w:r>
                          <w:rPr>
                            <w:rFonts w:ascii="宋体" w:hAnsi="宋体" w:cs="宋体" w:eastAsia="宋体" w:hint="default"/>
                            <w:sz w:val="18"/>
                            <w:szCs w:val="18"/>
                          </w:rPr>
                          <w:t>一个由硬件和软件组成的，允许用户通过简单的界面（例如：触摸屏、小键盘等） 与之进行交互式自助服务的设备，用于替代人工服务。如银行自助服务终端、自助 发卡机等。</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POS</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Point Of</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Sells</w:t>
                        </w:r>
                        <w:r>
                          <w:rPr>
                            <w:rFonts w:ascii="宋体" w:hAnsi="宋体" w:cs="宋体" w:eastAsia="宋体" w:hint="default"/>
                            <w:sz w:val="18"/>
                            <w:szCs w:val="18"/>
                          </w:rPr>
                          <w:t>，电子收款机系统。</w:t>
                        </w:r>
                      </w:p>
                    </w:tc>
                  </w:tr>
                  <w:tr>
                    <w:trPr>
                      <w:trHeight w:val="40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一种受理金融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卡使用的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终端，能够受理接触或非接触金融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r>
                  <w:tr>
                    <w:trPr>
                      <w:trHeight w:val="71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安全芯片</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公司研发的具有自主知识产权的符合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PCI3.0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和</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PBOC4.0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认证标准的支付卡行业专用</w:t>
                        </w:r>
                        <w:r>
                          <w:rPr>
                            <w:rFonts w:ascii="宋体" w:hAnsi="宋体" w:cs="宋体" w:eastAsia="宋体" w:hint="default"/>
                            <w:w w:val="99"/>
                            <w:sz w:val="18"/>
                            <w:szCs w:val="18"/>
                          </w:rPr>
                          <w:t> </w:t>
                        </w:r>
                        <w:r>
                          <w:rPr>
                            <w:rFonts w:ascii="宋体" w:hAnsi="宋体" w:cs="宋体" w:eastAsia="宋体" w:hint="default"/>
                            <w:sz w:val="18"/>
                            <w:szCs w:val="18"/>
                          </w:rPr>
                          <w:t>安全芯片。</w:t>
                        </w:r>
                      </w:p>
                    </w:tc>
                  </w:tr>
                  <w:tr>
                    <w:trPr>
                      <w:trHeight w:val="102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5"/>
                          <w:jc w:val="both"/>
                          <w:rPr>
                            <w:rFonts w:ascii="宋体" w:hAnsi="宋体" w:cs="宋体" w:eastAsia="宋体" w:hint="default"/>
                            <w:sz w:val="18"/>
                            <w:szCs w:val="18"/>
                          </w:rPr>
                        </w:pPr>
                        <w:r>
                          <w:rPr>
                            <w:rFonts w:ascii="宋体" w:hAnsi="宋体" w:cs="宋体" w:eastAsia="宋体" w:hint="default"/>
                            <w:sz w:val="18"/>
                            <w:szCs w:val="18"/>
                          </w:rPr>
                          <w:t>由商业银行（信用社）或支付机构发行的，采用集成电路技术，遵循国家金融行业 标准，具有消费信用、转账结算、现金存取全部或部分金融功能，可以具有其他商 业服务和社会管理功能的金融工具。</w:t>
                        </w:r>
                      </w:p>
                    </w:tc>
                  </w:tr>
                  <w:tr>
                    <w:trPr>
                      <w:trHeight w:val="71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LED</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全称为</w:t>
                        </w:r>
                        <w:r>
                          <w:rPr>
                            <w:rFonts w:ascii="Times New Roman" w:hAnsi="Times New Roman" w:cs="Times New Roman" w:eastAsia="Times New Roman" w:hint="default"/>
                            <w:sz w:val="18"/>
                            <w:szCs w:val="18"/>
                          </w:rPr>
                          <w:t>"Light Emitting</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Diode"</w:t>
                        </w:r>
                        <w:r>
                          <w:rPr>
                            <w:rFonts w:ascii="宋体" w:hAnsi="宋体" w:cs="宋体" w:eastAsia="宋体" w:hint="default"/>
                            <w:sz w:val="18"/>
                            <w:szCs w:val="18"/>
                          </w:rPr>
                          <w:t>，指发光二极管，是一种可以将电能转化为光能的电子 器件。</w:t>
                        </w:r>
                      </w:p>
                    </w:tc>
                  </w:tr>
                  <w:tr>
                    <w:trPr>
                      <w:trHeight w:val="102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EMC</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5"/>
                          <w:jc w:val="both"/>
                          <w:rPr>
                            <w:rFonts w:ascii="宋体" w:hAnsi="宋体" w:cs="宋体" w:eastAsia="宋体" w:hint="default"/>
                            <w:sz w:val="18"/>
                            <w:szCs w:val="18"/>
                          </w:rPr>
                        </w:pPr>
                        <w:r>
                          <w:rPr>
                            <w:rFonts w:ascii="宋体" w:hAnsi="宋体" w:cs="宋体" w:eastAsia="宋体" w:hint="default"/>
                            <w:sz w:val="18"/>
                            <w:szCs w:val="18"/>
                          </w:rPr>
                          <w:t>合同能源管理，由节能服务公司与用户签订能源管理合同、约定节能目标，为用户 提供节能诊断、融资、改造等服务，并以节能效益分享方式回收投资和获得合理利 润。</w:t>
                        </w:r>
                      </w:p>
                    </w:tc>
                  </w:tr>
                  <w:tr>
                    <w:trPr>
                      <w:trHeight w:val="133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Build and</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transfer</w:t>
                        </w:r>
                        <w:r>
                          <w:rPr>
                            <w:rFonts w:ascii="宋体" w:hAnsi="宋体" w:cs="宋体" w:eastAsia="宋体" w:hint="default"/>
                            <w:sz w:val="18"/>
                            <w:szCs w:val="18"/>
                          </w:rPr>
                          <w:t>，即</w:t>
                        </w:r>
                        <w:r>
                          <w:rPr>
                            <w:rFonts w:ascii="Times New Roman" w:hAnsi="Times New Roman" w:cs="Times New Roman" w:eastAsia="Times New Roman" w:hint="default"/>
                            <w:sz w:val="18"/>
                            <w:szCs w:val="18"/>
                          </w:rPr>
                          <w:t>"</w:t>
                        </w:r>
                        <w:r>
                          <w:rPr>
                            <w:rFonts w:ascii="宋体" w:hAnsi="宋体" w:cs="宋体" w:eastAsia="宋体" w:hint="default"/>
                            <w:sz w:val="18"/>
                            <w:szCs w:val="18"/>
                          </w:rPr>
                          <w:t>建设</w:t>
                        </w:r>
                        <w:r>
                          <w:rPr>
                            <w:rFonts w:ascii="Times New Roman" w:hAnsi="Times New Roman" w:cs="Times New Roman" w:eastAsia="Times New Roman" w:hint="default"/>
                            <w:sz w:val="18"/>
                            <w:szCs w:val="18"/>
                          </w:rPr>
                          <w:t>-</w:t>
                        </w:r>
                        <w:r>
                          <w:rPr>
                            <w:rFonts w:ascii="宋体" w:hAnsi="宋体" w:cs="宋体" w:eastAsia="宋体" w:hint="default"/>
                            <w:sz w:val="18"/>
                            <w:szCs w:val="18"/>
                          </w:rPr>
                          <w:t>移交</w:t>
                        </w:r>
                        <w:r>
                          <w:rPr>
                            <w:rFonts w:ascii="Times New Roman" w:hAnsi="Times New Roman" w:cs="Times New Roman" w:eastAsia="Times New Roman" w:hint="default"/>
                            <w:sz w:val="18"/>
                            <w:szCs w:val="18"/>
                          </w:rPr>
                          <w:t>"</w:t>
                        </w:r>
                        <w:r>
                          <w:rPr>
                            <w:rFonts w:ascii="宋体" w:hAnsi="宋体" w:cs="宋体" w:eastAsia="宋体" w:hint="default"/>
                            <w:sz w:val="18"/>
                            <w:szCs w:val="18"/>
                          </w:rPr>
                          <w:t>，由政府或代理公司与业务承接方签订市政工程项 目投资建设回购协议，并授权业务承接方代理其实施投融资职能进行市政工程建设 工程完工后移交政府，政府根据回购协议在规定的期限内支付回购资金（含投资回 报）的经营方式。</w:t>
                        </w:r>
                      </w:p>
                    </w:tc>
                  </w:tr>
                  <w:tr>
                    <w:trPr>
                      <w:trHeight w:val="715"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O2O</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94"/>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Online</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3"/>
                            <w:w w:val="99"/>
                            <w:sz w:val="18"/>
                            <w:szCs w:val="18"/>
                          </w:rPr>
                          <w:t>Offline</w:t>
                        </w:r>
                        <w:r>
                          <w:rPr>
                            <w:rFonts w:ascii="宋体" w:hAnsi="宋体" w:cs="宋体" w:eastAsia="宋体" w:hint="default"/>
                            <w:spacing w:val="-3"/>
                            <w:w w:val="99"/>
                            <w:sz w:val="18"/>
                            <w:szCs w:val="18"/>
                          </w:rPr>
                          <w:t>（在线离线</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线上到线下），是指将线下的商务机会与互联网结合，</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让互联网成为线下交易的前台。</w:t>
                        </w:r>
                      </w:p>
                    </w:tc>
                  </w:tr>
                  <w:tr>
                    <w:trPr>
                      <w:trHeight w:val="134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IDC</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20"/>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Internet</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1"/>
                            <w:w w:val="99"/>
                            <w:sz w:val="18"/>
                            <w:szCs w:val="18"/>
                          </w:rPr>
                          <w:t>Data</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5"/>
                            <w:sz w:val="18"/>
                            <w:szCs w:val="18"/>
                          </w:rPr>
                          <w:t>Center</w:t>
                        </w:r>
                        <w:r>
                          <w:rPr>
                            <w:rFonts w:ascii="宋体" w:hAnsi="宋体" w:cs="宋体" w:eastAsia="宋体" w:hint="default"/>
                            <w:spacing w:val="-5"/>
                            <w:sz w:val="18"/>
                            <w:szCs w:val="18"/>
                          </w:rPr>
                          <w:t>（互联网数据中心），是指拥有高速互联网宽带接入、高性能局域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网络、安全可靠地机房环境等完善设备、专业化的管理、完善的应用级服务的服务 平台。通过 </w:t>
                        </w:r>
                        <w:r>
                          <w:rPr>
                            <w:rFonts w:ascii="Times New Roman" w:hAnsi="Times New Roman" w:cs="Times New Roman" w:eastAsia="Times New Roman" w:hint="default"/>
                            <w:sz w:val="18"/>
                            <w:szCs w:val="18"/>
                          </w:rPr>
                          <w:t>IDC </w:t>
                        </w:r>
                        <w:r>
                          <w:rPr>
                            <w:rFonts w:ascii="宋体" w:hAnsi="宋体" w:cs="宋体" w:eastAsia="宋体" w:hint="default"/>
                            <w:sz w:val="18"/>
                            <w:szCs w:val="18"/>
                          </w:rPr>
                          <w:t>这个服务平台，</w:t>
                        </w:r>
                        <w:r>
                          <w:rPr>
                            <w:rFonts w:ascii="Times New Roman" w:hAnsi="Times New Roman" w:cs="Times New Roman" w:eastAsia="Times New Roman" w:hint="default"/>
                            <w:sz w:val="18"/>
                            <w:szCs w:val="18"/>
                          </w:rPr>
                          <w:t>IDC </w:t>
                        </w:r>
                        <w:r>
                          <w:rPr>
                            <w:rFonts w:ascii="宋体" w:hAnsi="宋体" w:cs="宋体" w:eastAsia="宋体" w:hint="default"/>
                            <w:sz w:val="18"/>
                            <w:szCs w:val="18"/>
                          </w:rPr>
                          <w:t>服务商为企事业单位和 </w:t>
                        </w:r>
                        <w:r>
                          <w:rPr>
                            <w:rFonts w:ascii="Times New Roman" w:hAnsi="Times New Roman" w:cs="Times New Roman" w:eastAsia="Times New Roman" w:hint="default"/>
                            <w:sz w:val="18"/>
                            <w:szCs w:val="18"/>
                          </w:rPr>
                          <w:t>ISP</w:t>
                        </w:r>
                        <w:r>
                          <w:rPr>
                            <w:rFonts w:ascii="宋体" w:hAnsi="宋体" w:cs="宋体" w:eastAsia="宋体" w:hint="default"/>
                            <w:sz w:val="18"/>
                            <w:szCs w:val="18"/>
                          </w:rPr>
                          <w:t>、</w:t>
                        </w:r>
                        <w:r>
                          <w:rPr>
                            <w:rFonts w:ascii="Times New Roman" w:hAnsi="Times New Roman" w:cs="Times New Roman" w:eastAsia="Times New Roman" w:hint="default"/>
                            <w:sz w:val="18"/>
                            <w:szCs w:val="18"/>
                          </w:rPr>
                          <w:t>ICP</w:t>
                        </w:r>
                        <w:r>
                          <w:rPr>
                            <w:rFonts w:ascii="宋体" w:hAnsi="宋体" w:cs="宋体" w:eastAsia="宋体" w:hint="default"/>
                            <w:sz w:val="18"/>
                            <w:szCs w:val="18"/>
                          </w:rPr>
                          <w:t>、</w:t>
                        </w:r>
                        <w:r>
                          <w:rPr>
                            <w:rFonts w:ascii="Times New Roman" w:hAnsi="Times New Roman" w:cs="Times New Roman" w:eastAsia="Times New Roman" w:hint="default"/>
                            <w:sz w:val="18"/>
                            <w:szCs w:val="18"/>
                          </w:rPr>
                          <w:t>ASP</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等客 户提供互联网基础平台服务及其他的各种增值服务。</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BodyText"/>
        <w:spacing w:line="240" w:lineRule="auto" w:before="44"/>
        <w:ind w:left="0" w:right="1137"/>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70"/>
        <w:gridCol w:w="707"/>
        <w:gridCol w:w="6594"/>
      </w:tblGrid>
      <w:tr>
        <w:trPr>
          <w:trHeight w:val="133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2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NIST</w:t>
            </w:r>
            <w:r>
              <w:rPr>
                <w:rFonts w:ascii="宋体" w:hAnsi="宋体" w:cs="宋体" w:eastAsia="宋体" w:hint="default"/>
                <w:sz w:val="18"/>
                <w:szCs w:val="18"/>
              </w:rPr>
              <w:t>（美国国家标准与技术研究院）的定义，云计算是一种能够通过网络以便 利的、按需付费的方式获取计算资源（包括网络、服务器、存储、应用和服务等） 并提高其可用性的模式，这些资源来自一个共享的、可配置的资源池，并能够以最 省力和无人干预的方式获取和释放。</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双甲</w:t>
            </w:r>
            <w:r>
              <w:rPr>
                <w:rFonts w:ascii="Times New Roman" w:hAnsi="Times New Roman" w:cs="Times New Roman" w:eastAsia="Times New Roman" w:hint="default"/>
                <w:sz w:val="18"/>
                <w:szCs w:val="18"/>
              </w:rPr>
              <w:t>"</w:t>
            </w:r>
            <w:r>
              <w:rPr>
                <w:rFonts w:ascii="宋体" w:hAnsi="宋体" w:cs="宋体" w:eastAsia="宋体" w:hint="default"/>
                <w:sz w:val="18"/>
                <w:szCs w:val="18"/>
              </w:rPr>
              <w:t>资质</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照明工程设计专项甲级资质证书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城市及道路照明工程专业承包壹级资质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5"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SDN</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75"/>
              <w:jc w:val="both"/>
              <w:rPr>
                <w:rFonts w:ascii="宋体" w:hAnsi="宋体" w:cs="宋体" w:eastAsia="宋体" w:hint="default"/>
                <w:sz w:val="18"/>
                <w:szCs w:val="18"/>
              </w:rPr>
            </w:pPr>
            <w:r>
              <w:rPr>
                <w:rFonts w:ascii="宋体" w:hAnsi="宋体" w:cs="宋体" w:eastAsia="宋体" w:hint="default"/>
                <w:spacing w:val="-1"/>
                <w:w w:val="99"/>
                <w:sz w:val="18"/>
                <w:szCs w:val="18"/>
              </w:rPr>
              <w:t>软件定义网络（</w:t>
            </w:r>
            <w:r>
              <w:rPr>
                <w:rFonts w:ascii="Times New Roman" w:hAnsi="Times New Roman" w:cs="Times New Roman" w:eastAsia="Times New Roman" w:hint="default"/>
                <w:spacing w:val="-1"/>
                <w:w w:val="99"/>
                <w:sz w:val="18"/>
                <w:szCs w:val="18"/>
              </w:rPr>
              <w:t>Software</w:t>
            </w:r>
            <w:r>
              <w:rPr>
                <w:rFonts w:ascii="Times New Roman" w:hAnsi="Times New Roman" w:cs="Times New Roman" w:eastAsia="Times New Roman" w:hint="default"/>
                <w:spacing w:val="8"/>
                <w:w w:val="99"/>
                <w:sz w:val="18"/>
                <w:szCs w:val="18"/>
              </w:rPr>
              <w:t> </w:t>
            </w:r>
            <w:r>
              <w:rPr>
                <w:rFonts w:ascii="Times New Roman" w:hAnsi="Times New Roman" w:cs="Times New Roman" w:eastAsia="Times New Roman" w:hint="default"/>
                <w:spacing w:val="-1"/>
                <w:w w:val="99"/>
                <w:sz w:val="18"/>
                <w:szCs w:val="18"/>
              </w:rPr>
              <w:t>Defined</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4"/>
                <w:w w:val="99"/>
                <w:sz w:val="18"/>
                <w:szCs w:val="18"/>
              </w:rPr>
              <w:t>Network</w:t>
            </w:r>
            <w:r>
              <w:rPr>
                <w:rFonts w:ascii="宋体" w:hAnsi="宋体" w:cs="宋体" w:eastAsia="宋体" w:hint="default"/>
                <w:spacing w:val="-4"/>
                <w:w w:val="99"/>
                <w:sz w:val="18"/>
                <w:szCs w:val="18"/>
              </w:rPr>
              <w:t>），是一种新型的网络架构，通过控制</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面和数据面的分离，把原来软硬件一体的封闭的电信设备，转变成集中控制、接口 开放、软件可编程的新型网络架构。</w:t>
            </w:r>
          </w:p>
        </w:tc>
      </w:tr>
      <w:tr>
        <w:trPr>
          <w:trHeight w:val="102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IaaS/IAAS</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6" w:right="1"/>
              <w:jc w:val="left"/>
              <w:rPr>
                <w:rFonts w:ascii="宋体" w:hAnsi="宋体" w:cs="宋体" w:eastAsia="宋体" w:hint="default"/>
                <w:sz w:val="18"/>
                <w:szCs w:val="18"/>
              </w:rPr>
            </w:pPr>
            <w:r>
              <w:rPr>
                <w:rFonts w:ascii="宋体" w:hAnsi="宋体" w:cs="宋体" w:eastAsia="宋体" w:hint="default"/>
                <w:spacing w:val="-1"/>
                <w:w w:val="99"/>
                <w:sz w:val="18"/>
                <w:szCs w:val="18"/>
              </w:rPr>
              <w:t>基础设施即服务（</w:t>
            </w:r>
            <w:r>
              <w:rPr>
                <w:rFonts w:ascii="Times New Roman" w:hAnsi="Times New Roman" w:cs="Times New Roman" w:eastAsia="Times New Roman" w:hint="default"/>
                <w:spacing w:val="-1"/>
                <w:w w:val="99"/>
                <w:sz w:val="18"/>
                <w:szCs w:val="18"/>
              </w:rPr>
              <w:t>Infrastructure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as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8"/>
                <w:w w:val="99"/>
                <w:sz w:val="18"/>
                <w:szCs w:val="18"/>
              </w:rPr>
              <w:t>Service</w:t>
            </w:r>
            <w:r>
              <w:rPr>
                <w:rFonts w:ascii="宋体" w:hAnsi="宋体" w:cs="宋体" w:eastAsia="宋体" w:hint="default"/>
                <w:spacing w:val="-8"/>
                <w:w w:val="99"/>
                <w:sz w:val="18"/>
                <w:szCs w:val="18"/>
              </w:rPr>
              <w:t>），是指将</w:t>
            </w:r>
            <w:r>
              <w:rPr>
                <w:rFonts w:ascii="宋体" w:hAnsi="宋体" w:cs="宋体" w:eastAsia="宋体" w:hint="default"/>
                <w:w w:val="99"/>
                <w:sz w:val="18"/>
                <w:szCs w:val="18"/>
              </w:rPr>
              <w:t> </w:t>
            </w:r>
            <w:r>
              <w:rPr>
                <w:rFonts w:ascii="Times New Roman" w:hAnsi="Times New Roman" w:cs="Times New Roman" w:eastAsia="Times New Roman" w:hint="default"/>
                <w:spacing w:val="1"/>
                <w:sz w:val="18"/>
                <w:szCs w:val="18"/>
              </w:rPr>
              <w:t>IT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基础设施能力（如服务器、 存储、计算能力等）通过互联网提供给用户使用，并根据用户对资源的实际使用量 进行计费的一种服务。</w:t>
            </w:r>
          </w:p>
        </w:tc>
      </w:tr>
      <w:tr>
        <w:trPr>
          <w:trHeight w:val="133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SaaS/SAAS</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32"/>
              <w:jc w:val="both"/>
              <w:rPr>
                <w:rFonts w:ascii="宋体" w:hAnsi="宋体" w:cs="宋体" w:eastAsia="宋体" w:hint="default"/>
                <w:sz w:val="18"/>
                <w:szCs w:val="18"/>
              </w:rPr>
            </w:pPr>
            <w:r>
              <w:rPr>
                <w:rFonts w:ascii="宋体" w:hAnsi="宋体" w:cs="宋体" w:eastAsia="宋体" w:hint="default"/>
                <w:spacing w:val="-1"/>
                <w:w w:val="99"/>
                <w:sz w:val="18"/>
                <w:szCs w:val="18"/>
              </w:rPr>
              <w:t>软件即服务（</w:t>
            </w:r>
            <w:r>
              <w:rPr>
                <w:rFonts w:ascii="Times New Roman" w:hAnsi="Times New Roman" w:cs="Times New Roman" w:eastAsia="Times New Roman" w:hint="default"/>
                <w:spacing w:val="-1"/>
                <w:w w:val="99"/>
                <w:sz w:val="18"/>
                <w:szCs w:val="18"/>
              </w:rPr>
              <w:t>Software-as-a</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7"/>
                <w:w w:val="99"/>
                <w:sz w:val="18"/>
                <w:szCs w:val="18"/>
              </w:rPr>
              <w:t>-Service</w:t>
            </w:r>
            <w:r>
              <w:rPr>
                <w:rFonts w:ascii="宋体" w:hAnsi="宋体" w:cs="宋体" w:eastAsia="宋体" w:hint="default"/>
                <w:spacing w:val="-7"/>
                <w:w w:val="99"/>
                <w:sz w:val="18"/>
                <w:szCs w:val="18"/>
              </w:rPr>
              <w:t>），一种通过</w:t>
            </w:r>
            <w:r>
              <w:rPr>
                <w:rFonts w:ascii="宋体" w:hAnsi="宋体" w:cs="宋体" w:eastAsia="宋体" w:hint="default"/>
                <w:spacing w:val="-41"/>
                <w:w w:val="99"/>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提供软件的模式，厂商将应</w:t>
            </w:r>
            <w:r>
              <w:rPr>
                <w:rFonts w:ascii="宋体" w:hAnsi="宋体" w:cs="宋体" w:eastAsia="宋体" w:hint="default"/>
                <w:spacing w:val="-88"/>
                <w:sz w:val="18"/>
                <w:szCs w:val="18"/>
              </w:rPr>
              <w:t> </w:t>
            </w:r>
            <w:r>
              <w:rPr>
                <w:rFonts w:ascii="宋体" w:hAnsi="宋体" w:cs="宋体" w:eastAsia="宋体" w:hint="default"/>
                <w:sz w:val="18"/>
                <w:szCs w:val="18"/>
              </w:rPr>
              <w:t>用软件统一部署在自己的服务器上，客户可以根据自己实际需求，通过互联网向厂 商定购所需的应用软件服务，按定购的服务多少和时间长短向厂商支付费用，并通 过互联网获得厂商提供的服务。</w:t>
            </w:r>
          </w:p>
        </w:tc>
      </w:tr>
      <w:tr>
        <w:trPr>
          <w:trHeight w:val="102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6" w:right="70"/>
              <w:jc w:val="both"/>
              <w:rPr>
                <w:rFonts w:ascii="宋体" w:hAnsi="宋体" w:cs="宋体" w:eastAsia="宋体" w:hint="default"/>
                <w:sz w:val="18"/>
                <w:szCs w:val="18"/>
              </w:rPr>
            </w:pPr>
            <w:r>
              <w:rPr>
                <w:rFonts w:ascii="宋体" w:hAnsi="宋体" w:cs="宋体" w:eastAsia="宋体" w:hint="default"/>
                <w:w w:val="99"/>
                <w:sz w:val="18"/>
                <w:szCs w:val="18"/>
              </w:rPr>
              <w:t>平台即服务（</w:t>
            </w:r>
            <w:r>
              <w:rPr>
                <w:rFonts w:ascii="Times New Roman" w:hAnsi="Times New Roman" w:cs="Times New Roman" w:eastAsia="Times New Roman" w:hint="default"/>
                <w:w w:val="99"/>
                <w:sz w:val="18"/>
                <w:szCs w:val="18"/>
              </w:rPr>
              <w:t>Platform</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
                <w:w w:val="99"/>
                <w:sz w:val="18"/>
                <w:szCs w:val="18"/>
              </w:rPr>
              <w:t>as</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4"/>
                <w:w w:val="99"/>
                <w:sz w:val="18"/>
                <w:szCs w:val="18"/>
              </w:rPr>
              <w:t>Service</w:t>
            </w:r>
            <w:r>
              <w:rPr>
                <w:rFonts w:ascii="宋体" w:hAnsi="宋体" w:cs="宋体" w:eastAsia="宋体" w:hint="default"/>
                <w:spacing w:val="-4"/>
                <w:w w:val="99"/>
                <w:sz w:val="18"/>
                <w:szCs w:val="18"/>
              </w:rPr>
              <w:t>），一种在云计算基础设施上为用户提供软件部署</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和运行环境的服务。它能够为执行应用程序弹性的提供所需资源，并根据用户实际 使用情况进行计费的服务。</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5G</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5rdGeneration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缩写，第五代移动通信技术。</w:t>
            </w:r>
          </w:p>
        </w:tc>
      </w:tr>
      <w:tr>
        <w:trPr>
          <w:trHeight w:val="716"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ITM</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Intelligent </w:t>
            </w:r>
            <w:r>
              <w:rPr>
                <w:rFonts w:ascii="Times New Roman" w:hAnsi="Times New Roman" w:cs="Times New Roman" w:eastAsia="Times New Roman" w:hint="default"/>
                <w:spacing w:val="-3"/>
                <w:sz w:val="18"/>
                <w:szCs w:val="18"/>
              </w:rPr>
              <w:t>Teller</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Machine</w:t>
            </w:r>
            <w:r>
              <w:rPr>
                <w:rFonts w:ascii="宋体" w:hAnsi="宋体" w:cs="宋体" w:eastAsia="宋体" w:hint="default"/>
                <w:sz w:val="18"/>
                <w:szCs w:val="18"/>
              </w:rPr>
              <w:t>，即远程智能柜员机，一种采用远程智能协同技术来办理柜 台业务的自助服务设备。</w:t>
            </w:r>
          </w:p>
        </w:tc>
      </w:tr>
      <w:tr>
        <w:trPr>
          <w:trHeight w:val="133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5"/>
              <w:jc w:val="both"/>
              <w:rPr>
                <w:rFonts w:ascii="宋体" w:hAnsi="宋体" w:cs="宋体" w:eastAsia="宋体" w:hint="default"/>
                <w:sz w:val="18"/>
                <w:szCs w:val="18"/>
              </w:rPr>
            </w:pPr>
            <w:r>
              <w:rPr>
                <w:rFonts w:ascii="宋体" w:hAnsi="宋体" w:cs="宋体" w:eastAsia="宋体" w:hint="default"/>
                <w:sz w:val="18"/>
                <w:szCs w:val="18"/>
              </w:rPr>
              <w:t>运用信息和通信技术手段感测、分析、整合城市运行核心系统的各项关键信息，从 而对包括民生、环保、公共安全、城市服务、工商业活动在内的各种需求做出智能 响应。其实质是利用先进的信息技术，实现城市智慧式管理和运行，进而为城市中 的人创造更美好的生活，促进城市的和谐、可持续成长。</w:t>
            </w:r>
          </w:p>
        </w:tc>
      </w:tr>
      <w:tr>
        <w:trPr>
          <w:trHeight w:val="715"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49"/>
              <w:jc w:val="left"/>
              <w:rPr>
                <w:rFonts w:ascii="宋体" w:hAnsi="宋体" w:cs="宋体" w:eastAsia="宋体" w:hint="default"/>
                <w:sz w:val="18"/>
                <w:szCs w:val="18"/>
              </w:rPr>
            </w:pPr>
            <w:r>
              <w:rPr>
                <w:rFonts w:ascii="宋体" w:hAnsi="宋体" w:cs="宋体" w:eastAsia="宋体" w:hint="default"/>
                <w:spacing w:val="-1"/>
                <w:w w:val="99"/>
                <w:sz w:val="18"/>
                <w:szCs w:val="18"/>
              </w:rPr>
              <w:t>人工智能（</w:t>
            </w:r>
            <w:r>
              <w:rPr>
                <w:rFonts w:ascii="Times New Roman" w:hAnsi="Times New Roman" w:cs="Times New Roman" w:eastAsia="Times New Roman" w:hint="default"/>
                <w:spacing w:val="-1"/>
                <w:w w:val="99"/>
                <w:sz w:val="18"/>
                <w:szCs w:val="18"/>
              </w:rPr>
              <w:t>Artificial</w:t>
            </w:r>
            <w:r>
              <w:rPr>
                <w:rFonts w:ascii="Times New Roman" w:hAnsi="Times New Roman" w:cs="Times New Roman" w:eastAsia="Times New Roman" w:hint="default"/>
                <w:spacing w:val="18"/>
                <w:w w:val="99"/>
                <w:sz w:val="18"/>
                <w:szCs w:val="18"/>
              </w:rPr>
              <w:t> </w:t>
            </w:r>
            <w:r>
              <w:rPr>
                <w:rFonts w:ascii="Times New Roman" w:hAnsi="Times New Roman" w:cs="Times New Roman" w:eastAsia="Times New Roman" w:hint="default"/>
                <w:spacing w:val="-3"/>
                <w:w w:val="99"/>
                <w:sz w:val="18"/>
                <w:szCs w:val="18"/>
              </w:rPr>
              <w:t>Intelligence</w:t>
            </w:r>
            <w:r>
              <w:rPr>
                <w:rFonts w:ascii="宋体" w:hAnsi="宋体" w:cs="宋体" w:eastAsia="宋体" w:hint="default"/>
                <w:spacing w:val="-3"/>
                <w:w w:val="99"/>
                <w:sz w:val="18"/>
                <w:szCs w:val="18"/>
              </w:rPr>
              <w:t>），指计算机系统具备的能力，该能力可以履行原本</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只有依靠人类智慧才能完成的复杂任务。</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Times New Roman" w:hAnsi="Times New Roman" w:cs="Times New Roman" w:eastAsia="Times New Roman" w:hint="default"/>
                <w:sz w:val="18"/>
                <w:szCs w:val="18"/>
              </w:rPr>
              <w:t>/</w:t>
            </w:r>
            <w:r>
              <w:rPr>
                <w:rFonts w:ascii="宋体" w:hAnsi="宋体" w:cs="宋体" w:eastAsia="宋体" w:hint="default"/>
                <w:sz w:val="18"/>
                <w:szCs w:val="18"/>
              </w:rPr>
              <w:t>本附注</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年度财务报告附注。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809998pt;width:361.55pt;height:19.6pt;mso-position-horizontal-relative:page;mso-position-vertical-relative:page;z-index:-1321216"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证通电子</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002197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证通电子</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SZZT Electronics</w:t>
            </w:r>
            <w:r>
              <w:rPr>
                <w:rFonts w:ascii="Times New Roman"/>
                <w:spacing w:val="-9"/>
                <w:sz w:val="18"/>
              </w:rPr>
              <w:t> </w:t>
            </w:r>
            <w:r>
              <w:rPr>
                <w:rFonts w:ascii="Times New Roman"/>
                <w:spacing w:val="-3"/>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SZZT</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曾胜强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深圳市光明区玉塘街道田寮社区同观大道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号证通电子产业园二期</w:t>
            </w:r>
            <w:r>
              <w:rPr>
                <w:rFonts w:ascii="Times New Roman" w:hAnsi="Times New Roman" w:cs="Times New Roman" w:eastAsia="Times New Roman" w:hint="default"/>
                <w:sz w:val="18"/>
                <w:szCs w:val="18"/>
              </w:rPr>
              <w:t>-101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518132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深圳市光明区玉塘街道田寮社区同观大道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518132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http://www.szzt.com.cn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ir@szzt.com.cn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6"/>
        <w:gridCol w:w="3698"/>
        <w:gridCol w:w="3615"/>
      </w:tblGrid>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王芳</w:t>
            </w:r>
          </w:p>
        </w:tc>
      </w:tr>
      <w:tr>
        <w:trPr>
          <w:trHeight w:val="161" w:hRule="exact"/>
        </w:trPr>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3698"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深圳市光明区玉塘街道田寮社区同观大道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证通电子产业园二期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615"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深圳市光明区玉塘街道田寮社区同观大道</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证通电子产业园二期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94" w:hRule="exact"/>
        </w:trPr>
        <w:tc>
          <w:tcPr>
            <w:tcW w:w="22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98" w:type="dxa"/>
            <w:vMerge/>
            <w:tcBorders>
              <w:left w:val="single" w:sz="9" w:space="0" w:color="D2D2D2"/>
              <w:right w:val="single" w:sz="4" w:space="0" w:color="000000"/>
            </w:tcBorders>
          </w:tcPr>
          <w:p>
            <w:pPr/>
          </w:p>
        </w:tc>
        <w:tc>
          <w:tcPr>
            <w:tcW w:w="3615" w:type="dxa"/>
            <w:vMerge/>
            <w:tcBorders>
              <w:left w:val="single" w:sz="4" w:space="0" w:color="000000"/>
              <w:right w:val="single" w:sz="4" w:space="0" w:color="000000"/>
            </w:tcBorders>
          </w:tcPr>
          <w:p>
            <w:pPr/>
          </w:p>
        </w:tc>
      </w:tr>
      <w:tr>
        <w:trPr>
          <w:trHeight w:val="161" w:hRule="exact"/>
        </w:trPr>
        <w:tc>
          <w:tcPr>
            <w:tcW w:w="2246" w:type="dxa"/>
            <w:tcBorders>
              <w:top w:val="nil" w:sz="6" w:space="0" w:color="auto"/>
              <w:left w:val="single" w:sz="4" w:space="0" w:color="000000"/>
              <w:bottom w:val="single" w:sz="4" w:space="0" w:color="000000"/>
              <w:right w:val="single" w:sz="4" w:space="0" w:color="000000"/>
            </w:tcBorders>
            <w:shd w:val="clear" w:color="auto" w:fill="D2D2D2"/>
          </w:tcPr>
          <w:p>
            <w:pPr/>
          </w:p>
        </w:tc>
        <w:tc>
          <w:tcPr>
            <w:tcW w:w="3698" w:type="dxa"/>
            <w:vMerge/>
            <w:tcBorders>
              <w:left w:val="single" w:sz="9" w:space="0" w:color="D2D2D2"/>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0755-26490118</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0755-26490118</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0755-26490099</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0755-26490099</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fudeliang@szzt.com.cn</w:t>
              </w:r>
            </w:hyperlink>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2">
              <w:r>
                <w:rPr>
                  <w:rFonts w:ascii="Times New Roman"/>
                  <w:sz w:val="18"/>
                </w:rPr>
                <w:t>wangfang@szzt.com.cn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公司统一社会信用代码为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91440300279402305L</w:t>
            </w:r>
          </w:p>
        </w:tc>
      </w:tr>
      <w:tr>
        <w:trPr>
          <w:trHeight w:val="165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3"/>
              <w:jc w:val="both"/>
              <w:rPr>
                <w:rFonts w:ascii="宋体" w:hAnsi="宋体" w:cs="宋体" w:eastAsia="宋体" w:hint="default"/>
                <w:sz w:val="18"/>
                <w:szCs w:val="18"/>
              </w:rPr>
            </w:pPr>
            <w:r>
              <w:rPr>
                <w:rFonts w:ascii="宋体" w:hAnsi="宋体" w:cs="宋体" w:eastAsia="宋体" w:hint="default"/>
                <w:sz w:val="18"/>
                <w:szCs w:val="18"/>
              </w:rPr>
              <w:t>公司主营业务为金融电子业务、</w:t>
            </w:r>
            <w:r>
              <w:rPr>
                <w:rFonts w:ascii="Times New Roman" w:hAnsi="Times New Roman" w:cs="Times New Roman" w:eastAsia="Times New Roman" w:hint="default"/>
                <w:sz w:val="18"/>
                <w:szCs w:val="18"/>
              </w:rPr>
              <w:t>IDC </w:t>
            </w:r>
            <w:r>
              <w:rPr>
                <w:rFonts w:ascii="宋体" w:hAnsi="宋体" w:cs="宋体" w:eastAsia="宋体" w:hint="default"/>
                <w:sz w:val="18"/>
                <w:szCs w:val="18"/>
              </w:rPr>
              <w:t>及云计算业务、</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照明业务。金融电子业 务是公司成立至今的核心业务，公司从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年开始从事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照明电子业务，后 期逐渐以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照明亮化工程业务为主。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年公司进入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及云计算行业，成 为产品及服务涉及金融电子、</w:t>
            </w:r>
            <w:r>
              <w:rPr>
                <w:rFonts w:ascii="Times New Roman" w:hAnsi="Times New Roman" w:cs="Times New Roman" w:eastAsia="Times New Roman" w:hint="default"/>
                <w:sz w:val="18"/>
                <w:szCs w:val="18"/>
              </w:rPr>
              <w:t>IDC </w:t>
            </w:r>
            <w:r>
              <w:rPr>
                <w:rFonts w:ascii="宋体" w:hAnsi="宋体" w:cs="宋体" w:eastAsia="宋体" w:hint="default"/>
                <w:sz w:val="18"/>
                <w:szCs w:val="18"/>
              </w:rPr>
              <w:t>及云计算、</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照明三大领域，集自主研发、 销售及服务为一体的现代化高科技企业。</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深圳市南山区粤海街道学府路软件产业基地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栋裙楼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540.541.544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号房</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李志光、陈丽敏</w:t>
            </w:r>
          </w:p>
        </w:tc>
      </w:tr>
    </w:tbl>
    <w:p>
      <w:pPr>
        <w:pStyle w:val="BodyText"/>
        <w:spacing w:line="240" w:lineRule="auto" w:before="49"/>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40"/>
        <w:gridCol w:w="1568"/>
        <w:gridCol w:w="1560"/>
        <w:gridCol w:w="1702"/>
        <w:gridCol w:w="1488"/>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1,339,613,939.45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1,332,398,508.95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1,682,593,168.29</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20,355,219.82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-241,200,992.13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43,095,599.68</w:t>
            </w:r>
          </w:p>
        </w:tc>
      </w:tr>
      <w:tr>
        <w:trPr>
          <w:trHeight w:val="716"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-31,504,408.51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-273,118,606.70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30,052,428.77</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104,846,356.07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23,953,431.53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-724,673,391.47</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5,989,337,242.29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5,225,348,679.75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5,321,185,715.15</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2,393,768,842.45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2,407,493,874.82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2,766,860,849.03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253,239,451.70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304,254,955.29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254,813,899.20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527,305,633.26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4,072,190.35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13,662,442.40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1,850,946.96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769,640.11</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-6,667,701.49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8,490,027.66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-8,409,253.03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-24,917,481.65</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149,713,667.48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19,038,200.93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12,021,709.39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-75,927,221.73</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29,609,780.98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290,363.17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-49,803.75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32,011,242.91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20,583,558.42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27,879,669.93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3,397,723.19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4,088,409.02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-7,594,836.63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-16,894,616.95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-12,434,717.59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9,019,068.01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669,972.32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3,089,619.75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633,623.13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-4,608,282.25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-737,642.07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51,859,628.33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31,917,614.57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13,043,170.91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32"/>
          <w:szCs w:val="32"/>
        </w:rPr>
      </w:pPr>
    </w:p>
    <w:p>
      <w:pPr>
        <w:pStyle w:val="BodyText"/>
        <w:spacing w:line="451" w:lineRule="auto"/>
        <w:ind w:right="1134" w:firstLine="360"/>
        <w:jc w:val="both"/>
      </w:pPr>
      <w:r>
        <w:rPr/>
        <w:t>公司是一家产品及服务涉及金融电子、</w:t>
      </w:r>
      <w:r>
        <w:rPr>
          <w:rFonts w:ascii="Times New Roman" w:hAnsi="Times New Roman" w:cs="Times New Roman" w:eastAsia="Times New Roman" w:hint="default"/>
        </w:rPr>
        <w:t>IDC </w:t>
      </w:r>
      <w:r>
        <w:rPr/>
        <w:t>及云计算、</w:t>
      </w:r>
      <w:r>
        <w:rPr>
          <w:rFonts w:ascii="Times New Roman" w:hAnsi="Times New Roman" w:cs="Times New Roman" w:eastAsia="Times New Roman" w:hint="default"/>
        </w:rPr>
        <w:t>LED</w:t>
      </w:r>
      <w:r>
        <w:rPr>
          <w:rFonts w:ascii="Times New Roman" w:hAnsi="Times New Roman" w:cs="Times New Roman" w:eastAsia="Times New Roman" w:hint="default"/>
          <w:spacing w:val="20"/>
        </w:rPr>
        <w:t> </w:t>
      </w:r>
      <w:r>
        <w:rPr/>
        <w:t>照明三大领域，集自主研发、生产、销售及服务为一体的 现代化高科技企业。</w:t>
      </w:r>
    </w:p>
    <w:p>
      <w:pPr>
        <w:pStyle w:val="BodyText"/>
        <w:spacing w:line="451" w:lineRule="auto" w:before="74"/>
        <w:ind w:left="513" w:right="0"/>
        <w:jc w:val="left"/>
      </w:pPr>
      <w:r>
        <w:rPr>
          <w:rFonts w:ascii="Times New Roman" w:hAnsi="Times New Roman" w:cs="Times New Roman" w:eastAsia="Times New Roman" w:hint="default"/>
        </w:rPr>
        <w:t>1</w:t>
      </w:r>
      <w:r>
        <w:rPr/>
        <w:t>、金融电子业务 </w:t>
      </w:r>
      <w:r>
        <w:rPr>
          <w:spacing w:val="-4"/>
        </w:rPr>
        <w:t>金融电子业务是公司成立至今的传统主营业务，以自助服务终端、安全支付产品等硬件设备的研发、生产、销售为基础，</w:t>
      </w:r>
    </w:p>
    <w:p>
      <w:pPr>
        <w:pStyle w:val="BodyText"/>
        <w:spacing w:line="477" w:lineRule="auto" w:before="74"/>
        <w:ind w:right="1133"/>
        <w:jc w:val="left"/>
      </w:pPr>
      <w:r>
        <w:rPr>
          <w:spacing w:val="-2"/>
        </w:rPr>
        <w:t>硬件设备的业务领域逐步从银行业拓展到政务、通信、税务、交通、医疗、零售、地产、景区、院线、酒旅等跟人们生活密</w:t>
      </w:r>
      <w:r>
        <w:rPr>
          <w:spacing w:val="-70"/>
        </w:rPr>
        <w:t> </w:t>
      </w:r>
      <w:r>
        <w:rPr>
          <w:spacing w:val="-70"/>
        </w:rPr>
      </w:r>
      <w:r>
        <w:rPr/>
        <w:t>切相关的服务等其他行业。</w:t>
      </w:r>
    </w:p>
    <w:p>
      <w:pPr>
        <w:pStyle w:val="BodyText"/>
        <w:spacing w:line="487" w:lineRule="auto" w:before="54"/>
        <w:ind w:right="1043" w:firstLine="360"/>
        <w:jc w:val="both"/>
      </w:pPr>
      <w:r>
        <w:rPr>
          <w:spacing w:val="-2"/>
        </w:rPr>
        <w:t>近年来，互联网尤其是移动互联网、云计算等现代信息技术迅速发展，伴随着互联网金融的冲击，新兴金融服务模式和</w:t>
      </w:r>
      <w:r>
        <w:rPr/>
        <w:t> </w:t>
      </w:r>
      <w:r>
        <w:rPr>
          <w:spacing w:val="-4"/>
        </w:rPr>
        <w:t>新兴</w:t>
      </w:r>
      <w:r>
        <w:rPr>
          <w:rFonts w:ascii="Arial" w:hAnsi="Arial" w:cs="Arial" w:eastAsia="Arial" w:hint="default"/>
          <w:spacing w:val="-4"/>
        </w:rPr>
        <w:t>金</w:t>
      </w:r>
      <w:r>
        <w:rPr>
          <w:spacing w:val="-4"/>
        </w:rPr>
        <w:t>融业态的快速发展，传统银行向智慧银行转型升级，特别是自助终端作为业务场景的交互入口，承担着用户信息收集、</w:t>
      </w:r>
    </w:p>
    <w:p>
      <w:pPr>
        <w:pStyle w:val="BodyText"/>
        <w:spacing w:line="463" w:lineRule="auto" w:before="3"/>
        <w:ind w:right="1130"/>
        <w:jc w:val="both"/>
      </w:pPr>
      <w:r>
        <w:rPr/>
        <w:t>存储、传输和展现的功能，其信息安全一直以来是产业链上下游关注的焦点，伴随着</w:t>
      </w:r>
      <w:r>
        <w:rPr>
          <w:rFonts w:ascii="Times New Roman" w:hAnsi="Times New Roman" w:cs="Times New Roman" w:eastAsia="Times New Roman" w:hint="default"/>
        </w:rPr>
        <w:t>5G</w:t>
      </w:r>
      <w:r>
        <w:rPr/>
        <w:t>等新兴技术的快速兴起，信息安全</w:t>
      </w:r>
      <w:r>
        <w:rPr>
          <w:spacing w:val="-38"/>
        </w:rPr>
        <w:t> </w:t>
      </w:r>
      <w:r>
        <w:rPr>
          <w:spacing w:val="-38"/>
        </w:rPr>
      </w:r>
      <w:r>
        <w:rPr>
          <w:spacing w:val="-2"/>
        </w:rPr>
        <w:t>的风险性必将提升。在此背景下，公司积极协同客户、产业上游，通过信息安全技术的研发和创新，保障自助终端安全、稳</w:t>
      </w:r>
      <w:r>
        <w:rPr>
          <w:spacing w:val="-70"/>
        </w:rPr>
        <w:t> </w:t>
      </w:r>
      <w:r>
        <w:rPr>
          <w:spacing w:val="-70"/>
        </w:rPr>
      </w:r>
      <w:r>
        <w:rPr/>
        <w:t>健的运行，并在硬件设备上加强快速定制化交付能力建设，进一步集成物联网、大数据、云计算、</w:t>
      </w:r>
      <w:r>
        <w:rPr>
          <w:rFonts w:ascii="Times New Roman" w:hAnsi="Times New Roman" w:cs="Times New Roman" w:eastAsia="Times New Roman" w:hint="default"/>
        </w:rPr>
        <w:t>AI </w:t>
      </w:r>
      <w:r>
        <w:rPr/>
        <w:t>等新一代技术，推动</w:t>
      </w:r>
      <w:r>
        <w:rPr>
          <w:w w:val="99"/>
        </w:rPr>
        <w:t> </w:t>
      </w:r>
      <w:r>
        <w:rPr>
          <w:spacing w:val="-2"/>
        </w:rPr>
        <w:t>公司自助终端产品和服务的智慧化演变，提升自身的核心竞争力，另一方面公司探索开展为银行业务转型提供咨询服务，并</w:t>
      </w:r>
      <w:r>
        <w:rPr>
          <w:spacing w:val="-64"/>
        </w:rPr>
        <w:t> </w:t>
      </w:r>
      <w:r>
        <w:rPr>
          <w:spacing w:val="-64"/>
        </w:rPr>
      </w:r>
      <w:r>
        <w:rPr/>
        <w:t>在银行网点及渠道转型升级提供信息系统的整体解决方案。</w:t>
      </w:r>
    </w:p>
    <w:p>
      <w:pPr>
        <w:pStyle w:val="BodyText"/>
        <w:spacing w:line="463" w:lineRule="auto" w:before="65"/>
        <w:ind w:right="1132" w:firstLine="360"/>
        <w:jc w:val="both"/>
      </w:pPr>
      <w:r>
        <w:rPr>
          <w:spacing w:val="-2"/>
        </w:rPr>
        <w:t>公司在金融电子业务板块主要经营模式为客户提供包括软硬件产品以及服务的综合性解决方案。主要产品包括：自助服</w:t>
      </w:r>
      <w:r>
        <w:rPr/>
        <w:t> 务终端、金融支付产品</w:t>
      </w:r>
      <w:r>
        <w:rPr>
          <w:rFonts w:ascii="Times New Roman" w:hAnsi="Times New Roman" w:cs="Times New Roman" w:eastAsia="Times New Roman" w:hint="default"/>
        </w:rPr>
        <w:t>(</w:t>
      </w:r>
      <w:r>
        <w:rPr/>
        <w:t>含金融</w:t>
      </w:r>
      <w:r>
        <w:rPr>
          <w:rFonts w:ascii="Times New Roman" w:hAnsi="Times New Roman" w:cs="Times New Roman" w:eastAsia="Times New Roman" w:hint="default"/>
        </w:rPr>
        <w:t>POS</w:t>
      </w:r>
      <w:r>
        <w:rPr/>
        <w:t>、智能</w:t>
      </w:r>
      <w:r>
        <w:rPr>
          <w:rFonts w:ascii="Times New Roman" w:hAnsi="Times New Roman" w:cs="Times New Roman" w:eastAsia="Times New Roman" w:hint="default"/>
        </w:rPr>
        <w:t>POS</w:t>
      </w:r>
      <w:r>
        <w:rPr>
          <w:rFonts w:ascii="Times New Roman" w:hAnsi="Times New Roman" w:cs="Times New Roman" w:eastAsia="Times New Roman" w:hint="default"/>
          <w:spacing w:val="-7"/>
        </w:rPr>
        <w:t> </w:t>
      </w:r>
      <w:r>
        <w:rPr/>
        <w:t>、安全支付套件、扫描终端、云喇叭等</w:t>
      </w:r>
      <w:r>
        <w:rPr>
          <w:rFonts w:ascii="Times New Roman" w:hAnsi="Times New Roman" w:cs="Times New Roman" w:eastAsia="Times New Roman" w:hint="default"/>
        </w:rPr>
        <w:t>)</w:t>
      </w:r>
      <w:r>
        <w:rPr/>
        <w:t>、加密键盘、税控终端等，以及智慧 网点综合服务平台、机器互联云平台等软件及系统解决方案。</w:t>
      </w:r>
    </w:p>
    <w:p>
      <w:pPr>
        <w:pStyle w:val="BodyText"/>
        <w:spacing w:line="451" w:lineRule="auto" w:before="65"/>
        <w:ind w:left="513" w:right="112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IDC </w:t>
      </w:r>
      <w:r>
        <w:rPr/>
        <w:t>及云计算业务 </w:t>
      </w:r>
      <w:r>
        <w:rPr>
          <w:spacing w:val="-1"/>
        </w:rPr>
        <w:t>该业务的战略定位是</w:t>
      </w:r>
      <w:r>
        <w:rPr>
          <w:rFonts w:ascii="Times New Roman" w:hAnsi="Times New Roman" w:cs="Times New Roman" w:eastAsia="Times New Roman" w:hint="default"/>
          <w:spacing w:val="-1"/>
        </w:rPr>
        <w:t>“IDC+</w:t>
      </w:r>
      <w:r>
        <w:rPr>
          <w:spacing w:val="-1"/>
        </w:rPr>
        <w:t>生态</w:t>
      </w:r>
      <w:r>
        <w:rPr>
          <w:rFonts w:ascii="Times New Roman" w:hAnsi="Times New Roman" w:cs="Times New Roman" w:eastAsia="Times New Roman" w:hint="default"/>
          <w:spacing w:val="-1"/>
        </w:rPr>
        <w:t>”</w:t>
      </w:r>
      <w:r>
        <w:rPr>
          <w:spacing w:val="-1"/>
        </w:rPr>
        <w:t>，以数据为核心驱动，做智慧城市、智慧园区运营商。围绕</w:t>
      </w:r>
      <w:r>
        <w:rPr>
          <w:rFonts w:ascii="Times New Roman" w:hAnsi="Times New Roman" w:cs="Times New Roman" w:eastAsia="Times New Roman" w:hint="default"/>
          <w:spacing w:val="-1"/>
        </w:rPr>
        <w:t>IDC</w:t>
      </w:r>
      <w:r>
        <w:rPr>
          <w:spacing w:val="-1"/>
        </w:rPr>
        <w:t>数据中心</w:t>
      </w:r>
      <w:r>
        <w:rPr>
          <w:rFonts w:ascii="Times New Roman" w:hAnsi="Times New Roman" w:cs="Times New Roman" w:eastAsia="Times New Roman" w:hint="default"/>
          <w:spacing w:val="-1"/>
        </w:rPr>
        <w:t>“</w:t>
      </w:r>
      <w:r>
        <w:rPr>
          <w:spacing w:val="-1"/>
        </w:rPr>
        <w:t>存储和计算</w:t>
      </w:r>
      <w:r>
        <w:rPr>
          <w:rFonts w:ascii="Times New Roman" w:hAnsi="Times New Roman" w:cs="Times New Roman" w:eastAsia="Times New Roman" w:hint="default"/>
          <w:spacing w:val="-1"/>
        </w:rPr>
        <w:t>”</w:t>
      </w:r>
    </w:p>
    <w:p>
      <w:pPr>
        <w:pStyle w:val="BodyText"/>
        <w:spacing w:line="463" w:lineRule="auto" w:before="43"/>
        <w:ind w:right="1034"/>
        <w:jc w:val="left"/>
      </w:pPr>
      <w:r>
        <w:rPr/>
        <w:t>两大功能，业务盈利模式主要包括：其一是面向中大型互联网客户群、金融客户群及政府客户群提供机柜资源及带宽租赁、 增值服务等取得收入，其二是以证通云平台为业务基础和依托，在为客户提供</w:t>
      </w:r>
      <w:r>
        <w:rPr>
          <w:rFonts w:ascii="Times New Roman" w:hAnsi="Times New Roman" w:cs="Times New Roman" w:eastAsia="Times New Roman" w:hint="default"/>
        </w:rPr>
        <w:t>IDC+</w:t>
      </w:r>
      <w:r>
        <w:rPr/>
        <w:t>数字化运营、智慧城市、智慧园区等服</w:t>
      </w:r>
      <w:r>
        <w:rPr>
          <w:spacing w:val="-49"/>
        </w:rPr>
        <w:t> </w:t>
      </w:r>
      <w:r>
        <w:rPr>
          <w:spacing w:val="-49"/>
        </w:rPr>
      </w:r>
      <w:r>
        <w:rPr/>
        <w:t>务中获得增值服务和运营收益。</w:t>
      </w:r>
    </w:p>
    <w:p>
      <w:pPr>
        <w:pStyle w:val="BodyText"/>
        <w:spacing w:line="451" w:lineRule="auto" w:before="65"/>
        <w:ind w:right="1129"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IDC</w:t>
      </w:r>
      <w:r>
        <w:rPr>
          <w:spacing w:val="-2"/>
        </w:rPr>
        <w:t>业务：公司投资自建五大分布式高效节能的绿色数据中心，形成规模化的</w:t>
      </w:r>
      <w:r>
        <w:rPr>
          <w:rFonts w:ascii="Times New Roman" w:hAnsi="Times New Roman" w:cs="Times New Roman" w:eastAsia="Times New Roman" w:hint="default"/>
          <w:spacing w:val="-2"/>
        </w:rPr>
        <w:t>IDC</w:t>
      </w:r>
      <w:r>
        <w:rPr>
          <w:spacing w:val="-2"/>
        </w:rPr>
        <w:t>网络、分别处于粤港澳大湾区和</w:t>
      </w:r>
      <w:r>
        <w:rPr/>
        <w:t> </w:t>
      </w:r>
      <w:r>
        <w:rPr>
          <w:spacing w:val="-1"/>
        </w:rPr>
        <w:t>中部地区，区域联动性强。</w:t>
      </w:r>
      <w:r>
        <w:rPr>
          <w:rFonts w:ascii="Times New Roman" w:hAnsi="Times New Roman" w:cs="Times New Roman" w:eastAsia="Times New Roman" w:hint="default"/>
          <w:spacing w:val="-1"/>
        </w:rPr>
        <w:t>IDC</w:t>
      </w:r>
      <w:r>
        <w:rPr>
          <w:spacing w:val="-1"/>
        </w:rPr>
        <w:t>数据中心基础业务主要盈利模式为向金融类企业、互联网企业或政企客户收取机柜租金、带</w:t>
      </w:r>
      <w:r>
        <w:rPr>
          <w:spacing w:val="-67"/>
        </w:rPr>
        <w:t> </w:t>
      </w:r>
      <w:r>
        <w:rPr>
          <w:spacing w:val="-67"/>
        </w:rPr>
      </w:r>
      <w:r>
        <w:rPr/>
        <w:t>宽租金和增值服务等费用；还可在为有需求的客户提供数据中心架构、规划设计、运维、管理咨询服务中实现部分收入。</w:t>
      </w:r>
    </w:p>
    <w:p>
      <w:pPr>
        <w:pStyle w:val="BodyText"/>
        <w:spacing w:line="240" w:lineRule="auto" w:before="74"/>
        <w:ind w:left="513" w:right="0"/>
        <w:jc w:val="left"/>
      </w:pPr>
      <w:r>
        <w:rPr/>
        <w:t>（</w:t>
      </w:r>
      <w:r>
        <w:rPr>
          <w:rFonts w:ascii="Times New Roman" w:hAnsi="Times New Roman" w:cs="Times New Roman" w:eastAsia="Times New Roman" w:hint="default"/>
        </w:rPr>
        <w:t>2</w:t>
      </w:r>
      <w:r>
        <w:rPr/>
        <w:t>）云计算业务：公司依托经可信云服务认证的证通云平台，搭建能支持多项业务的云计算</w:t>
      </w:r>
      <w:r>
        <w:rPr>
          <w:rFonts w:ascii="Times New Roman" w:hAnsi="Times New Roman" w:cs="Times New Roman" w:eastAsia="Times New Roman" w:hint="default"/>
        </w:rPr>
        <w:t>IAAS</w:t>
      </w:r>
      <w:r>
        <w:rPr/>
        <w:t>层运营服务平台，升</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right="0"/>
        <w:jc w:val="left"/>
      </w:pPr>
      <w:r>
        <w:rPr>
          <w:spacing w:val="-2"/>
        </w:rPr>
        <w:t>级并拓展证通云栈、云池、云固、云监、云管、云数、云台等产品服务，致力于为客户提供最方便、最稳定、最安全、性价</w:t>
      </w:r>
      <w:r>
        <w:rPr>
          <w:spacing w:val="-73"/>
        </w:rPr>
        <w:t> </w:t>
      </w:r>
      <w:r>
        <w:rPr>
          <w:spacing w:val="-73"/>
        </w:rPr>
      </w:r>
      <w:r>
        <w:rPr>
          <w:spacing w:val="-2"/>
        </w:rPr>
        <w:t>比最高的云主机、云托管、云存储、云加速等云计算基础服务。主要包括提供虚拟机、存储、网络等</w:t>
      </w:r>
      <w:r>
        <w:rPr>
          <w:rFonts w:ascii="Times New Roman" w:hAnsi="Times New Roman" w:cs="Times New Roman" w:eastAsia="Times New Roman" w:hint="default"/>
          <w:spacing w:val="-2"/>
        </w:rPr>
        <w:t>IT</w:t>
      </w:r>
      <w:r>
        <w:rPr>
          <w:spacing w:val="-2"/>
        </w:rPr>
        <w:t>基础资源租用的云主</w:t>
      </w:r>
      <w:r>
        <w:rPr>
          <w:spacing w:val="-56"/>
        </w:rPr>
        <w:t> </w:t>
      </w:r>
      <w:r>
        <w:rPr>
          <w:spacing w:val="-56"/>
        </w:rPr>
      </w:r>
      <w:r>
        <w:rPr>
          <w:spacing w:val="-2"/>
        </w:rPr>
        <w:t>机服务；根据客户的集体需求搭建完全定制化云平台，提供从</w:t>
      </w:r>
      <w:r>
        <w:rPr>
          <w:rFonts w:ascii="Times New Roman" w:hAnsi="Times New Roman" w:cs="Times New Roman" w:eastAsia="Times New Roman" w:hint="default"/>
          <w:spacing w:val="-2"/>
        </w:rPr>
        <w:t>IT</w:t>
      </w:r>
      <w:r>
        <w:rPr>
          <w:spacing w:val="-2"/>
        </w:rPr>
        <w:t>业务咨询，云平台整体设计，云平台搭建及平台运维服务等</w:t>
      </w:r>
      <w:r>
        <w:rPr>
          <w:spacing w:val="-50"/>
        </w:rPr>
        <w:t> </w:t>
      </w:r>
      <w:r>
        <w:rPr>
          <w:spacing w:val="-50"/>
        </w:rPr>
      </w:r>
      <w:r>
        <w:rPr>
          <w:spacing w:val="-2"/>
        </w:rPr>
        <w:t>一体化私有云服务；基于独享或者共享的物理资源，为客户提供专项的云资源托管服务；</w:t>
      </w:r>
      <w:r>
        <w:rPr>
          <w:rFonts w:ascii="Times New Roman" w:hAnsi="Times New Roman" w:cs="Times New Roman" w:eastAsia="Times New Roman" w:hint="default"/>
          <w:spacing w:val="-2"/>
        </w:rPr>
        <w:t>SAAS</w:t>
      </w:r>
      <w:r>
        <w:rPr>
          <w:spacing w:val="-2"/>
        </w:rPr>
        <w:t>应用层提供政务云、警务云、</w:t>
      </w:r>
      <w:r>
        <w:rPr>
          <w:spacing w:val="-74"/>
        </w:rPr>
        <w:t> </w:t>
      </w:r>
      <w:r>
        <w:rPr>
          <w:spacing w:val="-74"/>
        </w:rPr>
      </w:r>
      <w:r>
        <w:rPr/>
        <w:t>交通云、民生云、工业云、惠农云及旅游云等应用服务。</w:t>
      </w:r>
    </w:p>
    <w:p>
      <w:pPr>
        <w:pStyle w:val="BodyText"/>
        <w:spacing w:line="477" w:lineRule="auto" w:before="68"/>
        <w:ind w:right="1130" w:firstLine="360"/>
        <w:jc w:val="both"/>
      </w:pPr>
      <w:r>
        <w:rPr>
          <w:spacing w:val="-2"/>
        </w:rPr>
        <w:t>公司基于证通云服务，依托公司在智慧城市、智慧园区应用架构上的全面信息感知能力、海量数据处理能力和智能管理</w:t>
      </w:r>
      <w:r>
        <w:rPr/>
        <w:t> </w:t>
      </w:r>
      <w:r>
        <w:rPr>
          <w:spacing w:val="-2"/>
        </w:rPr>
        <w:t>服务能力，融合智慧金融、云计算及智慧园区等多元化解决方案，构建全面的智慧城市、智慧园区应用服务体系，满足客户</w:t>
      </w:r>
      <w:r>
        <w:rPr>
          <w:spacing w:val="-67"/>
        </w:rPr>
        <w:t> </w:t>
      </w:r>
      <w:r>
        <w:rPr>
          <w:spacing w:val="-67"/>
        </w:rPr>
      </w:r>
      <w:r>
        <w:rPr>
          <w:spacing w:val="-2"/>
        </w:rPr>
        <w:t>多样化的需求。在为客户提供云计算及软件服务、数字化运营服务、智慧园区、智慧产业园与智慧照明等智慧城市项目总包</w:t>
      </w:r>
      <w:r>
        <w:rPr>
          <w:spacing w:val="-64"/>
        </w:rPr>
        <w:t> </w:t>
      </w:r>
      <w:r>
        <w:rPr>
          <w:spacing w:val="-64"/>
        </w:rPr>
      </w:r>
      <w:r>
        <w:rPr/>
        <w:t>运营中实现收入。</w:t>
      </w:r>
    </w:p>
    <w:p>
      <w:pPr>
        <w:pStyle w:val="BodyText"/>
        <w:spacing w:line="240" w:lineRule="auto" w:before="54"/>
        <w:ind w:left="513" w:right="11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LED</w:t>
      </w:r>
      <w:r>
        <w:rPr>
          <w:rFonts w:ascii="Times New Roman" w:hAnsi="Times New Roman" w:cs="Times New Roman" w:eastAsia="Times New Roman" w:hint="default"/>
          <w:spacing w:val="44"/>
        </w:rPr>
        <w:t> </w:t>
      </w:r>
      <w:r>
        <w:rPr/>
        <w:t>照明电子业务</w:t>
      </w:r>
    </w:p>
    <w:p>
      <w:pPr>
        <w:spacing w:line="240" w:lineRule="auto" w:before="9"/>
        <w:rPr>
          <w:rFonts w:ascii="宋体" w:hAnsi="宋体" w:cs="宋体" w:eastAsia="宋体" w:hint="default"/>
          <w:sz w:val="16"/>
          <w:szCs w:val="16"/>
        </w:rPr>
      </w:pPr>
    </w:p>
    <w:p>
      <w:pPr>
        <w:pStyle w:val="BodyText"/>
        <w:spacing w:line="451" w:lineRule="auto"/>
        <w:ind w:right="1131" w:firstLine="360"/>
        <w:jc w:val="both"/>
      </w:pPr>
      <w:r>
        <w:rPr>
          <w:rFonts w:ascii="Times New Roman" w:hAnsi="Times New Roman" w:cs="Times New Roman" w:eastAsia="Times New Roman" w:hint="default"/>
          <w:spacing w:val="-2"/>
        </w:rPr>
        <w:t>LED</w:t>
      </w:r>
      <w:r>
        <w:rPr>
          <w:spacing w:val="-2"/>
        </w:rPr>
        <w:t>照明电子业务主要为</w:t>
      </w:r>
      <w:r>
        <w:rPr>
          <w:rFonts w:ascii="Times New Roman" w:hAnsi="Times New Roman" w:cs="Times New Roman" w:eastAsia="Times New Roman" w:hint="default"/>
          <w:spacing w:val="-2"/>
        </w:rPr>
        <w:t>LED</w:t>
      </w:r>
      <w:r>
        <w:rPr>
          <w:spacing w:val="-2"/>
        </w:rPr>
        <w:t>道路照明产品和商业照明产品销售，业务开展方式包括合同能源管理、城市道路照明及景</w:t>
      </w:r>
      <w:r>
        <w:rPr/>
        <w:t> 观照明亮化工程等，与公司</w:t>
      </w:r>
      <w:r>
        <w:rPr>
          <w:rFonts w:ascii="Times New Roman" w:hAnsi="Times New Roman" w:cs="Times New Roman" w:eastAsia="Times New Roman" w:hint="default"/>
        </w:rPr>
        <w:t>IDC</w:t>
      </w:r>
      <w:r>
        <w:rPr/>
        <w:t>及云计算服务能力协力有效支撑智慧城市服务应用及运营，实现智慧照明的可持续发展。</w:t>
      </w:r>
    </w:p>
    <w:p>
      <w:pPr>
        <w:spacing w:line="240" w:lineRule="auto" w:before="9"/>
        <w:rPr>
          <w:rFonts w:ascii="宋体" w:hAnsi="宋体" w:cs="宋体" w:eastAsia="宋体" w:hint="default"/>
          <w:sz w:val="16"/>
          <w:szCs w:val="16"/>
        </w:rPr>
      </w:pPr>
    </w:p>
    <w:p>
      <w:pPr>
        <w:pStyle w:val="Heading2"/>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7302"/>
      </w:tblGrid>
      <w:tr>
        <w:trPr>
          <w:trHeight w:val="187"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2" w:type="dxa"/>
            <w:vMerge w:val="restart"/>
            <w:tcBorders>
              <w:top w:val="single" w:sz="4" w:space="0" w:color="000000"/>
              <w:left w:val="single" w:sz="9" w:space="0" w:color="D2D2D2"/>
              <w:right w:val="single" w:sz="4" w:space="0" w:color="000000"/>
            </w:tcBorders>
          </w:tcPr>
          <w:p>
            <w:pPr>
              <w:pStyle w:val="TableParagraph"/>
              <w:spacing w:line="297" w:lineRule="auto" w:before="51"/>
              <w:ind w:left="17" w:right="20"/>
              <w:jc w:val="left"/>
              <w:rPr>
                <w:rFonts w:ascii="宋体" w:hAnsi="宋体" w:cs="宋体" w:eastAsia="宋体"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68.13%</w:t>
            </w:r>
            <w:r>
              <w:rPr>
                <w:rFonts w:ascii="宋体" w:hAnsi="宋体" w:cs="宋体" w:eastAsia="宋体" w:hint="default"/>
                <w:sz w:val="18"/>
                <w:szCs w:val="18"/>
              </w:rPr>
              <w:t>，主要原因系报告期内，公司新增对金谷农商行和旭生健康的权益投 资所致；</w:t>
            </w:r>
          </w:p>
        </w:tc>
      </w:tr>
      <w:tr>
        <w:trPr>
          <w:trHeight w:val="391"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302" w:type="dxa"/>
            <w:vMerge/>
            <w:tcBorders>
              <w:left w:val="single" w:sz="9" w:space="0" w:color="D2D2D2"/>
              <w:right w:val="single" w:sz="4" w:space="0" w:color="000000"/>
            </w:tcBorders>
          </w:tcPr>
          <w:p>
            <w:pPr/>
          </w:p>
        </w:tc>
      </w:tr>
      <w:tr>
        <w:trPr>
          <w:trHeight w:val="161"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2" w:type="dxa"/>
            <w:vMerge/>
            <w:tcBorders>
              <w:left w:val="single" w:sz="9" w:space="0" w:color="D2D2D2"/>
              <w:bottom w:val="single" w:sz="4" w:space="0" w:color="000000"/>
              <w:right w:val="single" w:sz="4" w:space="0" w:color="000000"/>
            </w:tcBorders>
          </w:tcPr>
          <w:p>
            <w:pPr/>
          </w:p>
        </w:tc>
      </w:tr>
      <w:tr>
        <w:trPr>
          <w:trHeight w:val="161"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2"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62"/>
              <w:jc w:val="left"/>
              <w:rPr>
                <w:rFonts w:ascii="宋体" w:hAnsi="宋体" w:cs="宋体" w:eastAsia="宋体"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9.11%</w:t>
            </w:r>
            <w:r>
              <w:rPr>
                <w:rFonts w:ascii="宋体" w:hAnsi="宋体" w:cs="宋体" w:eastAsia="宋体" w:hint="default"/>
                <w:sz w:val="18"/>
                <w:szCs w:val="18"/>
              </w:rPr>
              <w:t>，主要原因系报告期内公司位于长沙的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数据中心在建工程转固导 致房屋建筑物及专用设备增加所致。</w:t>
            </w:r>
          </w:p>
        </w:tc>
      </w:tr>
      <w:tr>
        <w:trPr>
          <w:trHeight w:val="391"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302" w:type="dxa"/>
            <w:vMerge/>
            <w:tcBorders>
              <w:left w:val="single" w:sz="9" w:space="0" w:color="D2D2D2"/>
              <w:right w:val="single" w:sz="4" w:space="0" w:color="000000"/>
            </w:tcBorders>
          </w:tcPr>
          <w:p>
            <w:pPr/>
          </w:p>
        </w:tc>
      </w:tr>
      <w:tr>
        <w:trPr>
          <w:trHeight w:val="161"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2" w:type="dxa"/>
            <w:vMerge/>
            <w:tcBorders>
              <w:left w:val="single" w:sz="9" w:space="0" w:color="D2D2D2"/>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3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2"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53"/>
              <w:jc w:val="left"/>
              <w:rPr>
                <w:rFonts w:ascii="宋体" w:hAnsi="宋体" w:cs="宋体" w:eastAsia="宋体"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121.52%</w:t>
            </w:r>
            <w:r>
              <w:rPr>
                <w:rFonts w:ascii="宋体" w:hAnsi="宋体" w:cs="宋体" w:eastAsia="宋体" w:hint="default"/>
                <w:sz w:val="18"/>
                <w:szCs w:val="18"/>
              </w:rPr>
              <w:t>，主要系报告期内公司东莞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数据中心和长沙数据中心及软件研 发中心在建工程增加所致。</w:t>
            </w:r>
          </w:p>
        </w:tc>
      </w:tr>
      <w:tr>
        <w:trPr>
          <w:trHeight w:val="392"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302" w:type="dxa"/>
            <w:vMerge/>
            <w:tcBorders>
              <w:left w:val="single" w:sz="9" w:space="0" w:color="D2D2D2"/>
              <w:right w:val="single" w:sz="4" w:space="0" w:color="000000"/>
            </w:tcBorders>
          </w:tcPr>
          <w:p>
            <w:pPr/>
          </w:p>
        </w:tc>
      </w:tr>
      <w:tr>
        <w:trPr>
          <w:trHeight w:val="161"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2" w:type="dxa"/>
            <w:vMerge/>
            <w:tcBorders>
              <w:left w:val="single" w:sz="9" w:space="0" w:color="D2D2D2"/>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22.61%</w:t>
            </w:r>
            <w:r>
              <w:rPr>
                <w:rFonts w:ascii="宋体" w:hAnsi="宋体" w:cs="宋体" w:eastAsia="宋体" w:hint="default"/>
                <w:sz w:val="18"/>
                <w:szCs w:val="18"/>
              </w:rPr>
              <w:t>，主要原因系报告期内，受宏观经济等市场因素影响，公司部分</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LED</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项目回款周期加长，部分长期应收款转入应收账款所致。</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139.72%</w:t>
            </w:r>
            <w:r>
              <w:rPr>
                <w:rFonts w:ascii="宋体" w:hAnsi="宋体" w:cs="宋体" w:eastAsia="宋体" w:hint="default"/>
                <w:sz w:val="18"/>
                <w:szCs w:val="18"/>
              </w:rPr>
              <w:t>，主要原因系报告期内公司会计政策变更，将银行承兑汇票重分类 至应收款项融资所致。</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较报告期初减少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9.15%</w:t>
            </w:r>
            <w:r>
              <w:rPr>
                <w:rFonts w:ascii="宋体" w:hAnsi="宋体" w:cs="宋体" w:eastAsia="宋体" w:hint="default"/>
                <w:sz w:val="18"/>
                <w:szCs w:val="18"/>
              </w:rPr>
              <w:t>，主要原因系公司结算支付供应商到期货款所致。</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较报告期初减少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48.53%</w:t>
            </w:r>
            <w:r>
              <w:rPr>
                <w:rFonts w:ascii="宋体" w:hAnsi="宋体" w:cs="宋体" w:eastAsia="宋体" w:hint="default"/>
                <w:sz w:val="18"/>
                <w:szCs w:val="18"/>
              </w:rPr>
              <w:t>，主要原因系公司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年度支付云硕科技诉讼工程款相关的利息费 用及收购少数股东股权款减少所致。</w:t>
            </w: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较报告期初减少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30.92%</w:t>
            </w:r>
            <w:r>
              <w:rPr>
                <w:rFonts w:ascii="宋体" w:hAnsi="宋体" w:cs="宋体" w:eastAsia="宋体" w:hint="default"/>
                <w:sz w:val="18"/>
                <w:szCs w:val="18"/>
              </w:rPr>
              <w:t>，主要原因系报告期内公司通过更新改造及技术升级等手段对公司传 统金融电子原材料及产品进行消化，去库存所致。</w:t>
            </w:r>
          </w:p>
        </w:tc>
      </w:tr>
    </w:tbl>
    <w:p>
      <w:pPr>
        <w:spacing w:after="0" w:line="29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7302"/>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较报告期初减少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30.49%</w:t>
            </w:r>
            <w:r>
              <w:rPr>
                <w:rFonts w:ascii="宋体" w:hAnsi="宋体" w:cs="宋体" w:eastAsia="宋体" w:hint="default"/>
                <w:sz w:val="18"/>
                <w:szCs w:val="18"/>
              </w:rPr>
              <w:t>，主要原因系报告期内公司积极优化调整债务结构，缩减短期借款融 资所致。</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3,622.95%</w:t>
            </w:r>
            <w:r>
              <w:rPr>
                <w:rFonts w:ascii="宋体" w:hAnsi="宋体" w:cs="宋体" w:eastAsia="宋体" w:hint="default"/>
                <w:spacing w:val="-2"/>
                <w:sz w:val="18"/>
                <w:szCs w:val="18"/>
              </w:rPr>
              <w:t>，主要原因系报告期内公司积极优化调整债务结构，取得的长期借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款增加所致。</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较报告期初增加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367.26%</w:t>
            </w:r>
            <w:r>
              <w:rPr>
                <w:rFonts w:ascii="宋体" w:hAnsi="宋体" w:cs="宋体" w:eastAsia="宋体" w:hint="default"/>
                <w:sz w:val="18"/>
                <w:szCs w:val="18"/>
              </w:rPr>
              <w:t>，主要原因系报告期内，公司优化调整债务结构，增加长期借款， 公司将一年内到期的长期借款及公司债券重分类所致。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513" w:right="1173"/>
        <w:jc w:val="left"/>
      </w:pPr>
      <w:r>
        <w:rPr>
          <w:rFonts w:ascii="Times New Roman" w:hAnsi="Times New Roman" w:cs="Times New Roman" w:eastAsia="Times New Roman" w:hint="default"/>
        </w:rPr>
        <w:t>1</w:t>
      </w:r>
      <w:r>
        <w:rPr/>
        <w:t>、研发和技术优势 公司积极响应国家提出加快</w:t>
      </w:r>
      <w:r>
        <w:rPr>
          <w:rFonts w:ascii="Times New Roman" w:hAnsi="Times New Roman" w:cs="Times New Roman" w:eastAsia="Times New Roman" w:hint="default"/>
        </w:rPr>
        <w:t>5G</w:t>
      </w:r>
      <w:r>
        <w:rPr/>
        <w:t>网络、数据中心等新型基础设施建设进度的号召，充分利用资本市场优势和出台的融资</w:t>
      </w:r>
    </w:p>
    <w:p>
      <w:pPr>
        <w:pStyle w:val="BodyText"/>
        <w:spacing w:line="477" w:lineRule="auto" w:before="43"/>
        <w:ind w:right="0"/>
        <w:jc w:val="left"/>
      </w:pPr>
      <w:r>
        <w:rPr>
          <w:spacing w:val="-2"/>
        </w:rPr>
        <w:t>新规，拓宽融资渠道以加快新的数据中心建设，进一步构建公司核心资源数据池，同时不断提升自主研发能力，积累人工智</w:t>
      </w:r>
      <w:r>
        <w:rPr>
          <w:spacing w:val="-65"/>
        </w:rPr>
        <w:t> </w:t>
      </w:r>
      <w:r>
        <w:rPr>
          <w:spacing w:val="-65"/>
        </w:rPr>
      </w:r>
      <w:r>
        <w:rPr>
          <w:spacing w:val="-2"/>
        </w:rPr>
        <w:t>能、大数据、云计算等前沿信息技术，进一步驱动公司产品、服务和解决方案的多样化、定制化，提升在基础设施、系统集</w:t>
      </w:r>
      <w:r>
        <w:rPr>
          <w:spacing w:val="-73"/>
        </w:rPr>
        <w:t> </w:t>
      </w:r>
      <w:r>
        <w:rPr>
          <w:spacing w:val="-73"/>
        </w:rPr>
      </w:r>
      <w:r>
        <w:rPr>
          <w:spacing w:val="-2"/>
        </w:rPr>
        <w:t>成、研发运营以及投资上的全部核心竞争力。公司是国内最早生产金融电子设备的高新技术企业之一，具有较强研发技术优</w:t>
      </w:r>
      <w:r>
        <w:rPr>
          <w:spacing w:val="-63"/>
        </w:rPr>
        <w:t> </w:t>
      </w:r>
      <w:r>
        <w:rPr>
          <w:spacing w:val="-63"/>
        </w:rPr>
      </w:r>
      <w:r>
        <w:rPr>
          <w:spacing w:val="-2"/>
        </w:rPr>
        <w:t>势。公司二十多年来积累了丰富的技术诀窍和专有技术，拥有多项能够大幅提高生产效率、降低生产成本的非专利技术，为</w:t>
      </w:r>
      <w:r>
        <w:rPr>
          <w:spacing w:val="-64"/>
        </w:rPr>
        <w:t> </w:t>
      </w:r>
      <w:r>
        <w:rPr>
          <w:spacing w:val="-64"/>
        </w:rPr>
      </w:r>
      <w:r>
        <w:rPr>
          <w:spacing w:val="-2"/>
        </w:rPr>
        <w:t>准确快速制定应用方案、快捷提供优质产品提供了保障。公司为国家级高新技术企业，拥有深圳市市级研究开发中心；是国</w:t>
      </w:r>
      <w:r>
        <w:rPr>
          <w:spacing w:val="-65"/>
        </w:rPr>
        <w:t> </w:t>
      </w:r>
      <w:r>
        <w:rPr>
          <w:spacing w:val="-65"/>
        </w:rPr>
      </w:r>
      <w:r>
        <w:rPr>
          <w:spacing w:val="-4"/>
        </w:rPr>
        <w:t>家商用密码产品研发、生产、销售定点单位，国家高技术产业化发展项目示范单位及国家金融支付信息安全产品产业化基地。</w:t>
      </w:r>
      <w:r>
        <w:rPr>
          <w:spacing w:val="-44"/>
        </w:rPr>
        <w:t> </w:t>
      </w:r>
      <w:r>
        <w:rPr>
          <w:spacing w:val="-44"/>
        </w:rPr>
      </w:r>
      <w:r>
        <w:rPr/>
        <w:t>公司与同行业其他企业相比，在技术、知识产权等方面具有一定的竞争优势。</w:t>
      </w:r>
    </w:p>
    <w:p>
      <w:pPr>
        <w:pStyle w:val="BodyText"/>
        <w:spacing w:line="451" w:lineRule="auto" w:before="54"/>
        <w:ind w:left="513" w:right="1117"/>
        <w:jc w:val="left"/>
      </w:pPr>
      <w:r>
        <w:rPr>
          <w:rFonts w:ascii="Times New Roman" w:hAnsi="Times New Roman" w:cs="Times New Roman" w:eastAsia="Times New Roman" w:hint="default"/>
        </w:rPr>
        <w:t>2</w:t>
      </w:r>
      <w:r>
        <w:rPr/>
        <w:t>、优质数据中心资源优势和区域联动优势 </w:t>
      </w:r>
      <w:r>
        <w:rPr>
          <w:spacing w:val="-1"/>
        </w:rPr>
        <w:t>公司</w:t>
      </w:r>
      <w:r>
        <w:rPr>
          <w:rFonts w:ascii="Times New Roman" w:hAnsi="Times New Roman" w:cs="Times New Roman" w:eastAsia="Times New Roman" w:hint="default"/>
          <w:spacing w:val="-1"/>
        </w:rPr>
        <w:t>IDC</w:t>
      </w:r>
      <w:r>
        <w:rPr>
          <w:spacing w:val="-1"/>
        </w:rPr>
        <w:t>数据中心均按照国际标准建设，符合</w:t>
      </w:r>
      <w:r>
        <w:rPr>
          <w:rFonts w:ascii="Times New Roman" w:hAnsi="Times New Roman" w:cs="Times New Roman" w:eastAsia="Times New Roman" w:hint="default"/>
          <w:spacing w:val="-1"/>
        </w:rPr>
        <w:t>T4</w:t>
      </w:r>
      <w:r>
        <w:rPr>
          <w:spacing w:val="-1"/>
        </w:rPr>
        <w:t>等级的数据中心标准，具备完善的应急处理系统，安全可靠，可满足不</w:t>
      </w:r>
    </w:p>
    <w:p>
      <w:pPr>
        <w:pStyle w:val="BodyText"/>
        <w:spacing w:line="472" w:lineRule="auto" w:before="43"/>
        <w:ind w:right="0"/>
        <w:jc w:val="left"/>
      </w:pPr>
      <w:r>
        <w:rPr>
          <w:spacing w:val="-2"/>
        </w:rPr>
        <w:t>同类型客户对数据中心灵活性、增强安全性及合规性的不同要求。同时，公司专注于一线城市数据中心市场，投建的五大数</w:t>
      </w:r>
      <w:r>
        <w:rPr>
          <w:spacing w:val="-64"/>
        </w:rPr>
        <w:t> </w:t>
      </w:r>
      <w:r>
        <w:rPr>
          <w:spacing w:val="-64"/>
        </w:rPr>
      </w:r>
      <w:r>
        <w:rPr>
          <w:spacing w:val="-2"/>
        </w:rPr>
        <w:t>据中心分别处于粤港澳大湾区和中部环长株潭城市群区域，区位优势和规模优势明显。未来随着粤港澳大湾区建设的提速和</w:t>
      </w:r>
      <w:r>
        <w:rPr>
          <w:spacing w:val="-64"/>
        </w:rPr>
        <w:t> </w:t>
      </w:r>
      <w:r>
        <w:rPr>
          <w:spacing w:val="-64"/>
        </w:rPr>
      </w:r>
      <w:r>
        <w:rPr>
          <w:spacing w:val="-4"/>
        </w:rPr>
        <w:t>中部地区大数据产业的发展，公司数据中心价值将进一步凸显，在流量持续增长和优化提升城市信息基础中优势将逐步显现。</w:t>
      </w:r>
      <w:r>
        <w:rPr>
          <w:spacing w:val="-44"/>
        </w:rPr>
        <w:t> </w:t>
      </w:r>
      <w:r>
        <w:rPr>
          <w:spacing w:val="-44"/>
        </w:rPr>
      </w:r>
      <w:r>
        <w:rPr>
          <w:spacing w:val="-3"/>
        </w:rPr>
        <w:t>公司于深圳、广州、东莞和长沙按相连省份布局投建五大数据中心通过光缆互联，组成基于</w:t>
      </w:r>
      <w:r>
        <w:rPr>
          <w:rFonts w:ascii="Times New Roman" w:hAnsi="Times New Roman" w:cs="Times New Roman" w:eastAsia="Times New Roman" w:hint="default"/>
          <w:spacing w:val="-3"/>
        </w:rPr>
        <w:t>SDN</w:t>
      </w:r>
      <w:r>
        <w:rPr>
          <w:spacing w:val="-3"/>
        </w:rPr>
        <w:t>技术构建的证通</w:t>
      </w:r>
      <w:r>
        <w:rPr>
          <w:rFonts w:ascii="Times New Roman" w:hAnsi="Times New Roman" w:cs="Times New Roman" w:eastAsia="Times New Roman" w:hint="default"/>
          <w:spacing w:val="-3"/>
        </w:rPr>
        <w:t>IDC</w:t>
      </w:r>
      <w:r>
        <w:rPr>
          <w:spacing w:val="-3"/>
        </w:rPr>
        <w:t>核心网，</w:t>
      </w:r>
      <w:r>
        <w:rPr>
          <w:spacing w:val="-42"/>
        </w:rPr>
        <w:t> </w:t>
      </w:r>
      <w:r>
        <w:rPr>
          <w:spacing w:val="-42"/>
        </w:rPr>
      </w:r>
      <w:r>
        <w:rPr>
          <w:spacing w:val="-2"/>
        </w:rPr>
        <w:t>区域联动性强，实现为客户定制同城、异地灾备方案。依托公司全面的运维体系和卓越运维能力的支撑，在数据中心本地业</w:t>
      </w:r>
      <w:r>
        <w:rPr>
          <w:spacing w:val="-64"/>
        </w:rPr>
        <w:t> </w:t>
      </w:r>
      <w:r>
        <w:rPr>
          <w:spacing w:val="-64"/>
        </w:rPr>
      </w:r>
      <w:r>
        <w:rPr>
          <w:spacing w:val="-2"/>
        </w:rPr>
        <w:t>务发生故障时，可迅速切换，有效确保数据中心的稳定性与安全性。同时各数据中心构建成一个广域互联的智慧园区运营平</w:t>
      </w:r>
      <w:r>
        <w:rPr>
          <w:spacing w:val="-65"/>
        </w:rPr>
        <w:t> </w:t>
      </w:r>
      <w:r>
        <w:rPr>
          <w:spacing w:val="-65"/>
        </w:rPr>
      </w:r>
      <w:r>
        <w:rPr/>
        <w:t>台，为客户提供智慧园区</w:t>
      </w:r>
      <w:r>
        <w:rPr>
          <w:rFonts w:ascii="Times New Roman" w:hAnsi="Times New Roman" w:cs="Times New Roman" w:eastAsia="Times New Roman" w:hint="default"/>
        </w:rPr>
        <w:t>IaaS</w:t>
      </w:r>
      <w:r>
        <w:rPr/>
        <w:t>资源、</w:t>
      </w:r>
      <w:r>
        <w:rPr>
          <w:rFonts w:ascii="Times New Roman" w:hAnsi="Times New Roman" w:cs="Times New Roman" w:eastAsia="Times New Roman" w:hint="default"/>
        </w:rPr>
        <w:t>PaaS</w:t>
      </w:r>
      <w:r>
        <w:rPr/>
        <w:t>资源、</w:t>
      </w:r>
      <w:r>
        <w:rPr>
          <w:rFonts w:ascii="Times New Roman" w:hAnsi="Times New Roman" w:cs="Times New Roman" w:eastAsia="Times New Roman" w:hint="default"/>
        </w:rPr>
        <w:t>SaaS</w:t>
      </w:r>
      <w:r>
        <w:rPr/>
        <w:t>应用及智慧园区运营服务奠定优质的基础。</w:t>
      </w:r>
    </w:p>
    <w:p>
      <w:pPr>
        <w:pStyle w:val="BodyText"/>
        <w:spacing w:line="451" w:lineRule="auto" w:before="25"/>
        <w:ind w:left="513" w:right="3553"/>
        <w:jc w:val="left"/>
      </w:pPr>
      <w:r>
        <w:rPr>
          <w:rFonts w:ascii="Times New Roman" w:hAnsi="Times New Roman" w:cs="Times New Roman" w:eastAsia="Times New Roman" w:hint="default"/>
        </w:rPr>
        <w:t>3</w:t>
      </w:r>
      <w:r>
        <w:rPr/>
        <w:t>、资质优势 资质是企业进入某些重要的细分市场的准入证，是企业获取更多市场份额的基础保证。</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0" w:firstLine="360"/>
        <w:jc w:val="both"/>
      </w:pPr>
      <w:r>
        <w:rPr>
          <w:spacing w:val="-2"/>
        </w:rPr>
        <w:t>金融电子产品涉及金融信息安全，要进入某些重要的应用领域必须通过严格的安全、技术等方面的检测并取得入围许可</w:t>
      </w:r>
      <w:r>
        <w:rPr/>
        <w:t> </w:t>
      </w:r>
      <w:r>
        <w:rPr>
          <w:spacing w:val="-2"/>
        </w:rPr>
        <w:t>的资质，金融电子支付设备具有较强的替代性壁垒。相关产品在进入应用前，客户会对其产品进行严格的测试或要求取得相</w:t>
      </w:r>
      <w:r>
        <w:rPr>
          <w:spacing w:val="-63"/>
        </w:rPr>
        <w:t> </w:t>
      </w:r>
      <w:r>
        <w:rPr>
          <w:spacing w:val="-63"/>
        </w:rPr>
      </w:r>
      <w:r>
        <w:rPr>
          <w:spacing w:val="-2"/>
        </w:rPr>
        <w:t>关认证，其花费的时间较长。银行出于信息安全角度的考虑，对供应商的选择相当严格，同时由于产品涉及安全保密的特殊</w:t>
      </w:r>
      <w:r>
        <w:rPr>
          <w:spacing w:val="-66"/>
        </w:rPr>
        <w:t> </w:t>
      </w:r>
      <w:r>
        <w:rPr>
          <w:spacing w:val="-66"/>
        </w:rPr>
      </w:r>
      <w:r>
        <w:rPr>
          <w:spacing w:val="-2"/>
        </w:rPr>
        <w:t>性，这样从技术层面上客户对供应商就容易形成技术路径依赖，因此一旦成为客户的供应商后，客户出于安全保密方面的考</w:t>
      </w:r>
      <w:r>
        <w:rPr>
          <w:spacing w:val="-63"/>
        </w:rPr>
        <w:t> </w:t>
      </w:r>
      <w:r>
        <w:rPr>
          <w:spacing w:val="-63"/>
        </w:rPr>
      </w:r>
      <w:r>
        <w:rPr/>
        <w:t>虑，不会轻易更换供应商，客户具有一定粘性。</w:t>
      </w:r>
    </w:p>
    <w:p>
      <w:pPr>
        <w:pStyle w:val="BodyText"/>
        <w:spacing w:line="451" w:lineRule="auto" w:before="54"/>
        <w:ind w:right="1130" w:firstLine="360"/>
        <w:jc w:val="both"/>
      </w:pPr>
      <w:r>
        <w:rPr>
          <w:spacing w:val="-2"/>
        </w:rPr>
        <w:t>公司具备工信部颁发的互联网接入服务牌照和内容分发网络业务牌照，自主研发的云产品</w:t>
      </w:r>
      <w:r>
        <w:rPr>
          <w:rFonts w:ascii="Times New Roman" w:hAnsi="Times New Roman" w:cs="Times New Roman" w:eastAsia="Times New Roman" w:hint="default"/>
          <w:spacing w:val="-2"/>
        </w:rPr>
        <w:t>“</w:t>
      </w:r>
      <w:r>
        <w:rPr>
          <w:spacing w:val="-2"/>
        </w:rPr>
        <w:t>证通云</w:t>
      </w:r>
      <w:r>
        <w:rPr>
          <w:rFonts w:ascii="Times New Roman" w:hAnsi="Times New Roman" w:cs="Times New Roman" w:eastAsia="Times New Roman" w:hint="default"/>
          <w:spacing w:val="-2"/>
        </w:rPr>
        <w:t>”</w:t>
      </w:r>
      <w:r>
        <w:rPr>
          <w:spacing w:val="-2"/>
        </w:rPr>
        <w:t>通过工信部可信云认</w:t>
      </w:r>
      <w:r>
        <w:rPr/>
        <w:t> </w:t>
      </w:r>
      <w:r>
        <w:rPr>
          <w:spacing w:val="-2"/>
        </w:rPr>
        <w:t>证，拥有照明工程</w:t>
      </w:r>
      <w:r>
        <w:rPr>
          <w:rFonts w:ascii="Times New Roman" w:hAnsi="Times New Roman" w:cs="Times New Roman" w:eastAsia="Times New Roman" w:hint="default"/>
          <w:spacing w:val="-2"/>
        </w:rPr>
        <w:t>“</w:t>
      </w:r>
      <w:r>
        <w:rPr>
          <w:spacing w:val="-2"/>
        </w:rPr>
        <w:t>双甲</w:t>
      </w:r>
      <w:r>
        <w:rPr>
          <w:rFonts w:ascii="Times New Roman" w:hAnsi="Times New Roman" w:cs="Times New Roman" w:eastAsia="Times New Roman" w:hint="default"/>
          <w:spacing w:val="-2"/>
        </w:rPr>
        <w:t>”</w:t>
      </w:r>
      <w:r>
        <w:rPr>
          <w:spacing w:val="-2"/>
        </w:rPr>
        <w:t>资质。公司取得资质不仅对内部资源、能力和管理是一种促进、提升的过程，更是进一步提升公司</w:t>
      </w:r>
      <w:r>
        <w:rPr>
          <w:spacing w:val="-45"/>
        </w:rPr>
        <w:t> </w:t>
      </w:r>
      <w:r>
        <w:rPr>
          <w:spacing w:val="-45"/>
        </w:rPr>
      </w:r>
      <w:r>
        <w:rPr/>
        <w:t>的市场竞争力的有效途径。</w:t>
      </w:r>
    </w:p>
    <w:p>
      <w:pPr>
        <w:pStyle w:val="BodyText"/>
        <w:spacing w:line="451" w:lineRule="auto" w:before="74"/>
        <w:ind w:left="513" w:right="1129"/>
        <w:jc w:val="left"/>
      </w:pPr>
      <w:r>
        <w:rPr>
          <w:rFonts w:ascii="Times New Roman" w:hAnsi="Times New Roman" w:cs="Times New Roman" w:eastAsia="Times New Roman" w:hint="default"/>
        </w:rPr>
        <w:t>4</w:t>
      </w:r>
      <w:r>
        <w:rPr/>
        <w:t>、客户和品牌优势 </w:t>
      </w:r>
      <w:r>
        <w:rPr>
          <w:spacing w:val="-2"/>
        </w:rPr>
        <w:t>公司多年来深耕金融领域，向银行客户提供自助服务终端、支付产品、加密键盘等多个产品系统，积累了优质的客户资</w:t>
      </w:r>
    </w:p>
    <w:p>
      <w:pPr>
        <w:pStyle w:val="BodyText"/>
        <w:spacing w:line="451" w:lineRule="auto" w:before="74"/>
        <w:ind w:right="1128"/>
        <w:jc w:val="both"/>
      </w:pPr>
      <w:r>
        <w:rPr>
          <w:spacing w:val="-2"/>
        </w:rPr>
        <w:t>源，与国内六大国有银行、主要股份制银行构建了紧密的客户关系，</w:t>
      </w:r>
      <w:r>
        <w:rPr>
          <w:rFonts w:ascii="Times New Roman" w:hAnsi="Times New Roman" w:cs="Times New Roman" w:eastAsia="Times New Roman" w:hint="default"/>
          <w:spacing w:val="-2"/>
        </w:rPr>
        <w:t>“</w:t>
      </w:r>
      <w:r>
        <w:rPr>
          <w:spacing w:val="-2"/>
        </w:rPr>
        <w:t>证通</w:t>
      </w:r>
      <w:r>
        <w:rPr>
          <w:rFonts w:ascii="Times New Roman" w:hAnsi="Times New Roman" w:cs="Times New Roman" w:eastAsia="Times New Roman" w:hint="default"/>
          <w:spacing w:val="-2"/>
        </w:rPr>
        <w:t>”</w:t>
      </w:r>
      <w:r>
        <w:rPr>
          <w:spacing w:val="-2"/>
        </w:rPr>
        <w:t>品牌在金融电子领域具有较高的知名度，是公司</w:t>
      </w:r>
      <w:r>
        <w:rPr>
          <w:spacing w:val="-44"/>
        </w:rPr>
        <w:t> </w:t>
      </w:r>
      <w:r>
        <w:rPr>
          <w:spacing w:val="-44"/>
        </w:rPr>
      </w:r>
      <w:r>
        <w:rPr>
          <w:spacing w:val="-1"/>
        </w:rPr>
        <w:t>金融电子业务持续发展的关键因素，同时品牌优势为公司金融电子业务拓展其他客户，挖掘海外市场需求，以及在</w:t>
      </w:r>
      <w:r>
        <w:rPr>
          <w:rFonts w:ascii="Times New Roman" w:hAnsi="Times New Roman" w:cs="Times New Roman" w:eastAsia="Times New Roman" w:hint="default"/>
          <w:spacing w:val="-1"/>
        </w:rPr>
        <w:t>IDC</w:t>
      </w:r>
      <w:r>
        <w:rPr>
          <w:spacing w:val="-1"/>
        </w:rPr>
        <w:t>及云</w:t>
      </w:r>
      <w:r>
        <w:rPr>
          <w:spacing w:val="-66"/>
        </w:rPr>
        <w:t> </w:t>
      </w:r>
      <w:r>
        <w:rPr/>
        <w:t>计算业务与知名</w:t>
      </w:r>
      <w:r>
        <w:rPr>
          <w:color w:val="333333"/>
        </w:rPr>
        <w:t>金融、互联网、通信企业或政企客户构建深入合作</w:t>
      </w:r>
      <w:r>
        <w:rPr/>
        <w:t>提供了良好的支撑和互补作用。</w:t>
      </w:r>
    </w:p>
    <w:p>
      <w:pPr>
        <w:pStyle w:val="BodyText"/>
        <w:spacing w:line="451" w:lineRule="auto" w:before="74"/>
        <w:ind w:left="513" w:right="1129"/>
        <w:jc w:val="left"/>
      </w:pPr>
      <w:r>
        <w:rPr>
          <w:rFonts w:ascii="Times New Roman" w:hAnsi="Times New Roman" w:cs="Times New Roman" w:eastAsia="Times New Roman" w:hint="default"/>
        </w:rPr>
        <w:t>5</w:t>
      </w:r>
      <w:r>
        <w:rPr/>
        <w:t>、服务运维优势 </w:t>
      </w:r>
      <w:r>
        <w:rPr>
          <w:spacing w:val="-2"/>
        </w:rPr>
        <w:t>为了满足客户多样化的需求，不断挖掘产业链价值，拓展服务领域，公司不断加强产品服务体系建设，以为客户提供更</w:t>
      </w:r>
    </w:p>
    <w:p>
      <w:pPr>
        <w:pStyle w:val="BodyText"/>
        <w:spacing w:line="470" w:lineRule="auto" w:before="74"/>
        <w:ind w:right="1129"/>
        <w:jc w:val="left"/>
      </w:pPr>
      <w:r>
        <w:rPr>
          <w:spacing w:val="-2"/>
        </w:rPr>
        <w:t>多元的服务，提高公司综合竞争力。针对传统业务，公司依托覆盖全国（除港澳台）所有省市的客服管理中心、售后服务网</w:t>
      </w:r>
      <w:r>
        <w:rPr>
          <w:spacing w:val="-68"/>
        </w:rPr>
        <w:t> </w:t>
      </w:r>
      <w:r>
        <w:rPr>
          <w:spacing w:val="-68"/>
        </w:rPr>
      </w:r>
      <w:r>
        <w:rPr>
          <w:spacing w:val="-2"/>
        </w:rPr>
        <w:t>点，为客户提供精准、及时、专业的售后维保业务、支付终端外包服务及外包运营服务，提升了产品和服务的附加值，增强</w:t>
      </w:r>
      <w:r>
        <w:rPr>
          <w:spacing w:val="-70"/>
        </w:rPr>
        <w:t> </w:t>
      </w:r>
      <w:r>
        <w:rPr>
          <w:spacing w:val="-70"/>
        </w:rPr>
      </w:r>
      <w:r>
        <w:rPr/>
        <w:t>了与客户之间的粘性；同时，公司坚持</w:t>
      </w:r>
      <w:r>
        <w:rPr>
          <w:rFonts w:ascii="Times New Roman" w:hAnsi="Times New Roman" w:cs="Times New Roman" w:eastAsia="Times New Roman" w:hint="default"/>
        </w:rPr>
        <w:t>“IDC+</w:t>
      </w:r>
      <w:r>
        <w:rPr/>
        <w:t>生态</w:t>
      </w:r>
      <w:r>
        <w:rPr>
          <w:rFonts w:ascii="Times New Roman" w:hAnsi="Times New Roman" w:cs="Times New Roman" w:eastAsia="Times New Roman" w:hint="default"/>
        </w:rPr>
        <w:t>”</w:t>
      </w:r>
      <w:r>
        <w:rPr/>
        <w:t>，基于证通云服务产业链和云平台的系统集成能力和整合能力，专注于 </w:t>
      </w:r>
      <w:r>
        <w:rPr>
          <w:spacing w:val="-2"/>
        </w:rPr>
        <w:t>提升研发和技术服务能力，以技术为依托，可为客户提供专业运维服务、智慧城市运营服务、软件开发测试服务、数据中心</w:t>
      </w:r>
      <w:r>
        <w:rPr>
          <w:spacing w:val="-67"/>
        </w:rPr>
        <w:t> </w:t>
      </w:r>
      <w:r>
        <w:rPr>
          <w:spacing w:val="-67"/>
        </w:rPr>
      </w:r>
      <w:r>
        <w:rPr/>
        <w:t>项目咨询服务以及</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端</w:t>
      </w:r>
      <w:r>
        <w:rPr>
          <w:rFonts w:ascii="Times New Roman" w:hAnsi="Times New Roman" w:cs="Times New Roman" w:eastAsia="Times New Roman" w:hint="default"/>
        </w:rPr>
        <w:t>+</w:t>
      </w:r>
      <w:r>
        <w:rPr/>
        <w:t>行业应用</w:t>
      </w:r>
      <w:r>
        <w:rPr>
          <w:rFonts w:ascii="Times New Roman" w:hAnsi="Times New Roman" w:cs="Times New Roman" w:eastAsia="Times New Roman" w:hint="default"/>
        </w:rPr>
        <w:t>”</w:t>
      </w:r>
      <w:r>
        <w:rPr/>
        <w:t>等各类综合解决方案，进一步增厚了公司主营业务的市场竞争力。</w:t>
      </w:r>
    </w:p>
    <w:p>
      <w:pPr>
        <w:spacing w:after="0" w:line="47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1044" w:firstLine="360"/>
        <w:jc w:val="both"/>
      </w:pPr>
      <w:r>
        <w:rPr>
          <w:rFonts w:ascii="Times New Roman" w:hAnsi="Times New Roman" w:cs="Times New Roman" w:eastAsia="Times New Roman" w:hint="default"/>
          <w:spacing w:val="-2"/>
        </w:rPr>
        <w:t>2019</w:t>
      </w:r>
      <w:r>
        <w:rPr>
          <w:spacing w:val="-2"/>
        </w:rPr>
        <w:t>年，全球宏观经济持续下行，叠加贸易摩擦、经济去杠杆等因素影响，公司面临更为复杂的外部竞争环境和国内经</w:t>
      </w:r>
      <w:r>
        <w:rPr/>
        <w:t> </w:t>
      </w:r>
      <w:r>
        <w:rPr>
          <w:spacing w:val="-2"/>
        </w:rPr>
        <w:t>济新常态。公司以</w:t>
      </w:r>
      <w:r>
        <w:rPr>
          <w:rFonts w:ascii="Times New Roman" w:hAnsi="Times New Roman" w:cs="Times New Roman" w:eastAsia="Times New Roman" w:hint="default"/>
          <w:spacing w:val="-2"/>
        </w:rPr>
        <w:t>“</w:t>
      </w:r>
      <w:r>
        <w:rPr>
          <w:spacing w:val="-2"/>
        </w:rPr>
        <w:t>聚焦主业、控制风险、稳健经营、提升效益、构建能力</w:t>
      </w:r>
      <w:r>
        <w:rPr>
          <w:rFonts w:ascii="Times New Roman" w:hAnsi="Times New Roman" w:cs="Times New Roman" w:eastAsia="Times New Roman" w:hint="default"/>
          <w:spacing w:val="-2"/>
        </w:rPr>
        <w:t>”</w:t>
      </w:r>
      <w:r>
        <w:rPr>
          <w:spacing w:val="-2"/>
        </w:rPr>
        <w:t>为经营指导思想，以调结构、提性能、降成本为</w:t>
      </w:r>
      <w:r>
        <w:rPr>
          <w:spacing w:val="-49"/>
        </w:rPr>
        <w:t> </w:t>
      </w:r>
      <w:r>
        <w:rPr>
          <w:spacing w:val="-49"/>
        </w:rPr>
      </w:r>
      <w:r>
        <w:rPr>
          <w:spacing w:val="-4"/>
        </w:rPr>
        <w:t>策略，积极部署公司全年各项经营指标和管控目标，落实管理层责任，为公司全面实现年度经营目标提供了决策支持和保障。</w:t>
      </w:r>
    </w:p>
    <w:p>
      <w:pPr>
        <w:pStyle w:val="BodyText"/>
        <w:spacing w:line="458" w:lineRule="auto" w:before="74"/>
        <w:ind w:right="1132" w:firstLine="360"/>
        <w:jc w:val="both"/>
      </w:pPr>
      <w:r>
        <w:rPr>
          <w:spacing w:val="-2"/>
        </w:rPr>
        <w:t>报告期内，公司按照</w:t>
      </w:r>
      <w:r>
        <w:rPr>
          <w:rFonts w:ascii="Times New Roman" w:hAnsi="Times New Roman" w:cs="Times New Roman" w:eastAsia="Times New Roman" w:hint="default"/>
          <w:spacing w:val="-2"/>
        </w:rPr>
        <w:t>“</w:t>
      </w:r>
      <w:r>
        <w:rPr>
          <w:spacing w:val="-2"/>
        </w:rPr>
        <w:t>稳健经营</w:t>
      </w:r>
      <w:r>
        <w:rPr>
          <w:rFonts w:ascii="Times New Roman" w:hAnsi="Times New Roman" w:cs="Times New Roman" w:eastAsia="Times New Roman" w:hint="default"/>
          <w:spacing w:val="-2"/>
        </w:rPr>
        <w:t>”</w:t>
      </w:r>
      <w:r>
        <w:rPr>
          <w:spacing w:val="-2"/>
        </w:rPr>
        <w:t>深化和巩固公司业务转型升级的成果，结合国家相关政策以及行业发展趋势，推动公司</w:t>
      </w:r>
      <w:r>
        <w:rPr/>
        <w:t> </w:t>
      </w:r>
      <w:r>
        <w:rPr>
          <w:spacing w:val="-1"/>
        </w:rPr>
        <w:t>金融电子、</w:t>
      </w:r>
      <w:r>
        <w:rPr>
          <w:rFonts w:ascii="Times New Roman" w:hAnsi="Times New Roman" w:cs="Times New Roman" w:eastAsia="Times New Roman" w:hint="default"/>
          <w:spacing w:val="-1"/>
        </w:rPr>
        <w:t>IDC</w:t>
      </w:r>
      <w:r>
        <w:rPr>
          <w:spacing w:val="-1"/>
        </w:rPr>
        <w:t>及云计算、</w:t>
      </w:r>
      <w:r>
        <w:rPr>
          <w:rFonts w:ascii="Times New Roman" w:hAnsi="Times New Roman" w:cs="Times New Roman" w:eastAsia="Times New Roman" w:hint="default"/>
          <w:spacing w:val="-1"/>
        </w:rPr>
        <w:t>LED</w:t>
      </w:r>
      <w:r>
        <w:rPr>
          <w:spacing w:val="-1"/>
        </w:rPr>
        <w:t>照明三大主业持续做强做精，重点开展预算管控和费用控制、精细管理、能力提升、改善负</w:t>
      </w:r>
      <w:r>
        <w:rPr>
          <w:spacing w:val="-58"/>
        </w:rPr>
        <w:t> </w:t>
      </w:r>
      <w:r>
        <w:rPr>
          <w:spacing w:val="-58"/>
        </w:rPr>
      </w:r>
      <w:r>
        <w:rPr>
          <w:spacing w:val="-2"/>
        </w:rPr>
        <w:t>债、加速回款等方面工作，在确保整体业务规模稳定的同时，不断优化和提升公司的业务布局，为公司未来的发展奠定坚实</w:t>
      </w:r>
      <w:r>
        <w:rPr>
          <w:spacing w:val="-64"/>
        </w:rPr>
        <w:t> </w:t>
      </w:r>
      <w:r>
        <w:rPr>
          <w:spacing w:val="-64"/>
        </w:rPr>
      </w:r>
      <w:r>
        <w:rPr/>
        <w:t>的基础，实现扭亏为盈。</w:t>
      </w:r>
    </w:p>
    <w:p>
      <w:pPr>
        <w:spacing w:line="451" w:lineRule="auto" w:before="68"/>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、进一步深化推进公司业务转型升级，实现资源的高效配置</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报告期内，公司继续坚定不移推进业务结构的调整升级，夯实业务渠道，加强运营和服务的能力建设，以提升公司品牌</w:t>
      </w:r>
    </w:p>
    <w:p>
      <w:pPr>
        <w:pStyle w:val="BodyText"/>
        <w:spacing w:line="477" w:lineRule="auto" w:before="74"/>
        <w:ind w:right="0"/>
        <w:jc w:val="left"/>
      </w:pPr>
      <w:r>
        <w:rPr>
          <w:spacing w:val="-2"/>
        </w:rPr>
        <w:t>影响力。公司以市场为导向，根据各地区和各业务的不同情况有针对性的做业务调整和资源的高效配置，同时，各业务主体</w:t>
      </w:r>
      <w:r>
        <w:rPr>
          <w:spacing w:val="-66"/>
        </w:rPr>
        <w:t> </w:t>
      </w:r>
      <w:r>
        <w:rPr>
          <w:spacing w:val="-66"/>
        </w:rPr>
      </w:r>
      <w:r>
        <w:rPr>
          <w:spacing w:val="-4"/>
        </w:rPr>
        <w:t>将研发、技术等资源前移，提升市场的综合营销力和增值服务，通过差异化的定制，更好的实现项目导入和转化为优质订单，</w:t>
      </w:r>
      <w:r>
        <w:rPr>
          <w:spacing w:val="-46"/>
        </w:rPr>
        <w:t> </w:t>
      </w:r>
      <w:r>
        <w:rPr>
          <w:spacing w:val="-46"/>
        </w:rPr>
      </w:r>
      <w:r>
        <w:rPr/>
        <w:t>以保障业务的稳定发展。</w:t>
      </w:r>
    </w:p>
    <w:p>
      <w:pPr>
        <w:pStyle w:val="BodyText"/>
        <w:spacing w:line="468" w:lineRule="auto" w:before="54"/>
        <w:ind w:right="1034" w:firstLine="360"/>
        <w:jc w:val="left"/>
      </w:pPr>
      <w:r>
        <w:rPr/>
        <w:t>自助终端业务方面，公司通过建立</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方案</w:t>
      </w:r>
      <w:r>
        <w:rPr>
          <w:rFonts w:ascii="Times New Roman" w:hAnsi="Times New Roman" w:cs="Times New Roman" w:eastAsia="Times New Roman" w:hint="default"/>
        </w:rPr>
        <w:t>”</w:t>
      </w:r>
      <w:r>
        <w:rPr/>
        <w:t>的模式，进一步加强在金融</w:t>
      </w:r>
      <w:r>
        <w:rPr>
          <w:rFonts w:ascii="Times New Roman" w:hAnsi="Times New Roman" w:cs="Times New Roman" w:eastAsia="Times New Roman" w:hint="default"/>
        </w:rPr>
        <w:t>+</w:t>
      </w:r>
      <w:r>
        <w:rPr/>
        <w:t>政务、金融</w:t>
      </w:r>
      <w:r>
        <w:rPr>
          <w:rFonts w:ascii="Times New Roman" w:hAnsi="Times New Roman" w:cs="Times New Roman" w:eastAsia="Times New Roman" w:hint="default"/>
        </w:rPr>
        <w:t>+</w:t>
      </w:r>
      <w:r>
        <w:rPr/>
        <w:t>地产、金融</w:t>
      </w:r>
      <w:r>
        <w:rPr>
          <w:rFonts w:ascii="Times New Roman" w:hAnsi="Times New Roman" w:cs="Times New Roman" w:eastAsia="Times New Roman" w:hint="default"/>
        </w:rPr>
        <w:t>+</w:t>
      </w:r>
      <w:r>
        <w:rPr/>
        <w:t>行业应用等多元 化应用场景和</w:t>
      </w:r>
      <w:r>
        <w:rPr>
          <w:rFonts w:ascii="Times New Roman" w:hAnsi="Times New Roman" w:cs="Times New Roman" w:eastAsia="Times New Roman" w:hint="default"/>
        </w:rPr>
        <w:t>5G</w:t>
      </w:r>
      <w:r>
        <w:rPr/>
        <w:t>无人银行等新产品新市场的战略布局，构建多元化的产品能力，一方面通过销售订单前端管理及优化结构 </w:t>
      </w:r>
      <w:r>
        <w:rPr>
          <w:spacing w:val="-2"/>
        </w:rPr>
        <w:t>设计、降低采购成本、加强品质管控等成本管控手段，实现软硬件产品标准化，提高项目的交付能力与客户满意度，服务好</w:t>
      </w:r>
      <w:r>
        <w:rPr>
          <w:spacing w:val="-67"/>
        </w:rPr>
        <w:t> </w:t>
      </w:r>
      <w:r>
        <w:rPr>
          <w:spacing w:val="-67"/>
        </w:rPr>
      </w:r>
      <w:r>
        <w:rPr>
          <w:spacing w:val="-4"/>
        </w:rPr>
        <w:t>现有的优质客户，提升业务毛利率；另一方面，公司紧抓产业融合的市场机遇，集成公司在金融支付信息安全的技术和能力，</w:t>
      </w:r>
      <w:r>
        <w:rPr>
          <w:spacing w:val="-46"/>
        </w:rPr>
        <w:t> </w:t>
      </w:r>
      <w:r>
        <w:rPr>
          <w:spacing w:val="-46"/>
        </w:rPr>
      </w:r>
      <w:r>
        <w:rPr/>
        <w:t>在自助产品的基础上强化科技元素，推动公司自助终端产品和服务的智慧化演变，重点拓展地产、政务、交通行业的客户。 </w:t>
      </w:r>
      <w:r>
        <w:rPr>
          <w:spacing w:val="-2"/>
        </w:rPr>
        <w:t>安全支付业务方面，公司在夯实原有业务的基础上，积极拓展新业务和新产品。报告期内，公司依托在金融电子支付领域的</w:t>
      </w:r>
      <w:r>
        <w:rPr>
          <w:spacing w:val="-64"/>
        </w:rPr>
        <w:t> </w:t>
      </w:r>
      <w:r>
        <w:rPr>
          <w:spacing w:val="-64"/>
        </w:rPr>
      </w:r>
      <w:r>
        <w:rPr/>
        <w:t>行业资质和</w:t>
      </w:r>
      <w:r>
        <w:rPr>
          <w:rFonts w:ascii="Times New Roman" w:hAnsi="Times New Roman" w:cs="Times New Roman" w:eastAsia="Times New Roman" w:hint="default"/>
        </w:rPr>
        <w:t>20</w:t>
      </w:r>
      <w:r>
        <w:rPr/>
        <w:t>余年业务发展过程中沉淀的客户资源，发挥</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网</w:t>
      </w:r>
      <w:r>
        <w:rPr>
          <w:rFonts w:ascii="Times New Roman" w:hAnsi="Times New Roman" w:cs="Times New Roman" w:eastAsia="Times New Roman" w:hint="default"/>
        </w:rPr>
        <w:t>+</w:t>
      </w:r>
      <w:r>
        <w:rPr/>
        <w:t>端</w:t>
      </w:r>
      <w:r>
        <w:rPr>
          <w:rFonts w:ascii="Times New Roman" w:hAnsi="Times New Roman" w:cs="Times New Roman" w:eastAsia="Times New Roman" w:hint="default"/>
        </w:rPr>
        <w:t>+</w:t>
      </w:r>
      <w:r>
        <w:rPr/>
        <w:t>行业应用及服务</w:t>
      </w:r>
      <w:r>
        <w:rPr>
          <w:rFonts w:ascii="Times New Roman" w:hAnsi="Times New Roman" w:cs="Times New Roman" w:eastAsia="Times New Roman" w:hint="default"/>
        </w:rPr>
        <w:t>”</w:t>
      </w:r>
      <w:r>
        <w:rPr/>
        <w:t>的综合解决方案能力，于移动支付、 </w:t>
      </w:r>
      <w:r>
        <w:rPr>
          <w:spacing w:val="-2"/>
        </w:rPr>
        <w:t>人脸识别、税控应用等领域进行研发和布局，通过丰富产品品类及完善相应的软件支撑平台，不断加快推进新型收银及支付</w:t>
      </w:r>
      <w:r>
        <w:rPr>
          <w:spacing w:val="-63"/>
        </w:rPr>
        <w:t> </w:t>
      </w:r>
      <w:r>
        <w:rPr>
          <w:spacing w:val="-63"/>
        </w:rPr>
      </w:r>
      <w:r>
        <w:rPr/>
        <w:t>产品的海内外认证，为相关订单的落地打下基础，确保整体业务规模稳定。</w:t>
      </w:r>
    </w:p>
    <w:p>
      <w:pPr>
        <w:pStyle w:val="BodyText"/>
        <w:spacing w:line="451" w:lineRule="auto" w:before="61"/>
        <w:ind w:right="1040" w:firstLine="360"/>
        <w:jc w:val="both"/>
      </w:pPr>
      <w:r>
        <w:rPr>
          <w:rFonts w:ascii="Times New Roman" w:hAnsi="Times New Roman" w:cs="Times New Roman" w:eastAsia="Times New Roman" w:hint="default"/>
        </w:rPr>
        <w:t>IDC</w:t>
      </w:r>
      <w:r>
        <w:rPr/>
        <w:t>及云计算业务领域，作为公司战略转型升级的重点布局的业务板块，报告期内，面对良好的市场发展态势和机遇， </w:t>
      </w:r>
      <w:r>
        <w:rPr>
          <w:spacing w:val="-1"/>
        </w:rPr>
        <w:t>公司坚持以数据为核心驱动，以证通云平台为业务依托，垂直布局云服务产业链</w:t>
      </w:r>
      <w:r>
        <w:rPr>
          <w:rFonts w:ascii="Times New Roman" w:hAnsi="Times New Roman" w:cs="Times New Roman" w:eastAsia="Times New Roman" w:hint="default"/>
          <w:spacing w:val="-1"/>
        </w:rPr>
        <w:t>“IDC+</w:t>
      </w:r>
      <w:r>
        <w:rPr>
          <w:spacing w:val="-1"/>
        </w:rPr>
        <w:t>生态</w:t>
      </w:r>
      <w:r>
        <w:rPr>
          <w:rFonts w:ascii="Times New Roman" w:hAnsi="Times New Roman" w:cs="Times New Roman" w:eastAsia="Times New Roman" w:hint="default"/>
          <w:spacing w:val="-1"/>
        </w:rPr>
        <w:t>”</w:t>
      </w:r>
      <w:r>
        <w:rPr>
          <w:spacing w:val="-1"/>
        </w:rPr>
        <w:t>战略，深度布局粤港澳大湾区，</w:t>
      </w:r>
      <w:r>
        <w:rPr>
          <w:spacing w:val="-58"/>
        </w:rPr>
        <w:t> </w:t>
      </w:r>
      <w:r>
        <w:rPr>
          <w:spacing w:val="-58"/>
        </w:rPr>
      </w:r>
      <w:r>
        <w:rPr>
          <w:spacing w:val="-3"/>
        </w:rPr>
        <w:t>增强公司在</w:t>
      </w:r>
      <w:r>
        <w:rPr>
          <w:rFonts w:ascii="Times New Roman" w:hAnsi="Times New Roman" w:cs="Times New Roman" w:eastAsia="Times New Roman" w:hint="default"/>
          <w:spacing w:val="-3"/>
        </w:rPr>
        <w:t>IDC</w:t>
      </w:r>
      <w:r>
        <w:rPr>
          <w:spacing w:val="-3"/>
        </w:rPr>
        <w:t>业务的成本控制能力、建设交付能力、运维管控能力等综合指标，为客户提供安全、稳定、专业的运维服务，</w:t>
      </w:r>
      <w:r>
        <w:rPr>
          <w:spacing w:val="-43"/>
        </w:rPr>
        <w:t> </w:t>
      </w:r>
      <w:r>
        <w:rPr>
          <w:spacing w:val="-43"/>
        </w:rPr>
      </w:r>
      <w:r>
        <w:rPr/>
        <w:t>加快推进建设中的</w:t>
      </w:r>
      <w:r>
        <w:rPr>
          <w:rFonts w:ascii="Times New Roman" w:hAnsi="Times New Roman" w:cs="Times New Roman" w:eastAsia="Times New Roman" w:hint="default"/>
        </w:rPr>
        <w:t>IDC</w:t>
      </w:r>
      <w:r>
        <w:rPr/>
        <w:t>全面投产、发展云计算，在智慧城市、智慧园区业务领域进一步拓展新空间，确保业务规模的稳步增</w:t>
      </w:r>
    </w:p>
    <w:p>
      <w:pPr>
        <w:spacing w:after="0" w:line="451"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1033" w:hanging="361"/>
        <w:jc w:val="left"/>
      </w:pPr>
      <w:r>
        <w:rPr/>
        <w:t>长，有效提升公司的经营效益。 报告期内，公司按照规划全力保障及推进长沙云谷数据中心、深圳光明云谷数据中心和东莞旗峰数据中心的项目建设，</w:t>
      </w:r>
    </w:p>
    <w:p>
      <w:pPr>
        <w:pStyle w:val="BodyText"/>
        <w:spacing w:line="463" w:lineRule="auto" w:before="54"/>
        <w:ind w:right="1129"/>
        <w:jc w:val="both"/>
      </w:pPr>
      <w:r>
        <w:rPr>
          <w:spacing w:val="-1"/>
        </w:rPr>
        <w:t>公司在巩固现有业务规模的基础上，充分发挥区域优势及出色的运维管理能力，稳步拓展</w:t>
      </w:r>
      <w:r>
        <w:rPr>
          <w:rFonts w:ascii="Times New Roman" w:hAnsi="Times New Roman" w:cs="Times New Roman" w:eastAsia="Times New Roman" w:hint="default"/>
          <w:spacing w:val="-1"/>
        </w:rPr>
        <w:t>IDC</w:t>
      </w:r>
      <w:r>
        <w:rPr>
          <w:spacing w:val="-1"/>
        </w:rPr>
        <w:t>业务市场规模，着力推进现有</w:t>
      </w:r>
      <w:r>
        <w:rPr>
          <w:spacing w:val="-66"/>
        </w:rPr>
        <w:t> </w:t>
      </w:r>
      <w:r>
        <w:rPr>
          <w:spacing w:val="-66"/>
        </w:rPr>
      </w:r>
      <w:r>
        <w:rPr>
          <w:spacing w:val="-2"/>
        </w:rPr>
        <w:t>投产的分布式数据中心的机架租赁上架率和增值服务的销售，加速释放现有投产的分布式数据中心的订单效益，促进公司业</w:t>
      </w:r>
      <w:r>
        <w:rPr>
          <w:spacing w:val="-64"/>
        </w:rPr>
        <w:t> </w:t>
      </w:r>
      <w:r>
        <w:rPr>
          <w:spacing w:val="-64"/>
        </w:rPr>
      </w:r>
      <w:r>
        <w:rPr/>
        <w:t>绩的增长。</w:t>
      </w:r>
    </w:p>
    <w:p>
      <w:pPr>
        <w:pStyle w:val="BodyText"/>
        <w:spacing w:line="468" w:lineRule="auto" w:before="65"/>
        <w:ind w:right="1130" w:firstLine="360"/>
        <w:jc w:val="both"/>
      </w:pPr>
      <w:r>
        <w:rPr>
          <w:spacing w:val="-1"/>
        </w:rPr>
        <w:t>云服务能力建设方面，公司垂直布局云服务产业链，提供云主机、云存储、云安全、云灾备等基础设施服务。公司</w:t>
      </w:r>
      <w:r>
        <w:rPr>
          <w:rFonts w:ascii="Times New Roman" w:hAnsi="Times New Roman" w:cs="Times New Roman" w:eastAsia="Times New Roman" w:hint="default"/>
          <w:spacing w:val="-1"/>
        </w:rPr>
        <w:t>IDC</w:t>
      </w:r>
      <w:r>
        <w:rPr>
          <w:rFonts w:ascii="Times New Roman" w:hAnsi="Times New Roman" w:cs="Times New Roman" w:eastAsia="Times New Roman" w:hint="default"/>
          <w:w w:val="99"/>
        </w:rPr>
        <w:t> </w:t>
      </w:r>
      <w:r>
        <w:rPr>
          <w:spacing w:val="-2"/>
        </w:rPr>
        <w:t>及云计算领域研究团队通过积极加强自主研发，积累了云计算和大数据智能等领域的关键技术，可以满足行业和客户对混合</w:t>
      </w:r>
      <w:r>
        <w:rPr>
          <w:spacing w:val="-64"/>
        </w:rPr>
        <w:t> </w:t>
      </w:r>
      <w:r>
        <w:rPr>
          <w:spacing w:val="-64"/>
        </w:rPr>
      </w:r>
      <w:r>
        <w:rPr>
          <w:spacing w:val="-2"/>
        </w:rPr>
        <w:t>云、多云的定制化需求，提供本地优化和定制化云服务解决方案。报告期内，公司不断拓展云服务业务，充分挖掘和发挥公</w:t>
      </w:r>
      <w:r>
        <w:rPr>
          <w:spacing w:val="-67"/>
        </w:rPr>
        <w:t> </w:t>
      </w:r>
      <w:r>
        <w:rPr>
          <w:spacing w:val="-67"/>
        </w:rPr>
      </w:r>
      <w:r>
        <w:rPr/>
        <w:t>司</w:t>
      </w:r>
      <w:r>
        <w:rPr>
          <w:rFonts w:ascii="Times New Roman" w:hAnsi="Times New Roman" w:cs="Times New Roman" w:eastAsia="Times New Roman" w:hint="default"/>
        </w:rPr>
        <w:t>IDC</w:t>
      </w:r>
      <w:r>
        <w:rPr/>
        <w:t>及云计算业务的市场潜力和市场竞争力，为公司长远稳定发展提供有力支撑。</w:t>
      </w:r>
    </w:p>
    <w:p>
      <w:pPr>
        <w:pStyle w:val="BodyText"/>
        <w:spacing w:line="451" w:lineRule="auto" w:before="29"/>
        <w:ind w:right="1178" w:firstLine="360"/>
        <w:jc w:val="both"/>
      </w:pPr>
      <w:r>
        <w:rPr/>
        <w:t>公司以证通云平台为业务基础和依托，凭借转型过程中在</w:t>
      </w:r>
      <w:r>
        <w:rPr>
          <w:rFonts w:ascii="Times New Roman" w:hAnsi="Times New Roman" w:cs="Times New Roman" w:eastAsia="Times New Roman" w:hint="default"/>
        </w:rPr>
        <w:t>IDC </w:t>
      </w:r>
      <w:r>
        <w:rPr/>
        <w:t>及云计算领域多年积累的市场、技术及客户优势，扩大 </w:t>
      </w:r>
      <w:r>
        <w:rPr>
          <w:rFonts w:ascii="Times New Roman" w:hAnsi="Times New Roman" w:cs="Times New Roman" w:eastAsia="Times New Roman" w:hint="default"/>
        </w:rPr>
        <w:t>IDC+</w:t>
      </w:r>
      <w:r>
        <w:rPr/>
        <w:t>业务在中部地区、粤港澳大湾区及周边城市的辐射，以广东、湖南为重点业务开展地区，深度挖掘现有客户和潜在客 户的业务诉求，结合公司的市场、资源整合、项目交付及售后服务能力与客户进行</w:t>
      </w:r>
      <w:r>
        <w:rPr>
          <w:rFonts w:ascii="Times New Roman" w:hAnsi="Times New Roman" w:cs="Times New Roman" w:eastAsia="Times New Roman" w:hint="default"/>
        </w:rPr>
        <w:t>“IDC+”</w:t>
      </w:r>
      <w:r>
        <w:rPr/>
        <w:t>业务的耦合，积极参与到中部及 沿海地区的产业园区、高新园区、高科技园区等的建设和运营。</w:t>
      </w:r>
    </w:p>
    <w:p>
      <w:pPr>
        <w:pStyle w:val="BodyText"/>
        <w:spacing w:line="451" w:lineRule="auto" w:before="74"/>
        <w:ind w:right="1040" w:firstLine="360"/>
        <w:jc w:val="both"/>
      </w:pPr>
      <w:r>
        <w:rPr>
          <w:rFonts w:ascii="Times New Roman" w:hAnsi="Times New Roman" w:cs="Times New Roman" w:eastAsia="Times New Roman" w:hint="default"/>
          <w:spacing w:val="-2"/>
        </w:rPr>
        <w:t>LED</w:t>
      </w:r>
      <w:r>
        <w:rPr>
          <w:spacing w:val="-2"/>
        </w:rPr>
        <w:t>照明业务领域，报告期内公司对事业部管理架构及人员进行优化调整，完善了业务的回款管理机制，通过项目经理</w:t>
      </w:r>
      <w:r>
        <w:rPr/>
        <w:t> 负责制等模式进一步加强业务的筛选及风险把控，保障了重点项目的顺利实施，并逐步与</w:t>
      </w:r>
      <w:r>
        <w:rPr>
          <w:rFonts w:ascii="Times New Roman" w:hAnsi="Times New Roman" w:cs="Times New Roman" w:eastAsia="Times New Roman" w:hint="default"/>
        </w:rPr>
        <w:t>IDC</w:t>
      </w:r>
      <w:r>
        <w:rPr/>
        <w:t>及云计算业务在智慧城市和智 </w:t>
      </w:r>
      <w:r>
        <w:rPr>
          <w:spacing w:val="-3"/>
        </w:rPr>
        <w:t>慧园区的业务拓展过程中形成协同发展。报告期内，公司</w:t>
      </w:r>
      <w:r>
        <w:rPr>
          <w:rFonts w:ascii="Times New Roman" w:hAnsi="Times New Roman" w:cs="Times New Roman" w:eastAsia="Times New Roman" w:hint="default"/>
          <w:spacing w:val="-3"/>
        </w:rPr>
        <w:t>LED</w:t>
      </w:r>
      <w:r>
        <w:rPr>
          <w:spacing w:val="-3"/>
        </w:rPr>
        <w:t>照明业务规模稳定保持在合理区间，有效支撑了业务优化升级。</w:t>
      </w:r>
    </w:p>
    <w:p>
      <w:pPr>
        <w:spacing w:line="451" w:lineRule="auto" w:before="43"/>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、围绕主营业务加大技术和产品研发投入，构筑业务护城河</w:t>
      </w:r>
      <w:r>
        <w:rPr>
          <w:rFonts w:ascii="宋体" w:hAnsi="宋体" w:cs="宋体" w:eastAsia="宋体" w:hint="default"/>
          <w:b/>
          <w:bCs/>
          <w:w w:val="99"/>
          <w:sz w:val="18"/>
          <w:szCs w:val="18"/>
        </w:rPr>
        <w:t> </w:t>
      </w:r>
      <w:r>
        <w:rPr>
          <w:rFonts w:ascii="宋体" w:hAnsi="宋体" w:cs="宋体" w:eastAsia="宋体" w:hint="default"/>
          <w:sz w:val="18"/>
          <w:szCs w:val="18"/>
        </w:rPr>
        <w:t>公司密切关注最新技术应用及市场、技术发展趋势，不断加强对技术人才的专业提升、创新研发机制、规范研发管理，</w:t>
      </w:r>
    </w:p>
    <w:p>
      <w:pPr>
        <w:pStyle w:val="BodyText"/>
        <w:spacing w:line="456" w:lineRule="auto" w:before="74"/>
        <w:ind w:right="0"/>
        <w:jc w:val="left"/>
      </w:pPr>
      <w:r>
        <w:rPr/>
        <w:t>以缩短新产品开发周期，提升公司的运营能力和交付能力，夯实在</w:t>
      </w:r>
      <w:r>
        <w:rPr>
          <w:rFonts w:ascii="Times New Roman" w:hAnsi="Times New Roman" w:cs="Times New Roman" w:eastAsia="Times New Roman" w:hint="default"/>
        </w:rPr>
        <w:t>IDC</w:t>
      </w:r>
      <w:r>
        <w:rPr/>
        <w:t>及云计算、智能业态、安全支付等领域的发展基础。 </w:t>
      </w:r>
      <w:r>
        <w:rPr>
          <w:spacing w:val="-2"/>
        </w:rPr>
        <w:t>公司致力于突破核心技术，形成完整的、安全的技术体系，构筑起公司业务长续发展的护城河。</w:t>
      </w:r>
      <w:r>
        <w:rPr>
          <w:rFonts w:ascii="Times New Roman" w:hAnsi="Times New Roman" w:cs="Times New Roman" w:eastAsia="Times New Roman" w:hint="default"/>
          <w:spacing w:val="-2"/>
        </w:rPr>
        <w:t>2019</w:t>
      </w:r>
      <w:r>
        <w:rPr>
          <w:spacing w:val="-2"/>
        </w:rPr>
        <w:t>年，公司在自助业务领</w:t>
      </w:r>
      <w:r>
        <w:rPr>
          <w:spacing w:val="-64"/>
        </w:rPr>
        <w:t> </w:t>
      </w:r>
      <w:r>
        <w:rPr>
          <w:spacing w:val="-64"/>
        </w:rPr>
      </w:r>
      <w:r>
        <w:rPr/>
        <w:t>域依托现有技术和平台资源，积极布局基于</w:t>
      </w:r>
      <w:r>
        <w:rPr>
          <w:rFonts w:ascii="Times New Roman" w:hAnsi="Times New Roman" w:cs="Times New Roman" w:eastAsia="Times New Roman" w:hint="default"/>
        </w:rPr>
        <w:t>5G</w:t>
      </w:r>
      <w:r>
        <w:rPr/>
        <w:t>通讯、人脸识别、语音识别、云计算、自主可控等技术的新产品开发工作， </w:t>
      </w:r>
      <w:r>
        <w:rPr>
          <w:spacing w:val="-3"/>
        </w:rPr>
        <w:t>深入挖掘软件和服务的价值；安全支付领域，公司研发及升级了智能</w:t>
      </w:r>
      <w:r>
        <w:rPr>
          <w:rFonts w:ascii="Times New Roman" w:hAnsi="Times New Roman" w:cs="Times New Roman" w:eastAsia="Times New Roman" w:hint="default"/>
          <w:spacing w:val="-3"/>
        </w:rPr>
        <w:t>POS</w:t>
      </w:r>
      <w:r>
        <w:rPr>
          <w:spacing w:val="-3"/>
        </w:rPr>
        <w:t>终端、云喇叭物联网平台及设备、加油机加密键盘、</w:t>
      </w:r>
      <w:r>
        <w:rPr>
          <w:spacing w:val="-67"/>
        </w:rPr>
        <w:t> </w:t>
      </w:r>
      <w:r>
        <w:rPr>
          <w:spacing w:val="-67"/>
        </w:rPr>
      </w:r>
      <w:r>
        <w:rPr/>
        <w:t>人脸支付设备、税控设备等相关终端设备及相应的支撑软件平台；</w:t>
      </w:r>
      <w:r>
        <w:rPr>
          <w:rFonts w:ascii="Times New Roman" w:hAnsi="Times New Roman" w:cs="Times New Roman" w:eastAsia="Times New Roman" w:hint="default"/>
        </w:rPr>
        <w:t>IDC</w:t>
      </w:r>
      <w:r>
        <w:rPr/>
        <w:t>及云计算领域，公司着力加强</w:t>
      </w:r>
      <w:r>
        <w:rPr>
          <w:rFonts w:ascii="Times New Roman" w:hAnsi="Times New Roman" w:cs="Times New Roman" w:eastAsia="Times New Roman" w:hint="default"/>
        </w:rPr>
        <w:t>IDC</w:t>
      </w:r>
      <w:r>
        <w:rPr/>
        <w:t>及云计算、智慧园 </w:t>
      </w:r>
      <w:r>
        <w:rPr>
          <w:spacing w:val="-2"/>
        </w:rPr>
        <w:t>区应用等方面的全栈自主研发能力，着重积累海量数据分布式存储、数据中心节能、云计算运维管理平台、云计算虚拟化等</w:t>
      </w:r>
      <w:r>
        <w:rPr>
          <w:spacing w:val="-64"/>
        </w:rPr>
        <w:t> </w:t>
      </w:r>
      <w:r>
        <w:rPr>
          <w:spacing w:val="-64"/>
        </w:rPr>
      </w:r>
      <w:r>
        <w:rPr/>
        <w:t>领域的关键技术，在技术创新和产品创新上持续提升公司综合竞争力。</w:t>
      </w:r>
    </w:p>
    <w:p>
      <w:pPr>
        <w:spacing w:line="451" w:lineRule="auto" w:before="70"/>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、强化服务，持续提升品牌影响力</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报告期内，公司在集团总部的统筹下，按照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风险可控，高效集约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的原则，做好资金等资源调配工作，使得公司的资源</w:t>
      </w:r>
    </w:p>
    <w:p>
      <w:pPr>
        <w:pStyle w:val="BodyText"/>
        <w:spacing w:line="477" w:lineRule="auto" w:before="43"/>
        <w:ind w:right="1128"/>
        <w:jc w:val="both"/>
      </w:pPr>
      <w:r>
        <w:rPr>
          <w:spacing w:val="-2"/>
        </w:rPr>
        <w:t>更加高效的聚焦于主业的发展，同时公司从客户行业地位、成长性、信用特征、订单规模等多个维度进行重新梳理，专注于</w:t>
      </w:r>
      <w:r>
        <w:rPr>
          <w:spacing w:val="-67"/>
        </w:rPr>
        <w:t> </w:t>
      </w:r>
      <w:r>
        <w:rPr>
          <w:spacing w:val="-67"/>
        </w:rPr>
      </w:r>
      <w:r>
        <w:rPr>
          <w:spacing w:val="-2"/>
        </w:rPr>
        <w:t>聚焦资源服务优质客户及合作伙伴，与头部客户开展深度合作。通过增强公司与优质客户的粘性，与客户共同成长、提高市</w:t>
      </w:r>
      <w:r>
        <w:rPr>
          <w:spacing w:val="-64"/>
        </w:rPr>
        <w:t> </w:t>
      </w:r>
      <w:r>
        <w:rPr>
          <w:spacing w:val="-64"/>
        </w:rPr>
      </w:r>
      <w:r>
        <w:rPr>
          <w:spacing w:val="-2"/>
        </w:rPr>
        <w:t>场份额的同时，充分发挥公司竞争优势，以优质的服务赢得客户对公司综合实力的认可，进一步提升公司在业内的品牌影响</w:t>
      </w:r>
    </w:p>
    <w:p>
      <w:pPr>
        <w:spacing w:after="0" w:line="47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133"/>
        <w:jc w:val="left"/>
      </w:pPr>
      <w:r>
        <w:rPr/>
        <w:t>力。</w:t>
      </w:r>
    </w:p>
    <w:p>
      <w:pPr>
        <w:spacing w:line="240" w:lineRule="auto" w:before="5"/>
        <w:rPr>
          <w:rFonts w:ascii="宋体" w:hAnsi="宋体" w:cs="宋体" w:eastAsia="宋体" w:hint="default"/>
          <w:sz w:val="14"/>
          <w:szCs w:val="14"/>
        </w:rPr>
      </w:pPr>
    </w:p>
    <w:p>
      <w:pPr>
        <w:pStyle w:val="BodyText"/>
        <w:spacing w:line="456" w:lineRule="auto" w:before="44"/>
        <w:ind w:right="1100" w:firstLine="360"/>
        <w:jc w:val="both"/>
      </w:pPr>
      <w:r>
        <w:rPr>
          <w:spacing w:val="-2"/>
        </w:rPr>
        <w:t>报告期内，公司与平安通信签署服务合同，为平安通信提供定制</w:t>
      </w:r>
      <w:r>
        <w:rPr>
          <w:rFonts w:ascii="Times New Roman" w:hAnsi="Times New Roman" w:cs="Times New Roman" w:eastAsia="Times New Roman" w:hint="default"/>
          <w:spacing w:val="-2"/>
        </w:rPr>
        <w:t>IDC</w:t>
      </w:r>
      <w:r>
        <w:rPr>
          <w:spacing w:val="-2"/>
        </w:rPr>
        <w:t>场地服务，合同总金额约</w:t>
      </w:r>
      <w:r>
        <w:rPr>
          <w:rFonts w:ascii="Times New Roman" w:hAnsi="Times New Roman" w:cs="Times New Roman" w:eastAsia="Times New Roman" w:hint="default"/>
          <w:spacing w:val="-2"/>
        </w:rPr>
        <w:t>26.00</w:t>
      </w:r>
      <w:r>
        <w:rPr>
          <w:spacing w:val="-2"/>
        </w:rPr>
        <w:t>亿元，进一步提升了</w:t>
      </w:r>
      <w:r>
        <w:rPr/>
        <w:t> </w:t>
      </w:r>
      <w:r>
        <w:rPr>
          <w:spacing w:val="-2"/>
        </w:rPr>
        <w:t>公司在业内的声誉和品牌影响力；此外，公司与南方航空签署项目合同，丰富了公司的优质客户资源；云计算方面，公司成</w:t>
      </w:r>
      <w:r>
        <w:rPr>
          <w:spacing w:val="-67"/>
        </w:rPr>
        <w:t> </w:t>
      </w:r>
      <w:r>
        <w:rPr>
          <w:spacing w:val="-67"/>
        </w:rPr>
      </w:r>
      <w:r>
        <w:rPr>
          <w:spacing w:val="-1"/>
        </w:rPr>
        <w:t>功承接了智慧望城政务云、智慧光明云存储等重点项目，增厚了公司在云计算领域的综合技术实力；公司紧紧围绕</w:t>
      </w:r>
      <w:r>
        <w:rPr>
          <w:rFonts w:ascii="Times New Roman" w:hAnsi="Times New Roman" w:cs="Times New Roman" w:eastAsia="Times New Roman" w:hint="default"/>
          <w:spacing w:val="-1"/>
        </w:rPr>
        <w:t>“IDC+</w:t>
      </w:r>
      <w:r>
        <w:rPr>
          <w:spacing w:val="-1"/>
        </w:rPr>
        <w:t>生</w:t>
      </w:r>
      <w:r>
        <w:rPr>
          <w:spacing w:val="-72"/>
        </w:rPr>
        <w:t> </w:t>
      </w:r>
      <w:r>
        <w:rPr/>
        <w:t>态</w:t>
      </w:r>
      <w:r>
        <w:rPr>
          <w:rFonts w:ascii="Times New Roman" w:hAnsi="Times New Roman" w:cs="Times New Roman" w:eastAsia="Times New Roman" w:hint="default"/>
        </w:rPr>
        <w:t>”</w:t>
      </w:r>
      <w:r>
        <w:rPr/>
        <w:t>的战略，加速布局智慧园区建设运营，在望城经开区智慧园区二期、智慧光明等项目中积累和提升公司在智慧园区业务 </w:t>
      </w:r>
      <w:r>
        <w:rPr>
          <w:spacing w:val="-2"/>
        </w:rPr>
        <w:t>领域综合竞争力。自助终端业务在建行智能终端、邮政邮储</w:t>
      </w:r>
      <w:r>
        <w:rPr>
          <w:rFonts w:ascii="Times New Roman" w:hAnsi="Times New Roman" w:cs="Times New Roman" w:eastAsia="Times New Roman" w:hint="default"/>
          <w:spacing w:val="-2"/>
        </w:rPr>
        <w:t>ITM</w:t>
      </w:r>
      <w:r>
        <w:rPr>
          <w:spacing w:val="-2"/>
        </w:rPr>
        <w:t>、银医智能终端、银政项目、中小银行智能网点、行业终端</w:t>
      </w:r>
      <w:r>
        <w:rPr>
          <w:spacing w:val="-39"/>
        </w:rPr>
        <w:t> </w:t>
      </w:r>
      <w:r>
        <w:rPr>
          <w:spacing w:val="-39"/>
        </w:rPr>
      </w:r>
      <w:r>
        <w:rPr>
          <w:spacing w:val="-1"/>
        </w:rPr>
        <w:t>客户拓展等市场领域取得了较好的的突破。安全支付智能</w:t>
      </w:r>
      <w:r>
        <w:rPr>
          <w:rFonts w:ascii="Times New Roman" w:hAnsi="Times New Roman" w:cs="Times New Roman" w:eastAsia="Times New Roman" w:hint="default"/>
          <w:spacing w:val="-1"/>
        </w:rPr>
        <w:t>POS</w:t>
      </w:r>
      <w:r>
        <w:rPr>
          <w:spacing w:val="-1"/>
        </w:rPr>
        <w:t>中标邮储、农信市场，并逐步切入移动服务商领域，海外市场</w:t>
      </w:r>
      <w:r>
        <w:rPr/>
        <w:t> 方面，公司在深耕南美等海外市场的基础上，重点拓展了委内瑞拉等区域市场，同时公司</w:t>
      </w:r>
      <w:r>
        <w:rPr>
          <w:rFonts w:ascii="Times New Roman" w:hAnsi="Times New Roman" w:cs="Times New Roman" w:eastAsia="Times New Roman" w:hint="default"/>
        </w:rPr>
        <w:t>EPP</w:t>
      </w:r>
      <w:r>
        <w:rPr/>
        <w:t>加密键盘产品取得增量订单。</w:t>
      </w:r>
    </w:p>
    <w:p>
      <w:pPr>
        <w:spacing w:line="451" w:lineRule="auto" w:before="39"/>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、加强内部精细化管理，强化事业部健康发展的支撑体系，实现降本增效</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报告期内，公司持续加强管理体系建设，坚持质量和效益并举，不断提升组织运行效率，并通过业务的差异化调控，专</w:t>
      </w:r>
    </w:p>
    <w:p>
      <w:pPr>
        <w:pStyle w:val="BodyText"/>
        <w:spacing w:line="472" w:lineRule="auto" w:before="74"/>
        <w:ind w:right="0"/>
        <w:jc w:val="left"/>
      </w:pPr>
      <w:r>
        <w:rPr>
          <w:spacing w:val="-2"/>
        </w:rPr>
        <w:t>注扩展现金流较好的项目和履约能力较好的客户。一方面，公司通过进一步加强事业部特别是传统业务的精细化管理以及总</w:t>
      </w:r>
      <w:r>
        <w:rPr>
          <w:spacing w:val="-63"/>
        </w:rPr>
        <w:t> </w:t>
      </w:r>
      <w:r>
        <w:rPr>
          <w:spacing w:val="-63"/>
        </w:rPr>
      </w:r>
      <w:r>
        <w:rPr>
          <w:spacing w:val="-2"/>
        </w:rPr>
        <w:t>部事业部研发及技术支持，有效的发挥了公司二十余年深耕金融科技领域积累的贴近客户、快速反应等优势，依托公司完善</w:t>
      </w:r>
      <w:r>
        <w:rPr>
          <w:spacing w:val="-66"/>
        </w:rPr>
        <w:t> </w:t>
      </w:r>
      <w:r>
        <w:rPr>
          <w:spacing w:val="-66"/>
        </w:rPr>
      </w:r>
      <w:r>
        <w:rPr>
          <w:spacing w:val="-2"/>
        </w:rPr>
        <w:t>的第三方供应体系与严格的质量控制系统，通过产业链的垂直整合和优化，公司实现有效的降本增效，业务更加聚焦产品设</w:t>
      </w:r>
      <w:r>
        <w:rPr>
          <w:spacing w:val="-63"/>
        </w:rPr>
        <w:t> </w:t>
      </w:r>
      <w:r>
        <w:rPr>
          <w:spacing w:val="-63"/>
        </w:rPr>
      </w:r>
      <w:r>
        <w:rPr>
          <w:spacing w:val="-2"/>
        </w:rPr>
        <w:t>计、软件开发等关键工序环节和核心部件生产，进一步提升了生产效率和综合竞争实力，助力公司提升整体利润水平。另一</w:t>
      </w:r>
      <w:r>
        <w:rPr>
          <w:spacing w:val="-65"/>
        </w:rPr>
        <w:t> </w:t>
      </w:r>
      <w:r>
        <w:rPr>
          <w:spacing w:val="-65"/>
        </w:rPr>
      </w:r>
      <w:r>
        <w:rPr>
          <w:spacing w:val="-4"/>
        </w:rPr>
        <w:t>方面，公司不断完善及优化数据中心运维体系，通过建立标准化操作流程，加大核心技术研发投入，同时引入外部专业人才，</w:t>
      </w:r>
      <w:r>
        <w:rPr>
          <w:spacing w:val="-46"/>
        </w:rPr>
        <w:t> </w:t>
      </w:r>
      <w:r>
        <w:rPr>
          <w:spacing w:val="-46"/>
        </w:rPr>
      </w:r>
      <w:r>
        <w:rPr/>
        <w:t>培养多元化的</w:t>
      </w:r>
      <w:r>
        <w:rPr>
          <w:rFonts w:ascii="Times New Roman" w:hAnsi="Times New Roman" w:cs="Times New Roman" w:eastAsia="Times New Roman" w:hint="default"/>
        </w:rPr>
        <w:t>IDC</w:t>
      </w:r>
      <w:r>
        <w:rPr/>
        <w:t>及云服务团队，提升建设交付能力、运维管理能力和技术服务水平，以不断增强与客户之间的粘性，保障 </w:t>
      </w:r>
      <w:r>
        <w:rPr>
          <w:spacing w:val="-2"/>
        </w:rPr>
        <w:t>业务的持续健康发展。此外，公司统筹各个事业部和职能部门，积极提升在人才、产品、营销、管理等多个维度的能力建设</w:t>
      </w:r>
      <w:r>
        <w:rPr>
          <w:spacing w:val="-68"/>
        </w:rPr>
        <w:t> </w:t>
      </w:r>
      <w:r>
        <w:rPr>
          <w:spacing w:val="-68"/>
        </w:rPr>
      </w:r>
      <w:r>
        <w:rPr/>
        <w:t>工作，以加快盘活优质资产、回收应收账款、改善负债结构，提高业务毛利率水平、控制费用，实现整体的降本增效。</w:t>
      </w:r>
    </w:p>
    <w:p>
      <w:pPr>
        <w:pStyle w:val="BodyText"/>
        <w:spacing w:line="458" w:lineRule="auto" w:before="58"/>
        <w:ind w:right="1124" w:firstLine="360"/>
        <w:jc w:val="left"/>
      </w:pPr>
      <w:r>
        <w:rPr/>
        <w:t>报告期内，公司实现营业收入</w:t>
      </w:r>
      <w:r>
        <w:rPr>
          <w:rFonts w:ascii="Times New Roman" w:hAnsi="Times New Roman" w:cs="Times New Roman" w:eastAsia="Times New Roman" w:hint="default"/>
        </w:rPr>
        <w:t>133,961.39</w:t>
      </w:r>
      <w:r>
        <w:rPr/>
        <w:t>万元，较去年同期略有增长，主要原因系报告期内公司继续推进业务结构的调 整升级，业务转型升级成效显现，</w:t>
      </w:r>
      <w:r>
        <w:rPr>
          <w:rFonts w:ascii="Times New Roman" w:hAnsi="Times New Roman" w:cs="Times New Roman" w:eastAsia="Times New Roman" w:hint="default"/>
        </w:rPr>
        <w:t>IDC</w:t>
      </w:r>
      <w:r>
        <w:rPr>
          <w:rFonts w:ascii="Times New Roman" w:hAnsi="Times New Roman" w:cs="Times New Roman" w:eastAsia="Times New Roman" w:hint="default"/>
          <w:spacing w:val="1"/>
        </w:rPr>
        <w:t> </w:t>
      </w:r>
      <w:r>
        <w:rPr/>
        <w:t>及云计算业务保持稳定的增长，加之金融电子业务通过丰富产品类别、提升交付能 </w:t>
      </w:r>
      <w:r>
        <w:rPr>
          <w:spacing w:val="-2"/>
        </w:rPr>
        <w:t>力、积极拓展市场等方式保持了业务规模的稳定，同时公司</w:t>
      </w:r>
      <w:r>
        <w:rPr>
          <w:rFonts w:ascii="Times New Roman" w:hAnsi="Times New Roman" w:cs="Times New Roman" w:eastAsia="Times New Roman" w:hint="default"/>
          <w:spacing w:val="-2"/>
        </w:rPr>
        <w:t>LED</w:t>
      </w:r>
      <w:r>
        <w:rPr>
          <w:spacing w:val="-2"/>
        </w:rPr>
        <w:t>照明业务受降低政府负债、政策趋紧等因素影响及公司主动</w:t>
      </w:r>
      <w:r>
        <w:rPr>
          <w:spacing w:val="-53"/>
        </w:rPr>
        <w:t> </w:t>
      </w:r>
      <w:r>
        <w:rPr>
          <w:spacing w:val="-53"/>
        </w:rPr>
      </w:r>
      <w:r>
        <w:rPr/>
        <w:t>收缩业务规模的原因收入有所下降，公司整体营业收入规模同比保持在稳定的水平。公司归属于上市公司股东的净利润 </w:t>
      </w:r>
      <w:r>
        <w:rPr>
          <w:rFonts w:ascii="Times New Roman" w:hAnsi="Times New Roman" w:cs="Times New Roman" w:eastAsia="Times New Roman" w:hint="default"/>
        </w:rPr>
        <w:t>1,515.14</w:t>
      </w:r>
      <w:r>
        <w:rPr/>
        <w:t>万元，较去年同期提升</w:t>
      </w:r>
      <w:r>
        <w:rPr>
          <w:rFonts w:ascii="Times New Roman" w:hAnsi="Times New Roman" w:cs="Times New Roman" w:eastAsia="Times New Roman" w:hint="default"/>
        </w:rPr>
        <w:t>105.96%</w:t>
      </w:r>
      <w:r>
        <w:rPr/>
        <w:t>，实现扭亏为盈，主要原因系一方面公司去年同期计提相关资产减值金额较大等导 </w:t>
      </w:r>
      <w:r>
        <w:rPr>
          <w:spacing w:val="-2"/>
        </w:rPr>
        <w:t>致公司</w:t>
      </w:r>
      <w:r>
        <w:rPr>
          <w:rFonts w:ascii="Times New Roman" w:hAnsi="Times New Roman" w:cs="Times New Roman" w:eastAsia="Times New Roman" w:hint="default"/>
          <w:spacing w:val="-2"/>
        </w:rPr>
        <w:t>2018</w:t>
      </w:r>
      <w:r>
        <w:rPr>
          <w:spacing w:val="-2"/>
        </w:rPr>
        <w:t>年度亏损，另一方面，报告期内公司收入规模保持稳定，并通过业务的差异化调控，不断提升组织运行效率、业</w:t>
      </w:r>
      <w:r>
        <w:rPr>
          <w:spacing w:val="-65"/>
        </w:rPr>
        <w:t> </w:t>
      </w:r>
      <w:r>
        <w:rPr>
          <w:spacing w:val="-65"/>
        </w:rPr>
      </w:r>
      <w:r>
        <w:rPr>
          <w:spacing w:val="-2"/>
        </w:rPr>
        <w:t>务的交付能力和服务水平，有效控制各项费用支出，降低营业总成本，综合毛利率得到提高，以及报告期内公司获得政府补</w:t>
      </w:r>
      <w:r>
        <w:rPr>
          <w:spacing w:val="-64"/>
        </w:rPr>
        <w:t> </w:t>
      </w:r>
      <w:r>
        <w:rPr>
          <w:spacing w:val="-64"/>
        </w:rPr>
      </w:r>
      <w:r>
        <w:rPr/>
        <w:t>助等收益增加所致。</w:t>
      </w:r>
    </w:p>
    <w:p>
      <w:pPr>
        <w:spacing w:after="0" w:line="458"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7"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1,339,613,939.45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1,332,398,508.95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398,066,614.22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409,839,549.31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477,014,111.27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348,008,828.82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37.07%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217,061,961.80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280,431,418.00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91,731,283.42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94,618,676.21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155,739,968.74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199,500,036.61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-21.93%</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253,159,534.64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245,424,724.08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77,527,066.21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96,254,231.73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67,380,013.37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61,991,568.27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477,014,111.27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348,008,828.82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37.07%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217,061,961.80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280,431,418.00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91,731,283.42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94,618,676.21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9,514,267.02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13,410,768.68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146,225,701.72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192,258,293.16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1,304,466,120.74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97.38%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1,304,430,863.16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97.90%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0.0027%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35,147,818.71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27,967,645.79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25.6731%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560"/>
        <w:gridCol w:w="932"/>
        <w:gridCol w:w="1366"/>
        <w:gridCol w:w="1369"/>
        <w:gridCol w:w="1370"/>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398,066,614.22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279,167,244.37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11.09%</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477,014,111.27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324,303,890.67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217,061,961.80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157,545,543.03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91,731,283.42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59,491,409.32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155,739,968.74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105,360,696.99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253,159,534.64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175,020,641.57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77,527,066.21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61,591,284.39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67,380,013.37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42,555,318.41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477,014,111.27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324,303,890.67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217,061,961.80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157,545,543.03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91,731,283.42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59,491,409.32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9,514,267.02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6,506,630.56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146,225,701.72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98,854,066.43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1,304,466,120.74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908,503,887.02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35,147,818.71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17,364,897.36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11.08%</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-22.71%</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-11.67%</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03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日，公司与深圳平安通信科技有限公司分别签署了《</w:t>
      </w:r>
      <w:r>
        <w:rPr>
          <w:rFonts w:ascii="Times New Roman" w:hAnsi="Times New Roman" w:cs="Times New Roman" w:eastAsia="Times New Roman" w:hint="default"/>
        </w:rPr>
        <w:t>IDC</w:t>
      </w:r>
      <w:r>
        <w:rPr/>
        <w:t>基础业务服务合同书》（以 下简称</w:t>
      </w:r>
      <w:r>
        <w:rPr>
          <w:rFonts w:ascii="Times New Roman" w:hAnsi="Times New Roman" w:cs="Times New Roman" w:eastAsia="Times New Roman" w:hint="default"/>
        </w:rPr>
        <w:t>“</w:t>
      </w:r>
      <w:r>
        <w:rPr/>
        <w:t>合同书</w:t>
      </w:r>
      <w:r>
        <w:rPr>
          <w:rFonts w:ascii="Times New Roman" w:hAnsi="Times New Roman" w:cs="Times New Roman" w:eastAsia="Times New Roman" w:hint="default"/>
        </w:rPr>
        <w:t>”</w:t>
      </w:r>
      <w:r>
        <w:rPr/>
        <w:t>），公司将为其提供数据中心场地服务，服务内容包括</w:t>
      </w:r>
      <w:r>
        <w:rPr>
          <w:rFonts w:ascii="Times New Roman" w:hAnsi="Times New Roman" w:cs="Times New Roman" w:eastAsia="Times New Roman" w:hint="default"/>
        </w:rPr>
        <w:t>IDC</w:t>
      </w:r>
      <w:r>
        <w:rPr/>
        <w:t>数据中心场地租赁、机柜托管及相关软硬件设备 与服务等，总金额分别约为人民币</w:t>
      </w:r>
      <w:r>
        <w:rPr>
          <w:rFonts w:ascii="Times New Roman" w:hAnsi="Times New Roman" w:cs="Times New Roman" w:eastAsia="Times New Roman" w:hint="default"/>
        </w:rPr>
        <w:t>8.85</w:t>
      </w:r>
      <w:r>
        <w:rPr/>
        <w:t>亿元（含税）、人民币 </w:t>
      </w:r>
      <w:r>
        <w:rPr>
          <w:rFonts w:ascii="Times New Roman" w:hAnsi="Times New Roman" w:cs="Times New Roman" w:eastAsia="Times New Roman" w:hint="default"/>
        </w:rPr>
        <w:t>26.00 </w:t>
      </w:r>
      <w:r>
        <w:rPr/>
        <w:t>亿元（含税）。</w:t>
      </w:r>
      <w:r>
        <w:rPr>
          <w:spacing w:val="-3"/>
        </w:rPr>
        <w:t> </w:t>
      </w:r>
      <w:r>
        <w:rPr>
          <w:rFonts w:ascii="Times New Roman" w:hAnsi="Times New Roman" w:cs="Times New Roman" w:eastAsia="Times New Roman" w:hint="default"/>
        </w:rPr>
        <w:t>2018</w:t>
      </w:r>
      <w:r>
        <w:rPr/>
        <w:t>年的合同书相关的数据中心机柜 托管上架进度快于合同计划约定进度，项目效益逐步释放，报告期内确认销售收入</w:t>
      </w:r>
      <w:r>
        <w:rPr>
          <w:rFonts w:ascii="Times New Roman" w:hAnsi="Times New Roman" w:cs="Times New Roman" w:eastAsia="Times New Roman" w:hint="default"/>
        </w:rPr>
        <w:t>6,638.36</w:t>
      </w:r>
      <w:r>
        <w:rPr/>
        <w:t>万元。</w:t>
      </w:r>
      <w:r>
        <w:rPr>
          <w:rFonts w:ascii="Times New Roman" w:hAnsi="Times New Roman" w:cs="Times New Roman" w:eastAsia="Times New Roman" w:hint="default"/>
        </w:rPr>
        <w:t>2019</w:t>
      </w:r>
      <w:r>
        <w:rPr/>
        <w:t>年度，公司已按</w:t>
      </w:r>
      <w:r>
        <w:rPr>
          <w:rFonts w:ascii="Times New Roman" w:hAnsi="Times New Roman" w:cs="Times New Roman" w:eastAsia="Times New Roman" w:hint="default"/>
        </w:rPr>
        <w:t>2019 </w:t>
      </w:r>
      <w:r>
        <w:rPr/>
        <w:t>年合同书中的要求完成相关机房定制化投建，并按约定进度推进相关数据中心的交付运营工作。相关事项详见于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日披露于《证券时报》</w:t>
      </w:r>
      <w:r>
        <w:rPr>
          <w:spacing w:val="-31"/>
        </w:rPr>
        <w:t> </w:t>
      </w:r>
      <w:r>
        <w:rPr>
          <w:spacing w:val="-3"/>
        </w:rPr>
        <w:t>及巨潮资讯网上的《公司关于签订重大合同的公告》（编号：</w:t>
      </w:r>
      <w:r>
        <w:rPr>
          <w:rFonts w:ascii="Times New Roman" w:hAnsi="Times New Roman" w:cs="Times New Roman" w:eastAsia="Times New Roman" w:hint="default"/>
          <w:spacing w:val="-3"/>
        </w:rPr>
        <w:t>2018-026</w:t>
      </w:r>
      <w:r>
        <w:rPr>
          <w:spacing w:val="-3"/>
        </w:rPr>
        <w:t>号、编号：</w:t>
      </w:r>
    </w:p>
    <w:p>
      <w:pPr>
        <w:pStyle w:val="BodyText"/>
        <w:spacing w:line="240" w:lineRule="auto" w:before="43"/>
        <w:ind w:right="1133"/>
        <w:jc w:val="left"/>
      </w:pPr>
      <w:r>
        <w:rPr>
          <w:rFonts w:ascii="Times New Roman" w:hAnsi="Times New Roman" w:cs="Times New Roman" w:eastAsia="Times New Roman" w:hint="default"/>
        </w:rPr>
        <w:t>2019-057</w:t>
      </w:r>
      <w:r>
        <w:rPr/>
        <w:t>号）</w:t>
      </w:r>
    </w:p>
    <w:p>
      <w:pPr>
        <w:spacing w:line="240" w:lineRule="auto" w:before="10"/>
        <w:rPr>
          <w:rFonts w:ascii="宋体" w:hAnsi="宋体" w:cs="宋体" w:eastAsia="宋体" w:hint="default"/>
          <w:sz w:val="16"/>
          <w:szCs w:val="16"/>
        </w:rPr>
      </w:pPr>
    </w:p>
    <w:p>
      <w:pPr>
        <w:pStyle w:val="BodyText"/>
        <w:spacing w:line="451" w:lineRule="auto"/>
        <w:ind w:right="0" w:firstLine="36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22</w:t>
      </w:r>
      <w:r>
        <w:rPr>
          <w:spacing w:val="-4"/>
        </w:rPr>
        <w:t>日，公司与中国移动通信集团湖南有限公司长沙分公司签署了《</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IDC</w:t>
      </w:r>
      <w:r>
        <w:rPr>
          <w:rFonts w:ascii="Times New Roman" w:hAnsi="Times New Roman" w:cs="Times New Roman" w:eastAsia="Times New Roman" w:hint="default"/>
          <w:spacing w:val="17"/>
        </w:rPr>
        <w:t> </w:t>
      </w:r>
      <w:r>
        <w:rPr>
          <w:spacing w:val="-5"/>
        </w:rPr>
        <w:t>机房租赁服务框架合同（深</w:t>
      </w:r>
      <w:r>
        <w:rPr/>
        <w:t> 圳证通）》（以下简称</w:t>
      </w:r>
      <w:r>
        <w:rPr>
          <w:rFonts w:ascii="Times New Roman" w:hAnsi="Times New Roman" w:cs="Times New Roman" w:eastAsia="Times New Roman" w:hint="default"/>
        </w:rPr>
        <w:t>“</w:t>
      </w:r>
      <w:r>
        <w:rPr/>
        <w:t>合同</w:t>
      </w:r>
      <w:r>
        <w:rPr>
          <w:rFonts w:ascii="Times New Roman" w:hAnsi="Times New Roman" w:cs="Times New Roman" w:eastAsia="Times New Roman" w:hint="default"/>
        </w:rPr>
        <w:t>”</w:t>
      </w:r>
      <w:r>
        <w:rPr/>
        <w:t>），服务内容为</w:t>
      </w:r>
      <w:r>
        <w:rPr>
          <w:rFonts w:ascii="Times New Roman" w:hAnsi="Times New Roman" w:cs="Times New Roman" w:eastAsia="Times New Roman" w:hint="default"/>
        </w:rPr>
        <w:t>IDC</w:t>
      </w:r>
      <w:r>
        <w:rPr/>
        <w:t>机房建设、租赁及运维服务，即公司将按照长沙移动要求进行</w:t>
      </w:r>
      <w:r>
        <w:rPr>
          <w:rFonts w:ascii="Times New Roman" w:hAnsi="Times New Roman" w:cs="Times New Roman" w:eastAsia="Times New Roman" w:hint="default"/>
        </w:rPr>
        <w:t>IDC</w:t>
      </w:r>
      <w:r>
        <w:rPr/>
        <w:t>机房建 </w:t>
      </w:r>
      <w:r>
        <w:rPr>
          <w:spacing w:val="-6"/>
        </w:rPr>
        <w:t>设，建设完成后出租给长沙移动使用，并按要求进行运行维护和机房管理，合同总金额上限约为人民币</w:t>
      </w:r>
      <w:r>
        <w:rPr>
          <w:rFonts w:ascii="Times New Roman" w:hAnsi="Times New Roman" w:cs="Times New Roman" w:eastAsia="Times New Roman" w:hint="default"/>
          <w:spacing w:val="-6"/>
        </w:rPr>
        <w:t>71,117.82</w:t>
      </w:r>
      <w:r>
        <w:rPr>
          <w:spacing w:val="-6"/>
        </w:rPr>
        <w:t>万元（含税）。</w:t>
      </w:r>
      <w:r>
        <w:rPr>
          <w:spacing w:val="-75"/>
        </w:rPr>
        <w:t> </w:t>
      </w:r>
      <w:r>
        <w:rPr>
          <w:spacing w:val="-75"/>
        </w:rPr>
      </w:r>
      <w:r>
        <w:rPr/>
        <w:t>报告期内，公司按合同约定推进相关数据中心工程建设及交付运营，实现收入</w:t>
      </w:r>
      <w:r>
        <w:rPr>
          <w:rFonts w:ascii="Times New Roman" w:hAnsi="Times New Roman" w:cs="Times New Roman" w:eastAsia="Times New Roman" w:hint="default"/>
        </w:rPr>
        <w:t>205.07</w:t>
      </w:r>
      <w:r>
        <w:rPr/>
        <w:t>万元，相关事项详见于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 披露于《证券时报》 及巨潮资讯网上的《公司关于签订重大合同的公告》（编号：</w:t>
      </w:r>
      <w:r>
        <w:rPr>
          <w:rFonts w:ascii="Times New Roman" w:hAnsi="Times New Roman" w:cs="Times New Roman" w:eastAsia="Times New Roman" w:hint="default"/>
        </w:rPr>
        <w:t>2018-130</w:t>
      </w:r>
      <w:r>
        <w:rPr/>
        <w:t>号）。</w:t>
      </w:r>
    </w:p>
    <w:p>
      <w:pPr>
        <w:pStyle w:val="BodyText"/>
        <w:spacing w:line="456" w:lineRule="auto" w:before="43"/>
        <w:ind w:right="1042" w:firstLine="36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日，公司中选中国邮政集团公司的</w:t>
      </w:r>
      <w:r>
        <w:rPr>
          <w:rFonts w:ascii="Times New Roman" w:hAnsi="Times New Roman" w:cs="Times New Roman" w:eastAsia="Times New Roman" w:hint="default"/>
          <w:spacing w:val="-1"/>
        </w:rPr>
        <w:t>“</w:t>
      </w:r>
      <w:r>
        <w:rPr>
          <w:spacing w:val="-1"/>
        </w:rPr>
        <w:t>中国邮政集团公司</w:t>
      </w:r>
      <w:r>
        <w:rPr>
          <w:rFonts w:ascii="Times New Roman" w:hAnsi="Times New Roman" w:cs="Times New Roman" w:eastAsia="Times New Roman" w:hint="default"/>
          <w:spacing w:val="-1"/>
        </w:rPr>
        <w:t>2018</w:t>
      </w:r>
      <w:r>
        <w:rPr>
          <w:spacing w:val="-1"/>
        </w:rPr>
        <w:t>年智能柜员机（</w:t>
      </w:r>
      <w:r>
        <w:rPr>
          <w:rFonts w:ascii="Times New Roman" w:hAnsi="Times New Roman" w:cs="Times New Roman" w:eastAsia="Times New Roman" w:hint="default"/>
          <w:spacing w:val="-1"/>
        </w:rPr>
        <w:t>ITM</w:t>
      </w:r>
      <w:r>
        <w:rPr>
          <w:spacing w:val="-1"/>
        </w:rPr>
        <w:t>）设备集中采购项目</w:t>
      </w:r>
      <w:r>
        <w:rPr>
          <w:rFonts w:ascii="Times New Roman" w:hAnsi="Times New Roman" w:cs="Times New Roman" w:eastAsia="Times New Roman" w:hint="default"/>
          <w:spacing w:val="-1"/>
        </w:rPr>
        <w:t>”</w:t>
      </w:r>
      <w:r>
        <w:rPr>
          <w:spacing w:val="-1"/>
        </w:rPr>
        <w:t>，</w:t>
      </w:r>
      <w:r>
        <w:rPr/>
        <w:t> </w:t>
      </w:r>
      <w:r>
        <w:rPr>
          <w:spacing w:val="-4"/>
        </w:rPr>
        <w:t>中标设备大综合智能柜员机（</w:t>
      </w:r>
      <w:r>
        <w:rPr>
          <w:rFonts w:ascii="Times New Roman" w:hAnsi="Times New Roman" w:cs="Times New Roman" w:eastAsia="Times New Roman" w:hint="default"/>
          <w:spacing w:val="-4"/>
        </w:rPr>
        <w:t>ITM</w:t>
      </w:r>
      <w:r>
        <w:rPr>
          <w:spacing w:val="-4"/>
        </w:rPr>
        <w:t>）和标准智能柜员机（</w:t>
      </w:r>
      <w:r>
        <w:rPr>
          <w:rFonts w:ascii="Times New Roman" w:hAnsi="Times New Roman" w:cs="Times New Roman" w:eastAsia="Times New Roman" w:hint="default"/>
          <w:spacing w:val="-4"/>
        </w:rPr>
        <w:t>ITM</w:t>
      </w:r>
      <w:r>
        <w:rPr>
          <w:spacing w:val="-4"/>
        </w:rPr>
        <w:t>），相关事项详见于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29</w:t>
      </w:r>
      <w:r>
        <w:rPr>
          <w:spacing w:val="-4"/>
        </w:rPr>
        <w:t>日披露于巨潮资讯网上的《公</w:t>
      </w:r>
      <w:r>
        <w:rPr>
          <w:spacing w:val="-55"/>
        </w:rPr>
        <w:t> </w:t>
      </w:r>
      <w:r>
        <w:rPr>
          <w:spacing w:val="-55"/>
        </w:rPr>
      </w:r>
      <w:r>
        <w:rPr/>
        <w:t>司关于中标中国邮政集团公司</w:t>
      </w:r>
      <w:r>
        <w:rPr>
          <w:rFonts w:ascii="Times New Roman" w:hAnsi="Times New Roman" w:cs="Times New Roman" w:eastAsia="Times New Roman" w:hint="default"/>
        </w:rPr>
        <w:t>2018</w:t>
      </w:r>
      <w:r>
        <w:rPr/>
        <w:t>年智能柜员机（</w:t>
      </w:r>
      <w:r>
        <w:rPr>
          <w:rFonts w:ascii="Times New Roman" w:hAnsi="Times New Roman" w:cs="Times New Roman" w:eastAsia="Times New Roman" w:hint="default"/>
        </w:rPr>
        <w:t>ITM</w:t>
      </w:r>
      <w:r>
        <w:rPr/>
        <w:t>）设备集中采购项目的公告》（编号：</w:t>
      </w:r>
      <w:r>
        <w:rPr>
          <w:rFonts w:ascii="Times New Roman" w:hAnsi="Times New Roman" w:cs="Times New Roman" w:eastAsia="Times New Roman" w:hint="default"/>
        </w:rPr>
        <w:t>2018-132</w:t>
      </w:r>
      <w:r>
        <w:rPr/>
        <w:t>号）；</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spacing w:val="-3"/>
        </w:rPr>
        <w:t> </w:t>
      </w:r>
      <w:r>
        <w:rPr>
          <w:spacing w:val="-4"/>
        </w:rPr>
        <w:t>公司与中国邮政集团公司签署《中国邮政集团公司</w:t>
      </w:r>
      <w:r>
        <w:rPr>
          <w:rFonts w:ascii="Times New Roman" w:hAnsi="Times New Roman" w:cs="Times New Roman" w:eastAsia="Times New Roman" w:hint="default"/>
          <w:spacing w:val="-4"/>
        </w:rPr>
        <w:t>2019</w:t>
      </w:r>
      <w:r>
        <w:rPr>
          <w:spacing w:val="-4"/>
        </w:rPr>
        <w:t>年智能柜员机设备买卖协议》，首批订单总价约为人民币</w:t>
      </w:r>
      <w:r>
        <w:rPr>
          <w:spacing w:val="10"/>
        </w:rPr>
        <w:t> </w:t>
      </w:r>
      <w:r>
        <w:rPr>
          <w:rFonts w:ascii="Times New Roman" w:hAnsi="Times New Roman" w:cs="Times New Roman" w:eastAsia="Times New Roman" w:hint="default"/>
        </w:rPr>
        <w:t>6,908.91</w:t>
      </w:r>
      <w:r>
        <w:rPr>
          <w:rFonts w:ascii="Times New Roman" w:hAnsi="Times New Roman" w:cs="Times New Roman" w:eastAsia="Times New Roman" w:hint="default"/>
          <w:spacing w:val="7"/>
        </w:rPr>
        <w:t> </w:t>
      </w:r>
      <w:r>
        <w:rPr/>
        <w:t>万</w:t>
      </w:r>
      <w:r>
        <w:rPr>
          <w:spacing w:val="-81"/>
        </w:rPr>
        <w:t> </w:t>
      </w:r>
      <w:r>
        <w:rPr/>
        <w:t>元，相关事项详见于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日披露于巨潮资讯网上的《公司关于签订日常经营合同的公告》（编号：</w:t>
      </w:r>
      <w:r>
        <w:rPr>
          <w:rFonts w:ascii="Times New Roman" w:hAnsi="Times New Roman" w:cs="Times New Roman" w:eastAsia="Times New Roman" w:hint="default"/>
        </w:rPr>
        <w:t>2019-116</w:t>
      </w:r>
      <w:r>
        <w:rPr/>
        <w:t>）。报 </w:t>
      </w:r>
      <w:r>
        <w:rPr>
          <w:spacing w:val="-2"/>
        </w:rPr>
        <w:t>告期内，公司为中国邮政集团公司下属分公司及中国邮政集团公司全资子公司中国邮政储蓄银行股份有限公司部分分行提供</w:t>
      </w:r>
      <w:r>
        <w:rPr>
          <w:spacing w:val="-64"/>
        </w:rPr>
        <w:t> </w:t>
      </w:r>
      <w:r>
        <w:rPr>
          <w:spacing w:val="-64"/>
        </w:rPr>
      </w:r>
      <w:r>
        <w:rPr/>
        <w:t>智能柜员机实现收入共计</w:t>
      </w:r>
      <w:r>
        <w:rPr>
          <w:rFonts w:ascii="Times New Roman" w:hAnsi="Times New Roman" w:cs="Times New Roman" w:eastAsia="Times New Roman" w:hint="default"/>
        </w:rPr>
        <w:t>7,333.94</w:t>
      </w:r>
      <w:r>
        <w:rPr/>
        <w:t>万元。</w:t>
      </w:r>
    </w:p>
    <w:p>
      <w:pPr>
        <w:pStyle w:val="BodyText"/>
        <w:spacing w:line="451" w:lineRule="auto" w:before="39"/>
        <w:ind w:right="1128"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日，公司与威胜能源产业技术有限公司（以下简称</w:t>
      </w:r>
      <w:r>
        <w:rPr>
          <w:rFonts w:ascii="Times New Roman" w:hAnsi="Times New Roman" w:cs="Times New Roman" w:eastAsia="Times New Roman" w:hint="default"/>
        </w:rPr>
        <w:t>“</w:t>
      </w:r>
      <w:r>
        <w:rPr/>
        <w:t>威胜能源</w:t>
      </w:r>
      <w:r>
        <w:rPr>
          <w:rFonts w:ascii="Times New Roman" w:hAnsi="Times New Roman" w:cs="Times New Roman" w:eastAsia="Times New Roman" w:hint="default"/>
        </w:rPr>
        <w:t>”</w:t>
      </w:r>
      <w:r>
        <w:rPr/>
        <w:t>）就宁乡市双凫铺镇 </w:t>
      </w:r>
      <w:r>
        <w:rPr>
          <w:rFonts w:ascii="Times New Roman" w:hAnsi="Times New Roman" w:cs="Times New Roman" w:eastAsia="Times New Roman" w:hint="default"/>
        </w:rPr>
        <w:t>25MW</w:t>
      </w:r>
      <w:r>
        <w:rPr>
          <w:rFonts w:ascii="Times New Roman" w:hAnsi="Times New Roman" w:cs="Times New Roman" w:eastAsia="Times New Roman" w:hint="default"/>
          <w:spacing w:val="7"/>
        </w:rPr>
        <w:t> </w:t>
      </w:r>
      <w:r>
        <w:rPr/>
        <w:t>光伏扶贫电 站建设项目工程劳务分包事宜签署《宁乡市双凫铺镇 </w:t>
      </w:r>
      <w:r>
        <w:rPr>
          <w:rFonts w:ascii="Times New Roman" w:hAnsi="Times New Roman" w:cs="Times New Roman" w:eastAsia="Times New Roman" w:hint="default"/>
        </w:rPr>
        <w:t>25MW</w:t>
      </w:r>
      <w:r>
        <w:rPr>
          <w:rFonts w:ascii="Times New Roman" w:hAnsi="Times New Roman" w:cs="Times New Roman" w:eastAsia="Times New Roman" w:hint="default"/>
          <w:spacing w:val="-4"/>
        </w:rPr>
        <w:t> </w:t>
      </w:r>
      <w:r>
        <w:rPr/>
        <w:t>光伏扶贫电站建设项目专项分包合同》，暂估合同总价为人民 币</w:t>
      </w:r>
      <w:r>
        <w:rPr>
          <w:spacing w:val="-46"/>
        </w:rPr>
        <w:t> </w:t>
      </w:r>
      <w:r>
        <w:rPr>
          <w:rFonts w:ascii="Times New Roman" w:hAnsi="Times New Roman" w:cs="Times New Roman" w:eastAsia="Times New Roman" w:hint="default"/>
        </w:rPr>
        <w:t>10,625.00</w:t>
      </w:r>
      <w:r>
        <w:rPr>
          <w:rFonts w:ascii="Times New Roman" w:hAnsi="Times New Roman" w:cs="Times New Roman" w:eastAsia="Times New Roman" w:hint="default"/>
          <w:spacing w:val="-1"/>
        </w:rPr>
        <w:t> </w:t>
      </w:r>
      <w:r>
        <w:rPr/>
        <w:t>万元。报告期内，公司为威胜能源提供相关服务实现收入</w:t>
      </w:r>
      <w:r>
        <w:rPr>
          <w:rFonts w:ascii="Times New Roman" w:hAnsi="Times New Roman" w:cs="Times New Roman" w:eastAsia="Times New Roman" w:hint="default"/>
        </w:rPr>
        <w:t>6,633.23</w:t>
      </w:r>
      <w:r>
        <w:rPr/>
        <w:t>万元。相关事项详见于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日披露于</w:t>
      </w:r>
    </w:p>
    <w:p>
      <w:pPr>
        <w:pStyle w:val="BodyText"/>
        <w:spacing w:line="240" w:lineRule="auto" w:before="43"/>
        <w:ind w:right="1133"/>
        <w:jc w:val="left"/>
      </w:pPr>
      <w:r>
        <w:rPr/>
        <w:t>《证券时报》 及巨潮资讯网上的《公司关于签订经营合同的公告》（编号：</w:t>
      </w:r>
      <w:r>
        <w:rPr>
          <w:rFonts w:ascii="Times New Roman" w:hAnsi="Times New Roman" w:cs="Times New Roman" w:eastAsia="Times New Roman" w:hint="default"/>
        </w:rPr>
        <w:t>2019-022</w:t>
      </w:r>
      <w:r>
        <w:rPr/>
        <w:t>号）。</w:t>
      </w:r>
    </w:p>
    <w:p>
      <w:pPr>
        <w:spacing w:line="240" w:lineRule="auto" w:before="9"/>
        <w:rPr>
          <w:rFonts w:ascii="宋体" w:hAnsi="宋体" w:cs="宋体" w:eastAsia="宋体" w:hint="default"/>
          <w:sz w:val="16"/>
          <w:szCs w:val="16"/>
        </w:rPr>
      </w:pPr>
    </w:p>
    <w:p>
      <w:pPr>
        <w:pStyle w:val="BodyText"/>
        <w:spacing w:line="451" w:lineRule="auto"/>
        <w:ind w:right="1128" w:firstLine="360"/>
        <w:jc w:val="both"/>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月，公司、昆明摩宝科技有限公司、</w:t>
      </w:r>
      <w:r>
        <w:rPr>
          <w:rFonts w:ascii="Times New Roman" w:hAnsi="Times New Roman" w:cs="Times New Roman" w:eastAsia="Times New Roman" w:hint="default"/>
          <w:spacing w:val="-3"/>
        </w:rPr>
        <w:t>Synesis </w:t>
      </w:r>
      <w:r>
        <w:rPr>
          <w:rFonts w:ascii="Times New Roman" w:hAnsi="Times New Roman" w:cs="Times New Roman" w:eastAsia="Times New Roman" w:hint="default"/>
        </w:rPr>
        <w:t>IT Ltd.</w:t>
      </w:r>
      <w:r>
        <w:rPr/>
        <w:t>及</w:t>
      </w:r>
      <w:r>
        <w:rPr>
          <w:rFonts w:ascii="Times New Roman" w:hAnsi="Times New Roman" w:cs="Times New Roman" w:eastAsia="Times New Roman" w:hint="default"/>
        </w:rPr>
        <w:t>Ethics Advanced Technology</w:t>
      </w:r>
      <w:r>
        <w:rPr>
          <w:rFonts w:ascii="Times New Roman" w:hAnsi="Times New Roman" w:cs="Times New Roman" w:eastAsia="Times New Roman" w:hint="default"/>
          <w:spacing w:val="23"/>
        </w:rPr>
        <w:t> </w:t>
      </w:r>
      <w:r>
        <w:rPr>
          <w:rFonts w:ascii="Times New Roman" w:hAnsi="Times New Roman" w:cs="Times New Roman" w:eastAsia="Times New Roman" w:hint="default"/>
        </w:rPr>
        <w:t>Ltd.</w:t>
      </w:r>
      <w:r>
        <w:rPr/>
        <w:t>四家公司组成的联合体 </w:t>
      </w:r>
      <w:r>
        <w:rPr>
          <w:spacing w:val="-2"/>
        </w:rPr>
        <w:t>与孟加拉人民共和国国家税务委员会签署《电子税控管理系统的设备安装、调试和运行服务合同》（以下简称</w:t>
      </w:r>
      <w:r>
        <w:rPr>
          <w:rFonts w:ascii="Times New Roman" w:hAnsi="Times New Roman" w:cs="Times New Roman" w:eastAsia="Times New Roman" w:hint="default"/>
          <w:spacing w:val="-2"/>
        </w:rPr>
        <w:t>“</w:t>
      </w:r>
      <w:r>
        <w:rPr>
          <w:spacing w:val="-2"/>
        </w:rPr>
        <w:t>合同</w:t>
      </w:r>
      <w:r>
        <w:rPr>
          <w:rFonts w:ascii="Times New Roman" w:hAnsi="Times New Roman" w:cs="Times New Roman" w:eastAsia="Times New Roman" w:hint="default"/>
          <w:spacing w:val="-2"/>
        </w:rPr>
        <w:t>”</w:t>
      </w:r>
      <w:r>
        <w:rPr>
          <w:spacing w:val="-2"/>
        </w:rPr>
        <w:t>）。合</w:t>
      </w:r>
      <w:r>
        <w:rPr>
          <w:spacing w:val="-51"/>
        </w:rPr>
        <w:t> </w:t>
      </w:r>
      <w:r>
        <w:rPr/>
        <w:t>同总额约</w:t>
      </w:r>
      <w:r>
        <w:rPr>
          <w:rFonts w:ascii="Times New Roman" w:hAnsi="Times New Roman" w:cs="Times New Roman" w:eastAsia="Times New Roman" w:hint="default"/>
        </w:rPr>
        <w:t>10,590</w:t>
      </w:r>
      <w:r>
        <w:rPr>
          <w:rFonts w:ascii="Times New Roman" w:hAnsi="Times New Roman" w:cs="Times New Roman" w:eastAsia="Times New Roman" w:hint="default"/>
          <w:spacing w:val="16"/>
        </w:rPr>
        <w:t> </w:t>
      </w:r>
      <w:r>
        <w:rPr>
          <w:spacing w:val="-3"/>
        </w:rPr>
        <w:t>万元人民币，公司正按合同的约定推进相关设备的定制开发生产，并提供相应的服务，相关事项详见于</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日披露于巨潮资讯网上的《公司关于签订海外项目合同的公告》（编号：</w:t>
      </w:r>
      <w:r>
        <w:rPr>
          <w:rFonts w:ascii="Times New Roman" w:hAnsi="Times New Roman" w:cs="Times New Roman" w:eastAsia="Times New Roman" w:hint="default"/>
        </w:rPr>
        <w:t>2019-108</w:t>
      </w:r>
      <w:r>
        <w:rPr/>
        <w:t>）。</w:t>
      </w:r>
    </w:p>
    <w:p>
      <w:pPr>
        <w:pStyle w:val="BodyText"/>
        <w:spacing w:line="451" w:lineRule="auto" w:before="43"/>
        <w:ind w:right="1131" w:firstLine="360"/>
        <w:jc w:val="both"/>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月，公司与深圳市元睿城市智能发展有限公司（以下简称</w:t>
      </w:r>
      <w:r>
        <w:rPr>
          <w:rFonts w:ascii="Times New Roman" w:hAnsi="Times New Roman" w:cs="Times New Roman" w:eastAsia="Times New Roman" w:hint="default"/>
          <w:spacing w:val="-1"/>
        </w:rPr>
        <w:t>“</w:t>
      </w:r>
      <w:r>
        <w:rPr>
          <w:spacing w:val="-1"/>
        </w:rPr>
        <w:t>元睿城市智能</w:t>
      </w:r>
      <w:r>
        <w:rPr>
          <w:rFonts w:ascii="Times New Roman" w:hAnsi="Times New Roman" w:cs="Times New Roman" w:eastAsia="Times New Roman" w:hint="default"/>
          <w:spacing w:val="-1"/>
        </w:rPr>
        <w:t>”</w:t>
      </w:r>
      <w:r>
        <w:rPr>
          <w:spacing w:val="-1"/>
        </w:rPr>
        <w:t>）签署《</w:t>
      </w:r>
      <w:r>
        <w:rPr>
          <w:rFonts w:ascii="Times New Roman" w:hAnsi="Times New Roman" w:cs="Times New Roman" w:eastAsia="Times New Roman" w:hint="default"/>
          <w:spacing w:val="-1"/>
        </w:rPr>
        <w:t>“</w:t>
      </w:r>
      <w:r>
        <w:rPr>
          <w:spacing w:val="-1"/>
        </w:rPr>
        <w:t>智慧光明</w:t>
      </w:r>
      <w:r>
        <w:rPr>
          <w:rFonts w:ascii="Times New Roman" w:hAnsi="Times New Roman" w:cs="Times New Roman" w:eastAsia="Times New Roman" w:hint="default"/>
          <w:spacing w:val="-1"/>
        </w:rPr>
        <w:t>”</w:t>
      </w:r>
      <w:r>
        <w:rPr>
          <w:spacing w:val="-1"/>
        </w:rPr>
        <w:t>云存储设备采</w:t>
      </w:r>
      <w:r>
        <w:rPr/>
        <w:t> </w:t>
      </w:r>
      <w:r>
        <w:rPr>
          <w:spacing w:val="-2"/>
        </w:rPr>
        <w:t>购项目实施合同》，合同金额为人民币</w:t>
      </w:r>
      <w:r>
        <w:rPr>
          <w:spacing w:val="19"/>
        </w:rPr>
        <w:t> </w:t>
      </w:r>
      <w:r>
        <w:rPr>
          <w:rFonts w:ascii="Times New Roman" w:hAnsi="Times New Roman" w:cs="Times New Roman" w:eastAsia="Times New Roman" w:hint="default"/>
          <w:spacing w:val="-2"/>
        </w:rPr>
        <w:t>5,001</w:t>
      </w:r>
      <w:r>
        <w:rPr>
          <w:spacing w:val="-2"/>
        </w:rPr>
        <w:t>万元，报告期内，公司为其提供服务并实现收入</w:t>
      </w:r>
      <w:r>
        <w:rPr>
          <w:rFonts w:ascii="Times New Roman" w:hAnsi="Times New Roman" w:cs="Times New Roman" w:eastAsia="Times New Roman" w:hint="default"/>
          <w:spacing w:val="-2"/>
        </w:rPr>
        <w:t>5,001</w:t>
      </w:r>
      <w:r>
        <w:rPr>
          <w:spacing w:val="-2"/>
        </w:rPr>
        <w:t>万元（含税），相关事项</w:t>
      </w:r>
      <w:r>
        <w:rPr>
          <w:spacing w:val="-86"/>
        </w:rPr>
        <w:t> </w:t>
      </w:r>
      <w:r>
        <w:rPr>
          <w:spacing w:val="-86"/>
        </w:rPr>
      </w:r>
      <w:r>
        <w:rPr/>
        <w:t>详见于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日披露于巨潮资讯网上的《公司关于签订日常经营合同的公告》（编号：</w:t>
      </w:r>
      <w:r>
        <w:rPr>
          <w:rFonts w:ascii="Times New Roman" w:hAnsi="Times New Roman" w:cs="Times New Roman" w:eastAsia="Times New Roman" w:hint="default"/>
        </w:rPr>
        <w:t>2019-115</w:t>
      </w:r>
      <w:r>
        <w:rPr/>
        <w:t>）。</w:t>
      </w:r>
    </w:p>
    <w:p>
      <w:pPr>
        <w:spacing w:after="0" w:line="451"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7"/>
        <w:gridCol w:w="1368"/>
        <w:gridCol w:w="1366"/>
        <w:gridCol w:w="1368"/>
        <w:gridCol w:w="1366"/>
        <w:gridCol w:w="1368"/>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279,167,244.37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332,873,975.12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324,303,890.67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262,365,842.27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23.61%</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157,545,543.03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214,589,147.52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-26.58%</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59,491,409.32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80,179,732.76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-25.80%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105,360,696.99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142,490,394.78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-26.06%</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7"/>
        <w:gridCol w:w="1368"/>
        <w:gridCol w:w="1366"/>
        <w:gridCol w:w="1368"/>
        <w:gridCol w:w="1366"/>
        <w:gridCol w:w="1368"/>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175,020,641.57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205,371,356.84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61,591,284.39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77,623,108.74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-20.65%</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42,555,318.41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44,039,377.96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及云计算业务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324,303,890.67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262,365,842.27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23.61%</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157,545,543.03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214,589,147.52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59,491,409.32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80,179,732.76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-25.80%</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6,506,630.56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8,750,570.26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98,854,066.43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139,579,956.10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-29.18%</w:t>
            </w:r>
          </w:p>
        </w:tc>
      </w:tr>
    </w:tbl>
    <w:p>
      <w:pPr>
        <w:pStyle w:val="BodyText"/>
        <w:spacing w:line="240" w:lineRule="auto" w:before="49"/>
        <w:ind w:right="1133"/>
        <w:jc w:val="left"/>
      </w:pPr>
      <w:r>
        <w:rPr/>
        <w:t>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30"/>
        <w:gridCol w:w="2593"/>
        <w:gridCol w:w="2590"/>
        <w:gridCol w:w="2086"/>
      </w:tblGrid>
      <w:tr>
        <w:trPr>
          <w:trHeight w:val="324"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22" w:hRule="exact"/>
        </w:trPr>
        <w:tc>
          <w:tcPr>
            <w:tcW w:w="223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金融电子</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材料</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75.25%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81.46%</w:t>
            </w:r>
          </w:p>
        </w:tc>
      </w:tr>
      <w:tr>
        <w:trPr>
          <w:trHeight w:val="322" w:hRule="exact"/>
        </w:trPr>
        <w:tc>
          <w:tcPr>
            <w:tcW w:w="2230" w:type="dxa"/>
            <w:vMerge/>
            <w:tcBorders>
              <w:left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9.90%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7.32%</w:t>
            </w:r>
          </w:p>
        </w:tc>
      </w:tr>
      <w:tr>
        <w:trPr>
          <w:trHeight w:val="322" w:hRule="exact"/>
        </w:trPr>
        <w:tc>
          <w:tcPr>
            <w:tcW w:w="2230" w:type="dxa"/>
            <w:vMerge/>
            <w:tcBorders>
              <w:left w:val="single" w:sz="4" w:space="0" w:color="000000"/>
              <w:bottom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14.85%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11.22%</w:t>
            </w:r>
          </w:p>
        </w:tc>
      </w:tr>
      <w:tr>
        <w:trPr>
          <w:trHeight w:val="322" w:hRule="exact"/>
        </w:trPr>
        <w:tc>
          <w:tcPr>
            <w:tcW w:w="22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工程</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4"/>
              <w:jc w:val="right"/>
              <w:rPr>
                <w:rFonts w:ascii="宋体" w:hAnsi="宋体" w:cs="宋体" w:eastAsia="宋体" w:hint="default"/>
                <w:sz w:val="18"/>
                <w:szCs w:val="18"/>
              </w:rPr>
            </w:pPr>
            <w:r>
              <w:rPr>
                <w:rFonts w:ascii="宋体" w:hAnsi="宋体" w:cs="宋体" w:eastAsia="宋体" w:hint="default"/>
                <w:sz w:val="18"/>
                <w:szCs w:val="18"/>
              </w:rPr>
              <w:t>工程设计费</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7.18%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7.83%</w:t>
            </w:r>
          </w:p>
        </w:tc>
      </w:tr>
      <w:tr>
        <w:trPr>
          <w:trHeight w:val="322" w:hRule="exact"/>
        </w:trPr>
        <w:tc>
          <w:tcPr>
            <w:tcW w:w="2230" w:type="dxa"/>
            <w:vMerge/>
            <w:tcBorders>
              <w:left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4"/>
              <w:jc w:val="right"/>
              <w:rPr>
                <w:rFonts w:ascii="宋体" w:hAnsi="宋体" w:cs="宋体" w:eastAsia="宋体" w:hint="default"/>
                <w:sz w:val="18"/>
                <w:szCs w:val="18"/>
              </w:rPr>
            </w:pPr>
            <w:r>
              <w:rPr>
                <w:rFonts w:ascii="宋体" w:hAnsi="宋体" w:cs="宋体" w:eastAsia="宋体" w:hint="default"/>
                <w:sz w:val="18"/>
                <w:szCs w:val="18"/>
              </w:rPr>
              <w:t>工程建设费</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86.01%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85.09%</w:t>
            </w:r>
          </w:p>
        </w:tc>
      </w:tr>
      <w:tr>
        <w:trPr>
          <w:trHeight w:val="324" w:hRule="exact"/>
        </w:trPr>
        <w:tc>
          <w:tcPr>
            <w:tcW w:w="2230" w:type="dxa"/>
            <w:vMerge/>
            <w:tcBorders>
              <w:left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94"/>
              <w:jc w:val="right"/>
              <w:rPr>
                <w:rFonts w:ascii="宋体" w:hAnsi="宋体" w:cs="宋体" w:eastAsia="宋体" w:hint="default"/>
                <w:sz w:val="18"/>
                <w:szCs w:val="18"/>
              </w:rPr>
            </w:pPr>
            <w:r>
              <w:rPr>
                <w:rFonts w:ascii="宋体" w:hAnsi="宋体" w:cs="宋体" w:eastAsia="宋体" w:hint="default"/>
                <w:sz w:val="18"/>
                <w:szCs w:val="18"/>
              </w:rPr>
              <w:t>工程维护费</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5.87%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5.81%</w:t>
            </w:r>
          </w:p>
        </w:tc>
      </w:tr>
      <w:tr>
        <w:trPr>
          <w:trHeight w:val="322" w:hRule="exact"/>
        </w:trPr>
        <w:tc>
          <w:tcPr>
            <w:tcW w:w="2230" w:type="dxa"/>
            <w:vMerge/>
            <w:tcBorders>
              <w:left w:val="single" w:sz="4" w:space="0" w:color="000000"/>
              <w:bottom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0.94%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1.27%</w:t>
            </w:r>
          </w:p>
        </w:tc>
      </w:tr>
      <w:tr>
        <w:trPr>
          <w:trHeight w:val="322" w:hRule="exact"/>
        </w:trPr>
        <w:tc>
          <w:tcPr>
            <w:tcW w:w="22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IDC</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40"/>
              <w:jc w:val="right"/>
              <w:rPr>
                <w:rFonts w:ascii="宋体" w:hAnsi="宋体" w:cs="宋体" w:eastAsia="宋体" w:hint="default"/>
                <w:sz w:val="18"/>
                <w:szCs w:val="18"/>
              </w:rPr>
            </w:pPr>
            <w:r>
              <w:rPr>
                <w:rFonts w:ascii="宋体" w:hAnsi="宋体" w:cs="宋体" w:eastAsia="宋体" w:hint="default"/>
                <w:sz w:val="18"/>
                <w:szCs w:val="18"/>
              </w:rPr>
              <w:t>折旧及摊销</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37.16%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47.42%</w:t>
            </w:r>
          </w:p>
        </w:tc>
      </w:tr>
      <w:tr>
        <w:trPr>
          <w:trHeight w:val="322" w:hRule="exact"/>
        </w:trPr>
        <w:tc>
          <w:tcPr>
            <w:tcW w:w="2230" w:type="dxa"/>
            <w:vMerge/>
            <w:tcBorders>
              <w:left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水电燃费</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33.54%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19.94%</w:t>
            </w:r>
          </w:p>
        </w:tc>
      </w:tr>
      <w:tr>
        <w:trPr>
          <w:trHeight w:val="322" w:hRule="exact"/>
        </w:trPr>
        <w:tc>
          <w:tcPr>
            <w:tcW w:w="2230" w:type="dxa"/>
            <w:vMerge/>
            <w:tcBorders>
              <w:left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人工费</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3.65%</w:t>
            </w:r>
          </w:p>
        </w:tc>
      </w:tr>
      <w:tr>
        <w:trPr>
          <w:trHeight w:val="322" w:hRule="exact"/>
        </w:trPr>
        <w:tc>
          <w:tcPr>
            <w:tcW w:w="2230" w:type="dxa"/>
            <w:vMerge/>
            <w:tcBorders>
              <w:left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运维费</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12.86%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15.77%</w:t>
            </w:r>
          </w:p>
        </w:tc>
      </w:tr>
      <w:tr>
        <w:trPr>
          <w:trHeight w:val="324" w:hRule="exact"/>
        </w:trPr>
        <w:tc>
          <w:tcPr>
            <w:tcW w:w="2230" w:type="dxa"/>
            <w:vMerge/>
            <w:tcBorders>
              <w:left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服务费</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2.19%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7.44%</w:t>
            </w:r>
          </w:p>
        </w:tc>
      </w:tr>
      <w:tr>
        <w:trPr>
          <w:trHeight w:val="322" w:hRule="exact"/>
        </w:trPr>
        <w:tc>
          <w:tcPr>
            <w:tcW w:w="2230" w:type="dxa"/>
            <w:vMerge/>
            <w:tcBorders>
              <w:left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9"/>
              <w:jc w:val="right"/>
              <w:rPr>
                <w:rFonts w:ascii="宋体" w:hAnsi="宋体" w:cs="宋体" w:eastAsia="宋体" w:hint="default"/>
                <w:sz w:val="18"/>
                <w:szCs w:val="18"/>
              </w:rPr>
            </w:pPr>
            <w:r>
              <w:rPr>
                <w:rFonts w:ascii="宋体" w:hAnsi="宋体" w:cs="宋体" w:eastAsia="宋体" w:hint="default"/>
                <w:sz w:val="18"/>
                <w:szCs w:val="18"/>
              </w:rPr>
              <w:t>租金及管理费</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4.32%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4.76%</w:t>
            </w:r>
          </w:p>
        </w:tc>
      </w:tr>
      <w:tr>
        <w:trPr>
          <w:trHeight w:val="322" w:hRule="exact"/>
        </w:trPr>
        <w:tc>
          <w:tcPr>
            <w:tcW w:w="2230" w:type="dxa"/>
            <w:vMerge/>
            <w:tcBorders>
              <w:left w:val="single" w:sz="4" w:space="0" w:color="000000"/>
              <w:bottom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3.87%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0"/>
        <w:rPr>
          <w:rFonts w:ascii="宋体" w:hAnsi="宋体" w:cs="宋体" w:eastAsia="宋体" w:hint="default"/>
          <w:sz w:val="13"/>
          <w:szCs w:val="13"/>
        </w:rPr>
      </w:pPr>
    </w:p>
    <w:p>
      <w:pPr>
        <w:pStyle w:val="BodyText"/>
        <w:spacing w:line="451" w:lineRule="auto"/>
        <w:ind w:right="1170" w:firstLine="360"/>
        <w:jc w:val="left"/>
      </w:pPr>
      <w:r>
        <w:rPr/>
        <w:t>公司控股子公司宏达通信新设全资子公司东莞宏腾数字科技有限公司，注册资本 </w:t>
      </w:r>
      <w:r>
        <w:rPr>
          <w:rFonts w:ascii="Times New Roman" w:hAnsi="Times New Roman" w:cs="Times New Roman" w:eastAsia="Times New Roman" w:hint="default"/>
        </w:rPr>
        <w:t>1,000</w:t>
      </w:r>
      <w:r>
        <w:rPr>
          <w:rFonts w:ascii="Times New Roman" w:hAnsi="Times New Roman" w:cs="Times New Roman" w:eastAsia="Times New Roman" w:hint="default"/>
          <w:spacing w:val="44"/>
        </w:rPr>
        <w:t> </w:t>
      </w:r>
      <w:r>
        <w:rPr/>
        <w:t>万，主要面向市场提供数字云 平台服务，拓展区域智慧园区市场，报告期内尚未实缴。</w:t>
      </w:r>
    </w:p>
    <w:p>
      <w:pPr>
        <w:spacing w:line="240" w:lineRule="auto" w:before="1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69"/>
        <w:gridCol w:w="3201"/>
      </w:tblGrid>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400,042,526.85</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29.86%</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149,465,556.87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11.16%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66,383,630.08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66,332,327.33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61,201,283.59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56,659,728.98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400,042,526.85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29.86%</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6369"/>
        <w:gridCol w:w="3201"/>
      </w:tblGrid>
      <w:tr>
        <w:trPr>
          <w:trHeight w:val="404"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197,694,703.83</w:t>
            </w:r>
          </w:p>
        </w:tc>
      </w:tr>
      <w:tr>
        <w:trPr>
          <w:trHeight w:val="401"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23.03%</w:t>
            </w:r>
          </w:p>
        </w:tc>
      </w:tr>
      <w:tr>
        <w:trPr>
          <w:trHeight w:val="403"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67,372,240.09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40,985,805.33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35,176,991.15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33,202,015.49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20,957,651.77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56"/>
        <w:gridCol w:w="2333"/>
        <w:gridCol w:w="3145"/>
      </w:tblGrid>
      <w:tr>
        <w:trPr>
          <w:trHeight w:val="40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197,694,703.83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23.03%</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104,794,265.79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121,694,738.75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85,044,305.13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99,208,677.11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73,739,261.65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76,387,859.64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76,222,122.66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88,279,549.20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415" w:lineRule="auto"/>
        <w:ind w:left="513"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公司一贯重视技术研发与创新能力建设，</w:t>
      </w:r>
      <w:r>
        <w:rPr>
          <w:rFonts w:ascii="Times New Roman" w:hAnsi="Times New Roman" w:cs="Times New Roman" w:eastAsia="Times New Roman" w:hint="default"/>
          <w:spacing w:val="-2"/>
        </w:rPr>
        <w:t>2019</w:t>
      </w:r>
      <w:r>
        <w:rPr>
          <w:spacing w:val="-2"/>
        </w:rPr>
        <w:t>年度公司聚焦主营业务进行研发资源的继续投入，推进技术创新、升级和</w:t>
      </w:r>
    </w:p>
    <w:p>
      <w:pPr>
        <w:pStyle w:val="BodyText"/>
        <w:spacing w:line="240" w:lineRule="auto" w:before="73"/>
        <w:ind w:right="1133"/>
        <w:jc w:val="left"/>
      </w:pPr>
      <w:r>
        <w:rPr/>
        <w:t>产品优化，全面提升公司综合竞争力。</w:t>
      </w:r>
    </w:p>
    <w:p>
      <w:pPr>
        <w:spacing w:line="240" w:lineRule="auto" w:before="10"/>
        <w:rPr>
          <w:rFonts w:ascii="宋体" w:hAnsi="宋体" w:cs="宋体" w:eastAsia="宋体" w:hint="default"/>
          <w:sz w:val="17"/>
          <w:szCs w:val="17"/>
        </w:rPr>
      </w:pPr>
    </w:p>
    <w:p>
      <w:pPr>
        <w:pStyle w:val="BodyText"/>
        <w:spacing w:line="451" w:lineRule="auto"/>
        <w:ind w:right="1046" w:firstLine="360"/>
        <w:jc w:val="left"/>
      </w:pPr>
      <w:r>
        <w:rPr>
          <w:rFonts w:ascii="Times New Roman" w:hAnsi="Times New Roman" w:cs="Times New Roman" w:eastAsia="Times New Roman" w:hint="default"/>
        </w:rPr>
        <w:t>2019</w:t>
      </w:r>
      <w:r>
        <w:rPr/>
        <w:t>年度，公司在自助科技领域持续加强能力建设和技术构建，按硬件产品标准化，软件产品</w:t>
      </w:r>
      <w:r>
        <w:rPr>
          <w:spacing w:val="-3"/>
        </w:rPr>
        <w:t> </w:t>
      </w:r>
      <w:r>
        <w:rPr/>
        <w:t>以</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实施</w:t>
      </w:r>
      <w:r>
        <w:rPr>
          <w:rFonts w:ascii="Times New Roman" w:hAnsi="Times New Roman" w:cs="Times New Roman" w:eastAsia="Times New Roman" w:hint="default"/>
        </w:rPr>
        <w:t>”</w:t>
      </w:r>
      <w:r>
        <w:rPr/>
        <w:t>的方式， </w:t>
      </w:r>
      <w:r>
        <w:rPr>
          <w:spacing w:val="-2"/>
        </w:rPr>
        <w:t>为客户提供</w:t>
      </w:r>
      <w:r>
        <w:rPr>
          <w:rFonts w:ascii="Times New Roman" w:hAnsi="Times New Roman" w:cs="Times New Roman" w:eastAsia="Times New Roman" w:hint="default"/>
          <w:spacing w:val="-2"/>
        </w:rPr>
        <w:t>“</w:t>
      </w:r>
      <w:r>
        <w:rPr>
          <w:spacing w:val="-2"/>
        </w:rPr>
        <w:t>硬件产品</w:t>
      </w:r>
      <w:r>
        <w:rPr>
          <w:rFonts w:ascii="Times New Roman" w:hAnsi="Times New Roman" w:cs="Times New Roman" w:eastAsia="Times New Roman" w:hint="default"/>
          <w:spacing w:val="-2"/>
        </w:rPr>
        <w:t>+</w:t>
      </w:r>
      <w:r>
        <w:rPr>
          <w:spacing w:val="-2"/>
        </w:rPr>
        <w:t>软件平台</w:t>
      </w:r>
      <w:r>
        <w:rPr>
          <w:rFonts w:ascii="Times New Roman" w:hAnsi="Times New Roman" w:cs="Times New Roman" w:eastAsia="Times New Roman" w:hint="default"/>
          <w:spacing w:val="-2"/>
        </w:rPr>
        <w:t>+</w:t>
      </w:r>
      <w:r>
        <w:rPr>
          <w:spacing w:val="-2"/>
        </w:rPr>
        <w:t>服务运维</w:t>
      </w:r>
      <w:r>
        <w:rPr>
          <w:rFonts w:ascii="Times New Roman" w:hAnsi="Times New Roman" w:cs="Times New Roman" w:eastAsia="Times New Roman" w:hint="default"/>
          <w:spacing w:val="-2"/>
        </w:rPr>
        <w:t>”</w:t>
      </w:r>
      <w:r>
        <w:rPr>
          <w:spacing w:val="-2"/>
        </w:rPr>
        <w:t>为一体的综合解决方案能力。在智慧银行、智慧医疗、智慧地产、智慧政务等行</w:t>
      </w:r>
      <w:r>
        <w:rPr>
          <w:spacing w:val="-66"/>
        </w:rPr>
        <w:t> </w:t>
      </w:r>
      <w:r>
        <w:rPr>
          <w:spacing w:val="-66"/>
        </w:rPr>
      </w:r>
      <w:r>
        <w:rPr/>
        <w:t>业拓展客户，通过部署自助设备，开发软件平台，助力产业升级。积极布局基于</w:t>
      </w:r>
      <w:r>
        <w:rPr>
          <w:rFonts w:ascii="Times New Roman" w:hAnsi="Times New Roman" w:cs="Times New Roman" w:eastAsia="Times New Roman" w:hint="default"/>
        </w:rPr>
        <w:t>5G</w:t>
      </w:r>
      <w:r>
        <w:rPr/>
        <w:t>通讯、人脸识别、语音识别、云计算、 自主可控等技术的新产品开发工作，为未来应对新技术井喷的智能互联市场，实现了技术积累。</w:t>
      </w:r>
    </w:p>
    <w:p>
      <w:pPr>
        <w:pStyle w:val="BodyText"/>
        <w:spacing w:line="460" w:lineRule="auto" w:before="74"/>
        <w:ind w:right="1131" w:firstLine="360"/>
        <w:jc w:val="both"/>
      </w:pPr>
      <w:r>
        <w:rPr>
          <w:rFonts w:ascii="Times New Roman" w:hAnsi="Times New Roman" w:cs="Times New Roman" w:eastAsia="Times New Roman" w:hint="default"/>
          <w:spacing w:val="-1"/>
        </w:rPr>
        <w:t>2019</w:t>
      </w:r>
      <w:r>
        <w:rPr>
          <w:spacing w:val="-1"/>
        </w:rPr>
        <w:t>年，公司在安全支付领域充分发挥</w:t>
      </w:r>
      <w:r>
        <w:rPr>
          <w:rFonts w:ascii="Times New Roman" w:hAnsi="Times New Roman" w:cs="Times New Roman" w:eastAsia="Times New Roman" w:hint="default"/>
          <w:spacing w:val="-1"/>
        </w:rPr>
        <w:t>“</w:t>
      </w:r>
      <w:r>
        <w:rPr>
          <w:spacing w:val="-1"/>
        </w:rPr>
        <w:t>云</w:t>
      </w:r>
      <w:r>
        <w:rPr>
          <w:rFonts w:ascii="Times New Roman" w:hAnsi="Times New Roman" w:cs="Times New Roman" w:eastAsia="Times New Roman" w:hint="default"/>
          <w:spacing w:val="-1"/>
        </w:rPr>
        <w:t>+</w:t>
      </w:r>
      <w:r>
        <w:rPr>
          <w:spacing w:val="-1"/>
        </w:rPr>
        <w:t>网</w:t>
      </w:r>
      <w:r>
        <w:rPr>
          <w:rFonts w:ascii="Times New Roman" w:hAnsi="Times New Roman" w:cs="Times New Roman" w:eastAsia="Times New Roman" w:hint="default"/>
          <w:spacing w:val="-1"/>
        </w:rPr>
        <w:t>+</w:t>
      </w:r>
      <w:r>
        <w:rPr>
          <w:spacing w:val="-1"/>
        </w:rPr>
        <w:t>端</w:t>
      </w:r>
      <w:r>
        <w:rPr>
          <w:rFonts w:ascii="Times New Roman" w:hAnsi="Times New Roman" w:cs="Times New Roman" w:eastAsia="Times New Roman" w:hint="default"/>
          <w:spacing w:val="-1"/>
        </w:rPr>
        <w:t>+</w:t>
      </w:r>
      <w:r>
        <w:rPr>
          <w:spacing w:val="-1"/>
        </w:rPr>
        <w:t>行业应用及服务</w:t>
      </w:r>
      <w:r>
        <w:rPr>
          <w:rFonts w:ascii="Times New Roman" w:hAnsi="Times New Roman" w:cs="Times New Roman" w:eastAsia="Times New Roman" w:hint="default"/>
          <w:spacing w:val="-1"/>
        </w:rPr>
        <w:t>”</w:t>
      </w:r>
      <w:r>
        <w:rPr>
          <w:spacing w:val="-1"/>
        </w:rPr>
        <w:t>的综合解决方案能力，通过产业链延伸加大产业协</w:t>
      </w:r>
      <w:r>
        <w:rPr/>
        <w:t> </w:t>
      </w:r>
      <w:r>
        <w:rPr>
          <w:spacing w:val="-2"/>
        </w:rPr>
        <w:t>同，拓展业务维度和业务链条，集成行业主流支付方式并融合多种场景应用。为智慧餐饮、智慧零售、智慧商超等领域提供</w:t>
      </w:r>
      <w:r>
        <w:rPr>
          <w:spacing w:val="-67"/>
        </w:rPr>
        <w:t> </w:t>
      </w:r>
      <w:r>
        <w:rPr>
          <w:spacing w:val="-67"/>
        </w:rPr>
      </w:r>
      <w:r>
        <w:rPr/>
        <w:t>综合支付（包括智能人脸识别的支付终端、云喇叭物联网平台及设备等）、 税控管理、</w:t>
      </w:r>
      <w:r>
        <w:rPr>
          <w:rFonts w:ascii="Times New Roman" w:hAnsi="Times New Roman" w:cs="Times New Roman" w:eastAsia="Times New Roman" w:hint="default"/>
        </w:rPr>
        <w:t>IT</w:t>
      </w:r>
      <w:r>
        <w:rPr/>
        <w:t>服务管理等各类增值服务。依托 金融支付为核心的信息安全产业生态平台，不断在科技、场景、</w:t>
      </w:r>
      <w:r>
        <w:rPr>
          <w:rFonts w:ascii="Times New Roman" w:hAnsi="Times New Roman" w:cs="Times New Roman" w:eastAsia="Times New Roman" w:hint="default"/>
        </w:rPr>
        <w:t>SAAS</w:t>
      </w:r>
      <w:r>
        <w:rPr/>
        <w:t>等维度进行产品和服务创新优化。</w:t>
      </w:r>
    </w:p>
    <w:p>
      <w:pPr>
        <w:pStyle w:val="BodyText"/>
        <w:spacing w:line="460" w:lineRule="auto" w:before="35"/>
        <w:ind w:right="1130" w:firstLine="360"/>
        <w:jc w:val="both"/>
      </w:pPr>
      <w:r>
        <w:rPr>
          <w:spacing w:val="-2"/>
        </w:rPr>
        <w:t>在</w:t>
      </w:r>
      <w:r>
        <w:rPr>
          <w:rFonts w:ascii="Times New Roman" w:hAnsi="Times New Roman" w:cs="Times New Roman" w:eastAsia="Times New Roman" w:hint="default"/>
          <w:spacing w:val="-2"/>
        </w:rPr>
        <w:t>IDC</w:t>
      </w:r>
      <w:r>
        <w:rPr>
          <w:spacing w:val="-2"/>
        </w:rPr>
        <w:t>及云计算领域，</w:t>
      </w:r>
      <w:r>
        <w:rPr>
          <w:rFonts w:ascii="Times New Roman" w:hAnsi="Times New Roman" w:cs="Times New Roman" w:eastAsia="Times New Roman" w:hint="default"/>
          <w:spacing w:val="-2"/>
        </w:rPr>
        <w:t>2019</w:t>
      </w:r>
      <w:r>
        <w:rPr>
          <w:spacing w:val="-2"/>
        </w:rPr>
        <w:t>年度，公司坚持</w:t>
      </w:r>
      <w:r>
        <w:rPr>
          <w:rFonts w:ascii="Times New Roman" w:hAnsi="Times New Roman" w:cs="Times New Roman" w:eastAsia="Times New Roman" w:hint="default"/>
          <w:spacing w:val="-2"/>
        </w:rPr>
        <w:t>“IDC+</w:t>
      </w:r>
      <w:r>
        <w:rPr>
          <w:spacing w:val="-2"/>
        </w:rPr>
        <w:t>生态</w:t>
      </w:r>
      <w:r>
        <w:rPr>
          <w:rFonts w:ascii="Times New Roman" w:hAnsi="Times New Roman" w:cs="Times New Roman" w:eastAsia="Times New Roman" w:hint="default"/>
          <w:spacing w:val="-2"/>
        </w:rPr>
        <w:t>”</w:t>
      </w:r>
      <w:r>
        <w:rPr>
          <w:spacing w:val="-2"/>
        </w:rPr>
        <w:t>战略，以数据为核心驱动，以证通云平台为业务基础和依托，开</w:t>
      </w:r>
      <w:r>
        <w:rPr/>
        <w:t> 拓</w:t>
      </w:r>
      <w:r>
        <w:rPr>
          <w:rFonts w:ascii="Times New Roman" w:hAnsi="Times New Roman" w:cs="Times New Roman" w:eastAsia="Times New Roman" w:hint="default"/>
        </w:rPr>
        <w:t>IDC+</w:t>
      </w:r>
      <w:r>
        <w:rPr/>
        <w:t>数字化运营、智慧厂区、智慧园区等服务应用市场，为客户提供云主机、云存储、云安全、云灾备等基础设施服务 </w:t>
      </w:r>
      <w:r>
        <w:rPr>
          <w:spacing w:val="-2"/>
        </w:rPr>
        <w:t>平台和行业解决方案。公司集中优质资源投入证通云的升级换代，不断优化证通云栈、证通云台、证通云池、证通云数、证</w:t>
      </w:r>
      <w:r>
        <w:rPr>
          <w:spacing w:val="-68"/>
        </w:rPr>
        <w:t> </w:t>
      </w:r>
      <w:r>
        <w:rPr>
          <w:spacing w:val="-68"/>
        </w:rPr>
      </w:r>
      <w:r>
        <w:rPr>
          <w:spacing w:val="-2"/>
        </w:rPr>
        <w:t>通云固、证通云监、证通云管七大产品的功能，为不同规模型企业、金融、互联网特殊行业企业以及政府部门等用户打造安</w:t>
      </w:r>
      <w:r>
        <w:rPr>
          <w:spacing w:val="-67"/>
        </w:rPr>
        <w:t> </w:t>
      </w:r>
      <w:r>
        <w:rPr>
          <w:spacing w:val="-67"/>
        </w:rPr>
      </w:r>
      <w:r>
        <w:rPr>
          <w:spacing w:val="-1"/>
        </w:rPr>
        <w:t>全可靠、性能卓越、按需、实时的</w:t>
      </w:r>
      <w:r>
        <w:rPr>
          <w:rFonts w:ascii="Times New Roman" w:hAnsi="Times New Roman" w:cs="Times New Roman" w:eastAsia="Times New Roman" w:hint="default"/>
          <w:spacing w:val="-1"/>
        </w:rPr>
        <w:t>IAAS&amp;PAAS</w:t>
      </w:r>
      <w:r>
        <w:rPr>
          <w:spacing w:val="-1"/>
        </w:rPr>
        <w:t>平台。进一步夯实公司</w:t>
      </w:r>
      <w:r>
        <w:rPr>
          <w:rFonts w:ascii="Times New Roman" w:hAnsi="Times New Roman" w:cs="Times New Roman" w:eastAsia="Times New Roman" w:hint="default"/>
          <w:spacing w:val="-1"/>
        </w:rPr>
        <w:t>“IDC+</w:t>
      </w:r>
      <w:r>
        <w:rPr>
          <w:spacing w:val="-1"/>
        </w:rPr>
        <w:t>生态</w:t>
      </w:r>
      <w:r>
        <w:rPr>
          <w:rFonts w:ascii="Times New Roman" w:hAnsi="Times New Roman" w:cs="Times New Roman" w:eastAsia="Times New Roman" w:hint="default"/>
          <w:spacing w:val="-1"/>
        </w:rPr>
        <w:t>”</w:t>
      </w:r>
      <w:r>
        <w:rPr>
          <w:spacing w:val="-1"/>
        </w:rPr>
        <w:t>战略的基础，对公司在智慧园区、智慧城</w:t>
      </w:r>
      <w:r>
        <w:rPr/>
        <w:t> 市领域项目建设形成强有力的支撑。</w:t>
      </w:r>
    </w:p>
    <w:p>
      <w:pPr>
        <w:pStyle w:val="BodyText"/>
        <w:spacing w:line="240" w:lineRule="auto" w:before="67"/>
        <w:ind w:left="513" w:right="0"/>
        <w:jc w:val="left"/>
      </w:pPr>
      <w:r>
        <w:rPr/>
        <w:t>公司通过在云计算、智慧园区项目建设经验和技术沉淀，新研制了配套的网格化管理的事件分拨处置平台，既保障各系</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29"/>
        <w:jc w:val="left"/>
      </w:pPr>
      <w:r>
        <w:rPr>
          <w:spacing w:val="-2"/>
        </w:rPr>
        <w:t>统之间必要的信息交换，又能相对独立地运行，实现了政府部门的公共事件全流程闭环统一管理。结合网格化管理体系，强</w:t>
      </w:r>
      <w:r>
        <w:rPr>
          <w:spacing w:val="-64"/>
        </w:rPr>
        <w:t> </w:t>
      </w:r>
      <w:r>
        <w:rPr>
          <w:spacing w:val="-64"/>
        </w:rPr>
      </w:r>
      <w:r>
        <w:rPr/>
        <w:t>化基治理信息管理，促进基层管理全面下沉，提升基层社会自治和自我管理能力，提高政府服务管理的现代化能力。</w:t>
      </w:r>
    </w:p>
    <w:p>
      <w:pPr>
        <w:pStyle w:val="BodyText"/>
        <w:spacing w:line="451" w:lineRule="auto" w:before="54"/>
        <w:ind w:right="1130" w:firstLine="360"/>
        <w:jc w:val="both"/>
      </w:pPr>
      <w:r>
        <w:rPr>
          <w:spacing w:val="-2"/>
        </w:rPr>
        <w:t>在</w:t>
      </w:r>
      <w:r>
        <w:rPr>
          <w:rFonts w:ascii="Times New Roman" w:hAnsi="Times New Roman" w:cs="Times New Roman" w:eastAsia="Times New Roman" w:hint="default"/>
          <w:spacing w:val="-2"/>
        </w:rPr>
        <w:t>LED</w:t>
      </w:r>
      <w:r>
        <w:rPr>
          <w:spacing w:val="-2"/>
        </w:rPr>
        <w:t>照明业务领域，</w:t>
      </w:r>
      <w:r>
        <w:rPr>
          <w:rFonts w:ascii="Times New Roman" w:hAnsi="Times New Roman" w:cs="Times New Roman" w:eastAsia="Times New Roman" w:hint="default"/>
          <w:spacing w:val="-2"/>
        </w:rPr>
        <w:t>2019</w:t>
      </w:r>
      <w:r>
        <w:rPr>
          <w:spacing w:val="-2"/>
        </w:rPr>
        <w:t>年度，公司在照明工程设计领域、施工领域、照明产品研发领域进行投入，新增道路照明相</w:t>
      </w:r>
      <w:r>
        <w:rPr/>
        <w:t> </w:t>
      </w:r>
      <w:r>
        <w:rPr>
          <w:spacing w:val="-2"/>
        </w:rPr>
        <w:t>关实用新型专利</w:t>
      </w:r>
      <w:r>
        <w:rPr>
          <w:rFonts w:ascii="Times New Roman" w:hAnsi="Times New Roman" w:cs="Times New Roman" w:eastAsia="Times New Roman" w:hint="default"/>
          <w:spacing w:val="-2"/>
        </w:rPr>
        <w:t>3</w:t>
      </w:r>
      <w:r>
        <w:rPr>
          <w:spacing w:val="-2"/>
        </w:rPr>
        <w:t>项，外观专利</w:t>
      </w:r>
      <w:r>
        <w:rPr>
          <w:rFonts w:ascii="Times New Roman" w:hAnsi="Times New Roman" w:cs="Times New Roman" w:eastAsia="Times New Roman" w:hint="default"/>
          <w:spacing w:val="-2"/>
        </w:rPr>
        <w:t>7</w:t>
      </w:r>
      <w:r>
        <w:rPr>
          <w:spacing w:val="-2"/>
        </w:rPr>
        <w:t>项。通过产品不断进行优化改进，在各领域原有技术的基础上进行拓展与延伸，以适应不同</w:t>
      </w:r>
      <w:r>
        <w:rPr>
          <w:spacing w:val="-62"/>
        </w:rPr>
        <w:t> </w:t>
      </w:r>
      <w:r>
        <w:rPr>
          <w:spacing w:val="-62"/>
        </w:rPr>
      </w:r>
      <w:r>
        <w:rPr/>
        <w:t>建筑载体和照明环境的需要，进一步提升了公司承接高质量照明工程项目的能力。</w:t>
      </w:r>
    </w:p>
    <w:p>
      <w:pPr>
        <w:pStyle w:val="BodyText"/>
        <w:spacing w:line="460" w:lineRule="auto" w:before="74"/>
        <w:ind w:right="1129" w:firstLine="360"/>
        <w:jc w:val="both"/>
      </w:pPr>
      <w:r>
        <w:rPr>
          <w:rFonts w:ascii="Times New Roman" w:hAnsi="Times New Roman" w:cs="Times New Roman" w:eastAsia="Times New Roman" w:hint="default"/>
          <w:spacing w:val="-2"/>
        </w:rPr>
        <w:t>2019</w:t>
      </w:r>
      <w:r>
        <w:rPr>
          <w:spacing w:val="-2"/>
        </w:rPr>
        <w:t>年度，公司再次通过了知识产权管理体系认证，进一步夯实了公司研发技术的基础。长沙证通云谷科技园被湖南省</w:t>
      </w:r>
      <w:r>
        <w:rPr/>
        <w:t> </w:t>
      </w:r>
      <w:r>
        <w:rPr>
          <w:spacing w:val="-2"/>
        </w:rPr>
        <w:t>工信部确定为湖南省大数据产业园，研发与技术能力获省级政府部门认可，为公司开展研发技术工作提供有力的支撑。公司</w:t>
      </w:r>
      <w:r>
        <w:rPr>
          <w:spacing w:val="-62"/>
        </w:rPr>
        <w:t> </w:t>
      </w:r>
      <w:r>
        <w:rPr>
          <w:spacing w:val="-62"/>
        </w:rPr>
      </w:r>
      <w:r>
        <w:rPr/>
        <w:t>研发管理能力进一步提升，研发中心通过了</w:t>
      </w:r>
      <w:r>
        <w:rPr>
          <w:rFonts w:ascii="Times New Roman" w:hAnsi="Times New Roman" w:cs="Times New Roman" w:eastAsia="Times New Roman" w:hint="default"/>
        </w:rPr>
        <w:t>CMMI</w:t>
      </w:r>
      <w:r>
        <w:rPr/>
        <w:t>的</w:t>
      </w:r>
      <w:r>
        <w:rPr>
          <w:rFonts w:ascii="Times New Roman" w:hAnsi="Times New Roman" w:cs="Times New Roman" w:eastAsia="Times New Roman" w:hint="default"/>
        </w:rPr>
        <w:t>3</w:t>
      </w:r>
      <w:r>
        <w:rPr/>
        <w:t>级认证，同时公司荣获</w:t>
      </w:r>
      <w:r>
        <w:rPr>
          <w:rFonts w:ascii="Times New Roman" w:hAnsi="Times New Roman" w:cs="Times New Roman" w:eastAsia="Times New Roman" w:hint="default"/>
        </w:rPr>
        <w:t>2019</w:t>
      </w:r>
      <w:r>
        <w:rPr/>
        <w:t>年度深圳市标准奖，以鼓励公司在《密码 键盘密码检测规范》标准的制定作出的贡献。</w:t>
      </w:r>
    </w:p>
    <w:p>
      <w:pPr>
        <w:pStyle w:val="BodyText"/>
        <w:spacing w:line="451" w:lineRule="auto" w:before="67"/>
        <w:ind w:right="1133" w:firstLine="360"/>
        <w:jc w:val="both"/>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日，公司共取得有效专利</w:t>
      </w:r>
      <w:r>
        <w:rPr>
          <w:rFonts w:ascii="Times New Roman" w:hAnsi="Times New Roman" w:cs="Times New Roman" w:eastAsia="Times New Roman" w:hint="default"/>
        </w:rPr>
        <w:t>194</w:t>
      </w:r>
      <w:r>
        <w:rPr/>
        <w:t>件，其中发明</w:t>
      </w:r>
      <w:r>
        <w:rPr>
          <w:rFonts w:ascii="Times New Roman" w:hAnsi="Times New Roman" w:cs="Times New Roman" w:eastAsia="Times New Roman" w:hint="default"/>
        </w:rPr>
        <w:t>37</w:t>
      </w:r>
      <w:r>
        <w:rPr/>
        <w:t>件，国外授权专利</w:t>
      </w:r>
      <w:r>
        <w:rPr>
          <w:rFonts w:ascii="Times New Roman" w:hAnsi="Times New Roman" w:cs="Times New Roman" w:eastAsia="Times New Roman" w:hint="default"/>
        </w:rPr>
        <w:t>3</w:t>
      </w:r>
      <w:r>
        <w:rPr/>
        <w:t>件、实用新型</w:t>
      </w:r>
      <w:r>
        <w:rPr>
          <w:rFonts w:ascii="Times New Roman" w:hAnsi="Times New Roman" w:cs="Times New Roman" w:eastAsia="Times New Roman" w:hint="default"/>
        </w:rPr>
        <w:t>110</w:t>
      </w:r>
      <w:r>
        <w:rPr/>
        <w:t>件、外观</w:t>
      </w:r>
      <w:r>
        <w:rPr>
          <w:rFonts w:ascii="Times New Roman" w:hAnsi="Times New Roman" w:cs="Times New Roman" w:eastAsia="Times New Roman" w:hint="default"/>
        </w:rPr>
        <w:t>44</w:t>
      </w:r>
      <w:r>
        <w:rPr/>
        <w:t>件；计 算机软件著作权登记</w:t>
      </w:r>
      <w:r>
        <w:rPr>
          <w:rFonts w:ascii="Times New Roman" w:hAnsi="Times New Roman" w:cs="Times New Roman" w:eastAsia="Times New Roman" w:hint="default"/>
        </w:rPr>
        <w:t>243</w:t>
      </w:r>
      <w:r>
        <w:rPr/>
        <w:t>件；在审专利共</w:t>
      </w:r>
      <w:r>
        <w:rPr>
          <w:rFonts w:ascii="Times New Roman" w:hAnsi="Times New Roman" w:cs="Times New Roman" w:eastAsia="Times New Roman" w:hint="default"/>
        </w:rPr>
        <w:t>66</w:t>
      </w:r>
      <w:r>
        <w:rPr/>
        <w:t>件，其中发明</w:t>
      </w:r>
      <w:r>
        <w:rPr>
          <w:rFonts w:ascii="Times New Roman" w:hAnsi="Times New Roman" w:cs="Times New Roman" w:eastAsia="Times New Roman" w:hint="default"/>
        </w:rPr>
        <w:t>50</w:t>
      </w:r>
      <w:r>
        <w:rPr/>
        <w:t>件、实用新型</w:t>
      </w:r>
      <w:r>
        <w:rPr>
          <w:rFonts w:ascii="Times New Roman" w:hAnsi="Times New Roman" w:cs="Times New Roman" w:eastAsia="Times New Roman" w:hint="default"/>
        </w:rPr>
        <w:t>12</w:t>
      </w:r>
      <w:r>
        <w:rPr/>
        <w:t>件，外观设计</w:t>
      </w:r>
      <w:r>
        <w:rPr>
          <w:rFonts w:ascii="Times New Roman" w:hAnsi="Times New Roman" w:cs="Times New Roman" w:eastAsia="Times New Roman" w:hint="default"/>
        </w:rPr>
        <w:t>4</w:t>
      </w:r>
      <w:r>
        <w:rPr/>
        <w:t>件。</w:t>
      </w:r>
    </w:p>
    <w:p>
      <w:pPr>
        <w:pStyle w:val="BodyText"/>
        <w:spacing w:line="240" w:lineRule="auto" w:before="43"/>
        <w:ind w:left="513" w:right="1133"/>
        <w:jc w:val="left"/>
      </w:pPr>
      <w:r>
        <w:rPr>
          <w:rFonts w:ascii="Times New Roman" w:hAnsi="Times New Roman" w:cs="Times New Roman" w:eastAsia="Times New Roman" w:hint="default"/>
        </w:rPr>
        <w:t>2019</w:t>
      </w:r>
      <w:r>
        <w:rPr/>
        <w:t>年公司新申请专利受理总数</w:t>
      </w:r>
      <w:r>
        <w:rPr>
          <w:rFonts w:ascii="Times New Roman" w:hAnsi="Times New Roman" w:cs="Times New Roman" w:eastAsia="Times New Roman" w:hint="default"/>
        </w:rPr>
        <w:t>47</w:t>
      </w:r>
      <w:r>
        <w:rPr/>
        <w:t>件，其中发明专利</w:t>
      </w:r>
      <w:r>
        <w:rPr>
          <w:rFonts w:ascii="Times New Roman" w:hAnsi="Times New Roman" w:cs="Times New Roman" w:eastAsia="Times New Roman" w:hint="default"/>
        </w:rPr>
        <w:t>16</w:t>
      </w:r>
      <w:r>
        <w:rPr/>
        <w:t>件，实用新型专利</w:t>
      </w:r>
      <w:r>
        <w:rPr>
          <w:rFonts w:ascii="Times New Roman" w:hAnsi="Times New Roman" w:cs="Times New Roman" w:eastAsia="Times New Roman" w:hint="default"/>
        </w:rPr>
        <w:t>24</w:t>
      </w:r>
      <w:r>
        <w:rPr/>
        <w:t>项，外观专利</w:t>
      </w:r>
      <w:r>
        <w:rPr>
          <w:rFonts w:ascii="Times New Roman" w:hAnsi="Times New Roman" w:cs="Times New Roman" w:eastAsia="Times New Roman" w:hint="default"/>
        </w:rPr>
        <w:t>7</w:t>
      </w:r>
      <w:r>
        <w:rPr/>
        <w:t>项。</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2019</w:t>
      </w:r>
      <w:r>
        <w:rPr/>
        <w:t>年公司取得专利证书总数</w:t>
      </w:r>
      <w:r>
        <w:rPr>
          <w:rFonts w:ascii="Times New Roman" w:hAnsi="Times New Roman" w:cs="Times New Roman" w:eastAsia="Times New Roman" w:hint="default"/>
        </w:rPr>
        <w:t>36</w:t>
      </w:r>
      <w:r>
        <w:rPr/>
        <w:t>件，其中发明专利</w:t>
      </w:r>
      <w:r>
        <w:rPr>
          <w:rFonts w:ascii="Times New Roman" w:hAnsi="Times New Roman" w:cs="Times New Roman" w:eastAsia="Times New Roman" w:hint="default"/>
        </w:rPr>
        <w:t>3</w:t>
      </w:r>
      <w:r>
        <w:rPr/>
        <w:t>件，实用新型专利</w:t>
      </w:r>
      <w:r>
        <w:rPr>
          <w:rFonts w:ascii="Times New Roman" w:hAnsi="Times New Roman" w:cs="Times New Roman" w:eastAsia="Times New Roman" w:hint="default"/>
        </w:rPr>
        <w:t>24</w:t>
      </w:r>
      <w:r>
        <w:rPr/>
        <w:t>件，外观专利</w:t>
      </w:r>
      <w:r>
        <w:rPr>
          <w:rFonts w:ascii="Times New Roman" w:hAnsi="Times New Roman" w:cs="Times New Roman" w:eastAsia="Times New Roman" w:hint="default"/>
        </w:rPr>
        <w:t>9</w:t>
      </w:r>
      <w:r>
        <w:rPr/>
        <w:t>件；取得计算机软件著作权证书</w:t>
      </w:r>
    </w:p>
    <w:p>
      <w:pPr>
        <w:spacing w:line="240" w:lineRule="auto" w:before="9"/>
        <w:rPr>
          <w:rFonts w:ascii="宋体" w:hAnsi="宋体" w:cs="宋体" w:eastAsia="宋体" w:hint="default"/>
          <w:sz w:val="16"/>
          <w:szCs w:val="16"/>
        </w:rPr>
      </w:pPr>
    </w:p>
    <w:p>
      <w:pPr>
        <w:pStyle w:val="BodyText"/>
        <w:spacing w:line="240" w:lineRule="auto"/>
        <w:ind w:right="1133"/>
        <w:jc w:val="left"/>
      </w:pPr>
      <w:r>
        <w:rPr>
          <w:rFonts w:ascii="Times New Roman" w:hAnsi="Times New Roman" w:cs="Times New Roman" w:eastAsia="Times New Roman" w:hint="default"/>
        </w:rPr>
        <w:t>40</w:t>
      </w:r>
      <w:r>
        <w:rPr/>
        <w:t>件。</w:t>
      </w:r>
    </w:p>
    <w:p>
      <w:pPr>
        <w:spacing w:line="240" w:lineRule="auto" w:before="10"/>
        <w:rPr>
          <w:rFonts w:ascii="宋体" w:hAnsi="宋体" w:cs="宋体" w:eastAsia="宋体" w:hint="default"/>
          <w:sz w:val="16"/>
          <w:szCs w:val="16"/>
        </w:rPr>
      </w:pPr>
    </w:p>
    <w:p>
      <w:pPr>
        <w:pStyle w:val="BodyText"/>
        <w:spacing w:line="451" w:lineRule="auto"/>
        <w:ind w:right="1126" w:firstLine="360"/>
        <w:jc w:val="both"/>
      </w:pPr>
      <w:r>
        <w:rPr>
          <w:spacing w:val="-1"/>
        </w:rPr>
        <w:t>截止</w:t>
      </w:r>
      <w:r>
        <w:rPr>
          <w:rFonts w:ascii="Times New Roman" w:hAnsi="Times New Roman" w:cs="Times New Roman" w:eastAsia="Times New Roman" w:hint="default"/>
          <w:spacing w:val="-1"/>
        </w:rPr>
        <w:t>2019</w:t>
      </w:r>
      <w:r>
        <w:rPr>
          <w:spacing w:val="-1"/>
        </w:rPr>
        <w:t>年度公司累计共计有</w:t>
      </w:r>
      <w:r>
        <w:rPr>
          <w:rFonts w:ascii="Times New Roman" w:hAnsi="Times New Roman" w:cs="Times New Roman" w:eastAsia="Times New Roman" w:hint="default"/>
          <w:spacing w:val="-1"/>
        </w:rPr>
        <w:t>3</w:t>
      </w:r>
      <w:r>
        <w:rPr>
          <w:spacing w:val="-1"/>
        </w:rPr>
        <w:t>款产品取得</w:t>
      </w:r>
      <w:r>
        <w:rPr>
          <w:rFonts w:ascii="Times New Roman" w:hAnsi="Times New Roman" w:cs="Times New Roman" w:eastAsia="Times New Roman" w:hint="default"/>
          <w:spacing w:val="-1"/>
        </w:rPr>
        <w:t>PCI4.X</w:t>
      </w:r>
      <w:r>
        <w:rPr>
          <w:spacing w:val="-1"/>
        </w:rPr>
        <w:t>认证；</w:t>
      </w:r>
      <w:r>
        <w:rPr>
          <w:rFonts w:ascii="Times New Roman" w:hAnsi="Times New Roman" w:cs="Times New Roman" w:eastAsia="Times New Roman" w:hint="default"/>
          <w:spacing w:val="-1"/>
        </w:rPr>
        <w:t>6</w:t>
      </w:r>
      <w:r>
        <w:rPr>
          <w:spacing w:val="-1"/>
        </w:rPr>
        <w:t>款产品取得</w:t>
      </w:r>
      <w:r>
        <w:rPr>
          <w:rFonts w:ascii="Times New Roman" w:hAnsi="Times New Roman" w:cs="Times New Roman" w:eastAsia="Times New Roman" w:hint="default"/>
          <w:spacing w:val="-1"/>
        </w:rPr>
        <w:t>PCI5.X</w:t>
      </w:r>
      <w:r>
        <w:rPr>
          <w:spacing w:val="-1"/>
        </w:rPr>
        <w:t>认证，</w:t>
      </w:r>
      <w:r>
        <w:rPr>
          <w:rFonts w:ascii="Times New Roman" w:hAnsi="Times New Roman" w:cs="Times New Roman" w:eastAsia="Times New Roman" w:hint="default"/>
          <w:spacing w:val="-1"/>
        </w:rPr>
        <w:t>2019</w:t>
      </w:r>
      <w:r>
        <w:rPr>
          <w:spacing w:val="-1"/>
        </w:rPr>
        <w:t>年度新增</w:t>
      </w:r>
      <w:r>
        <w:rPr>
          <w:rFonts w:ascii="Times New Roman" w:hAnsi="Times New Roman" w:cs="Times New Roman" w:eastAsia="Times New Roman" w:hint="default"/>
          <w:spacing w:val="-1"/>
        </w:rPr>
        <w:t>3</w:t>
      </w:r>
      <w:r>
        <w:rPr>
          <w:spacing w:val="-1"/>
        </w:rPr>
        <w:t>款产品取得</w:t>
      </w:r>
      <w:r>
        <w:rPr>
          <w:rFonts w:ascii="Times New Roman" w:hAnsi="Times New Roman" w:cs="Times New Roman" w:eastAsia="Times New Roman" w:hint="default"/>
          <w:spacing w:val="-1"/>
        </w:rPr>
        <w:t>PCI5.X</w:t>
      </w:r>
      <w:r>
        <w:rPr>
          <w:spacing w:val="-1"/>
        </w:rPr>
        <w:t>认</w:t>
      </w:r>
      <w:r>
        <w:rPr/>
        <w:t> 证；</w:t>
      </w:r>
      <w:r>
        <w:rPr>
          <w:rFonts w:ascii="Times New Roman" w:hAnsi="Times New Roman" w:cs="Times New Roman" w:eastAsia="Times New Roman" w:hint="default"/>
        </w:rPr>
        <w:t>18</w:t>
      </w:r>
      <w:r>
        <w:rPr/>
        <w:t>款产品获得国密认证，</w:t>
      </w:r>
      <w:r>
        <w:rPr>
          <w:rFonts w:ascii="Times New Roman" w:hAnsi="Times New Roman" w:cs="Times New Roman" w:eastAsia="Times New Roman" w:hint="default"/>
        </w:rPr>
        <w:t>2019</w:t>
      </w:r>
      <w:r>
        <w:rPr/>
        <w:t>年度新增</w:t>
      </w:r>
      <w:r>
        <w:rPr>
          <w:rFonts w:ascii="Times New Roman" w:hAnsi="Times New Roman" w:cs="Times New Roman" w:eastAsia="Times New Roman" w:hint="default"/>
        </w:rPr>
        <w:t>3</w:t>
      </w:r>
      <w:r>
        <w:rPr/>
        <w:t>款产品获得国密认证；</w:t>
      </w:r>
      <w:r>
        <w:rPr>
          <w:rFonts w:ascii="Times New Roman" w:hAnsi="Times New Roman" w:cs="Times New Roman" w:eastAsia="Times New Roman" w:hint="default"/>
        </w:rPr>
        <w:t>7</w:t>
      </w:r>
      <w:r>
        <w:rPr/>
        <w:t>款产品获得银联终端安全认证，</w:t>
      </w:r>
      <w:r>
        <w:rPr>
          <w:rFonts w:ascii="Times New Roman" w:hAnsi="Times New Roman" w:cs="Times New Roman" w:eastAsia="Times New Roman" w:hint="default"/>
        </w:rPr>
        <w:t>2019</w:t>
      </w:r>
      <w:r>
        <w:rPr/>
        <w:t>年度新增</w:t>
      </w:r>
      <w:r>
        <w:rPr>
          <w:rFonts w:ascii="Times New Roman" w:hAnsi="Times New Roman" w:cs="Times New Roman" w:eastAsia="Times New Roman" w:hint="default"/>
        </w:rPr>
        <w:t>2</w:t>
      </w:r>
      <w:r>
        <w:rPr/>
        <w:t>款产品 获得银联终端安全认证。</w:t>
      </w:r>
    </w:p>
    <w:p>
      <w:pPr>
        <w:pStyle w:val="BodyText"/>
        <w:spacing w:line="240" w:lineRule="auto" w:before="74"/>
        <w:ind w:left="513" w:right="1133"/>
        <w:jc w:val="left"/>
      </w:pPr>
      <w:r>
        <w:rPr/>
        <w:t>公司研发投入情况</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1982"/>
        <w:gridCol w:w="2199"/>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-9.52%</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109,878,474.27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83,860,304.90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31.03%</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33,656,351.61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1,468,384.79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2,192.07%</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28.88%</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415" w:lineRule="auto" w:before="39"/>
        <w:ind w:left="513" w:right="116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报告期资本化率大幅增加主要系基于公司银行</w:t>
      </w:r>
      <w:r>
        <w:rPr>
          <w:rFonts w:ascii="Times New Roman" w:hAnsi="Times New Roman" w:cs="Times New Roman" w:eastAsia="Times New Roman" w:hint="default"/>
        </w:rPr>
        <w:t>4.0</w:t>
      </w:r>
      <w:r>
        <w:rPr/>
        <w:t>的金融服务产品、新一代智能税控系统、证通云等项目研究开发完成</w:t>
      </w:r>
    </w:p>
    <w:p>
      <w:pPr>
        <w:pStyle w:val="BodyText"/>
        <w:spacing w:line="240" w:lineRule="auto" w:before="73"/>
        <w:ind w:right="1133"/>
        <w:jc w:val="left"/>
      </w:pPr>
      <w:r>
        <w:rPr/>
        <w:t>后，满足无形资产确认条件，根据企业会计准则的规定，确认为无形资产。</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2279"/>
        <w:gridCol w:w="2074"/>
        <w:gridCol w:w="2393"/>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1,277,392,892.22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1,514,271,397.81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-15.64%</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1,172,546,536.15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1,490,317,966.28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104,846,356.07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23,953,431.53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337.71%</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89,521,174.48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418,048,505.75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-78.59%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834,720,968.49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546,176,827.68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52.83%</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-745,199,794.01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-128,128,321.93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-486.17%</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3,238,022,300.01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2,214,422,349.46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46.22%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2,637,954,060.92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2,301,840,888.71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14.60%</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600,068,239.09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-87,418,539.25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786.43%</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-41,580,841.52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-190,181,195.48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78.14%</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63" w:lineRule="auto"/>
        <w:ind w:right="1133" w:firstLine="360"/>
        <w:jc w:val="both"/>
      </w:pPr>
      <w:r>
        <w:rPr>
          <w:spacing w:val="-2"/>
        </w:rPr>
        <w:t>（</w:t>
      </w:r>
      <w:r>
        <w:rPr>
          <w:rFonts w:ascii="Times New Roman" w:hAnsi="Times New Roman" w:cs="Times New Roman" w:eastAsia="Times New Roman" w:hint="default"/>
          <w:spacing w:val="-2"/>
        </w:rPr>
        <w:t>1</w:t>
      </w:r>
      <w:r>
        <w:rPr>
          <w:spacing w:val="-2"/>
        </w:rPr>
        <w:t>）报告期内公司经营活动产生的现金流量净额较上年同期增加</w:t>
      </w:r>
      <w:r>
        <w:rPr>
          <w:rFonts w:ascii="Times New Roman" w:hAnsi="Times New Roman" w:cs="Times New Roman" w:eastAsia="Times New Roman" w:hint="default"/>
          <w:spacing w:val="-2"/>
        </w:rPr>
        <w:t>337.71%</w:t>
      </w:r>
      <w:r>
        <w:rPr>
          <w:spacing w:val="-2"/>
        </w:rPr>
        <w:t>主要原因系报告期内金融电子、</w:t>
      </w:r>
      <w:r>
        <w:rPr>
          <w:rFonts w:ascii="Times New Roman" w:hAnsi="Times New Roman" w:cs="Times New Roman" w:eastAsia="Times New Roman" w:hint="default"/>
          <w:spacing w:val="-2"/>
        </w:rPr>
        <w:t>LED</w:t>
      </w:r>
      <w:r>
        <w:rPr>
          <w:spacing w:val="-2"/>
        </w:rPr>
        <w:t>相关经营</w:t>
      </w:r>
      <w:r>
        <w:rPr/>
        <w:t> </w:t>
      </w:r>
      <w:r>
        <w:rPr>
          <w:spacing w:val="-2"/>
        </w:rPr>
        <w:t>生产原材料、工程材料等减少，同时公司推行精细管理、加强供应链管理及费用管控，延长了供应商账期，期间费用支出减</w:t>
      </w:r>
      <w:r>
        <w:rPr>
          <w:spacing w:val="-67"/>
        </w:rPr>
        <w:t> </w:t>
      </w:r>
      <w:r>
        <w:rPr>
          <w:spacing w:val="-67"/>
        </w:rPr>
      </w:r>
      <w:r>
        <w:rPr/>
        <w:t>少，加之国家税收优惠政策执行，公司支付的各项税费减少所致；</w:t>
      </w:r>
    </w:p>
    <w:p>
      <w:pPr>
        <w:pStyle w:val="BodyText"/>
        <w:spacing w:line="451" w:lineRule="auto" w:before="65"/>
        <w:ind w:right="1133" w:firstLine="360"/>
        <w:jc w:val="both"/>
      </w:pPr>
      <w:r>
        <w:rPr>
          <w:spacing w:val="-1"/>
        </w:rPr>
        <w:t>（</w:t>
      </w:r>
      <w:r>
        <w:rPr>
          <w:rFonts w:ascii="Times New Roman" w:hAnsi="Times New Roman" w:cs="Times New Roman" w:eastAsia="Times New Roman" w:hint="default"/>
          <w:spacing w:val="-1"/>
        </w:rPr>
        <w:t>2</w:t>
      </w:r>
      <w:r>
        <w:rPr>
          <w:spacing w:val="-1"/>
        </w:rPr>
        <w:t>）报告期内公司投资活动产生的现金流量净额上年同期下降</w:t>
      </w:r>
      <w:r>
        <w:rPr>
          <w:rFonts w:ascii="Times New Roman" w:hAnsi="Times New Roman" w:cs="Times New Roman" w:eastAsia="Times New Roman" w:hint="default"/>
          <w:spacing w:val="-1"/>
        </w:rPr>
        <w:t>486.17%</w:t>
      </w:r>
      <w:r>
        <w:rPr>
          <w:spacing w:val="-1"/>
        </w:rPr>
        <w:t>，主要原因系公司位于长沙、东莞两地的</w:t>
      </w:r>
      <w:r>
        <w:rPr>
          <w:rFonts w:ascii="Times New Roman" w:hAnsi="Times New Roman" w:cs="Times New Roman" w:eastAsia="Times New Roman" w:hint="default"/>
          <w:spacing w:val="-1"/>
        </w:rPr>
        <w:t>IDC</w:t>
      </w:r>
      <w:r>
        <w:rPr>
          <w:spacing w:val="-1"/>
        </w:rPr>
        <w:t>数</w:t>
      </w:r>
      <w:r>
        <w:rPr/>
        <w:t> 据中心机房投资建设资金投资支出增加，加之本期银行结构性存款等产品购买减少所致；</w:t>
      </w:r>
    </w:p>
    <w:p>
      <w:pPr>
        <w:pStyle w:val="BodyText"/>
        <w:spacing w:line="451" w:lineRule="auto" w:before="74"/>
        <w:ind w:right="1213" w:firstLine="360"/>
        <w:jc w:val="both"/>
      </w:pPr>
      <w:r>
        <w:rPr/>
        <w:t>（</w:t>
      </w:r>
      <w:r>
        <w:rPr>
          <w:rFonts w:ascii="Times New Roman" w:hAnsi="Times New Roman" w:cs="Times New Roman" w:eastAsia="Times New Roman" w:hint="default"/>
        </w:rPr>
        <w:t>3</w:t>
      </w:r>
      <w:r>
        <w:rPr/>
        <w:t>）报告期内公司筹资活动产生的现金流量净额较上年同期回升</w:t>
      </w:r>
      <w:r>
        <w:rPr>
          <w:rFonts w:ascii="Times New Roman" w:hAnsi="Times New Roman" w:cs="Times New Roman" w:eastAsia="Times New Roman" w:hint="default"/>
        </w:rPr>
        <w:t>786.43%</w:t>
      </w:r>
      <w:r>
        <w:rPr/>
        <w:t>，主要原因系报告期内公司积极优化调整债 务结构，取得的长期借款增加所致。</w:t>
      </w:r>
    </w:p>
    <w:p>
      <w:pPr>
        <w:pStyle w:val="BodyText"/>
        <w:spacing w:line="240" w:lineRule="auto" w:before="35"/>
        <w:ind w:right="1133"/>
        <w:jc w:val="left"/>
      </w:pPr>
      <w:r>
        <w:rPr/>
        <w:t>报告期内公司经营活动产生的现金净流量与本年度净利润存在重大差异的原因说明</w:t>
      </w:r>
    </w:p>
    <w:p>
      <w:pPr>
        <w:pStyle w:val="BodyText"/>
        <w:spacing w:line="415" w:lineRule="auto" w:before="115"/>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报告期内公司经营活动产生的现金流量净流量高于净利润的主要原因系公司报告期内确认了应收账款减值、固定资产折</w:t>
      </w:r>
    </w:p>
    <w:p>
      <w:pPr>
        <w:pStyle w:val="BodyText"/>
        <w:spacing w:line="240" w:lineRule="auto" w:before="101"/>
        <w:ind w:right="1133"/>
        <w:jc w:val="left"/>
      </w:pPr>
      <w:r>
        <w:rPr/>
        <w:t>旧、无形资产摊销、利息费用等影响净利润、但不影响经营活动现金流的费用。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33"/>
        <w:jc w:val="left"/>
        <w:rPr>
          <w:b w:val="0"/>
          <w:bCs w:val="0"/>
        </w:rPr>
      </w:pPr>
      <w:r>
        <w:rPr/>
        <w:t>三、非主营业务分析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453"/>
        <w:gridCol w:w="1418"/>
        <w:gridCol w:w="3546"/>
        <w:gridCol w:w="1630"/>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-541,230.05</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-8.07%</w:t>
            </w:r>
          </w:p>
        </w:tc>
        <w:tc>
          <w:tcPr>
            <w:tcW w:w="354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0"/>
              <w:jc w:val="left"/>
              <w:rPr>
                <w:rFonts w:ascii="宋体" w:hAnsi="宋体" w:cs="宋体" w:eastAsia="宋体" w:hint="default"/>
                <w:sz w:val="18"/>
                <w:szCs w:val="18"/>
              </w:rPr>
            </w:pPr>
            <w:r>
              <w:rPr>
                <w:rFonts w:ascii="宋体" w:hAnsi="宋体" w:cs="宋体" w:eastAsia="宋体" w:hint="default"/>
                <w:sz w:val="18"/>
                <w:szCs w:val="18"/>
              </w:rPr>
              <w:t>主要为按长期股权投资的公司未分配利润和 股权所占比例确认投资收益</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53" w:type="dxa"/>
            <w:vMerge/>
            <w:tcBorders>
              <w:left w:val="single" w:sz="10"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3546"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3" w:type="dxa"/>
            <w:vMerge/>
            <w:tcBorders>
              <w:left w:val="single" w:sz="10"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3546"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453"/>
        <w:gridCol w:w="1418"/>
        <w:gridCol w:w="3546"/>
        <w:gridCol w:w="1630"/>
      </w:tblGrid>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2,826,527.12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42.12%</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0"/>
              <w:jc w:val="left"/>
              <w:rPr>
                <w:rFonts w:ascii="宋体" w:hAnsi="宋体" w:cs="宋体" w:eastAsia="宋体" w:hint="default"/>
                <w:sz w:val="18"/>
                <w:szCs w:val="18"/>
              </w:rPr>
            </w:pPr>
            <w:r>
              <w:rPr>
                <w:rFonts w:ascii="宋体" w:hAnsi="宋体" w:cs="宋体" w:eastAsia="宋体" w:hint="default"/>
                <w:sz w:val="18"/>
                <w:szCs w:val="18"/>
              </w:rPr>
              <w:t>主要是其他非流动金融资产产生的公允价值 变动收益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9,194,057.66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137.01%</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主要为计提金融电子产品存货减值准备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448,838.57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6.69%</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主要为取得交易对手方违约和赔偿款等原因 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10,340,127.43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154.09%</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0"/>
              <w:jc w:val="left"/>
              <w:rPr>
                <w:rFonts w:ascii="宋体" w:hAnsi="宋体" w:cs="宋体" w:eastAsia="宋体" w:hint="default"/>
                <w:sz w:val="18"/>
                <w:szCs w:val="18"/>
              </w:rPr>
            </w:pPr>
            <w:r>
              <w:rPr>
                <w:rFonts w:ascii="宋体" w:hAnsi="宋体" w:cs="宋体" w:eastAsia="宋体" w:hint="default"/>
                <w:sz w:val="18"/>
                <w:szCs w:val="18"/>
              </w:rPr>
              <w:t>主要为支付公司子公司云硕科技诉讼工程款 相关的利息费用</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信用减值</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104,759,095.53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1,561.09%</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0"/>
              <w:jc w:val="left"/>
              <w:rPr>
                <w:rFonts w:ascii="宋体" w:hAnsi="宋体" w:cs="宋体" w:eastAsia="宋体" w:hint="default"/>
                <w:sz w:val="18"/>
                <w:szCs w:val="18"/>
              </w:rPr>
            </w:pPr>
            <w:r>
              <w:rPr>
                <w:rFonts w:ascii="宋体" w:hAnsi="宋体" w:cs="宋体" w:eastAsia="宋体" w:hint="default"/>
                <w:sz w:val="18"/>
                <w:szCs w:val="18"/>
              </w:rPr>
              <w:t>主要为应收账款、长期应收账款及其他应收 款计提坏账</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28"/>
        <w:gridCol w:w="900"/>
        <w:gridCol w:w="1368"/>
        <w:gridCol w:w="891"/>
        <w:gridCol w:w="797"/>
        <w:gridCol w:w="2919"/>
      </w:tblGrid>
      <w:tr>
        <w:trPr>
          <w:trHeight w:val="384"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5"/>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5"/>
              <w:ind w:left="261" w:right="77"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442,143,654.99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397,697,481.18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1,620,996,053.10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27.06%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1,322,085,525.10</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25.35%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1.71%</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主要原因系受宏观经济等市场因素 影响，公司部分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项目回款周期 </w:t>
            </w:r>
            <w:r>
              <w:rPr>
                <w:rFonts w:ascii="宋体" w:hAnsi="宋体" w:cs="宋体" w:eastAsia="宋体" w:hint="default"/>
                <w:spacing w:val="-2"/>
                <w:sz w:val="18"/>
                <w:szCs w:val="18"/>
              </w:rPr>
              <w:t>加长，部分长期应收款转入应收账款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150,494,038.88</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2.51%</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217,870,389.04</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4.18%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-1.67%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主要原因系公司通过更新改造及技 术升级等手段对公司传统金融电子 原材料及产品进行消化，去库存所 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39,371,179.73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42,624,513.81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79,464,576.44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79,950,665.12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1,461,086,842.30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24.39%</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1,339,127,830.85</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25.68%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-1.29%</w:t>
            </w:r>
          </w:p>
        </w:tc>
        <w:tc>
          <w:tcPr>
            <w:tcW w:w="291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42"/>
              <w:jc w:val="both"/>
              <w:rPr>
                <w:rFonts w:ascii="宋体" w:hAnsi="宋体" w:cs="宋体" w:eastAsia="宋体" w:hint="default"/>
                <w:sz w:val="18"/>
                <w:szCs w:val="18"/>
              </w:rPr>
            </w:pPr>
            <w:r>
              <w:rPr>
                <w:rFonts w:ascii="宋体" w:hAnsi="宋体" w:cs="宋体" w:eastAsia="宋体" w:hint="default"/>
                <w:sz w:val="18"/>
                <w:szCs w:val="18"/>
              </w:rPr>
              <w:t>主要原因系报告期内公司位于长沙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数据中心在建工程转固导致 房屋建筑物及专用设备增加所致。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819,647,829.04</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13.69%</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370,019,094.58</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7.09%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6.60%</w:t>
            </w:r>
          </w:p>
        </w:tc>
        <w:tc>
          <w:tcPr>
            <w:tcW w:w="291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主要系报告期内公司东莞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数据 中心和长沙数据中心及软件研发中 心在建工程增加所致。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1,020,632,839.60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17.04%</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1,468,300,032.02</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28.15%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-11.11%</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主要原因系报告期内公司积极优化 </w:t>
            </w:r>
            <w:r>
              <w:rPr>
                <w:rFonts w:ascii="宋体" w:hAnsi="宋体" w:cs="宋体" w:eastAsia="宋体" w:hint="default"/>
                <w:spacing w:val="-2"/>
                <w:sz w:val="18"/>
                <w:szCs w:val="18"/>
              </w:rPr>
              <w:t>调整债务结构，缩减短期借款融资所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900"/>
        <w:gridCol w:w="1368"/>
        <w:gridCol w:w="891"/>
        <w:gridCol w:w="797"/>
        <w:gridCol w:w="2919"/>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1,243,146,306.09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33,391,388.85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主要原因系报告期内公司积极优化 </w:t>
            </w:r>
            <w:r>
              <w:rPr>
                <w:rFonts w:ascii="宋体" w:hAnsi="宋体" w:cs="宋体" w:eastAsia="宋体" w:hint="default"/>
                <w:spacing w:val="-2"/>
                <w:sz w:val="18"/>
                <w:szCs w:val="18"/>
              </w:rPr>
              <w:t>调整债务结构，取得的长期借款增加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151,523,326.54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212,858,719.13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主要原因系报告期内公司收回项目 保证金及质押金所致。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352,132,513.52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414,475,162.29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主要原因系公司分期收款销售款项 </w:t>
            </w:r>
            <w:r>
              <w:rPr>
                <w:rFonts w:ascii="宋体" w:hAnsi="宋体" w:cs="宋体" w:eastAsia="宋体" w:hint="default"/>
                <w:spacing w:val="-2"/>
                <w:sz w:val="18"/>
                <w:szCs w:val="18"/>
              </w:rPr>
              <w:t>收回所致，及重分类至应收账款所致</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432,491,188.44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92,558,491.67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主要原因系报告期内公司优化调整 </w:t>
            </w:r>
            <w:r>
              <w:rPr>
                <w:rFonts w:ascii="宋体" w:hAnsi="宋体" w:cs="宋体" w:eastAsia="宋体" w:hint="default"/>
                <w:spacing w:val="-2"/>
                <w:sz w:val="18"/>
                <w:szCs w:val="18"/>
              </w:rPr>
              <w:t>债务结构，增加长期借款，将一年内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到期的长期借款及公司债券重分类 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53,790,893.91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主要原因系公司子公司云硕科技售 后回租融资租赁业务结束所致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197,524,901.78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87,482,905.13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主要系新金融工具准则实施，长期持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有的交易性金融资产分类至其他非 流动金融资产所致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36" w:type="dxa"/>
        <w:tblLayout w:type="fixed"/>
        <w:tblCellMar>
          <w:top w:w="0" w:type="dxa"/>
          <w:left w:w="0" w:type="dxa"/>
          <w:bottom w:w="0" w:type="dxa"/>
          <w:right w:w="0" w:type="dxa"/>
        </w:tblCellMar>
        <w:tblLook w:val="01E0"/>
      </w:tblPr>
      <w:tblGrid>
        <w:gridCol w:w="3054"/>
        <w:gridCol w:w="3053"/>
        <w:gridCol w:w="3478"/>
      </w:tblGrid>
      <w:tr>
        <w:trPr>
          <w:trHeight w:val="365"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8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65"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284,893,661.16</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保证金及法院诉讼冻结</w:t>
            </w:r>
          </w:p>
        </w:tc>
      </w:tr>
      <w:tr>
        <w:trPr>
          <w:trHeight w:val="377"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183,452,075.44</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65"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277,741,536.19</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65"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83,710,000.00</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65" w:hRule="exact"/>
        </w:trPr>
        <w:tc>
          <w:tcPr>
            <w:tcW w:w="3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829,797,272.79</w:t>
            </w:r>
          </w:p>
        </w:tc>
        <w:tc>
          <w:tcPr>
            <w:tcW w:w="34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8" w:right="0"/>
              <w:jc w:val="left"/>
              <w:rPr>
                <w:rFonts w:ascii="Times New Roman" w:hAnsi="Times New Roman" w:cs="Times New Roman" w:eastAsia="Times New Roman" w:hint="default"/>
                <w:sz w:val="18"/>
                <w:szCs w:val="18"/>
              </w:rPr>
            </w:pPr>
            <w:r>
              <w:rPr>
                <w:rFonts w:ascii="Times New Roman"/>
                <w:sz w:val="18"/>
              </w:rPr>
              <w:t>110,250,000.00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170,604,091.23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2273"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6" w:right="3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4"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50" w:right="68"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460"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4" w:lineRule="auto"/>
              <w:ind w:left="24" w:right="80"/>
              <w:jc w:val="left"/>
              <w:rPr>
                <w:rFonts w:ascii="宋体" w:hAnsi="宋体" w:cs="宋体" w:eastAsia="宋体" w:hint="default"/>
                <w:sz w:val="18"/>
                <w:szCs w:val="18"/>
              </w:rPr>
            </w:pPr>
            <w:r>
              <w:rPr>
                <w:rFonts w:ascii="宋体" w:hAnsi="宋体" w:cs="宋体" w:eastAsia="宋体" w:hint="default"/>
                <w:sz w:val="18"/>
                <w:szCs w:val="18"/>
              </w:rPr>
              <w:t>江苏睿 博</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3" w:right="74"/>
              <w:jc w:val="both"/>
              <w:rPr>
                <w:rFonts w:ascii="宋体" w:hAnsi="宋体" w:cs="宋体" w:eastAsia="宋体" w:hint="default"/>
                <w:sz w:val="18"/>
                <w:szCs w:val="18"/>
              </w:rPr>
            </w:pPr>
            <w:r>
              <w:rPr>
                <w:rFonts w:ascii="宋体" w:hAnsi="宋体" w:cs="宋体" w:eastAsia="宋体" w:hint="default"/>
                <w:sz w:val="18"/>
                <w:szCs w:val="18"/>
              </w:rPr>
              <w:t>商业信 息化解 决方案</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15.65%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4" w:right="41"/>
              <w:jc w:val="both"/>
              <w:rPr>
                <w:rFonts w:ascii="宋体" w:hAnsi="宋体" w:cs="宋体" w:eastAsia="宋体" w:hint="default"/>
                <w:sz w:val="18"/>
                <w:szCs w:val="18"/>
              </w:rPr>
            </w:pPr>
            <w:r>
              <w:rPr>
                <w:rFonts w:ascii="宋体" w:hAnsi="宋体" w:cs="宋体" w:eastAsia="宋体" w:hint="default"/>
                <w:sz w:val="18"/>
                <w:szCs w:val="18"/>
              </w:rPr>
              <w:t>威富通 科技有 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3" w:right="45"/>
              <w:jc w:val="both"/>
              <w:rPr>
                <w:rFonts w:ascii="宋体" w:hAnsi="宋体" w:cs="宋体" w:eastAsia="宋体" w:hint="default"/>
                <w:sz w:val="18"/>
                <w:szCs w:val="18"/>
              </w:rPr>
            </w:pPr>
            <w:r>
              <w:rPr>
                <w:rFonts w:ascii="宋体" w:hAnsi="宋体" w:cs="宋体" w:eastAsia="宋体" w:hint="default"/>
                <w:sz w:val="18"/>
                <w:szCs w:val="18"/>
              </w:rPr>
              <w:t>商业信 息化解 决方案</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38" w:lineRule="auto"/>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2019</w:t>
            </w:r>
          </w:p>
          <w:p>
            <w:pPr>
              <w:pStyle w:val="TableParagraph"/>
              <w:spacing w:line="230" w:lineRule="exact"/>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9" w:lineRule="auto" w:before="63"/>
              <w:ind w:left="23" w:right="194"/>
              <w:jc w:val="both"/>
              <w:rPr>
                <w:rFonts w:ascii="宋体" w:hAnsi="宋体" w:cs="宋体" w:eastAsia="宋体" w:hint="default"/>
                <w:sz w:val="18"/>
                <w:szCs w:val="18"/>
              </w:rPr>
            </w:pPr>
            <w:r>
              <w:rPr>
                <w:rFonts w:ascii="宋体" w:hAnsi="宋体" w:cs="宋体" w:eastAsia="宋体" w:hint="default"/>
                <w:sz w:val="18"/>
                <w:szCs w:val="18"/>
              </w:rPr>
              <w:t>完成 增资 尾款 缴款</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both"/>
              <w:rPr>
                <w:rFonts w:ascii="宋体" w:hAnsi="宋体" w:cs="宋体" w:eastAsia="宋体" w:hint="default"/>
                <w:sz w:val="18"/>
                <w:szCs w:val="18"/>
              </w:rPr>
            </w:pPr>
            <w:r>
              <w:rPr>
                <w:rFonts w:ascii="宋体" w:hAnsi="宋体" w:cs="宋体" w:eastAsia="宋体" w:hint="default"/>
                <w:sz w:val="18"/>
                <w:szCs w:val="18"/>
              </w:rPr>
              <w:t>巨潮资 讯网刊 登的</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2018-00</w:t>
            </w:r>
          </w:p>
          <w:p>
            <w:pPr>
              <w:pStyle w:val="TableParagraph"/>
              <w:spacing w:line="316"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w:t>
            </w:r>
            <w:r>
              <w:rPr>
                <w:rFonts w:ascii="宋体" w:hAnsi="宋体" w:cs="宋体" w:eastAsia="宋体" w:hint="default"/>
                <w:sz w:val="18"/>
                <w:szCs w:val="18"/>
              </w:rPr>
              <w:t> 关于增 资参股 江苏睿 博数据 技术有 限公司 的对外 投资公 告》</w:t>
            </w:r>
          </w:p>
        </w:tc>
      </w:tr>
      <w:tr>
        <w:trPr>
          <w:trHeight w:val="5081"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金谷农 商行</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吸收存 款、发 放贷款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50" w:right="0"/>
              <w:jc w:val="left"/>
              <w:rPr>
                <w:rFonts w:ascii="Times New Roman" w:hAnsi="Times New Roman" w:cs="Times New Roman" w:eastAsia="Times New Roman" w:hint="default"/>
                <w:sz w:val="18"/>
                <w:szCs w:val="18"/>
              </w:rPr>
            </w:pPr>
            <w:r>
              <w:rPr>
                <w:rFonts w:ascii="Times New Roman"/>
                <w:sz w:val="18"/>
              </w:rPr>
              <w:t>71,000,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3" w:right="43"/>
              <w:jc w:val="left"/>
              <w:rPr>
                <w:rFonts w:ascii="宋体" w:hAnsi="宋体" w:cs="宋体" w:eastAsia="宋体" w:hint="default"/>
                <w:sz w:val="18"/>
                <w:szCs w:val="18"/>
              </w:rPr>
            </w:pPr>
            <w:r>
              <w:rPr>
                <w:rFonts w:ascii="宋体" w:hAnsi="宋体" w:cs="宋体" w:eastAsia="宋体" w:hint="default"/>
                <w:sz w:val="18"/>
                <w:szCs w:val="18"/>
              </w:rPr>
              <w:t>吸收公 众存 款；发 放短 期、中 期和长 期贷款</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3" w:right="14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 成股 权过 户登 记。</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讯网刊 登的 </w:t>
            </w:r>
            <w:r>
              <w:rPr>
                <w:rFonts w:ascii="Times New Roman" w:hAnsi="Times New Roman" w:cs="Times New Roman" w:eastAsia="Times New Roman" w:hint="default"/>
                <w:sz w:val="18"/>
                <w:szCs w:val="18"/>
              </w:rPr>
              <w:t>2019-00</w:t>
            </w:r>
          </w:p>
          <w:p>
            <w:pPr>
              <w:pStyle w:val="TableParagraph"/>
              <w:spacing w:line="316" w:lineRule="auto" w:before="39"/>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w:t>
            </w:r>
            <w:r>
              <w:rPr>
                <w:rFonts w:ascii="宋体" w:hAnsi="宋体" w:cs="宋体" w:eastAsia="宋体" w:hint="default"/>
                <w:sz w:val="18"/>
                <w:szCs w:val="18"/>
              </w:rPr>
              <w:t> 关于受 让内蒙 古呼和 浩特金 谷农村 商业银 行股份 有限公 司股权 的公 告》</w:t>
            </w:r>
          </w:p>
        </w:tc>
      </w:tr>
      <w:tr>
        <w:trPr>
          <w:trHeight w:val="716"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旭生健 康</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医疗健 康</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38,000,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4" w:right="41"/>
              <w:jc w:val="left"/>
              <w:rPr>
                <w:rFonts w:ascii="宋体" w:hAnsi="宋体" w:cs="宋体" w:eastAsia="宋体" w:hint="default"/>
                <w:sz w:val="18"/>
                <w:szCs w:val="18"/>
              </w:rPr>
            </w:pPr>
            <w:r>
              <w:rPr>
                <w:rFonts w:ascii="宋体" w:hAnsi="宋体" w:cs="宋体" w:eastAsia="宋体" w:hint="default"/>
                <w:sz w:val="18"/>
                <w:szCs w:val="18"/>
              </w:rPr>
              <w:t>旭生实 业、余</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3" w:right="45"/>
              <w:jc w:val="left"/>
              <w:rPr>
                <w:rFonts w:ascii="宋体" w:hAnsi="宋体" w:cs="宋体" w:eastAsia="宋体" w:hint="default"/>
                <w:sz w:val="18"/>
                <w:szCs w:val="18"/>
              </w:rPr>
            </w:pPr>
            <w:r>
              <w:rPr>
                <w:rFonts w:ascii="宋体" w:hAnsi="宋体" w:cs="宋体" w:eastAsia="宋体" w:hint="default"/>
                <w:sz w:val="18"/>
                <w:szCs w:val="18"/>
              </w:rPr>
              <w:t>医学研 究与试</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3" w:right="194"/>
              <w:jc w:val="left"/>
              <w:rPr>
                <w:rFonts w:ascii="宋体" w:hAnsi="宋体" w:cs="宋体" w:eastAsia="宋体" w:hint="default"/>
                <w:sz w:val="18"/>
                <w:szCs w:val="18"/>
              </w:rPr>
            </w:pPr>
            <w:r>
              <w:rPr>
                <w:rFonts w:ascii="宋体" w:hAnsi="宋体" w:cs="宋体" w:eastAsia="宋体" w:hint="default"/>
                <w:sz w:val="18"/>
                <w:szCs w:val="18"/>
              </w:rPr>
              <w:t>公司 于</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2859" w:hRule="exact"/>
        </w:trPr>
        <w:tc>
          <w:tcPr>
            <w:tcW w:w="6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宗仁、 北大未 名、湖 南医好</w:t>
            </w:r>
          </w:p>
        </w:tc>
        <w:tc>
          <w:tcPr>
            <w:tcW w:w="61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5"/>
              <w:jc w:val="left"/>
              <w:rPr>
                <w:rFonts w:ascii="宋体" w:hAnsi="宋体" w:cs="宋体" w:eastAsia="宋体" w:hint="default"/>
                <w:sz w:val="18"/>
                <w:szCs w:val="18"/>
              </w:rPr>
            </w:pPr>
            <w:r>
              <w:rPr>
                <w:rFonts w:ascii="宋体" w:hAnsi="宋体" w:cs="宋体" w:eastAsia="宋体" w:hint="default"/>
                <w:sz w:val="18"/>
                <w:szCs w:val="18"/>
              </w:rPr>
              <w:t>验发 展、生 物技术 推广服 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314" w:lineRule="auto" w:before="63"/>
              <w:ind w:left="23" w:right="1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 成工 商登 记，并 完成 资金 缴款。</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2"/>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东莞</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据中心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IDC</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382,795,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787.39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555,744,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198.23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自有资 金及金 融机构 贷款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项目在 建设中</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382,795,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787.39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555,744,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198.23</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61,000,0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69"/>
        <w:gridCol w:w="871"/>
        <w:gridCol w:w="869"/>
        <w:gridCol w:w="870"/>
        <w:gridCol w:w="870"/>
        <w:gridCol w:w="871"/>
        <w:gridCol w:w="870"/>
        <w:gridCol w:w="857"/>
      </w:tblGrid>
      <w:tr>
        <w:trPr>
          <w:trHeight w:val="38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本期已使</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已累计使</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累计变更</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累计变更</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闲置两年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05pt;height:687.4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98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61" w:right="67" w:hanging="92"/>
                          <w:jc w:val="left"/>
                          <w:rPr>
                            <w:rFonts w:ascii="宋体" w:hAnsi="宋体" w:cs="宋体" w:eastAsia="宋体" w:hint="default"/>
                            <w:sz w:val="18"/>
                            <w:szCs w:val="18"/>
                          </w:rPr>
                        </w:pPr>
                        <w:r>
                          <w:rPr>
                            <w:rFonts w:ascii="宋体" w:hAnsi="宋体" w:cs="宋体" w:eastAsia="宋体" w:hint="default"/>
                            <w:sz w:val="18"/>
                            <w:szCs w:val="18"/>
                          </w:rPr>
                          <w:t>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60" w:right="71" w:hanging="92"/>
                          <w:jc w:val="left"/>
                          <w:rPr>
                            <w:rFonts w:ascii="宋体" w:hAnsi="宋体" w:cs="宋体" w:eastAsia="宋体" w:hint="default"/>
                            <w:sz w:val="18"/>
                            <w:szCs w:val="18"/>
                          </w:rPr>
                        </w:pPr>
                        <w:r>
                          <w:rPr>
                            <w:rFonts w:ascii="宋体" w:hAnsi="宋体" w:cs="宋体" w:eastAsia="宋体" w:hint="default"/>
                            <w:sz w:val="18"/>
                            <w:szCs w:val="18"/>
                          </w:rPr>
                          <w:t>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9"/>
                          <w:jc w:val="both"/>
                          <w:rPr>
                            <w:rFonts w:ascii="宋体" w:hAnsi="宋体" w:cs="宋体" w:eastAsia="宋体" w:hint="default"/>
                            <w:sz w:val="18"/>
                            <w:szCs w:val="18"/>
                          </w:rPr>
                        </w:pPr>
                        <w:r>
                          <w:rPr>
                            <w:rFonts w:ascii="宋体" w:hAnsi="宋体" w:cs="宋体" w:eastAsia="宋体" w:hint="default"/>
                            <w:sz w:val="18"/>
                            <w:szCs w:val="18"/>
                          </w:rPr>
                          <w:t>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7"/>
                          <w:jc w:val="center"/>
                          <w:rPr>
                            <w:rFonts w:ascii="宋体" w:hAnsi="宋体" w:cs="宋体" w:eastAsia="宋体" w:hint="default"/>
                            <w:sz w:val="18"/>
                            <w:szCs w:val="18"/>
                          </w:rPr>
                        </w:pPr>
                        <w:r>
                          <w:rPr>
                            <w:rFonts w:ascii="宋体" w:hAnsi="宋体" w:cs="宋体" w:eastAsia="宋体" w:hint="default"/>
                            <w:sz w:val="18"/>
                            <w:szCs w:val="18"/>
                          </w:rPr>
                          <w:t>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1" w:right="67"/>
                          <w:jc w:val="both"/>
                          <w:rPr>
                            <w:rFonts w:ascii="宋体" w:hAnsi="宋体" w:cs="宋体" w:eastAsia="宋体" w:hint="default"/>
                            <w:sz w:val="18"/>
                            <w:szCs w:val="18"/>
                          </w:rPr>
                        </w:pPr>
                        <w:r>
                          <w:rPr>
                            <w:rFonts w:ascii="宋体" w:hAnsi="宋体" w:cs="宋体" w:eastAsia="宋体" w:hint="default"/>
                            <w:sz w:val="18"/>
                            <w:szCs w:val="18"/>
                          </w:rPr>
                          <w:t>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2" w:right="67"/>
                          <w:jc w:val="center"/>
                          <w:rPr>
                            <w:rFonts w:ascii="宋体" w:hAnsi="宋体" w:cs="宋体" w:eastAsia="宋体" w:hint="default"/>
                            <w:sz w:val="18"/>
                            <w:szCs w:val="18"/>
                          </w:rPr>
                        </w:pPr>
                        <w:r>
                          <w:rPr>
                            <w:rFonts w:ascii="宋体" w:hAnsi="宋体" w:cs="宋体" w:eastAsia="宋体" w:hint="default"/>
                            <w:sz w:val="18"/>
                            <w:szCs w:val="18"/>
                          </w:rPr>
                          <w:t>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7"/>
                          <w:jc w:val="left"/>
                          <w:rPr>
                            <w:rFonts w:ascii="宋体" w:hAnsi="宋体" w:cs="宋体" w:eastAsia="宋体" w:hint="default"/>
                            <w:sz w:val="18"/>
                            <w:szCs w:val="18"/>
                          </w:rPr>
                        </w:pPr>
                        <w:r>
                          <w:rPr>
                            <w:rFonts w:ascii="宋体" w:hAnsi="宋体" w:cs="宋体" w:eastAsia="宋体" w:hint="default"/>
                            <w:sz w:val="18"/>
                            <w:szCs w:val="18"/>
                          </w:rPr>
                          <w:t>以上募集 资金金额</w:t>
                        </w:r>
                      </w:p>
                    </w:tc>
                  </w:tr>
                  <w:tr>
                    <w:trPr>
                      <w:trHeight w:val="102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52,390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336.6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43,555.65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24,337.95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户银行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39,749.02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户银行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151,160.19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10,437.46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93,743.76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56,026.4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户银行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243,550.19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10,774.06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177,048.43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80,364.35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183.02</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886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年度非公开发行股票：经中国证券监督管理委员会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1195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文件许可，公司于</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月向 特定投资者非公开发行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51,362,745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，每股发行认购价格为人民币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10.20 </w:t>
                        </w:r>
                        <w:r>
                          <w:rPr>
                            <w:rFonts w:ascii="宋体" w:hAnsi="宋体" w:cs="宋体" w:eastAsia="宋体" w:hint="default"/>
                            <w:sz w:val="18"/>
                            <w:szCs w:val="18"/>
                          </w:rPr>
                          <w:t>元，本次发行募集资金总额</w:t>
                        </w:r>
                      </w:p>
                      <w:p>
                        <w:pPr>
                          <w:pStyle w:val="TableParagraph"/>
                          <w:spacing w:line="240" w:lineRule="auto" w:before="1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523,899,999.00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元，扣除发行费用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29,046,120.59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元后，实际募集资金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494,853,878.41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元。以上募集资金到位情况于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日业经立信会计师事务所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出具的信会师报字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310518</w:t>
                        </w:r>
                        <w:r>
                          <w:rPr>
                            <w:rFonts w:ascii="Times New Roman" w:hAnsi="Times New Roman" w:cs="Times New Roman" w:eastAsia="Times New Roman" w:hint="default"/>
                            <w:spacing w:val="2"/>
                            <w:sz w:val="18"/>
                            <w:szCs w:val="18"/>
                          </w:rPr>
                          <w:t> </w:t>
                        </w:r>
                        <w:r>
                          <w:rPr>
                            <w:rFonts w:ascii="宋体" w:hAnsi="宋体" w:cs="宋体" w:eastAsia="宋体" w:hint="default"/>
                            <w:spacing w:val="-15"/>
                            <w:sz w:val="18"/>
                            <w:szCs w:val="18"/>
                          </w:rPr>
                          <w:t>号《验资报告》验证确认。截止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日，公司累计投入募集资金投资项目总额人民币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50,927.86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万元（其中，公司累计投入募集资金投资项目总额</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43,555.65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万元，变更部分募集资金用途并永久补充流动资金金额为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7,372.21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万元，其中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年度募集资金投入项</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目金额为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336.60 </w:t>
                        </w:r>
                        <w:r>
                          <w:rPr>
                            <w:rFonts w:ascii="宋体" w:hAnsi="宋体" w:cs="宋体" w:eastAsia="宋体" w:hint="default"/>
                            <w:sz w:val="18"/>
                            <w:szCs w:val="18"/>
                          </w:rPr>
                          <w:t>万元。扣除上述已使用资金后，公司募集资金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日应存余额为人民币</w:t>
                        </w:r>
                        <w:r>
                          <w:rPr>
                            <w:rFonts w:ascii="Times New Roman" w:hAnsi="Times New Roman" w:cs="Times New Roman" w:eastAsia="Times New Roman" w:hint="default"/>
                            <w:sz w:val="18"/>
                            <w:szCs w:val="18"/>
                          </w:rPr>
                          <w:t>-1,442.47 </w:t>
                        </w:r>
                        <w:r>
                          <w:rPr>
                            <w:rFonts w:ascii="宋体" w:hAnsi="宋体" w:cs="宋体" w:eastAsia="宋体" w:hint="default"/>
                            <w:sz w:val="18"/>
                            <w:szCs w:val="18"/>
                          </w:rPr>
                          <w:t>万元，公司</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的募集资金存储专户实际余额为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万元，实际余额比应存余额多人民币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1,450.37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万元，系银行存款利息收入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1,451.91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元扣除银行手续费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万元后的净额。</w:t>
                        </w:r>
                      </w:p>
                      <w:p>
                        <w:pPr>
                          <w:pStyle w:val="TableParagraph"/>
                          <w:spacing w:line="300" w:lineRule="auto" w:before="103"/>
                          <w:ind w:left="24"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年面向合格投资者公开发行公司债：经中国证券监督管理委员会《关于核准深圳市证通电子股份有限公司向合格 投资者公开发行公司债券的批复》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[2015]2035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月向合格投资者分两期公开发行公司</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债，债券面值为人民币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元，债券期限为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年。本次发行公司债共募集资金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40,000.00 </w:t>
                        </w:r>
                        <w:r>
                          <w:rPr>
                            <w:rFonts w:ascii="宋体" w:hAnsi="宋体" w:cs="宋体" w:eastAsia="宋体" w:hint="default"/>
                            <w:sz w:val="18"/>
                            <w:szCs w:val="18"/>
                          </w:rPr>
                          <w:t>万元，扣除承销、律师和评估费</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用后募集资金净额为人民币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39,663.00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年面向合格投资者公开发行公司债券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的募集资金到位情况</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业经中勤万信会计师事务所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验证，并出具了勤信验字【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年面向合格 投资者公开发行公司债券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第二期</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的募集资金到位情况业经中勤万信会计师事务所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验证，并出具了勤信验 </w:t>
                        </w:r>
                        <w:r>
                          <w:rPr>
                            <w:rFonts w:ascii="宋体" w:hAnsi="宋体" w:cs="宋体" w:eastAsia="宋体" w:hint="default"/>
                            <w:spacing w:val="-4"/>
                            <w:sz w:val="18"/>
                            <w:szCs w:val="18"/>
                          </w:rPr>
                          <w:t>字【</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日，公司分别完成</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证通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证通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公司债券回</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售部分本金和利息的支付工作，剩余托管数量合计为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张，剩余托管金额合计为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200,000,000.00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元。根据本公司公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年公司债券募集说明书，本次发行公司债券的募集资金全部用于偿还银行借款、补充流动资金等用途。截止</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日，公司已使用募集资金用于偿还银行借款、补充公司流动资金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39,749.02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万元。扣除上述已使用资金后</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日应存余额为人民币</w:t>
                        </w:r>
                        <w:r>
                          <w:rPr>
                            <w:rFonts w:ascii="Times New Roman" w:hAnsi="Times New Roman" w:cs="Times New Roman" w:eastAsia="Times New Roman" w:hint="default"/>
                            <w:sz w:val="18"/>
                            <w:szCs w:val="18"/>
                          </w:rPr>
                          <w:t>-86.02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万元，公司的募集资金存储专户实际余额为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15.22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万元，实际余</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额比应存余额多人民币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101.24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万元，该差额包含银行存款利息等收入扣除银行手续费后的净额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44.24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万元，公司尚未从募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集资金账户中转出的律师费和评估师费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101"/>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年度非公开发行股票：经中国证券监督管理委员会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1348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文件许可，公司于</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月向 特定投资者非公开发行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93,888,316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，每股发行认购价格为人民币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16.10 </w:t>
                        </w:r>
                        <w:r>
                          <w:rPr>
                            <w:rFonts w:ascii="宋体" w:hAnsi="宋体" w:cs="宋体" w:eastAsia="宋体" w:hint="default"/>
                            <w:sz w:val="18"/>
                            <w:szCs w:val="18"/>
                          </w:rPr>
                          <w:t>元，本次发行募集资金总额</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1,511,601,887.60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34,351,175.42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含可抵扣增值税进项税额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1,943,737.76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后，募集资金净额为</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1,477,250,712.18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元。募集资金净额加上本次非公开发行股票发行费用可抵扣的增值税进项税额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1,943,737.76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元，实际总募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1,479,194,449.94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元。以上募集资金到位情况于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日业经中勤万信会计师事务所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3"/>
                            <w:sz w:val="18"/>
                            <w:szCs w:val="18"/>
                          </w:rPr>
                          <w:t>普通合伙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验证，并出具了勤信验字【</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号验资报告。截止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日，公司累计投入募集资金投资项</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44"/>
        <w:ind w:left="0" w:right="1143"/>
        <w:jc w:val="right"/>
      </w:pPr>
      <w:r>
        <w:rPr/>
        <w:t>，</w:t>
      </w:r>
    </w:p>
    <w:p>
      <w:pPr>
        <w:spacing w:after="0" w:line="240" w:lineRule="auto"/>
        <w:jc w:val="right"/>
        <w:sectPr>
          <w:pgSz w:w="11910" w:h="16840"/>
          <w:pgMar w:header="745" w:footer="979" w:top="1060" w:bottom="1160" w:left="980" w:right="0"/>
        </w:sectPr>
      </w:pPr>
    </w:p>
    <w:p>
      <w:pPr>
        <w:spacing w:line="240" w:lineRule="auto" w:before="11"/>
        <w:rPr>
          <w:rFonts w:ascii="宋体" w:hAnsi="宋体" w:cs="宋体" w:eastAsia="宋体" w:hint="default"/>
          <w:sz w:val="28"/>
          <w:szCs w:val="28"/>
        </w:rPr>
      </w:pPr>
    </w:p>
    <w:p>
      <w:pPr>
        <w:spacing w:line="2234" w:lineRule="exact"/>
        <w:ind w:left="152" w:right="0" w:firstLine="0"/>
        <w:rPr>
          <w:rFonts w:ascii="宋体" w:hAnsi="宋体" w:cs="宋体" w:eastAsia="宋体" w:hint="default"/>
          <w:sz w:val="20"/>
          <w:szCs w:val="20"/>
        </w:rPr>
      </w:pPr>
      <w:r>
        <w:rPr>
          <w:rFonts w:ascii="宋体" w:hAnsi="宋体" w:cs="宋体" w:eastAsia="宋体" w:hint="default"/>
          <w:position w:val="-44"/>
          <w:sz w:val="20"/>
          <w:szCs w:val="20"/>
        </w:rPr>
        <w:pict>
          <v:shape style="width:478.3pt;height:111.75pt;mso-position-horizontal-relative:char;mso-position-vertical-relative:line" type="#_x0000_t202" filled="false" stroked="true" strokeweight=".48004pt" strokecolor="#000000">
            <w10:anchorlock/>
            <v:textbox inset="0,0,0,0">
              <w:txbxContent>
                <w:p>
                  <w:pPr>
                    <w:pStyle w:val="BodyText"/>
                    <w:spacing w:line="309" w:lineRule="auto" w:before="8"/>
                    <w:ind w:left="23" w:right="26"/>
                    <w:jc w:val="both"/>
                    <w:rPr>
                      <w:rFonts w:ascii="Times New Roman" w:hAnsi="Times New Roman" w:cs="Times New Roman" w:eastAsia="Times New Roman" w:hint="default"/>
                    </w:rPr>
                  </w:pPr>
                  <w:r>
                    <w:rPr/>
                    <w:t>目总额为人民币</w:t>
                  </w:r>
                  <w:r>
                    <w:rPr>
                      <w:spacing w:val="-46"/>
                    </w:rPr>
                    <w:t> </w:t>
                  </w:r>
                  <w:r>
                    <w:rPr>
                      <w:rFonts w:ascii="Times New Roman" w:hAnsi="Times New Roman" w:cs="Times New Roman" w:eastAsia="Times New Roman" w:hint="default"/>
                    </w:rPr>
                    <w:t>93,743.76</w:t>
                  </w:r>
                  <w:r>
                    <w:rPr>
                      <w:rFonts w:ascii="Times New Roman" w:hAnsi="Times New Roman" w:cs="Times New Roman" w:eastAsia="Times New Roman" w:hint="default"/>
                      <w:spacing w:val="-1"/>
                    </w:rPr>
                    <w:t> </w:t>
                  </w:r>
                  <w:r>
                    <w:rPr/>
                    <w:t>万元，其中</w:t>
                  </w:r>
                  <w:r>
                    <w:rPr>
                      <w:spacing w:val="-46"/>
                    </w:rPr>
                    <w:t> </w:t>
                  </w:r>
                  <w:r>
                    <w:rPr>
                      <w:rFonts w:ascii="Times New Roman" w:hAnsi="Times New Roman" w:cs="Times New Roman" w:eastAsia="Times New Roman" w:hint="default"/>
                    </w:rPr>
                    <w:t>2019 </w:t>
                  </w:r>
                  <w:r>
                    <w:rPr/>
                    <w:t>年度募集资金投入项目金额为</w:t>
                  </w:r>
                  <w:r>
                    <w:rPr>
                      <w:spacing w:val="-47"/>
                    </w:rPr>
                    <w:t> </w:t>
                  </w:r>
                  <w:r>
                    <w:rPr>
                      <w:rFonts w:ascii="Times New Roman" w:hAnsi="Times New Roman" w:cs="Times New Roman" w:eastAsia="Times New Roman" w:hint="default"/>
                    </w:rPr>
                    <w:t>10,437.46 </w:t>
                  </w:r>
                  <w:r>
                    <w:rPr/>
                    <w:t>万元。</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月，公司</w:t>
                  </w:r>
                  <w:r>
                    <w:rPr>
                      <w:spacing w:val="-47"/>
                    </w:rPr>
                    <w:t> </w:t>
                  </w:r>
                  <w:r>
                    <w:rPr>
                      <w:rFonts w:ascii="Times New Roman" w:hAnsi="Times New Roman" w:cs="Times New Roman" w:eastAsia="Times New Roman" w:hint="default"/>
                    </w:rPr>
                    <w:t>2018 </w:t>
                  </w:r>
                  <w:r>
                    <w:rPr/>
                    <w:t>年第 </w:t>
                  </w:r>
                  <w:r>
                    <w:rPr>
                      <w:spacing w:val="-2"/>
                    </w:rPr>
                    <w:t>四次临时股东大会审议通过《关于公司变更部分募集资金用途并永久补充流动资金的议案》，会议同意公司变更部分募集</w:t>
                  </w:r>
                  <w:r>
                    <w:rPr>
                      <w:spacing w:val="-73"/>
                    </w:rPr>
                    <w:t> </w:t>
                  </w:r>
                  <w:r>
                    <w:rPr>
                      <w:spacing w:val="-73"/>
                    </w:rPr>
                  </w:r>
                  <w:r>
                    <w:rPr/>
                    <w:t>资金用途并永久补充流动资金，变更部分募集资金金额总计 </w:t>
                  </w:r>
                  <w:r>
                    <w:rPr>
                      <w:rFonts w:ascii="Times New Roman" w:hAnsi="Times New Roman" w:cs="Times New Roman" w:eastAsia="Times New Roman" w:hint="default"/>
                    </w:rPr>
                    <w:t>56,026.40  </w:t>
                  </w:r>
                  <w:r>
                    <w:rPr/>
                    <w:t>万元及募集资金账户产生的利息收入。截止</w:t>
                  </w:r>
                  <w:r>
                    <w:rPr>
                      <w:spacing w:val="-44"/>
                    </w:rPr>
                    <w:t> </w:t>
                  </w:r>
                  <w:r>
                    <w:rPr>
                      <w:rFonts w:ascii="Times New Roman" w:hAnsi="Times New Roman" w:cs="Times New Roman" w:eastAsia="Times New Roman" w:hint="default"/>
                    </w:rPr>
                    <w:t>2019</w:t>
                  </w:r>
                </w:p>
                <w:p>
                  <w:pPr>
                    <w:pStyle w:val="BodyText"/>
                    <w:spacing w:line="240" w:lineRule="auto" w:before="5"/>
                    <w:ind w:left="23" w:right="0"/>
                    <w:jc w:val="both"/>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日累计变更部分募集资金用途并永久补充流动资金金额为</w:t>
                  </w:r>
                  <w:r>
                    <w:rPr>
                      <w:spacing w:val="-46"/>
                    </w:rPr>
                    <w:t> </w:t>
                  </w:r>
                  <w:r>
                    <w:rPr>
                      <w:rFonts w:ascii="Times New Roman" w:hAnsi="Times New Roman" w:cs="Times New Roman" w:eastAsia="Times New Roman" w:hint="default"/>
                    </w:rPr>
                    <w:t>56,026.40</w:t>
                  </w:r>
                  <w:r>
                    <w:rPr>
                      <w:rFonts w:ascii="Times New Roman" w:hAnsi="Times New Roman" w:cs="Times New Roman" w:eastAsia="Times New Roman" w:hint="default"/>
                      <w:spacing w:val="42"/>
                    </w:rPr>
                    <w:t> </w:t>
                  </w:r>
                  <w:r>
                    <w:rPr/>
                    <w:t>万元及募集资金账户产生的利息收入</w:t>
                  </w:r>
                </w:p>
                <w:p>
                  <w:pPr>
                    <w:pStyle w:val="BodyText"/>
                    <w:spacing w:line="240" w:lineRule="auto" w:before="63"/>
                    <w:ind w:left="23" w:right="0"/>
                    <w:jc w:val="both"/>
                  </w:pPr>
                  <w:r>
                    <w:rPr>
                      <w:rFonts w:ascii="Times New Roman" w:hAnsi="Times New Roman" w:cs="Times New Roman" w:eastAsia="Times New Roman" w:hint="default"/>
                    </w:rPr>
                    <w:t>271.48</w:t>
                  </w:r>
                  <w:r>
                    <w:rPr>
                      <w:rFonts w:ascii="Times New Roman" w:hAnsi="Times New Roman" w:cs="Times New Roman" w:eastAsia="Times New Roman" w:hint="default"/>
                      <w:spacing w:val="-6"/>
                    </w:rPr>
                    <w:t> </w:t>
                  </w:r>
                  <w:r>
                    <w:rPr/>
                    <w:t>万元。扣除上述已使用资金后，公司募集资金</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日应存余额为人民币</w:t>
                  </w:r>
                  <w:r>
                    <w:rPr>
                      <w:rFonts w:ascii="Times New Roman" w:hAnsi="Times New Roman" w:cs="Times New Roman" w:eastAsia="Times New Roman" w:hint="default"/>
                    </w:rPr>
                    <w:t>-2,122.20</w:t>
                  </w:r>
                  <w:r>
                    <w:rPr>
                      <w:rFonts w:ascii="Times New Roman" w:hAnsi="Times New Roman" w:cs="Times New Roman" w:eastAsia="Times New Roman" w:hint="default"/>
                      <w:spacing w:val="-5"/>
                    </w:rPr>
                    <w:t> </w:t>
                  </w:r>
                  <w:r>
                    <w:rPr/>
                    <w:t>万元，公司的募集资金</w:t>
                  </w:r>
                </w:p>
                <w:p>
                  <w:pPr>
                    <w:pStyle w:val="BodyText"/>
                    <w:spacing w:line="240" w:lineRule="auto" w:before="63"/>
                    <w:ind w:left="23" w:right="0"/>
                    <w:jc w:val="both"/>
                  </w:pPr>
                  <w:r>
                    <w:rPr/>
                    <w:t>存储专户实际余额为</w:t>
                  </w:r>
                  <w:r>
                    <w:rPr>
                      <w:spacing w:val="-47"/>
                    </w:rPr>
                    <w:t> </w:t>
                  </w:r>
                  <w:r>
                    <w:rPr>
                      <w:rFonts w:ascii="Times New Roman" w:hAnsi="Times New Roman" w:cs="Times New Roman" w:eastAsia="Times New Roman" w:hint="default"/>
                    </w:rPr>
                    <w:t>159.90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实际余额比应存余额多人民币</w:t>
                  </w:r>
                  <w:r>
                    <w:rPr>
                      <w:spacing w:val="-47"/>
                    </w:rPr>
                    <w:t> </w:t>
                  </w:r>
                  <w:r>
                    <w:rPr>
                      <w:rFonts w:ascii="Times New Roman" w:hAnsi="Times New Roman" w:cs="Times New Roman" w:eastAsia="Times New Roman" w:hint="default"/>
                    </w:rPr>
                    <w:t>2,282.10 </w:t>
                  </w:r>
                  <w:r>
                    <w:rPr/>
                    <w:t>万元，系银行存款利息收入</w:t>
                  </w:r>
                  <w:r>
                    <w:rPr>
                      <w:spacing w:val="-47"/>
                    </w:rPr>
                    <w:t> </w:t>
                  </w:r>
                  <w:r>
                    <w:rPr>
                      <w:rFonts w:ascii="Times New Roman" w:hAnsi="Times New Roman" w:cs="Times New Roman" w:eastAsia="Times New Roman" w:hint="default"/>
                    </w:rPr>
                    <w:t>2,321.50</w:t>
                  </w:r>
                  <w:r>
                    <w:rPr>
                      <w:rFonts w:ascii="Times New Roman" w:hAnsi="Times New Roman" w:cs="Times New Roman" w:eastAsia="Times New Roman" w:hint="default"/>
                      <w:spacing w:val="-1"/>
                    </w:rPr>
                    <w:t> </w:t>
                  </w:r>
                  <w:r>
                    <w:rPr/>
                    <w:t>万元扣除银</w:t>
                  </w:r>
                </w:p>
                <w:p>
                  <w:pPr>
                    <w:pStyle w:val="BodyText"/>
                    <w:spacing w:line="240" w:lineRule="auto" w:before="63"/>
                    <w:ind w:left="23" w:right="0"/>
                    <w:jc w:val="both"/>
                  </w:pPr>
                  <w:r>
                    <w:rPr/>
                    <w:t>行手续费</w:t>
                  </w:r>
                  <w:r>
                    <w:rPr>
                      <w:spacing w:val="-47"/>
                    </w:rPr>
                    <w:t> </w:t>
                  </w:r>
                  <w:r>
                    <w:rPr>
                      <w:rFonts w:ascii="Times New Roman" w:hAnsi="Times New Roman" w:cs="Times New Roman" w:eastAsia="Times New Roman" w:hint="default"/>
                    </w:rPr>
                    <w:t>39.40</w:t>
                  </w:r>
                  <w:r>
                    <w:rPr>
                      <w:rFonts w:ascii="Times New Roman" w:hAnsi="Times New Roman" w:cs="Times New Roman" w:eastAsia="Times New Roman" w:hint="default"/>
                      <w:spacing w:val="-1"/>
                    </w:rPr>
                    <w:t> </w:t>
                  </w:r>
                  <w:r>
                    <w:rPr/>
                    <w:t>万元后的净额。</w:t>
                  </w:r>
                </w:p>
              </w:txbxContent>
            </v:textbox>
          </v:shape>
        </w:pict>
      </w:r>
      <w:r>
        <w:rPr>
          <w:rFonts w:ascii="宋体" w:hAnsi="宋体" w:cs="宋体" w:eastAsia="宋体" w:hint="default"/>
          <w:position w:val="-44"/>
          <w:sz w:val="20"/>
          <w:szCs w:val="20"/>
        </w:rPr>
      </w:r>
    </w:p>
    <w:p>
      <w:pPr>
        <w:spacing w:line="240" w:lineRule="auto" w:before="8"/>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96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万台符合中</w:t>
            </w:r>
            <w:r>
              <w:rPr>
                <w:rFonts w:ascii="宋体" w:hAnsi="宋体" w:cs="宋体" w:eastAsia="宋体" w:hint="default"/>
                <w:w w:val="99"/>
                <w:sz w:val="18"/>
                <w:szCs w:val="18"/>
              </w:rPr>
              <w:t> </w:t>
            </w:r>
            <w:r>
              <w:rPr>
                <w:rFonts w:ascii="宋体" w:hAnsi="宋体" w:cs="宋体" w:eastAsia="宋体" w:hint="default"/>
                <w:sz w:val="18"/>
                <w:szCs w:val="18"/>
              </w:rPr>
              <w:t>国人民银行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新标准的金融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终端产能建设项 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 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9,589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年产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万台惠农通</w:t>
            </w:r>
            <w:r>
              <w:rPr>
                <w:rFonts w:ascii="宋体" w:hAnsi="宋体" w:cs="宋体" w:eastAsia="宋体" w:hint="default"/>
                <w:w w:val="99"/>
                <w:sz w:val="18"/>
                <w:szCs w:val="18"/>
              </w:rPr>
              <w:t> </w:t>
            </w:r>
            <w:r>
              <w:rPr>
                <w:rFonts w:ascii="宋体" w:hAnsi="宋体" w:cs="宋体" w:eastAsia="宋体" w:hint="default"/>
                <w:sz w:val="18"/>
                <w:szCs w:val="18"/>
              </w:rPr>
              <w:t>农村电子商务专用终</w:t>
            </w:r>
            <w:r>
              <w:rPr>
                <w:rFonts w:ascii="宋体" w:hAnsi="宋体" w:cs="宋体" w:eastAsia="宋体" w:hint="default"/>
                <w:w w:val="99"/>
                <w:sz w:val="18"/>
                <w:szCs w:val="18"/>
              </w:rPr>
              <w:t> </w:t>
            </w:r>
            <w:r>
              <w:rPr>
                <w:rFonts w:ascii="宋体" w:hAnsi="宋体" w:cs="宋体" w:eastAsia="宋体" w:hint="default"/>
                <w:spacing w:val="-8"/>
                <w:w w:val="99"/>
                <w:sz w:val="18"/>
                <w:szCs w:val="18"/>
              </w:rPr>
              <w:t>端产能建设项目（</w:t>
            </w:r>
            <w:r>
              <w:rPr>
                <w:rFonts w:ascii="Times New Roman" w:hAnsi="Times New Roman" w:cs="Times New Roman" w:eastAsia="Times New Roman" w:hint="default"/>
                <w:spacing w:val="-8"/>
                <w:w w:val="99"/>
                <w:sz w:val="18"/>
                <w:szCs w:val="18"/>
              </w:rPr>
              <w:t>2013</w:t>
            </w:r>
            <w:r>
              <w:rPr>
                <w:rFonts w:ascii="Times New Roman" w:hAnsi="Times New Roman" w:cs="Times New Roman" w:eastAsia="Times New Roman" w:hint="default"/>
                <w:spacing w:val="-36"/>
                <w:w w:val="99"/>
                <w:sz w:val="18"/>
                <w:szCs w:val="18"/>
              </w:rPr>
              <w:t> </w:t>
            </w:r>
            <w:r>
              <w:rPr>
                <w:rFonts w:ascii="Times New Roman" w:hAnsi="Times New Roman" w:cs="Times New Roman" w:eastAsia="Times New Roman" w:hint="default"/>
                <w:spacing w:val="-36"/>
                <w:w w:val="99"/>
                <w:sz w:val="18"/>
                <w:szCs w:val="18"/>
              </w:rPr>
            </w:r>
            <w:r>
              <w:rPr>
                <w:rFonts w:ascii="宋体" w:hAnsi="宋体" w:cs="宋体" w:eastAsia="宋体" w:hint="default"/>
                <w:sz w:val="18"/>
                <w:szCs w:val="18"/>
              </w:rPr>
              <w:t>年度非公开发行）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7,656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证通电子大数据云</w:t>
            </w:r>
            <w:r>
              <w:rPr>
                <w:rFonts w:ascii="宋体" w:hAnsi="宋体" w:cs="宋体" w:eastAsia="宋体" w:hint="default"/>
                <w:w w:val="99"/>
                <w:sz w:val="18"/>
                <w:szCs w:val="18"/>
              </w:rPr>
              <w:t> </w:t>
            </w:r>
            <w:r>
              <w:rPr>
                <w:rFonts w:ascii="宋体" w:hAnsi="宋体" w:cs="宋体" w:eastAsia="宋体" w:hint="default"/>
                <w:sz w:val="18"/>
                <w:szCs w:val="18"/>
              </w:rPr>
              <w:t>计算产业园（光明云</w:t>
            </w:r>
            <w:r>
              <w:rPr>
                <w:rFonts w:ascii="宋体" w:hAnsi="宋体" w:cs="宋体" w:eastAsia="宋体" w:hint="default"/>
                <w:w w:val="99"/>
                <w:sz w:val="18"/>
                <w:szCs w:val="18"/>
              </w:rPr>
              <w:t> </w:t>
            </w:r>
            <w:r>
              <w:rPr>
                <w:rFonts w:ascii="宋体" w:hAnsi="宋体" w:cs="宋体" w:eastAsia="宋体" w:hint="default"/>
                <w:sz w:val="18"/>
                <w:szCs w:val="18"/>
              </w:rPr>
              <w:t>谷）项目（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w w:val="99"/>
                <w:sz w:val="18"/>
                <w:szCs w:val="18"/>
              </w:rPr>
              <w:t> </w:t>
            </w:r>
            <w:r>
              <w:rPr>
                <w:rFonts w:ascii="宋体" w:hAnsi="宋体" w:cs="宋体" w:eastAsia="宋体" w:hint="default"/>
                <w:sz w:val="18"/>
                <w:szCs w:val="18"/>
              </w:rPr>
              <w:t>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18,103.24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104.98%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2,515.61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万台自助服</w:t>
            </w:r>
            <w:r>
              <w:rPr>
                <w:rFonts w:ascii="宋体" w:hAnsi="宋体" w:cs="宋体" w:eastAsia="宋体" w:hint="default"/>
                <w:w w:val="99"/>
                <w:sz w:val="18"/>
                <w:szCs w:val="18"/>
              </w:rPr>
              <w:t> </w:t>
            </w:r>
            <w:r>
              <w:rPr>
                <w:rFonts w:ascii="宋体" w:hAnsi="宋体" w:cs="宋体" w:eastAsia="宋体" w:hint="default"/>
                <w:sz w:val="18"/>
                <w:szCs w:val="18"/>
              </w:rPr>
              <w:t>务终端产能扩建项目</w:t>
            </w:r>
          </w:p>
          <w:p>
            <w:pPr>
              <w:pStyle w:val="TableParagraph"/>
              <w:spacing w:line="300" w:lineRule="auto" w:before="33"/>
              <w:ind w:left="24" w:right="6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 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7,119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5,209.61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5,209.61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1,043.55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研发中心扩建项目</w:t>
            </w:r>
          </w:p>
          <w:p>
            <w:pPr>
              <w:pStyle w:val="TableParagraph"/>
              <w:spacing w:line="300" w:lineRule="auto" w:before="63"/>
              <w:ind w:left="24" w:right="6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 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7,820.97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104.06%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支付卡行业安全芯</w:t>
            </w:r>
            <w:r>
              <w:rPr>
                <w:rFonts w:ascii="宋体" w:hAnsi="宋体" w:cs="宋体" w:eastAsia="宋体" w:hint="default"/>
                <w:w w:val="99"/>
                <w:sz w:val="18"/>
                <w:szCs w:val="18"/>
              </w:rPr>
              <w:t> </w:t>
            </w:r>
            <w:r>
              <w:rPr>
                <w:rFonts w:ascii="宋体" w:hAnsi="宋体" w:cs="宋体" w:eastAsia="宋体" w:hint="default"/>
                <w:sz w:val="18"/>
                <w:szCs w:val="18"/>
              </w:rPr>
              <w:t>片项目（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w:t>
            </w:r>
            <w:r>
              <w:rPr>
                <w:rFonts w:ascii="宋体" w:hAnsi="宋体" w:cs="宋体" w:eastAsia="宋体" w:hint="default"/>
                <w:w w:val="99"/>
                <w:sz w:val="18"/>
                <w:szCs w:val="18"/>
              </w:rPr>
              <w:t> </w:t>
            </w:r>
            <w:r>
              <w:rPr>
                <w:rFonts w:ascii="宋体" w:hAnsi="宋体" w:cs="宋体" w:eastAsia="宋体" w:hint="default"/>
                <w:sz w:val="18"/>
                <w:szCs w:val="18"/>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326.44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45.460007pt;margin-top:131.059982pt;width:38.4pt;height:28pt;mso-position-horizontal-relative:page;mso-position-vertical-relative:page;z-index:-1321144" coordorigin="2909,2621" coordsize="768,560">
            <v:group style="position:absolute;left:2921;top:2633;width:2;height:392" coordorigin="2921,2633" coordsize="2,392">
              <v:shape style="position:absolute;left:2921;top:2633;width:2;height:392" coordorigin="2921,2633" coordsize="0,392" path="m2921,2633l2921,3024e" filled="false" stroked="true" strokeweight="1.2pt" strokecolor="#ffffff">
                <v:path arrowok="t"/>
              </v:shape>
            </v:group>
            <v:group style="position:absolute;left:2909;top:3024;width:768;height:156" coordorigin="2909,3024" coordsize="768,156">
              <v:shape style="position:absolute;left:2909;top:3024;width:768;height:156" coordorigin="2909,3024" coordsize="768,156" path="m2909,3180l3677,3180,3677,3024,2909,3024,2909,3180xe" filled="true" fillcolor="#ffffff" stroked="false">
                <v:path arrowok="t"/>
                <v:fill type="solid"/>
              </v:shape>
            </v:group>
            <v:group style="position:absolute;left:2933;top:2633;width:723;height:392" coordorigin="2933,2633" coordsize="723,392">
              <v:shape style="position:absolute;left:2933;top:2633;width:723;height:392" coordorigin="2933,2633" coordsize="723,392" path="m2933,3024l3656,3024,3656,2633,2933,2633,2933,302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偿还银行贷款及补</w:t>
            </w:r>
            <w:r>
              <w:rPr>
                <w:rFonts w:ascii="宋体" w:hAnsi="宋体" w:cs="宋体" w:eastAsia="宋体" w:hint="default"/>
                <w:w w:val="99"/>
                <w:sz w:val="18"/>
                <w:szCs w:val="18"/>
              </w:rPr>
              <w:t> </w:t>
            </w:r>
            <w:r>
              <w:rPr>
                <w:rFonts w:ascii="宋体" w:hAnsi="宋体" w:cs="宋体" w:eastAsia="宋体" w:hint="default"/>
                <w:spacing w:val="-8"/>
                <w:w w:val="99"/>
                <w:sz w:val="18"/>
                <w:szCs w:val="18"/>
              </w:rPr>
              <w:t>充流动资金项目（</w:t>
            </w:r>
            <w:r>
              <w:rPr>
                <w:rFonts w:ascii="Times New Roman" w:hAnsi="Times New Roman" w:cs="Times New Roman" w:eastAsia="Times New Roman" w:hint="default"/>
                <w:spacing w:val="-8"/>
                <w:w w:val="99"/>
                <w:sz w:val="18"/>
                <w:szCs w:val="18"/>
              </w:rPr>
              <w:t>2013</w:t>
            </w:r>
            <w:r>
              <w:rPr>
                <w:rFonts w:ascii="Times New Roman" w:hAnsi="Times New Roman" w:cs="Times New Roman" w:eastAsia="Times New Roman" w:hint="default"/>
                <w:spacing w:val="-36"/>
                <w:w w:val="99"/>
                <w:sz w:val="18"/>
                <w:szCs w:val="18"/>
              </w:rPr>
              <w:t> </w:t>
            </w:r>
            <w:r>
              <w:rPr>
                <w:rFonts w:ascii="Times New Roman" w:hAnsi="Times New Roman" w:cs="Times New Roman" w:eastAsia="Times New Roman" w:hint="default"/>
                <w:spacing w:val="-36"/>
                <w:w w:val="99"/>
                <w:sz w:val="18"/>
                <w:szCs w:val="18"/>
              </w:rPr>
            </w:r>
            <w:r>
              <w:rPr>
                <w:rFonts w:ascii="宋体" w:hAnsi="宋体" w:cs="宋体" w:eastAsia="宋体" w:hint="default"/>
                <w:sz w:val="18"/>
                <w:szCs w:val="18"/>
              </w:rPr>
              <w:t>年度非公开发行）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12,095.39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12,095.39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）偿还银行贷款及补 充流动资金（公司债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195"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39,749.02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长沙云谷数据中心</w:t>
            </w:r>
            <w:r>
              <w:rPr>
                <w:rFonts w:ascii="宋体" w:hAnsi="宋体" w:cs="宋体" w:eastAsia="宋体" w:hint="default"/>
                <w:w w:val="99"/>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w:t>
            </w:r>
            <w:r>
              <w:rPr>
                <w:rFonts w:ascii="宋体" w:hAnsi="宋体" w:cs="宋体" w:eastAsia="宋体" w:hint="default"/>
                <w:w w:val="99"/>
                <w:sz w:val="18"/>
                <w:szCs w:val="18"/>
              </w:rPr>
              <w:t> </w:t>
            </w:r>
            <w:r>
              <w:rPr>
                <w:rFonts w:ascii="宋体" w:hAnsi="宋体" w:cs="宋体" w:eastAsia="宋体" w:hint="default"/>
                <w:sz w:val="18"/>
                <w:szCs w:val="18"/>
              </w:rPr>
              <w:t>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72,802.55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41,438.22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9,669.97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42,323.86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102.14%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388.28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证通长沙软件研发</w:t>
            </w:r>
            <w:r>
              <w:rPr>
                <w:rFonts w:ascii="宋体" w:hAnsi="宋体" w:cs="宋体" w:eastAsia="宋体" w:hint="default"/>
                <w:w w:val="99"/>
                <w:sz w:val="18"/>
                <w:szCs w:val="18"/>
              </w:rPr>
              <w:t> </w:t>
            </w:r>
            <w:r>
              <w:rPr>
                <w:rFonts w:ascii="宋体" w:hAnsi="宋体" w:cs="宋体" w:eastAsia="宋体" w:hint="default"/>
                <w:sz w:val="18"/>
                <w:szCs w:val="18"/>
              </w:rPr>
              <w:t>中心项目（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w:t>
            </w:r>
            <w:r>
              <w:rPr>
                <w:rFonts w:ascii="宋体" w:hAnsi="宋体" w:cs="宋体" w:eastAsia="宋体" w:hint="default"/>
                <w:w w:val="99"/>
                <w:sz w:val="18"/>
                <w:szCs w:val="18"/>
              </w:rPr>
              <w:t> </w:t>
            </w:r>
            <w:r>
              <w:rPr>
                <w:rFonts w:ascii="宋体" w:hAnsi="宋体" w:cs="宋体" w:eastAsia="宋体" w:hint="default"/>
                <w:sz w:val="18"/>
                <w:szCs w:val="18"/>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33,357.64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8,695.58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9,562.63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109.97%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偿还银行贷款及补 </w:t>
            </w:r>
            <w:r>
              <w:rPr>
                <w:rFonts w:ascii="宋体" w:hAnsi="宋体" w:cs="宋体" w:eastAsia="宋体" w:hint="default"/>
                <w:spacing w:val="-8"/>
                <w:sz w:val="18"/>
                <w:szCs w:val="18"/>
              </w:rPr>
              <w:t>充流动资金项目（</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41,759.25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41,857.27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243,550.1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174,285.4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10,774.06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177,048.4</w:t>
            </w:r>
          </w:p>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3,947.44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10,774.06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3,947.44</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138"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97" w:lineRule="auto" w:before="51"/>
              <w:ind w:left="16" w:right="17"/>
              <w:jc w:val="both"/>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万台自助服务终端产能扩建项目：受我国移动支付市场发展迅速及银行业转型等市场因素 的影响，自助终端市场增量放缓，尚未达到预计效益。</w:t>
            </w:r>
          </w:p>
          <w:p>
            <w:pPr>
              <w:pStyle w:val="TableParagraph"/>
              <w:spacing w:line="240" w:lineRule="auto" w:before="115"/>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、证通长沙软件研发中心项目：原计划达到预定可使用状态日期为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16"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年第四次临时股东大会审议通过了《关于公司变更部分募集资金用途并永久补 </w:t>
            </w:r>
            <w:r>
              <w:rPr>
                <w:rFonts w:ascii="宋体" w:hAnsi="宋体" w:cs="宋体" w:eastAsia="宋体" w:hint="default"/>
                <w:spacing w:val="-5"/>
                <w:sz w:val="18"/>
                <w:szCs w:val="18"/>
              </w:rPr>
              <w:t>充流动资金的议案》，经过谨慎的研究论证，公司将建设内容调整为建设公司长沙软件研发中心和运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营维护中心，调整后投入该项目的募集资金为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8,695.58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万元，实际建设结算额如超出上述募集资金</w:t>
            </w:r>
          </w:p>
          <w:p>
            <w:pPr>
              <w:pStyle w:val="TableParagraph"/>
              <w:spacing w:line="307" w:lineRule="auto" w:before="5"/>
              <w:ind w:left="16" w:right="19"/>
              <w:jc w:val="both"/>
              <w:rPr>
                <w:rFonts w:ascii="宋体" w:hAnsi="宋体" w:cs="宋体" w:eastAsia="宋体" w:hint="default"/>
                <w:sz w:val="18"/>
                <w:szCs w:val="18"/>
              </w:rPr>
            </w:pPr>
            <w:r>
              <w:rPr>
                <w:rFonts w:ascii="宋体" w:hAnsi="宋体" w:cs="宋体" w:eastAsia="宋体" w:hint="default"/>
                <w:spacing w:val="-11"/>
                <w:sz w:val="18"/>
                <w:szCs w:val="18"/>
              </w:rPr>
              <w:t>部分，由公司自有或自筹资金投入，截至</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6"/>
                <w:sz w:val="18"/>
                <w:szCs w:val="18"/>
              </w:rPr>
              <w:t> </w:t>
            </w:r>
            <w:r>
              <w:rPr>
                <w:rFonts w:ascii="宋体" w:hAnsi="宋体" w:cs="宋体" w:eastAsia="宋体" w:hint="default"/>
                <w:spacing w:val="-6"/>
                <w:sz w:val="18"/>
                <w:szCs w:val="18"/>
              </w:rPr>
              <w:t>日，该项目已累计使用募集资金投入</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9,562.63</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万元，使用募集资金的投资进度为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109.97%</w:t>
            </w:r>
            <w:r>
              <w:rPr>
                <w:rFonts w:ascii="宋体" w:hAnsi="宋体" w:cs="宋体" w:eastAsia="宋体" w:hint="default"/>
                <w:sz w:val="18"/>
                <w:szCs w:val="18"/>
              </w:rPr>
              <w:t>，项目尚未达到使用状态，公司根据周边配套投资建设 情况、市场环境现状及未来发展趋势的预判，继续以自有或自筹资金对该项目进行投入建设，预计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月建设完成。</w:t>
            </w:r>
          </w:p>
        </w:tc>
      </w:tr>
      <w:tr>
        <w:trPr>
          <w:trHeight w:val="101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113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629"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16" w:right="21"/>
              <w:jc w:val="both"/>
              <w:rPr>
                <w:rFonts w:ascii="宋体" w:hAnsi="宋体" w:cs="宋体" w:eastAsia="宋体" w:hint="default"/>
                <w:sz w:val="18"/>
                <w:szCs w:val="18"/>
              </w:rPr>
            </w:pPr>
            <w:r>
              <w:rPr>
                <w:rFonts w:ascii="宋体" w:hAnsi="宋体" w:cs="宋体" w:eastAsia="宋体" w:hint="default"/>
                <w:sz w:val="18"/>
                <w:szCs w:val="18"/>
              </w:rPr>
              <w:t>支付卡行业安全芯片项目：因为公司结合市场环境需求的变化及支付卡行业安全芯片项目的实际运 作情况，本着节约成本和经济效益最大化原则，在项目实际运营过程中，为充分利用内外部资源改 变了运作模式，由前期完全自购研发相关设备改成部分租用。经公司于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日召开的第</w:t>
            </w:r>
          </w:p>
          <w:p>
            <w:pPr>
              <w:pStyle w:val="TableParagraph"/>
              <w:spacing w:line="309" w:lineRule="auto"/>
              <w:ind w:left="16" w:right="23"/>
              <w:jc w:val="both"/>
              <w:rPr>
                <w:rFonts w:ascii="宋体" w:hAnsi="宋体" w:cs="宋体" w:eastAsia="宋体" w:hint="default"/>
                <w:sz w:val="18"/>
                <w:szCs w:val="18"/>
              </w:rPr>
            </w:pPr>
            <w:r>
              <w:rPr>
                <w:rFonts w:ascii="宋体" w:hAnsi="宋体" w:cs="宋体" w:eastAsia="宋体" w:hint="default"/>
                <w:sz w:val="18"/>
                <w:szCs w:val="18"/>
              </w:rPr>
              <w:t>三届董事会第二十六次会议和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年第四次临时股东大会审议通过，将 项目终止并将该募投项目节余的募集资金及利息用于永久补充流动资金。截至本公司将该项目募集 资金专户注销时，实际未使用募集资金及利息收入补充流动资金的金额为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5,258.91 </w:t>
            </w:r>
            <w:r>
              <w:rPr>
                <w:rFonts w:ascii="宋体" w:hAnsi="宋体" w:cs="宋体" w:eastAsia="宋体" w:hint="default"/>
                <w:sz w:val="18"/>
                <w:szCs w:val="18"/>
              </w:rPr>
              <w:t>万元。</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10" w:space="0" w:color="D2D2D2"/>
              <w:right w:val="single" w:sz="4" w:space="0" w:color="000000"/>
            </w:tcBorders>
          </w:tcPr>
          <w:p>
            <w:pPr/>
          </w:p>
        </w:tc>
      </w:tr>
      <w:tr>
        <w:trPr>
          <w:trHeight w:val="62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9.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03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终端产能建设项目和年产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万台惠农通农村电子商务专用终端产能 建设项目：公司于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日召开的第四届董事会第八次会议和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日召开的</w:t>
                        </w:r>
                      </w:p>
                      <w:p>
                        <w:pPr>
                          <w:pStyle w:val="TableParagraph"/>
                          <w:spacing w:line="300" w:lineRule="auto" w:before="15"/>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pacing w:val="-3"/>
                            <w:sz w:val="18"/>
                            <w:szCs w:val="18"/>
                          </w:rPr>
                          <w:t>年第五次临时股东大会审议通过《关于公司变更部分募集资金用途暨投资新项目的议案》，将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万台金融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终端产能建设项目和年产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万台惠农通农村电子商务专用终端产能建设 项目募集资金共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17,245.00 </w:t>
                        </w:r>
                        <w:r>
                          <w:rPr>
                            <w:rFonts w:ascii="宋体" w:hAnsi="宋体" w:cs="宋体" w:eastAsia="宋体" w:hint="default"/>
                            <w:sz w:val="18"/>
                            <w:szCs w:val="18"/>
                          </w:rPr>
                          <w:t>万元及其募集资金账户利息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642.41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万元全部用于新项目证通电子大数据 云计算产业园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光明云谷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项目建设，原有项目全部变更为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以公司自有资金投入</w:t>
                        </w:r>
                        <w:r>
                          <w:rPr>
                            <w:rFonts w:ascii="Times New Roman" w:hAnsi="Times New Roman" w:cs="Times New Roman" w:eastAsia="Times New Roman" w:hint="default"/>
                            <w:sz w:val="18"/>
                            <w:szCs w:val="18"/>
                          </w:rPr>
                          <w:t>”</w:t>
                        </w:r>
                        <w:r>
                          <w:rPr>
                            <w:rFonts w:ascii="宋体" w:hAnsi="宋体" w:cs="宋体" w:eastAsia="宋体" w:hint="default"/>
                            <w:sz w:val="18"/>
                            <w:szCs w:val="18"/>
                          </w:rPr>
                          <w:t>，即将两个项目变 为非募集资金项目。</w:t>
                        </w:r>
                      </w:p>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、长沙云谷数据中心项目：公司于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年第四次临时股东大会审议通过了</w:t>
                        </w:r>
                      </w:p>
                      <w:p>
                        <w:pPr>
                          <w:pStyle w:val="TableParagraph"/>
                          <w:spacing w:line="304" w:lineRule="auto" w:before="63"/>
                          <w:ind w:left="24" w:right="20"/>
                          <w:jc w:val="left"/>
                          <w:rPr>
                            <w:rFonts w:ascii="宋体" w:hAnsi="宋体" w:cs="宋体" w:eastAsia="宋体" w:hint="default"/>
                            <w:sz w:val="18"/>
                            <w:szCs w:val="18"/>
                          </w:rPr>
                        </w:pPr>
                        <w:r>
                          <w:rPr>
                            <w:rFonts w:ascii="宋体" w:hAnsi="宋体" w:cs="宋体" w:eastAsia="宋体" w:hint="default"/>
                            <w:spacing w:val="-3"/>
                            <w:sz w:val="18"/>
                            <w:szCs w:val="18"/>
                          </w:rPr>
                          <w:t>《关于公司变更部分募集资金用途并永久补充流动资金的议案》，综合考虑到目前湖南地区</w:t>
                        </w:r>
                        <w:r>
                          <w:rPr>
                            <w:rFonts w:ascii="宋体" w:hAnsi="宋体" w:cs="宋体" w:eastAsia="宋体" w:hint="default"/>
                            <w:spacing w:val="-34"/>
                            <w:sz w:val="18"/>
                            <w:szCs w:val="18"/>
                          </w:rPr>
                          <w:t> </w:t>
                        </w:r>
                        <w:r>
                          <w:rPr>
                            <w:rFonts w:ascii="Times New Roman" w:hAnsi="Times New Roman" w:cs="Times New Roman" w:eastAsia="Times New Roman" w:hint="default"/>
                            <w:w w:val="99"/>
                            <w:sz w:val="18"/>
                            <w:szCs w:val="18"/>
                          </w:rPr>
                          <w:t>IDC</w:t>
                        </w:r>
                        <w:r>
                          <w:rPr>
                            <w:rFonts w:ascii="Times New Roman" w:hAnsi="Times New Roman" w:cs="Times New Roman" w:eastAsia="Times New Roman" w:hint="default"/>
                            <w:spacing w:val="8"/>
                            <w:w w:val="99"/>
                            <w:sz w:val="18"/>
                            <w:szCs w:val="18"/>
                          </w:rPr>
                          <w:t> </w:t>
                        </w:r>
                        <w:r>
                          <w:rPr>
                            <w:rFonts w:ascii="宋体" w:hAnsi="宋体" w:cs="宋体" w:eastAsia="宋体" w:hint="default"/>
                            <w:sz w:val="18"/>
                            <w:szCs w:val="18"/>
                          </w:rPr>
                          <w:t>市</w:t>
                        </w:r>
                        <w:r>
                          <w:rPr>
                            <w:rFonts w:ascii="宋体" w:hAnsi="宋体" w:cs="宋体" w:eastAsia="宋体" w:hint="default"/>
                            <w:spacing w:val="-78"/>
                            <w:sz w:val="18"/>
                            <w:szCs w:val="18"/>
                          </w:rPr>
                          <w:t> </w:t>
                        </w:r>
                        <w:r>
                          <w:rPr>
                            <w:rFonts w:ascii="宋体" w:hAnsi="宋体" w:cs="宋体" w:eastAsia="宋体" w:hint="default"/>
                            <w:sz w:val="18"/>
                            <w:szCs w:val="18"/>
                          </w:rPr>
                          <w:t>场和客户情况，在集中优势力量服务好优质客户群体的前提下，经过谨慎的研究论证，公司将长沙 云谷数据中心项目的募集资金项目的建设规模由</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4,500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个机架的建设规模缩减为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2,850</w:t>
                        </w:r>
                        <w:r>
                          <w:rPr>
                            <w:rFonts w:ascii="Times New Roman" w:hAnsi="Times New Roman" w:cs="Times New Roman" w:eastAsia="Times New Roman" w:hint="default"/>
                            <w:spacing w:val="5"/>
                            <w:sz w:val="18"/>
                            <w:szCs w:val="18"/>
                          </w:rPr>
                          <w:t> </w:t>
                        </w:r>
                        <w:r>
                          <w:rPr>
                            <w:rFonts w:ascii="宋体" w:hAnsi="宋体" w:cs="宋体" w:eastAsia="宋体" w:hint="default"/>
                            <w:spacing w:val="-16"/>
                            <w:sz w:val="18"/>
                            <w:szCs w:val="18"/>
                          </w:rPr>
                          <w:t>个机架，已能</w:t>
                        </w:r>
                        <w:r>
                          <w:rPr>
                            <w:rFonts w:ascii="宋体" w:hAnsi="宋体" w:cs="宋体" w:eastAsia="宋体" w:hint="default"/>
                            <w:sz w:val="18"/>
                            <w:szCs w:val="18"/>
                          </w:rPr>
                          <w:t> 适应目前公司业务发展需要和湖南地区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市场数据中心中期的需求，该项目原总投资估算为 </w:t>
                        </w:r>
                        <w:r>
                          <w:rPr>
                            <w:rFonts w:ascii="Times New Roman" w:hAnsi="Times New Roman" w:cs="Times New Roman" w:eastAsia="Times New Roman" w:hint="default"/>
                            <w:sz w:val="18"/>
                            <w:szCs w:val="18"/>
                          </w:rPr>
                          <w:t>72,802.55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万元，调整后投入募集资金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41,438.22</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万元，有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31,364.34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万元募集资金用于永久补充流动 资金，用于公司日常经营活动。</w:t>
                        </w:r>
                      </w:p>
                      <w:p>
                        <w:pPr>
                          <w:pStyle w:val="TableParagraph"/>
                          <w:spacing w:line="314" w:lineRule="auto" w:before="68"/>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、证通长沙软件研发中心项目：公司于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 </w:t>
                        </w:r>
                        <w:r>
                          <w:rPr>
                            <w:rFonts w:ascii="宋体" w:hAnsi="宋体" w:cs="宋体" w:eastAsia="宋体" w:hint="default"/>
                            <w:spacing w:val="-5"/>
                            <w:sz w:val="18"/>
                            <w:szCs w:val="18"/>
                          </w:rPr>
                          <w:t>过了《关于公司变更部分募集资金用途并永久补充流动资金的议案》，综合考虑到宏观经济影响及证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通长沙软件研发中心项目地所在长沙市望城区周边配套投资建设滞后于预期，基于对市场环境现状 及未来发展趋势的预判，若公司现阶段仍坚持在该项目上继续投入大量资金，从未来发展看，项目 建成后可能会导致部分功能闲置及资源浪费。经过谨慎的研究论证，公司除留存尚需支付的资金投 入建设投入外，优先保障核心资源有效投入到建设完成后资产应用率较高和有利于公司运营发展的 长沙软件研发中心和运营维护中心。项目原总投资估算为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33,357.64</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万元，调整后投入该项目的募集</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8,695.58 </w:t>
                        </w:r>
                        <w:r>
                          <w:rPr>
                            <w:rFonts w:ascii="宋体" w:hAnsi="宋体" w:cs="宋体" w:eastAsia="宋体" w:hint="default"/>
                            <w:sz w:val="18"/>
                            <w:szCs w:val="18"/>
                          </w:rPr>
                          <w:t>万元，有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24,662.06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万元募集资金用于永久补充流动资金，用于公司日常经营活动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07" w:lineRule="auto" w:before="49"/>
                          <w:ind w:left="24" w:right="16"/>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年非公开发行项目：截至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日，公司以自有资金先期投入募集资金项目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4,179.53 </w:t>
                        </w:r>
                        <w:r>
                          <w:rPr>
                            <w:rFonts w:ascii="宋体" w:hAnsi="宋体" w:cs="宋体" w:eastAsia="宋体" w:hint="default"/>
                            <w:spacing w:val="-3"/>
                            <w:sz w:val="18"/>
                            <w:szCs w:val="18"/>
                          </w:rPr>
                          <w:t>万元，募集资金到位后根据专项审核报告及第三届董事会第六次会议董事会决议，并经保荐人同意</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5"/>
                            <w:sz w:val="18"/>
                            <w:szCs w:val="18"/>
                          </w:rPr>
                          <w:t>使用募集资金对先期投入自有资金进行置换，另</w:t>
                        </w:r>
                        <w:r>
                          <w:rPr>
                            <w:rFonts w:ascii="宋体" w:hAnsi="宋体" w:cs="宋体" w:eastAsia="宋体" w:hint="default"/>
                            <w:spacing w:val="-29"/>
                            <w:sz w:val="18"/>
                            <w:szCs w:val="18"/>
                          </w:rPr>
                          <w:t> </w:t>
                        </w:r>
                        <w:r>
                          <w:rPr>
                            <w:rFonts w:ascii="Times New Roman" w:hAnsi="Times New Roman" w:cs="Times New Roman" w:eastAsia="Times New Roman" w:hint="default"/>
                            <w:spacing w:val="-1"/>
                            <w:sz w:val="18"/>
                            <w:szCs w:val="18"/>
                          </w:rPr>
                          <w:t>12,095.39</w:t>
                        </w:r>
                        <w:r>
                          <w:rPr>
                            <w:rFonts w:ascii="Times New Roman" w:hAnsi="Times New Roman" w:cs="Times New Roman" w:eastAsia="Times New Roman" w:hint="default"/>
                            <w:spacing w:val="17"/>
                            <w:sz w:val="18"/>
                            <w:szCs w:val="18"/>
                          </w:rPr>
                          <w:t> </w:t>
                        </w:r>
                        <w:r>
                          <w:rPr>
                            <w:rFonts w:ascii="宋体" w:hAnsi="宋体" w:cs="宋体" w:eastAsia="宋体" w:hint="default"/>
                            <w:spacing w:val="-1"/>
                            <w:sz w:val="18"/>
                            <w:szCs w:val="18"/>
                          </w:rPr>
                          <w:t>万元是先期投入自用流动资金直接用于归</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还银行贷款。</w:t>
                        </w:r>
                      </w:p>
                      <w:p>
                        <w:pPr>
                          <w:pStyle w:val="TableParagraph"/>
                          <w:spacing w:line="309" w:lineRule="auto" w:before="65"/>
                          <w:ind w:left="24" w:right="16"/>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年非公开发行项目：截至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日，公司以自有资金先期投入募集资金项目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4,051.43 </w:t>
                        </w:r>
                        <w:r>
                          <w:rPr>
                            <w:rFonts w:ascii="宋体" w:hAnsi="宋体" w:cs="宋体" w:eastAsia="宋体" w:hint="default"/>
                            <w:sz w:val="18"/>
                            <w:szCs w:val="18"/>
                          </w:rPr>
                          <w:t>万元，募集资金到位后根据专项审核报告及第四届董事会第九次会议决议，并经保荐人同意，使用 募集资金对先期投入自有资金进行置换。公司分别于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11"/>
                            <w:sz w:val="18"/>
                            <w:szCs w:val="18"/>
                          </w:rPr>
                          <w:t>日，置换</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先期投入总计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4,051.43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万元，先期投入全部置换完毕。</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本期未发生。</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9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鉴于公司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万台自助服务终端产能扩建项目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日达到预定可使用状态， 达到预期建设目标。公司本着谨慎节约的原则，在充分考虑建设方案的合理性、实用性的基础上， 尽量减少募投成本，经济、合理地使用募集资金。公司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日召开的第三届董事会第三</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十四次会议和</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w:t>
                        </w:r>
                        <w:r>
                          <w:rPr>
                            <w:rFonts w:ascii="宋体" w:hAnsi="宋体" w:cs="宋体" w:eastAsia="宋体" w:hint="default"/>
                            <w:spacing w:val="-3"/>
                            <w:sz w:val="18"/>
                            <w:szCs w:val="18"/>
                          </w:rPr>
                          <w:t>会</w:t>
                        </w:r>
                        <w:r>
                          <w:rPr>
                            <w:rFonts w:ascii="宋体" w:hAnsi="宋体" w:cs="宋体" w:eastAsia="宋体" w:hint="default"/>
                            <w:sz w:val="18"/>
                            <w:szCs w:val="18"/>
                          </w:rPr>
                          <w:t>审议通过</w:t>
                        </w:r>
                        <w:r>
                          <w:rPr>
                            <w:rFonts w:ascii="宋体" w:hAnsi="宋体" w:cs="宋体" w:eastAsia="宋体" w:hint="default"/>
                            <w:spacing w:val="-89"/>
                            <w:sz w:val="18"/>
                            <w:szCs w:val="18"/>
                          </w:rPr>
                          <w:t>了</w:t>
                        </w:r>
                        <w:r>
                          <w:rPr>
                            <w:rFonts w:ascii="宋体" w:hAnsi="宋体" w:cs="宋体" w:eastAsia="宋体" w:hint="default"/>
                            <w:sz w:val="18"/>
                            <w:szCs w:val="18"/>
                          </w:rPr>
                          <w:t>《公司关于部分募集资金投</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137"/>
        <w:jc w:val="right"/>
      </w:pP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46.539993pt;margin-top:608.979980pt;width:53.55pt;height:101.4pt;mso-position-horizontal-relative:page;mso-position-vertical-relative:page;z-index:-1321096" type="#_x0000_t202" filled="false" stroked="false">
            <v:textbox inset="0,0,0,0">
              <w:txbxContent>
                <w:p>
                  <w:pPr>
                    <w:pStyle w:val="BodyText"/>
                    <w:spacing w:line="240" w:lineRule="auto" w:before="123"/>
                    <w:ind w:left="0" w:right="0"/>
                    <w:jc w:val="left"/>
                  </w:pPr>
                  <w:r>
                    <w:rPr/>
                    <w:t>）</w:t>
                  </w:r>
                </w:p>
              </w:txbxContent>
            </v:textbox>
            <w10:wrap type="none"/>
          </v:shape>
        </w:pict>
      </w:r>
      <w:r>
        <w:rPr/>
        <w:pict>
          <v:group style="position:absolute;margin-left:152.660004pt;margin-top:608.979980pt;width:47.45pt;height:101.4pt;mso-position-horizontal-relative:page;mso-position-vertical-relative:page;z-index:-1321072" coordorigin="3053,12180" coordsize="949,2028">
            <v:shape style="position:absolute;left:3053;top:12180;width:949;height:2028" coordorigin="3053,12180" coordsize="949,2028" path="m3053,14208l4002,14208,4002,12180,3053,12180,3053,1420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29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资项目建设完成并将该项目结余募集资金用于永久补充流动资金的议案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经审慎研究</w:t>
            </w:r>
            <w:r>
              <w:rPr>
                <w:rFonts w:ascii="宋体" w:hAnsi="宋体" w:cs="宋体" w:eastAsia="宋体" w:hint="default"/>
                <w:spacing w:val="-44"/>
                <w:sz w:val="18"/>
                <w:szCs w:val="18"/>
              </w:rPr>
              <w:t>，</w:t>
            </w:r>
            <w:r>
              <w:rPr>
                <w:rFonts w:ascii="宋体" w:hAnsi="宋体" w:cs="宋体" w:eastAsia="宋体" w:hint="default"/>
                <w:sz w:val="18"/>
                <w:szCs w:val="18"/>
              </w:rPr>
              <w:t>公司决定将</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万台自助服务终端产能扩建项目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达到预期建设目标后的结余募集资金结余金额为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2,095.96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186.59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用于永久补充流动资金。截至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日，公司已将该项目全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部结余资金永久补充流动资金，共计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2,113.29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203.91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，账户已注销。</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存放与募集资金专户中。</w:t>
            </w:r>
          </w:p>
        </w:tc>
      </w:tr>
      <w:tr>
        <w:trPr>
          <w:trHeight w:val="333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9" w:lineRule="auto"/>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2013 </w:t>
            </w:r>
            <w:r>
              <w:rPr>
                <w:rFonts w:ascii="宋体" w:hAnsi="宋体" w:cs="宋体" w:eastAsia="宋体" w:hint="default"/>
                <w:spacing w:val="-3"/>
                <w:sz w:val="18"/>
                <w:szCs w:val="18"/>
              </w:rPr>
              <w:t>年非公开发行项目：实际收到募集资金 </w:t>
            </w:r>
            <w:r>
              <w:rPr>
                <w:rFonts w:ascii="Times New Roman" w:hAnsi="Times New Roman" w:cs="Times New Roman" w:eastAsia="Times New Roman" w:hint="default"/>
                <w:sz w:val="18"/>
                <w:szCs w:val="18"/>
              </w:rPr>
              <w:t>50,082.45 </w:t>
            </w:r>
            <w:r>
              <w:rPr>
                <w:rFonts w:ascii="宋体" w:hAnsi="宋体" w:cs="宋体" w:eastAsia="宋体" w:hint="default"/>
                <w:sz w:val="18"/>
                <w:szCs w:val="18"/>
              </w:rPr>
              <w:t>万元与公告应收到募集资金净额</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49,485.39</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万元的差异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597.06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万元系发行费用，前期以自有资金支付，未对其进行置换至一般户，直接用于归 还贷款。</w:t>
            </w:r>
          </w:p>
          <w:p>
            <w:pPr>
              <w:pStyle w:val="TableParagraph"/>
              <w:spacing w:line="240" w:lineRule="auto" w:before="7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年公司债项目：实际收到募集资金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39,720.00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万元与公告应收到募集资金净额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39,663.00 </w:t>
            </w:r>
            <w:r>
              <w:rPr>
                <w:rFonts w:ascii="宋体" w:hAnsi="宋体" w:cs="宋体" w:eastAsia="宋体" w:hint="default"/>
                <w:sz w:val="18"/>
                <w:szCs w:val="18"/>
              </w:rPr>
              <w:t>万</w:t>
            </w:r>
          </w:p>
          <w:p>
            <w:pPr>
              <w:pStyle w:val="TableParagraph"/>
              <w:spacing w:line="300" w:lineRule="auto" w:before="63"/>
              <w:ind w:left="24" w:right="68"/>
              <w:jc w:val="left"/>
              <w:rPr>
                <w:rFonts w:ascii="宋体" w:hAnsi="宋体" w:cs="宋体" w:eastAsia="宋体" w:hint="default"/>
                <w:sz w:val="18"/>
                <w:szCs w:val="18"/>
              </w:rPr>
            </w:pPr>
            <w:r>
              <w:rPr>
                <w:rFonts w:ascii="宋体" w:hAnsi="宋体" w:cs="宋体" w:eastAsia="宋体" w:hint="default"/>
                <w:sz w:val="18"/>
                <w:szCs w:val="18"/>
              </w:rPr>
              <w:t>元的差异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万元系发行费用中的律师费用及评估费用，前期以自有资金支付，未对其进行置换 至一般户，直接用于归还贷款。</w:t>
            </w:r>
          </w:p>
          <w:p>
            <w:pPr>
              <w:pStyle w:val="TableParagraph"/>
              <w:spacing w:line="300" w:lineRule="auto" w:before="110"/>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年非公开发行项目：募集资金总额为人民币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151,160.19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万元，扣除保荐承销费及其他发行 费用总计人民币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3,435.12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147,725.07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万元。募集资金净额加上</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本次非公开发行股票发行费用可抵扣增值税进项税额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194.37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万元，实际总募集资金净额为人民币</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147,919.44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248"/>
        <w:gridCol w:w="710"/>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46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9" w:lineRule="auto"/>
              <w:ind w:left="24" w:right="22"/>
              <w:jc w:val="left"/>
              <w:rPr>
                <w:rFonts w:ascii="宋体" w:hAnsi="宋体" w:cs="宋体" w:eastAsia="宋体" w:hint="default"/>
                <w:sz w:val="18"/>
                <w:szCs w:val="18"/>
              </w:rPr>
            </w:pPr>
            <w:r>
              <w:rPr>
                <w:rFonts w:ascii="宋体" w:hAnsi="宋体" w:cs="宋体" w:eastAsia="宋体" w:hint="default"/>
                <w:sz w:val="18"/>
                <w:szCs w:val="18"/>
              </w:rPr>
              <w:t>证通电子大 数据云计算 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光 明云谷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）年产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万台符 合中国人民 银行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新</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标准的金融</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p>
          <w:p>
            <w:pPr>
              <w:pStyle w:val="TableParagraph"/>
              <w:spacing w:line="312"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终端产能建 </w:t>
            </w:r>
            <w:r>
              <w:rPr>
                <w:rFonts w:ascii="宋体" w:hAnsi="宋体" w:cs="宋体" w:eastAsia="宋体" w:hint="default"/>
                <w:spacing w:val="-30"/>
                <w:sz w:val="18"/>
                <w:szCs w:val="18"/>
              </w:rPr>
              <w:t>设项目；（</w:t>
            </w:r>
            <w:r>
              <w:rPr>
                <w:rFonts w:ascii="Times New Roman" w:hAnsi="Times New Roman" w:cs="Times New Roman" w:eastAsia="Times New Roman" w:hint="default"/>
                <w:spacing w:val="-30"/>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 惠农通农村 电子商务专 用终端产能 建设项目</w:t>
            </w:r>
          </w:p>
        </w:tc>
        <w:tc>
          <w:tcPr>
            <w:tcW w:w="248" w:type="dxa"/>
            <w:tcBorders>
              <w:top w:val="single" w:sz="4" w:space="0" w:color="000000"/>
              <w:left w:val="single" w:sz="4" w:space="0" w:color="000000"/>
              <w:bottom w:val="single" w:sz="4" w:space="0" w:color="000000"/>
              <w:right w:val="nil" w:sz="6" w:space="0" w:color="auto"/>
            </w:tcBorders>
          </w:tcPr>
          <w:p>
            <w:pPr/>
          </w:p>
        </w:tc>
        <w:tc>
          <w:tcPr>
            <w:tcW w:w="7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17,245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18,103.24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2,515.61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8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支付卡行业 安全芯片项 目</w:t>
            </w:r>
            <w:r>
              <w:rPr>
                <w:rFonts w:ascii="Times New Roman" w:hAnsi="Times New Roman" w:cs="Times New Roman" w:eastAsia="Times New Roman" w:hint="default"/>
                <w:sz w:val="18"/>
                <w:szCs w:val="18"/>
              </w:rPr>
              <w:t>(</w:t>
            </w:r>
            <w:r>
              <w:rPr>
                <w:rFonts w:ascii="宋体" w:hAnsi="宋体" w:cs="宋体" w:eastAsia="宋体" w:hint="default"/>
                <w:sz w:val="18"/>
                <w:szCs w:val="18"/>
              </w:rPr>
              <w:t>非公开</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92" w:right="0"/>
              <w:jc w:val="left"/>
              <w:rPr>
                <w:rFonts w:ascii="Times New Roman" w:hAnsi="Times New Roman" w:cs="Times New Roman" w:eastAsia="Times New Roman" w:hint="default"/>
                <w:sz w:val="18"/>
                <w:szCs w:val="18"/>
              </w:rPr>
            </w:pPr>
            <w:r>
              <w:rPr>
                <w:rFonts w:ascii="Times New Roman"/>
                <w:sz w:val="18"/>
              </w:rPr>
              <w:t>5,183.56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w w:val="95"/>
                <w:sz w:val="18"/>
              </w:rPr>
              <w:t>5,258.91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101.45%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363" w:hRule="exact"/>
        </w:trPr>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 自助服务终 端产能扩建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1,909.39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2,113.29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110.68%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382"/>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长沙云谷数 据中心项目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31,364.34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31,585.67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82"/>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证通长沙软 件研发中心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24,662.06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24,712.21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82"/>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80,364.35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81,773.32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2,515.61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980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万台符合中国人民银行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新标准的金融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终端产能建设项 目和年产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万台惠农通农村电子商务专用终端产能建设项目全部变更为以公司自有资 </w:t>
            </w:r>
            <w:r>
              <w:rPr>
                <w:rFonts w:ascii="宋体" w:hAnsi="宋体" w:cs="宋体" w:eastAsia="宋体" w:hint="default"/>
                <w:spacing w:val="-1"/>
                <w:sz w:val="18"/>
                <w:szCs w:val="18"/>
              </w:rPr>
              <w:t>金投入，两个项目的实施地点由在公司二期产业园建设用地规划新建全部变更为在公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司产业园一期生产厂房内与现有生产线进行整合改造的方式建设。原年产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万台符 合中国人民银行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新标准的金融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终端产能建设项目和年产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万台惠 农通农村电子商务专用终端产能建设项目募集资金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17,245.00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万元及利息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全部投入新项目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证通电子大数据云计算产业园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光明云谷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。项目变更原因系公 司预计大数据时代下</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业务强劲的发展势头及公司产业升级的需要，进行多方位的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合理化布局。该事项经公司于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日召开的第四届董事会第八次会议和</w:t>
            </w:r>
          </w:p>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年第五次临时股东大会审议通过。前述事项详见公</w:t>
            </w:r>
          </w:p>
          <w:p>
            <w:pPr>
              <w:pStyle w:val="TableParagraph"/>
              <w:spacing w:line="319"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日刊登于《证券时报》和巨潮资讯网上的《关于公司变更部分 募集资金用途暨投资新项目的公告》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2016-105)</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、支付卡行业安全芯片项目：因为公司结合市场环境需求的变化及支付卡行业安全</w:t>
            </w: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1"/>
                <w:sz w:val="18"/>
                <w:szCs w:val="18"/>
              </w:rPr>
              <w:t>芯片项目的实际运作情况，本着节约成本和经济效益最大化原则，在项目实际运营过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程中，为充分利用内外部资源改变了运作模式，由前期完全自购研发相关设备改成部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分租用。经公司于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日召开的第三届董事会第二十六次会议和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年第四次临时股东大会审议通过，将项目终止并将该募投项目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日的节余募集资金及利息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5,202.69 </w:t>
            </w:r>
            <w:r>
              <w:rPr>
                <w:rFonts w:ascii="宋体" w:hAnsi="宋体" w:cs="宋体" w:eastAsia="宋体" w:hint="default"/>
                <w:sz w:val="18"/>
                <w:szCs w:val="18"/>
              </w:rPr>
              <w:t>万元用于永久补充流动资金。</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前述事项详见公司于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日刊登于《证券时报》和巨潮资讯网上的《公司 关于终止部分募投项目并将相关募集资金永久补充流动资金的公告》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编号：</w:t>
            </w:r>
          </w:p>
          <w:p>
            <w:pPr>
              <w:pStyle w:val="TableParagraph"/>
              <w:spacing w:line="300" w:lineRule="auto" w:before="13"/>
              <w:ind w:left="23"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2015-069)</w:t>
            </w:r>
            <w:r>
              <w:rPr>
                <w:rFonts w:ascii="宋体" w:hAnsi="宋体" w:cs="宋体" w:eastAsia="宋体" w:hint="default"/>
                <w:spacing w:val="-2"/>
                <w:sz w:val="18"/>
                <w:szCs w:val="18"/>
              </w:rPr>
              <w:t>。截至本公司将该项目募集资金专户注销时，实际未使用募集资金及利息收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入补充流动资金的金额为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5,258.91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万台自助服务终端产能扩建项目已于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日达到预定可使用状</w:t>
            </w:r>
          </w:p>
          <w:p>
            <w:pPr>
              <w:pStyle w:val="TableParagraph"/>
              <w:spacing w:line="300"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态，达到预期建设目标。截至达到预定可使用状态结余募集资金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2,095.96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 </w:t>
            </w:r>
            <w:r>
              <w:rPr>
                <w:rFonts w:ascii="宋体" w:hAnsi="宋体" w:cs="宋体" w:eastAsia="宋体" w:hint="default"/>
                <w:spacing w:val="-3"/>
                <w:sz w:val="18"/>
                <w:szCs w:val="18"/>
              </w:rPr>
              <w:t>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，结余原因为募集资金存放期间产生利息收入、以及公司在募投项目实施建设过</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程中节约的募集资金。公司将该项目结余募集资金</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用于永久补充流动资 金，该事项经公司于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日召开的第三届董事会第三十四次会议和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年年度股东大会审议通过。前述事项详见公司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日刊登于《证券时报》和巨潮资讯网上的《关于部分募集资金投资项目建设完成并</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将该项目结余募集资金用于永久补充流动资金的公告》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2016-032)</w:t>
            </w: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日，公司已将该项目全部结余资金永久补充流动资金，共计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2,113.29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pStyle w:val="BodyText"/>
        <w:spacing w:line="240" w:lineRule="auto"/>
        <w:ind w:left="0" w:right="1131"/>
        <w:jc w:val="right"/>
      </w:pPr>
      <w:r>
        <w:rPr/>
        <w:pict>
          <v:shape style="position:absolute;margin-left:56.459999pt;margin-top:-49.748306pt;width:479.35pt;height:437.2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730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，账户已注销。</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、长沙云谷数据中心项目：综合考虑到目前湖南地区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市场和客户情况，在集中</w:t>
                        </w:r>
                        <w:r>
                          <w:rPr>
                            <w:rFonts w:ascii="宋体" w:hAnsi="宋体" w:cs="宋体" w:eastAsia="宋体" w:hint="default"/>
                            <w:w w:val="99"/>
                            <w:sz w:val="18"/>
                            <w:szCs w:val="18"/>
                          </w:rPr>
                          <w:t> </w:t>
                        </w:r>
                        <w:r>
                          <w:rPr>
                            <w:rFonts w:ascii="宋体" w:hAnsi="宋体" w:cs="宋体" w:eastAsia="宋体" w:hint="default"/>
                            <w:spacing w:val="-1"/>
                            <w:sz w:val="18"/>
                            <w:szCs w:val="18"/>
                          </w:rPr>
                          <w:t>优势力量服务好优质客户群体的前提下，经过谨慎的研究论证，公司将长沙云谷数据</w:t>
                        </w:r>
                      </w:p>
                      <w:p>
                        <w:pPr>
                          <w:pStyle w:val="TableParagraph"/>
                          <w:spacing w:line="304" w:lineRule="auto" w:before="17"/>
                          <w:ind w:left="23" w:right="20"/>
                          <w:jc w:val="left"/>
                          <w:rPr>
                            <w:rFonts w:ascii="宋体" w:hAnsi="宋体" w:cs="宋体" w:eastAsia="宋体" w:hint="default"/>
                            <w:sz w:val="18"/>
                            <w:szCs w:val="18"/>
                          </w:rPr>
                        </w:pPr>
                        <w:r>
                          <w:rPr>
                            <w:rFonts w:ascii="宋体" w:hAnsi="宋体" w:cs="宋体" w:eastAsia="宋体" w:hint="default"/>
                            <w:sz w:val="18"/>
                            <w:szCs w:val="18"/>
                          </w:rPr>
                          <w:t>中心项目的募集资金项目的建设规模由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个机架的建设规模缩减为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个机架 已能适应目前公司业务发展需要和湖南地区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市场数据中心中期的需求，该项目原</w:t>
                        </w:r>
                        <w:r>
                          <w:rPr>
                            <w:rFonts w:ascii="宋体" w:hAnsi="宋体" w:cs="宋体" w:eastAsia="宋体" w:hint="default"/>
                            <w:sz w:val="18"/>
                            <w:szCs w:val="18"/>
                          </w:rPr>
                          <w:t> 总投资估算为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72,802.55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万元，调整后投入募集资金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41,438.22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31,364.34 </w:t>
                        </w:r>
                        <w:r>
                          <w:rPr>
                            <w:rFonts w:ascii="宋体" w:hAnsi="宋体" w:cs="宋体" w:eastAsia="宋体" w:hint="default"/>
                            <w:sz w:val="18"/>
                            <w:szCs w:val="18"/>
                          </w:rPr>
                          <w:t>万 元募集资金用于永久补充流动资金，用于公司日常经营活动，投资金额变更比例为 </w:t>
                        </w:r>
                        <w:r>
                          <w:rPr>
                            <w:rFonts w:ascii="Times New Roman" w:hAnsi="Times New Roman" w:cs="Times New Roman" w:eastAsia="Times New Roman" w:hint="default"/>
                            <w:sz w:val="18"/>
                            <w:szCs w:val="18"/>
                          </w:rPr>
                          <w:t>43.08%</w:t>
                        </w:r>
                        <w:r>
                          <w:rPr>
                            <w:rFonts w:ascii="宋体" w:hAnsi="宋体" w:cs="宋体" w:eastAsia="宋体" w:hint="default"/>
                            <w:sz w:val="18"/>
                            <w:szCs w:val="18"/>
                          </w:rPr>
                          <w:t>。该事项经公司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日召开的第四届董事会第</w:t>
                        </w:r>
                      </w:p>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二十八次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年第四次临时股东大会审议通过。前述事项详见公司</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2018</w:t>
                        </w:r>
                      </w:p>
                      <w:p>
                        <w:pPr>
                          <w:pStyle w:val="TableParagraph"/>
                          <w:spacing w:line="31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日刊登于《证券时报》和巨潮资讯网上的《关于变更部分募集资金用途并 永久补充流动资金的公告》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2018-100)</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、证通长沙软件研发中心项目：综合考虑到宏观经济影响及证通长沙软件研发中心</w:t>
                        </w: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pacing w:val="-1"/>
                            <w:sz w:val="18"/>
                            <w:szCs w:val="18"/>
                          </w:rPr>
                          <w:t>项目地所在长沙市望城区周边配套投资建设滞后于预期，基于对市场环境现状及未来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发展趋势的预判，若公司现阶段仍坚持在该项目上继续投入大量资金，从未来发展看</w:t>
                        </w:r>
                        <w:r>
                          <w:rPr>
                            <w:rFonts w:ascii="宋体" w:hAnsi="宋体" w:cs="宋体" w:eastAsia="宋体" w:hint="default"/>
                            <w:sz w:val="18"/>
                            <w:szCs w:val="18"/>
                          </w:rPr>
                          <w:t> </w:t>
                        </w:r>
                        <w:r>
                          <w:rPr>
                            <w:rFonts w:ascii="宋体" w:hAnsi="宋体" w:cs="宋体" w:eastAsia="宋体" w:hint="default"/>
                            <w:spacing w:val="-1"/>
                            <w:sz w:val="18"/>
                            <w:szCs w:val="18"/>
                          </w:rPr>
                          <w:t>项目建成后可能会导致部分功能闲置及资源浪费。经过谨慎的研究论证，公司除留存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尚需支付的资金投入建设投入外，优先保障核心资源有效投入到建设完成后资产应用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率较高和有利于公司运营发展的长沙软件研发中心和运营维护中心。项目原总投资估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算为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33,357.64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万元，调整后投入该项目的募集资金为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8,695.58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24,662.06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元募集资金用于永久补充流动资金，用于公司日常经营活动，投资金额变更比例为 </w:t>
                        </w:r>
                        <w:r>
                          <w:rPr>
                            <w:rFonts w:ascii="Times New Roman" w:hAnsi="Times New Roman" w:cs="Times New Roman" w:eastAsia="Times New Roman" w:hint="default"/>
                            <w:sz w:val="18"/>
                            <w:szCs w:val="18"/>
                          </w:rPr>
                          <w:t>73.93%</w:t>
                        </w:r>
                        <w:r>
                          <w:rPr>
                            <w:rFonts w:ascii="宋体" w:hAnsi="宋体" w:cs="宋体" w:eastAsia="宋体" w:hint="default"/>
                            <w:sz w:val="18"/>
                            <w:szCs w:val="18"/>
                          </w:rPr>
                          <w:t>。该事项经公司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日召开第四届董事会第二</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十八次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年第四次临时股东大会审议通过。前述事项详见公司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00" w:lineRule="auto" w:before="63"/>
                          <w:ind w:left="23" w:right="9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日刊登于《证券时报》和巨潮资讯网上的《关于变更部分募集资金用途并 永久补充流动资金的公告》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2018-100)</w:t>
                        </w:r>
                        <w:r>
                          <w:rPr>
                            <w:rFonts w:ascii="宋体" w:hAnsi="宋体" w:cs="宋体" w:eastAsia="宋体" w:hint="default"/>
                            <w:sz w:val="18"/>
                            <w:szCs w:val="18"/>
                          </w:rPr>
                          <w:t>。</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44"/>
        <w:ind w:left="0"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8"/>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133"/>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931"/>
        <w:gridCol w:w="1311"/>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金融电子业务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395,497,422.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287,111,490.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140,456,148.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2,625,895.08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2,227,068.25</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证通佳明</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照明业务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326,131,124.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-18,425,915.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65,425,610.9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-16,827,868.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-12,787,004.</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09</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定州中标</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照明业务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158,129,036.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36,416,835.4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26,006,348.3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9,165,870.55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9,234,657.17</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长沙证通云 计算</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及云计算业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1,080,826,55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319,544,310.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80,779,942.1</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3,292,928.64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3,934,253.16</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及云计算业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26,570,000.0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525,439,761.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21,251,925.1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37,396,813.0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-2,368,792.9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-2,398,818.1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及云计算业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390,800,000.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789,546,962.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360,602,819.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206,784,178.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14,657,792.9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8,513,194.59</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贵州证通光 电</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照明业务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35,508,062.8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-4,269,590.4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288,203.30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-6,849,143.0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-5,554,747.5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四川蜀信易</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金融 服务业务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13,094,103.8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12,214,847.6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2,008,860.66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-10,278,273.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-10,356,946.</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w:t>
            </w:r>
          </w:p>
        </w:tc>
      </w:tr>
      <w:tr>
        <w:trPr>
          <w:trHeight w:val="71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深圳证通云 计算</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及云计算业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60,686,876.2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51,510,752.5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41,447,461.0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2,239,568.38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1,757,064.15</w:t>
            </w:r>
          </w:p>
        </w:tc>
      </w:tr>
    </w:tbl>
    <w:p>
      <w:pPr>
        <w:pStyle w:val="BodyText"/>
        <w:spacing w:line="240" w:lineRule="auto" w:before="49"/>
        <w:ind w:right="1133"/>
        <w:jc w:val="left"/>
      </w:pPr>
      <w:r>
        <w:rPr/>
        <w:t>报告期内取得和处置子公司的情况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2"/>
        <w:gridCol w:w="3829"/>
        <w:gridCol w:w="3190"/>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8"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东莞宏腾数字科技有限公司</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公司控股子公司宏达通信新设全资子公司，注册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万，报告期内尚未实缴。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提供数字云平台服务，拓展区域智慧园 区市场。</w:t>
            </w:r>
          </w:p>
        </w:tc>
      </w:tr>
    </w:tbl>
    <w:p>
      <w:pPr>
        <w:pStyle w:val="BodyText"/>
        <w:spacing w:line="240" w:lineRule="auto" w:before="49"/>
        <w:ind w:right="1133"/>
        <w:jc w:val="left"/>
      </w:pPr>
      <w:r>
        <w:rPr/>
        <w:t>主要控股参股公司情况说明</w:t>
      </w:r>
    </w:p>
    <w:p>
      <w:pPr>
        <w:spacing w:line="240" w:lineRule="auto" w:before="11"/>
        <w:rPr>
          <w:rFonts w:ascii="宋体" w:hAnsi="宋体" w:cs="宋体" w:eastAsia="宋体" w:hint="default"/>
          <w:sz w:val="14"/>
          <w:szCs w:val="14"/>
        </w:rPr>
      </w:pPr>
    </w:p>
    <w:p>
      <w:pPr>
        <w:pStyle w:val="BodyText"/>
        <w:spacing w:line="451" w:lineRule="auto"/>
        <w:ind w:right="0" w:firstLine="360"/>
        <w:jc w:val="left"/>
      </w:pPr>
      <w:r>
        <w:rPr>
          <w:rFonts w:ascii="Times New Roman" w:hAnsi="Times New Roman" w:cs="Times New Roman" w:eastAsia="Times New Roman" w:hint="default"/>
          <w:spacing w:val="-2"/>
        </w:rPr>
        <w:t>1</w:t>
      </w:r>
      <w:r>
        <w:rPr>
          <w:spacing w:val="-2"/>
        </w:rPr>
        <w:t>、证通金信主要业务为支付产品的研发、生产。报告期内实现营业收入</w:t>
      </w:r>
      <w:r>
        <w:rPr>
          <w:rFonts w:ascii="Times New Roman" w:hAnsi="Times New Roman" w:cs="Times New Roman" w:eastAsia="Times New Roman" w:hint="default"/>
          <w:spacing w:val="-2"/>
        </w:rPr>
        <w:t>1.40</w:t>
      </w:r>
      <w:r>
        <w:rPr>
          <w:spacing w:val="-2"/>
        </w:rPr>
        <w:t>亿元，实现净利润</w:t>
      </w:r>
      <w:r>
        <w:rPr>
          <w:rFonts w:ascii="Times New Roman" w:hAnsi="Times New Roman" w:cs="Times New Roman" w:eastAsia="Times New Roman" w:hint="default"/>
          <w:spacing w:val="-2"/>
        </w:rPr>
        <w:t>222.71</w:t>
      </w:r>
      <w:r>
        <w:rPr>
          <w:spacing w:val="-2"/>
        </w:rPr>
        <w:t>万元，较上年同期</w:t>
      </w:r>
      <w:r>
        <w:rPr/>
        <w:t> </w:t>
      </w:r>
      <w:r>
        <w:rPr>
          <w:spacing w:val="-2"/>
        </w:rPr>
        <w:t>上升</w:t>
      </w:r>
      <w:r>
        <w:rPr>
          <w:rFonts w:ascii="Times New Roman" w:hAnsi="Times New Roman" w:cs="Times New Roman" w:eastAsia="Times New Roman" w:hint="default"/>
          <w:spacing w:val="-2"/>
        </w:rPr>
        <w:t>117.66%</w:t>
      </w:r>
      <w:r>
        <w:rPr>
          <w:spacing w:val="-2"/>
        </w:rPr>
        <w:t>，主要原因系公司通过研发及升级的智能</w:t>
      </w:r>
      <w:r>
        <w:rPr>
          <w:rFonts w:ascii="Times New Roman" w:hAnsi="Times New Roman" w:cs="Times New Roman" w:eastAsia="Times New Roman" w:hint="default"/>
          <w:spacing w:val="-2"/>
        </w:rPr>
        <w:t>POS</w:t>
      </w:r>
      <w:r>
        <w:rPr>
          <w:spacing w:val="-2"/>
        </w:rPr>
        <w:t>、云喇叭等相关支付产品顺应移动支付发展趋势并形成业绩贡献，</w:t>
      </w:r>
      <w:r>
        <w:rPr>
          <w:spacing w:val="-43"/>
        </w:rPr>
        <w:t> </w:t>
      </w:r>
      <w:r>
        <w:rPr>
          <w:spacing w:val="-43"/>
        </w:rPr>
      </w:r>
      <w:r>
        <w:rPr>
          <w:spacing w:val="-4"/>
        </w:rPr>
        <w:t>带动营业收入增长，同时报告期内公司通过优化管理及费用管控，有效降低管理费用、财务费用，并实现资产减值下降所致。</w:t>
      </w:r>
    </w:p>
    <w:p>
      <w:pPr>
        <w:pStyle w:val="BodyText"/>
        <w:spacing w:line="458" w:lineRule="auto" w:before="74"/>
        <w:ind w:right="1040" w:firstLine="360"/>
        <w:jc w:val="left"/>
      </w:pPr>
      <w:r>
        <w:rPr>
          <w:rFonts w:ascii="Times New Roman" w:hAnsi="Times New Roman" w:cs="Times New Roman" w:eastAsia="Times New Roman" w:hint="default"/>
        </w:rPr>
        <w:t>2</w:t>
      </w:r>
      <w:r>
        <w:rPr/>
        <w:t>、佳明光电主要业务为专业从事</w:t>
      </w:r>
      <w:r>
        <w:rPr>
          <w:rFonts w:ascii="Times New Roman" w:hAnsi="Times New Roman" w:cs="Times New Roman" w:eastAsia="Times New Roman" w:hint="default"/>
        </w:rPr>
        <w:t>LED</w:t>
      </w:r>
      <w:r>
        <w:rPr/>
        <w:t>道路照明节能服务、智慧城市整体解决方案、景观亮化工程设计、施工等综合服 </w:t>
      </w:r>
      <w:r>
        <w:rPr>
          <w:spacing w:val="-2"/>
        </w:rPr>
        <w:t>务。报告期内实现收入</w:t>
      </w:r>
      <w:r>
        <w:rPr>
          <w:rFonts w:ascii="Times New Roman" w:hAnsi="Times New Roman" w:cs="Times New Roman" w:eastAsia="Times New Roman" w:hint="default"/>
          <w:spacing w:val="-2"/>
        </w:rPr>
        <w:t>6,542.56</w:t>
      </w:r>
      <w:r>
        <w:rPr>
          <w:spacing w:val="-2"/>
        </w:rPr>
        <w:t>万元，同比下降</w:t>
      </w:r>
      <w:r>
        <w:rPr>
          <w:rFonts w:ascii="Times New Roman" w:hAnsi="Times New Roman" w:cs="Times New Roman" w:eastAsia="Times New Roman" w:hint="default"/>
          <w:spacing w:val="-2"/>
        </w:rPr>
        <w:t>52.94%</w:t>
      </w:r>
      <w:r>
        <w:rPr>
          <w:spacing w:val="-2"/>
        </w:rPr>
        <w:t>，主要是系公司战略收缩</w:t>
      </w:r>
      <w:r>
        <w:rPr>
          <w:rFonts w:ascii="Times New Roman" w:hAnsi="Times New Roman" w:cs="Times New Roman" w:eastAsia="Times New Roman" w:hint="default"/>
          <w:spacing w:val="-2"/>
        </w:rPr>
        <w:t>LED</w:t>
      </w:r>
      <w:r>
        <w:rPr>
          <w:spacing w:val="-2"/>
        </w:rPr>
        <w:t>业务规模，整体资源投入方向逐步调整；</w:t>
      </w:r>
      <w:r>
        <w:rPr>
          <w:spacing w:val="-55"/>
        </w:rPr>
        <w:t> </w:t>
      </w:r>
      <w:r>
        <w:rPr>
          <w:spacing w:val="-55"/>
        </w:rPr>
      </w:r>
      <w:r>
        <w:rPr/>
        <w:t>报告期内实现净利润</w:t>
      </w:r>
      <w:r>
        <w:rPr>
          <w:rFonts w:ascii="Times New Roman" w:hAnsi="Times New Roman" w:cs="Times New Roman" w:eastAsia="Times New Roman" w:hint="default"/>
        </w:rPr>
        <w:t>-1,278.70</w:t>
      </w:r>
      <w:r>
        <w:rPr/>
        <w:t>万元，较上年同期回升</w:t>
      </w:r>
      <w:r>
        <w:rPr>
          <w:rFonts w:ascii="Times New Roman" w:hAnsi="Times New Roman" w:cs="Times New Roman" w:eastAsia="Times New Roman" w:hint="default"/>
        </w:rPr>
        <w:t>43.99%</w:t>
      </w:r>
      <w:r>
        <w:rPr/>
        <w:t>，主要系公司通过加强预算决算能力，强化对优质项目的甄选， </w:t>
      </w:r>
      <w:r>
        <w:rPr>
          <w:spacing w:val="-2"/>
        </w:rPr>
        <w:t>实现毛利率的提升，同时通过组织调整、人员优化、加强应收款项管理等方式有效的降低了销售、管理、研发费用及财务费</w:t>
      </w:r>
      <w:r>
        <w:rPr>
          <w:spacing w:val="-67"/>
        </w:rPr>
        <w:t> </w:t>
      </w:r>
      <w:r>
        <w:rPr>
          <w:spacing w:val="-67"/>
        </w:rPr>
      </w:r>
      <w:r>
        <w:rPr/>
        <w:t>用所致。</w:t>
      </w:r>
    </w:p>
    <w:p>
      <w:pPr>
        <w:pStyle w:val="BodyText"/>
        <w:spacing w:line="240" w:lineRule="auto" w:before="69"/>
        <w:ind w:left="513" w:right="0"/>
        <w:jc w:val="left"/>
      </w:pPr>
      <w:r>
        <w:rPr>
          <w:rFonts w:ascii="Times New Roman" w:hAnsi="Times New Roman" w:cs="Times New Roman" w:eastAsia="Times New Roman" w:hint="default"/>
        </w:rPr>
        <w:t>3</w:t>
      </w:r>
      <w:r>
        <w:rPr/>
        <w:t>、定州中标主要业务为</w:t>
      </w:r>
      <w:r>
        <w:rPr>
          <w:rFonts w:ascii="Times New Roman" w:hAnsi="Times New Roman" w:cs="Times New Roman" w:eastAsia="Times New Roman" w:hint="default"/>
        </w:rPr>
        <w:t>LED</w:t>
      </w:r>
      <w:r>
        <w:rPr/>
        <w:t>道路照明节能服务及施工等综合服务。报告期内实现收入</w:t>
      </w:r>
      <w:r>
        <w:rPr>
          <w:rFonts w:ascii="Times New Roman" w:hAnsi="Times New Roman" w:cs="Times New Roman" w:eastAsia="Times New Roman" w:hint="default"/>
        </w:rPr>
        <w:t>2,600.63</w:t>
      </w:r>
      <w:r>
        <w:rPr/>
        <w:t>万元，净利润</w:t>
      </w:r>
      <w:r>
        <w:rPr>
          <w:rFonts w:ascii="Times New Roman" w:hAnsi="Times New Roman" w:cs="Times New Roman" w:eastAsia="Times New Roman" w:hint="default"/>
        </w:rPr>
        <w:t>923.47</w:t>
      </w:r>
      <w:r>
        <w:rPr/>
        <w:t>万元，</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33"/>
        <w:jc w:val="left"/>
      </w:pPr>
      <w:r>
        <w:rPr>
          <w:spacing w:val="-2"/>
        </w:rPr>
        <w:t>较上年同期增加</w:t>
      </w:r>
      <w:r>
        <w:rPr>
          <w:rFonts w:ascii="Times New Roman" w:hAnsi="Times New Roman" w:cs="Times New Roman" w:eastAsia="Times New Roman" w:hint="default"/>
          <w:spacing w:val="-2"/>
        </w:rPr>
        <w:t>201.70%</w:t>
      </w:r>
      <w:r>
        <w:rPr>
          <w:spacing w:val="-2"/>
        </w:rPr>
        <w:t>，主要原因系上年度基于谨慎性原则，综合考量</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-2018</w:t>
      </w:r>
      <w:r>
        <w:rPr>
          <w:spacing w:val="-2"/>
        </w:rPr>
        <w:t>年会计期间项目收入及项目成本的匹配</w:t>
      </w:r>
      <w:r>
        <w:rPr>
          <w:spacing w:val="-39"/>
        </w:rPr>
        <w:t> </w:t>
      </w:r>
      <w:r>
        <w:rPr>
          <w:spacing w:val="-39"/>
        </w:rPr>
      </w:r>
      <w:r>
        <w:rPr/>
        <w:t>度及项目周期等因素，集中确认了前期归集不足的人工及材料成本所致。</w:t>
      </w:r>
    </w:p>
    <w:p>
      <w:pPr>
        <w:pStyle w:val="BodyText"/>
        <w:spacing w:line="458" w:lineRule="auto" w:before="74"/>
        <w:ind w:right="1131" w:firstLine="360"/>
        <w:jc w:val="both"/>
      </w:pPr>
      <w:r>
        <w:rPr>
          <w:rFonts w:ascii="Times New Roman" w:hAnsi="Times New Roman" w:cs="Times New Roman" w:eastAsia="Times New Roman" w:hint="default"/>
        </w:rPr>
        <w:t>4</w:t>
      </w:r>
      <w:r>
        <w:rPr/>
        <w:t>、长沙证通云计算主要从事</w:t>
      </w:r>
      <w:r>
        <w:rPr>
          <w:rFonts w:ascii="Times New Roman" w:hAnsi="Times New Roman" w:cs="Times New Roman" w:eastAsia="Times New Roman" w:hint="default"/>
        </w:rPr>
        <w:t>IDC</w:t>
      </w:r>
      <w:r>
        <w:rPr/>
        <w:t>及云计算业务，报告期内实现收入</w:t>
      </w:r>
      <w:r>
        <w:rPr>
          <w:rFonts w:ascii="Times New Roman" w:hAnsi="Times New Roman" w:cs="Times New Roman" w:eastAsia="Times New Roman" w:hint="default"/>
        </w:rPr>
        <w:t>8,077.99</w:t>
      </w:r>
      <w:r>
        <w:rPr/>
        <w:t>万元，较去年同期增长</w:t>
      </w:r>
      <w:r>
        <w:rPr>
          <w:rFonts w:ascii="Times New Roman" w:hAnsi="Times New Roman" w:cs="Times New Roman" w:eastAsia="Times New Roman" w:hint="default"/>
        </w:rPr>
        <w:t>146.07%</w:t>
      </w:r>
      <w:r>
        <w:rPr/>
        <w:t>，主要系长 </w:t>
      </w:r>
      <w:r>
        <w:rPr>
          <w:spacing w:val="-2"/>
        </w:rPr>
        <w:t>沙云谷数据中心机柜上架率逐步提升，投资效益逐步释放，机架租赁收入增加，同时云计算、软件增值服务收入及智慧城市</w:t>
      </w:r>
      <w:r>
        <w:rPr>
          <w:spacing w:val="-64"/>
        </w:rPr>
        <w:t> </w:t>
      </w:r>
      <w:r>
        <w:rPr>
          <w:spacing w:val="-64"/>
        </w:rPr>
      </w:r>
      <w:r>
        <w:rPr/>
        <w:t>收入也实现增长所致；报告期内实现净利润为</w:t>
      </w:r>
      <w:r>
        <w:rPr>
          <w:rFonts w:ascii="Times New Roman" w:hAnsi="Times New Roman" w:cs="Times New Roman" w:eastAsia="Times New Roman" w:hint="default"/>
        </w:rPr>
        <w:t>393.43</w:t>
      </w:r>
      <w:r>
        <w:rPr/>
        <w:t>万元，较上年同期增长</w:t>
      </w:r>
      <w:r>
        <w:rPr>
          <w:rFonts w:ascii="Times New Roman" w:hAnsi="Times New Roman" w:cs="Times New Roman" w:eastAsia="Times New Roman" w:hint="default"/>
        </w:rPr>
        <w:t>357.65%</w:t>
      </w:r>
      <w:r>
        <w:rPr/>
        <w:t>，主要系报告期内收入增长较大，加之 增值服务的提升拉动整体毛利率上升，同时综合考量公司长期发展需要，将期间费用控制在合理范围内所致。</w:t>
      </w:r>
    </w:p>
    <w:p>
      <w:pPr>
        <w:pStyle w:val="BodyText"/>
        <w:spacing w:line="451" w:lineRule="auto" w:before="68"/>
        <w:ind w:right="0" w:firstLine="360"/>
        <w:jc w:val="left"/>
      </w:pPr>
      <w:r>
        <w:rPr>
          <w:rFonts w:ascii="Times New Roman" w:hAnsi="Times New Roman" w:cs="Times New Roman" w:eastAsia="Times New Roman" w:hint="default"/>
          <w:spacing w:val="-2"/>
        </w:rPr>
        <w:t>5</w:t>
      </w:r>
      <w:r>
        <w:rPr>
          <w:spacing w:val="-2"/>
        </w:rPr>
        <w:t>、宏达通信主要从事</w:t>
      </w:r>
      <w:r>
        <w:rPr>
          <w:rFonts w:ascii="Times New Roman" w:hAnsi="Times New Roman" w:cs="Times New Roman" w:eastAsia="Times New Roman" w:hint="default"/>
          <w:spacing w:val="-2"/>
        </w:rPr>
        <w:t>IDC</w:t>
      </w:r>
      <w:r>
        <w:rPr>
          <w:spacing w:val="-2"/>
        </w:rPr>
        <w:t>及云计算业务，报告期内实现收入</w:t>
      </w:r>
      <w:r>
        <w:rPr>
          <w:rFonts w:ascii="Times New Roman" w:hAnsi="Times New Roman" w:cs="Times New Roman" w:eastAsia="Times New Roman" w:hint="default"/>
          <w:spacing w:val="-2"/>
        </w:rPr>
        <w:t>3,739.68</w:t>
      </w:r>
      <w:r>
        <w:rPr>
          <w:spacing w:val="-2"/>
        </w:rPr>
        <w:t>万元，净利润</w:t>
      </w:r>
      <w:r>
        <w:rPr>
          <w:rFonts w:ascii="Times New Roman" w:hAnsi="Times New Roman" w:cs="Times New Roman" w:eastAsia="Times New Roman" w:hint="default"/>
          <w:spacing w:val="-2"/>
        </w:rPr>
        <w:t>-239.88</w:t>
      </w:r>
      <w:r>
        <w:rPr>
          <w:spacing w:val="-2"/>
        </w:rPr>
        <w:t>万元，较上年同期下降</w:t>
      </w:r>
      <w:r>
        <w:rPr>
          <w:rFonts w:ascii="Times New Roman" w:hAnsi="Times New Roman" w:cs="Times New Roman" w:eastAsia="Times New Roman" w:hint="default"/>
          <w:spacing w:val="-2"/>
        </w:rPr>
        <w:t>8.39%</w:t>
      </w:r>
      <w:r>
        <w:rPr>
          <w:spacing w:val="-2"/>
        </w:rPr>
        <w:t>，</w:t>
      </w:r>
      <w:r>
        <w:rPr/>
        <w:t> 主要原因系报告期内公司数据中心仍在持续建设阶段，建设资金的投入引起财务费用上升所致。</w:t>
      </w:r>
    </w:p>
    <w:p>
      <w:pPr>
        <w:pStyle w:val="BodyText"/>
        <w:spacing w:line="463" w:lineRule="auto" w:before="74"/>
        <w:ind w:right="1128" w:firstLine="360"/>
        <w:jc w:val="both"/>
      </w:pPr>
      <w:r>
        <w:rPr>
          <w:rFonts w:ascii="Times New Roman" w:hAnsi="Times New Roman" w:cs="Times New Roman" w:eastAsia="Times New Roman" w:hint="default"/>
        </w:rPr>
        <w:t>6</w:t>
      </w:r>
      <w:r>
        <w:rPr/>
        <w:t>、云硕科技主要从事</w:t>
      </w:r>
      <w:r>
        <w:rPr>
          <w:rFonts w:ascii="Times New Roman" w:hAnsi="Times New Roman" w:cs="Times New Roman" w:eastAsia="Times New Roman" w:hint="default"/>
        </w:rPr>
        <w:t>IDC</w:t>
      </w:r>
      <w:r>
        <w:rPr/>
        <w:t>及云计算业务，报告期内实现收入</w:t>
      </w:r>
      <w:r>
        <w:rPr>
          <w:rFonts w:ascii="Times New Roman" w:hAnsi="Times New Roman" w:cs="Times New Roman" w:eastAsia="Times New Roman" w:hint="default"/>
        </w:rPr>
        <w:t>20,678.42</w:t>
      </w:r>
      <w:r>
        <w:rPr/>
        <w:t>万元，净利润</w:t>
      </w:r>
      <w:r>
        <w:rPr>
          <w:rFonts w:ascii="Times New Roman" w:hAnsi="Times New Roman" w:cs="Times New Roman" w:eastAsia="Times New Roman" w:hint="default"/>
        </w:rPr>
        <w:t>851.32</w:t>
      </w:r>
      <w:r>
        <w:rPr/>
        <w:t>万元，同比上升</w:t>
      </w:r>
      <w:r>
        <w:rPr>
          <w:rFonts w:ascii="Times New Roman" w:hAnsi="Times New Roman" w:cs="Times New Roman" w:eastAsia="Times New Roman" w:hint="default"/>
        </w:rPr>
        <w:t>166.30%</w:t>
      </w:r>
      <w:r>
        <w:rPr/>
        <w:t>，主 </w:t>
      </w:r>
      <w:r>
        <w:rPr>
          <w:spacing w:val="-2"/>
        </w:rPr>
        <w:t>要原因系公司在管理上做了一些列降本增效的管理措施，有效实现了降低机房运维成本、提升毛利空间、降低管理费用，同</w:t>
      </w:r>
      <w:r>
        <w:rPr>
          <w:spacing w:val="-64"/>
        </w:rPr>
        <w:t> </w:t>
      </w:r>
      <w:r>
        <w:rPr>
          <w:spacing w:val="-64"/>
        </w:rPr>
      </w:r>
      <w:r>
        <w:rPr/>
        <w:t>时，公司与华东电脑的工程款纠纷在报告期内已达成和解并结案，所支付的诉讼利息下降，降低了营业外支出。</w:t>
      </w:r>
    </w:p>
    <w:p>
      <w:pPr>
        <w:pStyle w:val="BodyText"/>
        <w:spacing w:line="451" w:lineRule="auto" w:before="65"/>
        <w:ind w:right="1074" w:firstLine="360"/>
        <w:jc w:val="left"/>
      </w:pPr>
      <w:r>
        <w:rPr>
          <w:rFonts w:ascii="Times New Roman" w:hAnsi="Times New Roman" w:cs="Times New Roman" w:eastAsia="Times New Roman" w:hint="default"/>
        </w:rPr>
        <w:t>7</w:t>
      </w:r>
      <w:r>
        <w:rPr/>
        <w:t>、贵州证通主要业务为</w:t>
      </w:r>
      <w:r>
        <w:rPr>
          <w:rFonts w:ascii="Times New Roman" w:hAnsi="Times New Roman" w:cs="Times New Roman" w:eastAsia="Times New Roman" w:hint="default"/>
        </w:rPr>
        <w:t>LED</w:t>
      </w:r>
      <w:r>
        <w:rPr/>
        <w:t>道路照明节能服务及施工等综合服务，报告期内实现收入</w:t>
      </w:r>
      <w:r>
        <w:rPr>
          <w:rFonts w:ascii="Times New Roman" w:hAnsi="Times New Roman" w:cs="Times New Roman" w:eastAsia="Times New Roman" w:hint="default"/>
        </w:rPr>
        <w:t>28.82</w:t>
      </w:r>
      <w:r>
        <w:rPr/>
        <w:t>万元，净利润</w:t>
      </w:r>
      <w:r>
        <w:rPr>
          <w:rFonts w:ascii="Times New Roman" w:hAnsi="Times New Roman" w:cs="Times New Roman" w:eastAsia="Times New Roman" w:hint="default"/>
        </w:rPr>
        <w:t>-555.47</w:t>
      </w:r>
      <w:r>
        <w:rPr/>
        <w:t>万元， 较上年同期下降</w:t>
      </w:r>
      <w:r>
        <w:rPr>
          <w:rFonts w:ascii="Times New Roman" w:hAnsi="Times New Roman" w:cs="Times New Roman" w:eastAsia="Times New Roman" w:hint="default"/>
        </w:rPr>
        <w:t>255.62%</w:t>
      </w:r>
      <w:r>
        <w:rPr/>
        <w:t>，主要系受宏观经济因素影响，公司所承接的黄平项目收款周期延长、财务费用增加所致。</w:t>
      </w:r>
    </w:p>
    <w:p>
      <w:pPr>
        <w:pStyle w:val="BodyText"/>
        <w:spacing w:line="451" w:lineRule="auto" w:before="43"/>
        <w:ind w:right="1133" w:firstLine="360"/>
        <w:jc w:val="left"/>
      </w:pPr>
      <w:r>
        <w:rPr>
          <w:rFonts w:ascii="Times New Roman" w:hAnsi="Times New Roman" w:cs="Times New Roman" w:eastAsia="Times New Roman" w:hint="default"/>
          <w:spacing w:val="-5"/>
        </w:rPr>
        <w:t>8</w:t>
      </w:r>
      <w:r>
        <w:rPr>
          <w:spacing w:val="-5"/>
        </w:rPr>
        <w:t>、四川蜀信易主要从事社区</w:t>
      </w:r>
      <w:r>
        <w:rPr>
          <w:rFonts w:ascii="Times New Roman" w:hAnsi="Times New Roman" w:cs="Times New Roman" w:eastAsia="Times New Roman" w:hint="default"/>
          <w:spacing w:val="-5"/>
        </w:rPr>
        <w:t>O2O</w:t>
      </w:r>
      <w:r>
        <w:rPr>
          <w:spacing w:val="-5"/>
        </w:rPr>
        <w:t>金融服务业务，报告期内实现收入</w:t>
      </w:r>
      <w:r>
        <w:rPr>
          <w:rFonts w:ascii="Times New Roman" w:hAnsi="Times New Roman" w:cs="Times New Roman" w:eastAsia="Times New Roman" w:hint="default"/>
          <w:spacing w:val="-5"/>
        </w:rPr>
        <w:t>200.89</w:t>
      </w:r>
      <w:r>
        <w:rPr>
          <w:spacing w:val="-5"/>
        </w:rPr>
        <w:t>万元，较去年同期下降</w:t>
      </w:r>
      <w:r>
        <w:rPr>
          <w:rFonts w:ascii="Times New Roman" w:hAnsi="Times New Roman" w:cs="Times New Roman" w:eastAsia="Times New Roman" w:hint="default"/>
          <w:spacing w:val="-5"/>
        </w:rPr>
        <w:t>58.04%</w:t>
      </w:r>
      <w:r>
        <w:rPr>
          <w:spacing w:val="-5"/>
        </w:rPr>
        <w:t>，净利润</w:t>
      </w:r>
      <w:r>
        <w:rPr>
          <w:rFonts w:ascii="Times New Roman" w:hAnsi="Times New Roman" w:cs="Times New Roman" w:eastAsia="Times New Roman" w:hint="default"/>
          <w:spacing w:val="-5"/>
        </w:rPr>
        <w:t>-1,035.69</w:t>
      </w:r>
      <w:r>
        <w:rPr>
          <w:rFonts w:ascii="Times New Roman" w:hAnsi="Times New Roman" w:cs="Times New Roman" w:eastAsia="Times New Roman" w:hint="default"/>
        </w:rPr>
        <w:t> </w:t>
      </w:r>
      <w:r>
        <w:rPr/>
        <w:t>万元，较去年同期减少</w:t>
      </w:r>
      <w:r>
        <w:rPr>
          <w:rFonts w:ascii="Times New Roman" w:hAnsi="Times New Roman" w:cs="Times New Roman" w:eastAsia="Times New Roman" w:hint="default"/>
        </w:rPr>
        <w:t>28.75%</w:t>
      </w:r>
      <w:r>
        <w:rPr/>
        <w:t>，收入下降主要原因系公司结合经济形势的变化，聚焦主业，进行战略性收缩，缩减本业务 规模；利润方面，主要系与</w:t>
      </w:r>
      <w:r>
        <w:rPr>
          <w:rFonts w:ascii="Times New Roman" w:hAnsi="Times New Roman" w:cs="Times New Roman" w:eastAsia="Times New Roman" w:hint="default"/>
        </w:rPr>
        <w:t>O2O</w:t>
      </w:r>
      <w:r>
        <w:rPr/>
        <w:t>金融服务相关的软件著作权持续形成无形资产摊销所致。</w:t>
      </w:r>
    </w:p>
    <w:p>
      <w:pPr>
        <w:pStyle w:val="BodyText"/>
        <w:spacing w:line="458" w:lineRule="auto" w:before="43"/>
        <w:ind w:right="1129" w:firstLine="360"/>
        <w:jc w:val="left"/>
      </w:pPr>
      <w:r>
        <w:rPr>
          <w:rFonts w:ascii="Times New Roman" w:hAnsi="Times New Roman" w:cs="Times New Roman" w:eastAsia="Times New Roman" w:hint="default"/>
        </w:rPr>
        <w:t>9</w:t>
      </w:r>
      <w:r>
        <w:rPr/>
        <w:t>、深圳证通云计算主要从事</w:t>
      </w:r>
      <w:r>
        <w:rPr>
          <w:rFonts w:ascii="Times New Roman" w:hAnsi="Times New Roman" w:cs="Times New Roman" w:eastAsia="Times New Roman" w:hint="default"/>
        </w:rPr>
        <w:t>IDC</w:t>
      </w:r>
      <w:r>
        <w:rPr/>
        <w:t>及云计算业务，报告期内其实现收入</w:t>
      </w:r>
      <w:r>
        <w:rPr>
          <w:rFonts w:ascii="Times New Roman" w:hAnsi="Times New Roman" w:cs="Times New Roman" w:eastAsia="Times New Roman" w:hint="default"/>
        </w:rPr>
        <w:t>4,144.75</w:t>
      </w:r>
      <w:r>
        <w:rPr/>
        <w:t>万元，较去年同期增长</w:t>
      </w:r>
      <w:r>
        <w:rPr>
          <w:rFonts w:ascii="Times New Roman" w:hAnsi="Times New Roman" w:cs="Times New Roman" w:eastAsia="Times New Roman" w:hint="default"/>
        </w:rPr>
        <w:t>538.72%</w:t>
      </w:r>
      <w:r>
        <w:rPr/>
        <w:t>，主要系 </w:t>
      </w:r>
      <w:r>
        <w:rPr>
          <w:spacing w:val="-2"/>
        </w:rPr>
        <w:t>报告期内数据中心逐步建设完成并投产，投资效益逐步释放，带动机柜租赁收入快速增长，同时云计算产品及服务也开始在</w:t>
      </w:r>
      <w:r>
        <w:rPr>
          <w:spacing w:val="-63"/>
        </w:rPr>
        <w:t> </w:t>
      </w:r>
      <w:r>
        <w:rPr>
          <w:spacing w:val="-63"/>
        </w:rPr>
      </w:r>
      <w:r>
        <w:rPr/>
        <w:t>智慧城市建设中落地应用，贡献增值服务收入；报告期内实现净利润为</w:t>
      </w:r>
      <w:r>
        <w:rPr>
          <w:rFonts w:ascii="Times New Roman" w:hAnsi="Times New Roman" w:cs="Times New Roman" w:eastAsia="Times New Roman" w:hint="default"/>
        </w:rPr>
        <w:t>175.71</w:t>
      </w:r>
      <w:r>
        <w:rPr/>
        <w:t>万元，同比增长</w:t>
      </w:r>
      <w:r>
        <w:rPr>
          <w:rFonts w:ascii="Times New Roman" w:hAnsi="Times New Roman" w:cs="Times New Roman" w:eastAsia="Times New Roman" w:hint="default"/>
        </w:rPr>
        <w:t>1,109.99%</w:t>
      </w:r>
      <w:r>
        <w:rPr/>
        <w:t>，主要系收入规模 的增加及增值服务带动利润空间的上升所致。</w:t>
      </w:r>
    </w:p>
    <w:p>
      <w:pPr>
        <w:spacing w:line="240" w:lineRule="auto" w:before="8"/>
        <w:rPr>
          <w:rFonts w:ascii="宋体" w:hAnsi="宋体" w:cs="宋体" w:eastAsia="宋体" w:hint="default"/>
          <w:sz w:val="18"/>
          <w:szCs w:val="18"/>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right="1133"/>
        <w:jc w:val="left"/>
        <w:rPr>
          <w:b w:val="0"/>
          <w:bCs w:val="0"/>
        </w:rPr>
      </w:pPr>
      <w:r>
        <w:rPr/>
        <w:t>（一）行业格局和发展趋势</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ind w:left="513" w:right="1133"/>
        <w:jc w:val="left"/>
      </w:pPr>
      <w:r>
        <w:rPr>
          <w:rFonts w:ascii="Times New Roman" w:hAnsi="Times New Roman" w:cs="Times New Roman" w:eastAsia="Times New Roman" w:hint="default"/>
        </w:rPr>
        <w:t>1</w:t>
      </w:r>
      <w:r>
        <w:rPr/>
        <w:t>、金融电子行业</w:t>
      </w:r>
    </w:p>
    <w:p>
      <w:pPr>
        <w:spacing w:line="240" w:lineRule="auto" w:before="9"/>
        <w:rPr>
          <w:rFonts w:ascii="宋体" w:hAnsi="宋体" w:cs="宋体" w:eastAsia="宋体" w:hint="default"/>
          <w:sz w:val="16"/>
          <w:szCs w:val="16"/>
        </w:rPr>
      </w:pPr>
    </w:p>
    <w:p>
      <w:pPr>
        <w:pStyle w:val="BodyText"/>
        <w:spacing w:line="451" w:lineRule="auto"/>
        <w:ind w:left="513" w:right="1129"/>
        <w:jc w:val="left"/>
      </w:pPr>
      <w:r>
        <w:rPr/>
        <w:t>（</w:t>
      </w:r>
      <w:r>
        <w:rPr>
          <w:rFonts w:ascii="Times New Roman" w:hAnsi="Times New Roman" w:cs="Times New Roman" w:eastAsia="Times New Roman" w:hint="default"/>
        </w:rPr>
        <w:t>1</w:t>
      </w:r>
      <w:r>
        <w:rPr/>
        <w:t>）自助产品细分行业 </w:t>
      </w:r>
      <w:r>
        <w:rPr>
          <w:spacing w:val="-2"/>
        </w:rPr>
        <w:t>在新一轮科技革命和产业变革的背景下，金融科技蓬勃发展，人工智能、大数据、云计算、物联网等信息技术与金融业</w:t>
      </w:r>
    </w:p>
    <w:p>
      <w:pPr>
        <w:pStyle w:val="BodyText"/>
        <w:spacing w:line="240" w:lineRule="auto" w:before="74"/>
        <w:ind w:right="1133"/>
        <w:jc w:val="left"/>
      </w:pPr>
      <w:r>
        <w:rPr/>
        <w:t>务深度融合，为金融发展提供源源不断的创新活力。</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right="1128" w:firstLine="360"/>
        <w:jc w:val="both"/>
      </w:pPr>
      <w:r>
        <w:rPr>
          <w:spacing w:val="-2"/>
        </w:rPr>
        <w:t>根据央行公布的《</w:t>
      </w:r>
      <w:r>
        <w:rPr>
          <w:rFonts w:ascii="Times New Roman" w:hAnsi="Times New Roman" w:cs="Times New Roman" w:eastAsia="Times New Roman" w:hint="default"/>
          <w:spacing w:val="-2"/>
        </w:rPr>
        <w:t>2019</w:t>
      </w:r>
      <w:r>
        <w:rPr>
          <w:spacing w:val="-2"/>
        </w:rPr>
        <w:t>年支付体系运行总体情况》显示，截至</w:t>
      </w:r>
      <w:r>
        <w:rPr>
          <w:rFonts w:ascii="Times New Roman" w:hAnsi="Times New Roman" w:cs="Times New Roman" w:eastAsia="Times New Roman" w:hint="default"/>
          <w:spacing w:val="-2"/>
        </w:rPr>
        <w:t>2019</w:t>
      </w:r>
      <w:r>
        <w:rPr>
          <w:spacing w:val="-2"/>
        </w:rPr>
        <w:t>年末，</w:t>
      </w:r>
      <w:r>
        <w:rPr>
          <w:rFonts w:ascii="Times New Roman" w:hAnsi="Times New Roman" w:cs="Times New Roman" w:eastAsia="Times New Roman" w:hint="default"/>
          <w:spacing w:val="-2"/>
        </w:rPr>
        <w:t>ATM</w:t>
      </w:r>
      <w:r>
        <w:rPr>
          <w:spacing w:val="-2"/>
        </w:rPr>
        <w:t>机具（含非现金设备）</w:t>
      </w:r>
      <w:r>
        <w:rPr>
          <w:rFonts w:ascii="Times New Roman" w:hAnsi="Times New Roman" w:cs="Times New Roman" w:eastAsia="Times New Roman" w:hint="default"/>
          <w:spacing w:val="-2"/>
        </w:rPr>
        <w:t>109.77</w:t>
      </w:r>
      <w:r>
        <w:rPr>
          <w:spacing w:val="-2"/>
        </w:rPr>
        <w:t>万台，较上</w:t>
      </w:r>
      <w:r>
        <w:rPr/>
        <w:t> 年末减少</w:t>
      </w:r>
      <w:r>
        <w:rPr>
          <w:rFonts w:ascii="Times New Roman" w:hAnsi="Times New Roman" w:cs="Times New Roman" w:eastAsia="Times New Roman" w:hint="default"/>
        </w:rPr>
        <w:t>1.31</w:t>
      </w:r>
      <w:r>
        <w:rPr/>
        <w:t>万台，每万人对应的</w:t>
      </w:r>
      <w:r>
        <w:rPr>
          <w:rFonts w:ascii="Times New Roman" w:hAnsi="Times New Roman" w:cs="Times New Roman" w:eastAsia="Times New Roman" w:hint="default"/>
        </w:rPr>
        <w:t>ATM</w:t>
      </w:r>
      <w:r>
        <w:rPr/>
        <w:t>数量</w:t>
      </w:r>
      <w:r>
        <w:rPr>
          <w:rFonts w:ascii="Times New Roman" w:hAnsi="Times New Roman" w:cs="Times New Roman" w:eastAsia="Times New Roman" w:hint="default"/>
        </w:rPr>
        <w:t>7.87</w:t>
      </w:r>
      <w:r>
        <w:rPr/>
        <w:t>台，同比下降</w:t>
      </w:r>
      <w:r>
        <w:rPr>
          <w:rFonts w:ascii="Times New Roman" w:hAnsi="Times New Roman" w:cs="Times New Roman" w:eastAsia="Times New Roman" w:hint="default"/>
        </w:rPr>
        <w:t>1.56%</w:t>
      </w:r>
      <w:r>
        <w:rPr/>
        <w:t>。行业设备总量虽然在下降，但</w:t>
      </w:r>
      <w:r>
        <w:rPr>
          <w:rFonts w:ascii="Times New Roman" w:hAnsi="Times New Roman" w:cs="Times New Roman" w:eastAsia="Times New Roman" w:hint="default"/>
        </w:rPr>
        <w:t>ATM</w:t>
      </w:r>
      <w:r>
        <w:rPr/>
        <w:t>机具的结构性调整 </w:t>
      </w:r>
      <w:r>
        <w:rPr>
          <w:spacing w:val="-2"/>
        </w:rPr>
        <w:t>及升级正在有条不紊的进行，拓展到更多行业、更多场景。金融与科技元素相互赋能，推动着机器解放人的必然趋势持续发</w:t>
      </w:r>
      <w:r>
        <w:rPr>
          <w:spacing w:val="-63"/>
        </w:rPr>
        <w:t> </w:t>
      </w:r>
      <w:r>
        <w:rPr>
          <w:spacing w:val="-63"/>
        </w:rPr>
      </w:r>
      <w:r>
        <w:rPr/>
        <w:t>展，新型的智能自助终端市场有望迎来新一轮发展空间。</w:t>
      </w:r>
    </w:p>
    <w:p>
      <w:pPr>
        <w:pStyle w:val="BodyText"/>
        <w:spacing w:line="453" w:lineRule="auto" w:before="68"/>
        <w:ind w:right="1034" w:firstLine="36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月中国银行业协会发布的《</w:t>
      </w:r>
      <w:r>
        <w:rPr>
          <w:rFonts w:ascii="Times New Roman" w:hAnsi="Times New Roman" w:cs="Times New Roman" w:eastAsia="Times New Roman" w:hint="default"/>
        </w:rPr>
        <w:t>2019</w:t>
      </w:r>
      <w:r>
        <w:rPr/>
        <w:t>年中国银行业服务报告》指出，</w:t>
      </w:r>
      <w:r>
        <w:rPr>
          <w:rFonts w:ascii="Times New Roman" w:hAnsi="Times New Roman" w:cs="Times New Roman" w:eastAsia="Times New Roman" w:hint="default"/>
        </w:rPr>
        <w:t>2019</w:t>
      </w:r>
      <w:r>
        <w:rPr/>
        <w:t>年银行业金融机构网上银行交易笔数同比 增长</w:t>
      </w:r>
      <w:r>
        <w:rPr>
          <w:rFonts w:ascii="Times New Roman" w:hAnsi="Times New Roman" w:cs="Times New Roman" w:eastAsia="Times New Roman" w:hint="default"/>
        </w:rPr>
        <w:t>7.42%</w:t>
      </w:r>
      <w:r>
        <w:rPr/>
        <w:t>，手机银行交易笔数同比增长</w:t>
      </w:r>
      <w:r>
        <w:rPr>
          <w:rFonts w:ascii="Times New Roman" w:hAnsi="Times New Roman" w:cs="Times New Roman" w:eastAsia="Times New Roman" w:hint="default"/>
        </w:rPr>
        <w:t>38.88%</w:t>
      </w:r>
      <w:r>
        <w:rPr/>
        <w:t>，全行业离柜率为</w:t>
      </w:r>
      <w:r>
        <w:rPr>
          <w:rFonts w:ascii="Times New Roman" w:hAnsi="Times New Roman" w:cs="Times New Roman" w:eastAsia="Times New Roman" w:hint="default"/>
        </w:rPr>
        <w:t>89.77%</w:t>
      </w:r>
      <w:r>
        <w:rPr/>
        <w:t>，同比提高</w:t>
      </w:r>
      <w:r>
        <w:rPr>
          <w:rFonts w:ascii="Times New Roman" w:hAnsi="Times New Roman" w:cs="Times New Roman" w:eastAsia="Times New Roman" w:hint="default"/>
        </w:rPr>
        <w:t>1.1</w:t>
      </w:r>
      <w:r>
        <w:rPr/>
        <w:t>个百分点，较去年</w:t>
      </w:r>
      <w:r>
        <w:rPr>
          <w:rFonts w:ascii="Times New Roman" w:hAnsi="Times New Roman" w:cs="Times New Roman" w:eastAsia="Times New Roman" w:hint="default"/>
        </w:rPr>
        <w:t>4.36</w:t>
      </w:r>
      <w:r>
        <w:rPr/>
        <w:t>个百分点的增 速明显放缓。截止</w:t>
      </w:r>
      <w:r>
        <w:rPr>
          <w:rFonts w:ascii="Times New Roman" w:hAnsi="Times New Roman" w:cs="Times New Roman" w:eastAsia="Times New Roman" w:hint="default"/>
        </w:rPr>
        <w:t>2019</w:t>
      </w:r>
      <w:r>
        <w:rPr/>
        <w:t>年末，中国银业金融机构网点总数达到</w:t>
      </w:r>
      <w:r>
        <w:rPr>
          <w:rFonts w:ascii="Times New Roman" w:hAnsi="Times New Roman" w:cs="Times New Roman" w:eastAsia="Times New Roman" w:hint="default"/>
        </w:rPr>
        <w:t>22.8</w:t>
      </w:r>
      <w:r>
        <w:rPr/>
        <w:t>万个，同比增长约</w:t>
      </w:r>
      <w:r>
        <w:rPr>
          <w:rFonts w:ascii="Times New Roman" w:hAnsi="Times New Roman" w:cs="Times New Roman" w:eastAsia="Times New Roman" w:hint="default"/>
        </w:rPr>
        <w:t>1.20%</w:t>
      </w:r>
      <w:r>
        <w:rPr/>
        <w:t>，网点总数增速放缓，其中年内 改造营业网点</w:t>
      </w:r>
      <w:r>
        <w:rPr>
          <w:rFonts w:ascii="Times New Roman" w:hAnsi="Times New Roman" w:cs="Times New Roman" w:eastAsia="Times New Roman" w:hint="default"/>
        </w:rPr>
        <w:t>15591</w:t>
      </w:r>
      <w:r>
        <w:rPr/>
        <w:t>个</w:t>
      </w:r>
      <w:r>
        <w:rPr>
          <w:rFonts w:ascii="Times New Roman" w:hAnsi="Times New Roman" w:cs="Times New Roman" w:eastAsia="Times New Roman" w:hint="default"/>
        </w:rPr>
        <w:t>,</w:t>
      </w:r>
      <w:r>
        <w:rPr/>
        <w:t>较</w:t>
      </w:r>
      <w:r>
        <w:rPr>
          <w:rFonts w:ascii="Times New Roman" w:hAnsi="Times New Roman" w:cs="Times New Roman" w:eastAsia="Times New Roman" w:hint="default"/>
        </w:rPr>
        <w:t>2018</w:t>
      </w:r>
      <w:r>
        <w:rPr/>
        <w:t>年改造量增加近一倍；设立社区网点</w:t>
      </w:r>
      <w:r>
        <w:rPr>
          <w:rFonts w:ascii="Times New Roman" w:hAnsi="Times New Roman" w:cs="Times New Roman" w:eastAsia="Times New Roman" w:hint="default"/>
        </w:rPr>
        <w:t>7228</w:t>
      </w:r>
      <w:r>
        <w:rPr/>
        <w:t>个、小微网点达到</w:t>
      </w:r>
      <w:r>
        <w:rPr>
          <w:rFonts w:ascii="Times New Roman" w:hAnsi="Times New Roman" w:cs="Times New Roman" w:eastAsia="Times New Roman" w:hint="default"/>
        </w:rPr>
        <w:t>3272</w:t>
      </w:r>
      <w:r>
        <w:rPr/>
        <w:t>个，同比都有增长；在全国布 放自助设备</w:t>
      </w:r>
      <w:r>
        <w:rPr>
          <w:rFonts w:ascii="Times New Roman" w:hAnsi="Times New Roman" w:cs="Times New Roman" w:eastAsia="Times New Roman" w:hint="default"/>
        </w:rPr>
        <w:t>109.35</w:t>
      </w:r>
      <w:r>
        <w:rPr/>
        <w:t>万台，其中创新自助设备</w:t>
      </w:r>
      <w:r>
        <w:rPr>
          <w:rFonts w:ascii="Times New Roman" w:hAnsi="Times New Roman" w:cs="Times New Roman" w:eastAsia="Times New Roman" w:hint="default"/>
        </w:rPr>
        <w:t>4805</w:t>
      </w:r>
      <w:r>
        <w:rPr/>
        <w:t>台；利用自助设备交易笔数达</w:t>
      </w:r>
      <w:r>
        <w:rPr>
          <w:rFonts w:ascii="Times New Roman" w:hAnsi="Times New Roman" w:cs="Times New Roman" w:eastAsia="Times New Roman" w:hint="default"/>
        </w:rPr>
        <w:t>353.85</w:t>
      </w:r>
      <w:r>
        <w:rPr/>
        <w:t>亿笔，交易金额</w:t>
      </w:r>
      <w:r>
        <w:rPr>
          <w:rFonts w:ascii="Times New Roman" w:hAnsi="Times New Roman" w:cs="Times New Roman" w:eastAsia="Times New Roman" w:hint="default"/>
        </w:rPr>
        <w:t>61.85</w:t>
      </w:r>
      <w:r>
        <w:rPr/>
        <w:t>万亿元。可见离柜 </w:t>
      </w:r>
      <w:r>
        <w:rPr>
          <w:spacing w:val="-4"/>
        </w:rPr>
        <w:t>率提升的总体趋势已略显放缓，与此同时，网点总量基本回升至</w:t>
      </w:r>
      <w:r>
        <w:rPr>
          <w:rFonts w:ascii="Times New Roman" w:hAnsi="Times New Roman" w:cs="Times New Roman" w:eastAsia="Times New Roman" w:hint="default"/>
          <w:spacing w:val="-4"/>
        </w:rPr>
        <w:t>2017</w:t>
      </w:r>
      <w:r>
        <w:rPr>
          <w:spacing w:val="-4"/>
        </w:rPr>
        <w:t>年水平，银行网点改造进程增速，网点模式朝着生态化、</w:t>
      </w:r>
      <w:r>
        <w:rPr>
          <w:spacing w:val="-39"/>
        </w:rPr>
        <w:t> </w:t>
      </w:r>
      <w:r>
        <w:rPr>
          <w:spacing w:val="-39"/>
        </w:rPr>
      </w:r>
      <w:r>
        <w:rPr>
          <w:spacing w:val="-2"/>
        </w:rPr>
        <w:t>自助化、智能化、场景化以及社区化方向变革，伴随银行大力推进网点转型和流程再造，有望带动智慧终端迎来新规模化市</w:t>
      </w:r>
      <w:r>
        <w:rPr>
          <w:spacing w:val="-64"/>
        </w:rPr>
        <w:t> </w:t>
      </w:r>
      <w:r>
        <w:rPr>
          <w:spacing w:val="-64"/>
        </w:rPr>
      </w:r>
      <w:r>
        <w:rPr/>
        <w:t>场需求。</w:t>
      </w:r>
    </w:p>
    <w:p>
      <w:pPr>
        <w:pStyle w:val="BodyText"/>
        <w:spacing w:line="460" w:lineRule="auto" w:before="72"/>
        <w:ind w:right="1124" w:firstLine="360"/>
        <w:jc w:val="left"/>
      </w:pPr>
      <w:r>
        <w:rPr/>
        <w:t>在</w:t>
      </w:r>
      <w:r>
        <w:rPr>
          <w:rFonts w:ascii="Times New Roman" w:hAnsi="Times New Roman" w:cs="Times New Roman" w:eastAsia="Times New Roman" w:hint="default"/>
        </w:rPr>
        <w:t>5G</w:t>
      </w:r>
      <w:r>
        <w:rPr/>
        <w:t>、大数据、人工智能、物联网等新兴技术的快速发展下，人脸识别、语音语义、指静脉、虹膜等生物识别技术的 </w:t>
      </w:r>
      <w:r>
        <w:rPr>
          <w:spacing w:val="-2"/>
        </w:rPr>
        <w:t>成熟，为智能自助终端在交通、政务、医疗、安防、零售、旅游、地产等多个领域的发展充分赋能，叠加银行金融科技进程</w:t>
      </w:r>
      <w:r>
        <w:rPr>
          <w:spacing w:val="-65"/>
        </w:rPr>
        <w:t> </w:t>
      </w:r>
      <w:r>
        <w:rPr>
          <w:spacing w:val="-65"/>
        </w:rPr>
      </w:r>
      <w:r>
        <w:rPr>
          <w:spacing w:val="-2"/>
        </w:rPr>
        <w:t>的影响，银政、银医、银校等各类产品的应用及商业模式也在逐渐完善，多场景的设备呈现交叉融合的趋势催动自助设备朝</w:t>
      </w:r>
      <w:r>
        <w:rPr>
          <w:spacing w:val="-66"/>
        </w:rPr>
        <w:t> </w:t>
      </w:r>
      <w:r>
        <w:rPr>
          <w:spacing w:val="-66"/>
        </w:rPr>
      </w:r>
      <w:r>
        <w:rPr>
          <w:spacing w:val="-5"/>
        </w:rPr>
        <w:t>着增强设备的运营管理服务及安全性防范、实现自主可控方向改造升级，将带动新一轮的自助设备市场的增长。此外，受</w:t>
      </w:r>
      <w:r>
        <w:rPr>
          <w:rFonts w:ascii="Times New Roman" w:hAnsi="Times New Roman" w:cs="Times New Roman" w:eastAsia="Times New Roman" w:hint="default"/>
          <w:spacing w:val="-5"/>
        </w:rPr>
        <w:t>2020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w:t>
      </w:r>
      <w:r>
        <w:rPr>
          <w:rFonts w:ascii="Times New Roman" w:hAnsi="Times New Roman" w:cs="Times New Roman" w:eastAsia="Times New Roman" w:hint="default"/>
        </w:rPr>
        <w:t>1</w:t>
      </w:r>
      <w:r>
        <w:rPr/>
        <w:t>月以来新型冠状病毒疫情在全球范围内蔓延的影响，进一步强化了智能化自助体验及无感接触的市场诉求，衍生出智能 终端领域新的市场需求及行业机会。</w:t>
      </w:r>
    </w:p>
    <w:p>
      <w:pPr>
        <w:pStyle w:val="BodyText"/>
        <w:spacing w:line="463" w:lineRule="auto" w:before="67"/>
        <w:ind w:right="1129" w:firstLine="360"/>
        <w:jc w:val="left"/>
      </w:pP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浪潮下，伴随</w:t>
      </w:r>
      <w:r>
        <w:rPr>
          <w:rFonts w:ascii="Times New Roman" w:hAnsi="Times New Roman" w:cs="Times New Roman" w:eastAsia="Times New Roman" w:hint="default"/>
        </w:rPr>
        <w:t>5G</w:t>
      </w:r>
      <w:r>
        <w:rPr/>
        <w:t>、人工智能、大数据、工业互联网等领域新一轮信息技术的应用普及，围绕场景化应用而发 </w:t>
      </w:r>
      <w:r>
        <w:rPr>
          <w:spacing w:val="-2"/>
        </w:rPr>
        <w:t>展起来的更多不同形态的智能自助终端，将成为整个物联网体系的基础设施，公司能否依靠丰富的行业服务经验和强大的自</w:t>
      </w:r>
      <w:r>
        <w:rPr>
          <w:spacing w:val="-64"/>
        </w:rPr>
        <w:t> </w:t>
      </w:r>
      <w:r>
        <w:rPr>
          <w:spacing w:val="-64"/>
        </w:rPr>
      </w:r>
      <w:r>
        <w:rPr/>
        <w:t>主研发及定制化能力，集成等新一代技术构建起多场景智能化生态布局，为客户提供</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场景服务</w:t>
      </w:r>
      <w:r>
        <w:rPr>
          <w:rFonts w:ascii="Times New Roman" w:hAnsi="Times New Roman" w:cs="Times New Roman" w:eastAsia="Times New Roman" w:hint="default"/>
        </w:rPr>
        <w:t>”</w:t>
      </w:r>
      <w:r>
        <w:rPr/>
        <w:t>的差异化系统解决方 </w:t>
      </w:r>
      <w:r>
        <w:rPr>
          <w:spacing w:val="-2"/>
        </w:rPr>
        <w:t>案，有步骤导入新功能、新技术和新业务，将成为公司能否在未来的市场中抢占一席之地的关键，如果公司不能根据市场形</w:t>
      </w:r>
      <w:r>
        <w:rPr>
          <w:spacing w:val="-64"/>
        </w:rPr>
        <w:t> </w:t>
      </w:r>
      <w:r>
        <w:rPr>
          <w:spacing w:val="-64"/>
        </w:rPr>
      </w:r>
      <w:r>
        <w:rPr/>
        <w:t>势在新技术、新业务与产品融合当中推陈出新，公司自助终端业务的发展仍将面临受互联网等新型支付工具冲击的风险。</w:t>
      </w:r>
    </w:p>
    <w:p>
      <w:pPr>
        <w:pStyle w:val="BodyText"/>
        <w:spacing w:line="451" w:lineRule="auto" w:before="65"/>
        <w:ind w:left="513" w:right="1168"/>
        <w:jc w:val="left"/>
      </w:pPr>
      <w:r>
        <w:rPr/>
        <w:t>（</w:t>
      </w:r>
      <w:r>
        <w:rPr>
          <w:rFonts w:ascii="Times New Roman" w:hAnsi="Times New Roman" w:cs="Times New Roman" w:eastAsia="Times New Roman" w:hint="default"/>
        </w:rPr>
        <w:t>2</w:t>
      </w:r>
      <w:r>
        <w:rPr/>
        <w:t>）支付产品细分行业 根据中国人民银行发布的《</w:t>
      </w:r>
      <w:r>
        <w:rPr>
          <w:rFonts w:ascii="Times New Roman" w:hAnsi="Times New Roman" w:cs="Times New Roman" w:eastAsia="Times New Roman" w:hint="default"/>
        </w:rPr>
        <w:t>2019</w:t>
      </w:r>
      <w:r>
        <w:rPr/>
        <w:t>年支付体系运行总体情况》，截至</w:t>
      </w:r>
      <w:r>
        <w:rPr>
          <w:rFonts w:ascii="Times New Roman" w:hAnsi="Times New Roman" w:cs="Times New Roman" w:eastAsia="Times New Roman" w:hint="default"/>
        </w:rPr>
        <w:t>2019</w:t>
      </w:r>
      <w:r>
        <w:rPr/>
        <w:t>年末，全国银行卡在用发卡数量</w:t>
      </w:r>
      <w:r>
        <w:rPr>
          <w:rFonts w:ascii="Times New Roman" w:hAnsi="Times New Roman" w:cs="Times New Roman" w:eastAsia="Times New Roman" w:hint="default"/>
        </w:rPr>
        <w:t>84.19</w:t>
      </w:r>
      <w:r>
        <w:rPr/>
        <w:t>亿张，同</w:t>
      </w:r>
    </w:p>
    <w:p>
      <w:pPr>
        <w:pStyle w:val="BodyText"/>
        <w:spacing w:line="451" w:lineRule="auto" w:before="43"/>
        <w:ind w:right="0"/>
        <w:jc w:val="left"/>
      </w:pPr>
      <w:r>
        <w:rPr>
          <w:spacing w:val="-1"/>
        </w:rPr>
        <w:t>比增长</w:t>
      </w:r>
      <w:r>
        <w:rPr>
          <w:rFonts w:ascii="Times New Roman" w:hAnsi="Times New Roman" w:cs="Times New Roman" w:eastAsia="Times New Roman" w:hint="default"/>
          <w:spacing w:val="-1"/>
        </w:rPr>
        <w:t>10.82%</w:t>
      </w:r>
      <w:r>
        <w:rPr>
          <w:spacing w:val="-1"/>
        </w:rPr>
        <w:t>。其中，借记卡在用发卡数量</w:t>
      </w:r>
      <w:r>
        <w:rPr>
          <w:rFonts w:ascii="Times New Roman" w:hAnsi="Times New Roman" w:cs="Times New Roman" w:eastAsia="Times New Roman" w:hint="default"/>
          <w:spacing w:val="-1"/>
        </w:rPr>
        <w:t>76.73</w:t>
      </w:r>
      <w:r>
        <w:rPr>
          <w:spacing w:val="-1"/>
        </w:rPr>
        <w:t>亿张，同比增长</w:t>
      </w:r>
      <w:r>
        <w:rPr>
          <w:rFonts w:ascii="Times New Roman" w:hAnsi="Times New Roman" w:cs="Times New Roman" w:eastAsia="Times New Roman" w:hint="default"/>
          <w:spacing w:val="-1"/>
        </w:rPr>
        <w:t>11.02%</w:t>
      </w:r>
      <w:r>
        <w:rPr>
          <w:spacing w:val="-1"/>
        </w:rPr>
        <w:t>；信用卡和借贷合一卡在用发卡数量共计</w:t>
      </w:r>
      <w:r>
        <w:rPr>
          <w:rFonts w:ascii="Times New Roman" w:hAnsi="Times New Roman" w:cs="Times New Roman" w:eastAsia="Times New Roman" w:hint="default"/>
          <w:spacing w:val="-1"/>
        </w:rPr>
        <w:t>7.46</w:t>
      </w:r>
      <w:r>
        <w:rPr>
          <w:spacing w:val="-1"/>
        </w:rPr>
        <w:t>亿张，</w:t>
      </w:r>
      <w:r>
        <w:rPr>
          <w:spacing w:val="-53"/>
        </w:rPr>
        <w:t> </w:t>
      </w:r>
      <w:r>
        <w:rPr>
          <w:spacing w:val="-53"/>
        </w:rPr>
      </w:r>
      <w:r>
        <w:rPr>
          <w:spacing w:val="-2"/>
        </w:rPr>
        <w:t>同比增长</w:t>
      </w:r>
      <w:r>
        <w:rPr>
          <w:rFonts w:ascii="Times New Roman" w:hAnsi="Times New Roman" w:cs="Times New Roman" w:eastAsia="Times New Roman" w:hint="default"/>
          <w:spacing w:val="-2"/>
        </w:rPr>
        <w:t>8.78%</w:t>
      </w:r>
      <w:r>
        <w:rPr>
          <w:spacing w:val="-2"/>
        </w:rPr>
        <w:t>。</w:t>
      </w:r>
      <w:r>
        <w:rPr>
          <w:rFonts w:ascii="Times New Roman" w:hAnsi="Times New Roman" w:cs="Times New Roman" w:eastAsia="Times New Roman" w:hint="default"/>
          <w:spacing w:val="-2"/>
        </w:rPr>
        <w:t>2019</w:t>
      </w:r>
      <w:r>
        <w:rPr>
          <w:spacing w:val="-2"/>
        </w:rPr>
        <w:t>年，全国共发生银行卡交易</w:t>
      </w:r>
      <w:r>
        <w:rPr>
          <w:rFonts w:ascii="Times New Roman" w:hAnsi="Times New Roman" w:cs="Times New Roman" w:eastAsia="Times New Roman" w:hint="default"/>
          <w:spacing w:val="-2"/>
        </w:rPr>
        <w:t>3219.89</w:t>
      </w:r>
      <w:r>
        <w:rPr>
          <w:spacing w:val="-2"/>
        </w:rPr>
        <w:t>亿笔，金额</w:t>
      </w:r>
      <w:r>
        <w:rPr>
          <w:rFonts w:ascii="Times New Roman" w:hAnsi="Times New Roman" w:cs="Times New Roman" w:eastAsia="Times New Roman" w:hint="default"/>
          <w:spacing w:val="-2"/>
        </w:rPr>
        <w:t>886.39</w:t>
      </w:r>
      <w:r>
        <w:rPr>
          <w:spacing w:val="-2"/>
        </w:rPr>
        <w:t>万亿元，同比分别增长</w:t>
      </w:r>
      <w:r>
        <w:rPr>
          <w:rFonts w:ascii="Times New Roman" w:hAnsi="Times New Roman" w:cs="Times New Roman" w:eastAsia="Times New Roman" w:hint="default"/>
          <w:spacing w:val="-2"/>
        </w:rPr>
        <w:t>53.07%</w:t>
      </w:r>
      <w:r>
        <w:rPr>
          <w:spacing w:val="-2"/>
        </w:rPr>
        <w:t>和</w:t>
      </w:r>
      <w:r>
        <w:rPr>
          <w:rFonts w:ascii="Times New Roman" w:hAnsi="Times New Roman" w:cs="Times New Roman" w:eastAsia="Times New Roman" w:hint="default"/>
          <w:spacing w:val="-2"/>
        </w:rPr>
        <w:t>2.82%</w:t>
      </w:r>
      <w:r>
        <w:rPr>
          <w:spacing w:val="-2"/>
        </w:rPr>
        <w:t>，日均</w:t>
      </w:r>
      <w:r>
        <w:rPr>
          <w:rFonts w:ascii="Times New Roman" w:hAnsi="Times New Roman" w:cs="Times New Roman" w:eastAsia="Times New Roman" w:hint="default"/>
          <w:spacing w:val="-2"/>
        </w:rPr>
        <w:t>8.82</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2"/>
        </w:rPr>
        <w:t>亿笔</w:t>
      </w:r>
      <w:r>
        <w:rPr>
          <w:rFonts w:ascii="Times New Roman" w:hAnsi="Times New Roman" w:cs="Times New Roman" w:eastAsia="Times New Roman" w:hint="default"/>
          <w:spacing w:val="-2"/>
        </w:rPr>
        <w:t>,</w:t>
      </w:r>
      <w:r>
        <w:rPr>
          <w:spacing w:val="-2"/>
        </w:rPr>
        <w:t>金额</w:t>
      </w:r>
      <w:r>
        <w:rPr>
          <w:rFonts w:ascii="Times New Roman" w:hAnsi="Times New Roman" w:cs="Times New Roman" w:eastAsia="Times New Roman" w:hint="default"/>
          <w:spacing w:val="-2"/>
        </w:rPr>
        <w:t>2.43</w:t>
      </w:r>
      <w:r>
        <w:rPr>
          <w:spacing w:val="-2"/>
        </w:rPr>
        <w:t>万亿元。其中，银行卡存现</w:t>
      </w:r>
      <w:r>
        <w:rPr>
          <w:rFonts w:ascii="Times New Roman" w:hAnsi="Times New Roman" w:cs="Times New Roman" w:eastAsia="Times New Roman" w:hint="default"/>
          <w:spacing w:val="-2"/>
        </w:rPr>
        <w:t>70.85</w:t>
      </w:r>
      <w:r>
        <w:rPr>
          <w:spacing w:val="-2"/>
        </w:rPr>
        <w:t>亿笔，金额</w:t>
      </w:r>
      <w:r>
        <w:rPr>
          <w:rFonts w:ascii="Times New Roman" w:hAnsi="Times New Roman" w:cs="Times New Roman" w:eastAsia="Times New Roman" w:hint="default"/>
          <w:spacing w:val="-2"/>
        </w:rPr>
        <w:t>52.88</w:t>
      </w:r>
      <w:r>
        <w:rPr>
          <w:spacing w:val="-2"/>
        </w:rPr>
        <w:t>万亿元，同比分别下降</w:t>
      </w:r>
      <w:r>
        <w:rPr>
          <w:rFonts w:ascii="Times New Roman" w:hAnsi="Times New Roman" w:cs="Times New Roman" w:eastAsia="Times New Roman" w:hint="default"/>
          <w:spacing w:val="-2"/>
        </w:rPr>
        <w:t>9.90%</w:t>
      </w:r>
      <w:r>
        <w:rPr>
          <w:spacing w:val="-2"/>
        </w:rPr>
        <w:t>和</w:t>
      </w:r>
      <w:r>
        <w:rPr>
          <w:rFonts w:ascii="Times New Roman" w:hAnsi="Times New Roman" w:cs="Times New Roman" w:eastAsia="Times New Roman" w:hint="default"/>
          <w:spacing w:val="-2"/>
        </w:rPr>
        <w:t>11.90%</w:t>
      </w:r>
      <w:r>
        <w:rPr>
          <w:spacing w:val="-2"/>
        </w:rPr>
        <w:t>；取现</w:t>
      </w:r>
      <w:r>
        <w:rPr>
          <w:rFonts w:ascii="Times New Roman" w:hAnsi="Times New Roman" w:cs="Times New Roman" w:eastAsia="Times New Roman" w:hint="default"/>
          <w:spacing w:val="-2"/>
        </w:rPr>
        <w:t>113.85</w:t>
      </w:r>
      <w:r>
        <w:rPr>
          <w:spacing w:val="-2"/>
        </w:rPr>
        <w:t>亿笔，金</w:t>
      </w:r>
      <w:r>
        <w:rPr>
          <w:spacing w:val="-29"/>
        </w:rPr>
        <w:t> </w:t>
      </w:r>
      <w:r>
        <w:rPr>
          <w:spacing w:val="-29"/>
        </w:rPr>
      </w:r>
      <w:r>
        <w:rPr>
          <w:spacing w:val="-1"/>
        </w:rPr>
        <w:t>额</w:t>
      </w:r>
      <w:r>
        <w:rPr>
          <w:rFonts w:ascii="Times New Roman" w:hAnsi="Times New Roman" w:cs="Times New Roman" w:eastAsia="Times New Roman" w:hint="default"/>
          <w:spacing w:val="-1"/>
        </w:rPr>
        <w:t>51.65</w:t>
      </w:r>
      <w:r>
        <w:rPr>
          <w:spacing w:val="-1"/>
        </w:rPr>
        <w:t>万亿元，同比分别下降</w:t>
      </w:r>
      <w:r>
        <w:rPr>
          <w:rFonts w:ascii="Times New Roman" w:hAnsi="Times New Roman" w:cs="Times New Roman" w:eastAsia="Times New Roman" w:hint="default"/>
          <w:spacing w:val="-1"/>
        </w:rPr>
        <w:t>19.18%</w:t>
      </w:r>
      <w:r>
        <w:rPr>
          <w:spacing w:val="-1"/>
        </w:rPr>
        <w:t>和</w:t>
      </w:r>
      <w:r>
        <w:rPr>
          <w:rFonts w:ascii="Times New Roman" w:hAnsi="Times New Roman" w:cs="Times New Roman" w:eastAsia="Times New Roman" w:hint="default"/>
          <w:spacing w:val="-1"/>
        </w:rPr>
        <w:t>12.31%</w:t>
      </w:r>
      <w:r>
        <w:rPr>
          <w:spacing w:val="-1"/>
        </w:rPr>
        <w:t>；转账业务</w:t>
      </w:r>
      <w:r>
        <w:rPr>
          <w:rFonts w:ascii="Times New Roman" w:hAnsi="Times New Roman" w:cs="Times New Roman" w:eastAsia="Times New Roman" w:hint="default"/>
          <w:spacing w:val="-1"/>
        </w:rPr>
        <w:t>1447.26</w:t>
      </w:r>
      <w:r>
        <w:rPr>
          <w:spacing w:val="-1"/>
        </w:rPr>
        <w:t>亿笔，金额</w:t>
      </w:r>
      <w:r>
        <w:rPr>
          <w:rFonts w:ascii="Times New Roman" w:hAnsi="Times New Roman" w:cs="Times New Roman" w:eastAsia="Times New Roman" w:hint="default"/>
          <w:spacing w:val="-1"/>
        </w:rPr>
        <w:t>664.71</w:t>
      </w:r>
      <w:r>
        <w:rPr>
          <w:spacing w:val="-1"/>
        </w:rPr>
        <w:t>万亿元，同比分别增长</w:t>
      </w:r>
      <w:r>
        <w:rPr>
          <w:rFonts w:ascii="Times New Roman" w:hAnsi="Times New Roman" w:cs="Times New Roman" w:eastAsia="Times New Roman" w:hint="default"/>
          <w:spacing w:val="-1"/>
        </w:rPr>
        <w:t>60.68%</w:t>
      </w:r>
      <w:r>
        <w:rPr>
          <w:spacing w:val="-1"/>
        </w:rPr>
        <w:t>和</w:t>
      </w:r>
      <w:r>
        <w:rPr>
          <w:rFonts w:ascii="Times New Roman" w:hAnsi="Times New Roman" w:cs="Times New Roman" w:eastAsia="Times New Roman" w:hint="default"/>
          <w:spacing w:val="-1"/>
        </w:rPr>
        <w:t>2.20%</w:t>
      </w:r>
      <w:r>
        <w:rPr>
          <w:spacing w:val="-1"/>
        </w:rPr>
        <w:t>；</w:t>
      </w:r>
      <w:r>
        <w:rPr>
          <w:spacing w:val="-40"/>
        </w:rPr>
        <w:t> </w:t>
      </w:r>
      <w:r>
        <w:rPr/>
        <w:t>消费业务</w:t>
      </w:r>
      <w:r>
        <w:rPr>
          <w:rFonts w:ascii="Times New Roman" w:hAnsi="Times New Roman" w:cs="Times New Roman" w:eastAsia="Times New Roman" w:hint="default"/>
        </w:rPr>
        <w:t>1587.92</w:t>
      </w:r>
      <w:r>
        <w:rPr/>
        <w:t>亿笔，金额</w:t>
      </w:r>
      <w:r>
        <w:rPr>
          <w:rFonts w:ascii="Times New Roman" w:hAnsi="Times New Roman" w:cs="Times New Roman" w:eastAsia="Times New Roman" w:hint="default"/>
        </w:rPr>
        <w:t>117.15</w:t>
      </w:r>
      <w:r>
        <w:rPr/>
        <w:t>万亿元，同比分别增长</w:t>
      </w:r>
      <w:r>
        <w:rPr>
          <w:rFonts w:ascii="Times New Roman" w:hAnsi="Times New Roman" w:cs="Times New Roman" w:eastAsia="Times New Roman" w:hint="default"/>
        </w:rPr>
        <w:t>61.48%</w:t>
      </w:r>
      <w:r>
        <w:rPr/>
        <w:t>和</w:t>
      </w:r>
      <w:r>
        <w:rPr>
          <w:rFonts w:ascii="Times New Roman" w:hAnsi="Times New Roman" w:cs="Times New Roman" w:eastAsia="Times New Roman" w:hint="default"/>
        </w:rPr>
        <w:t>26.30%</w:t>
      </w:r>
      <w:r>
        <w:rPr/>
        <w:t>。</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0" w:firstLine="360"/>
        <w:jc w:val="left"/>
      </w:pPr>
      <w:r>
        <w:rPr>
          <w:rFonts w:ascii="Times New Roman" w:hAnsi="Times New Roman" w:cs="Times New Roman" w:eastAsia="Times New Roman" w:hint="default"/>
        </w:rPr>
        <w:t>2019</w:t>
      </w:r>
      <w:r>
        <w:rPr/>
        <w:t>年，银行业金融机构共处理电子支付业务</w:t>
      </w:r>
      <w:r>
        <w:rPr>
          <w:rFonts w:ascii="Times New Roman" w:hAnsi="Times New Roman" w:cs="Times New Roman" w:eastAsia="Times New Roman" w:hint="default"/>
        </w:rPr>
        <w:t>2233.88</w:t>
      </w:r>
      <w:r>
        <w:rPr/>
        <w:t>亿笔，金额</w:t>
      </w:r>
      <w:r>
        <w:rPr>
          <w:rFonts w:ascii="Times New Roman" w:hAnsi="Times New Roman" w:cs="Times New Roman" w:eastAsia="Times New Roman" w:hint="default"/>
        </w:rPr>
        <w:t>2607.04</w:t>
      </w:r>
      <w:r>
        <w:rPr/>
        <w:t>万亿元。其中，网上支付业务</w:t>
      </w:r>
      <w:r>
        <w:rPr>
          <w:rFonts w:ascii="Times New Roman" w:hAnsi="Times New Roman" w:cs="Times New Roman" w:eastAsia="Times New Roman" w:hint="default"/>
        </w:rPr>
        <w:t>781.85</w:t>
      </w:r>
      <w:r>
        <w:rPr/>
        <w:t>亿笔，金 额</w:t>
      </w:r>
      <w:r>
        <w:rPr>
          <w:rFonts w:ascii="Times New Roman" w:hAnsi="Times New Roman" w:cs="Times New Roman" w:eastAsia="Times New Roman" w:hint="default"/>
        </w:rPr>
        <w:t>2134.84</w:t>
      </w:r>
      <w:r>
        <w:rPr/>
        <w:t>万亿元，同比分别增长</w:t>
      </w:r>
      <w:r>
        <w:rPr>
          <w:rFonts w:ascii="Times New Roman" w:hAnsi="Times New Roman" w:cs="Times New Roman" w:eastAsia="Times New Roman" w:hint="default"/>
        </w:rPr>
        <w:t>37.14%</w:t>
      </w:r>
      <w:r>
        <w:rPr/>
        <w:t>和</w:t>
      </w:r>
      <w:r>
        <w:rPr>
          <w:rFonts w:ascii="Times New Roman" w:hAnsi="Times New Roman" w:cs="Times New Roman" w:eastAsia="Times New Roman" w:hint="default"/>
        </w:rPr>
        <w:t>0.40%</w:t>
      </w:r>
      <w:r>
        <w:rPr/>
        <w:t>；移动支付业务</w:t>
      </w:r>
      <w:r>
        <w:rPr>
          <w:rFonts w:ascii="Times New Roman" w:hAnsi="Times New Roman" w:cs="Times New Roman" w:eastAsia="Times New Roman" w:hint="default"/>
        </w:rPr>
        <w:t>1014.31</w:t>
      </w:r>
      <w:r>
        <w:rPr/>
        <w:t>亿笔，金额</w:t>
      </w:r>
      <w:r>
        <w:rPr>
          <w:rFonts w:ascii="Times New Roman" w:hAnsi="Times New Roman" w:cs="Times New Roman" w:eastAsia="Times New Roman" w:hint="default"/>
        </w:rPr>
        <w:t>347.11</w:t>
      </w:r>
      <w:r>
        <w:rPr/>
        <w:t>万亿元，同比分别增长</w:t>
      </w:r>
      <w:r>
        <w:rPr>
          <w:rFonts w:ascii="Times New Roman" w:hAnsi="Times New Roman" w:cs="Times New Roman" w:eastAsia="Times New Roman" w:hint="default"/>
        </w:rPr>
        <w:t>67.57%</w:t>
      </w:r>
      <w:r>
        <w:rPr/>
        <w:t>和 </w:t>
      </w:r>
      <w:r>
        <w:rPr>
          <w:rFonts w:ascii="Times New Roman" w:hAnsi="Times New Roman" w:cs="Times New Roman" w:eastAsia="Times New Roman" w:hint="default"/>
          <w:spacing w:val="-1"/>
        </w:rPr>
        <w:t>25.13%</w:t>
      </w:r>
      <w:r>
        <w:rPr>
          <w:spacing w:val="-1"/>
        </w:rPr>
        <w:t>；电话支付业务</w:t>
      </w:r>
      <w:r>
        <w:rPr>
          <w:rFonts w:ascii="Times New Roman" w:hAnsi="Times New Roman" w:cs="Times New Roman" w:eastAsia="Times New Roman" w:hint="default"/>
          <w:spacing w:val="-1"/>
        </w:rPr>
        <w:t>1.76</w:t>
      </w:r>
      <w:r>
        <w:rPr>
          <w:spacing w:val="-1"/>
        </w:rPr>
        <w:t>亿笔，金额</w:t>
      </w:r>
      <w:r>
        <w:rPr>
          <w:rFonts w:ascii="Times New Roman" w:hAnsi="Times New Roman" w:cs="Times New Roman" w:eastAsia="Times New Roman" w:hint="default"/>
          <w:spacing w:val="-1"/>
        </w:rPr>
        <w:t>9.67</w:t>
      </w:r>
      <w:r>
        <w:rPr>
          <w:spacing w:val="-1"/>
        </w:rPr>
        <w:t>万亿元，同比分别增长</w:t>
      </w:r>
      <w:r>
        <w:rPr>
          <w:rFonts w:ascii="Times New Roman" w:hAnsi="Times New Roman" w:cs="Times New Roman" w:eastAsia="Times New Roman" w:hint="default"/>
          <w:spacing w:val="-1"/>
        </w:rPr>
        <w:t>11.12%</w:t>
      </w:r>
      <w:r>
        <w:rPr>
          <w:spacing w:val="-1"/>
        </w:rPr>
        <w:t>和</w:t>
      </w:r>
      <w:r>
        <w:rPr>
          <w:rFonts w:ascii="Times New Roman" w:hAnsi="Times New Roman" w:cs="Times New Roman" w:eastAsia="Times New Roman" w:hint="default"/>
          <w:spacing w:val="-1"/>
        </w:rPr>
        <w:t>25.94%</w:t>
      </w:r>
      <w:r>
        <w:rPr>
          <w:spacing w:val="-1"/>
        </w:rPr>
        <w:t>。</w:t>
      </w:r>
      <w:r>
        <w:rPr>
          <w:rFonts w:ascii="Times New Roman" w:hAnsi="Times New Roman" w:cs="Times New Roman" w:eastAsia="Times New Roman" w:hint="default"/>
          <w:spacing w:val="-1"/>
        </w:rPr>
        <w:t>2019</w:t>
      </w:r>
      <w:r>
        <w:rPr>
          <w:spacing w:val="-1"/>
        </w:rPr>
        <w:t>年，非银行支付机构发生网络支付</w:t>
      </w:r>
      <w:r>
        <w:rPr>
          <w:spacing w:val="-77"/>
        </w:rPr>
        <w:t> </w:t>
      </w:r>
      <w:r>
        <w:rPr>
          <w:spacing w:val="-77"/>
        </w:rPr>
      </w:r>
      <w:r>
        <w:rPr>
          <w:spacing w:val="-3"/>
        </w:rPr>
        <w:t>业务</w:t>
      </w:r>
      <w:r>
        <w:rPr>
          <w:rFonts w:ascii="Times New Roman" w:hAnsi="Times New Roman" w:cs="Times New Roman" w:eastAsia="Times New Roman" w:hint="default"/>
          <w:spacing w:val="-3"/>
        </w:rPr>
        <w:t>7199.98</w:t>
      </w:r>
      <w:r>
        <w:rPr>
          <w:spacing w:val="-3"/>
        </w:rPr>
        <w:t>亿笔，金额</w:t>
      </w:r>
      <w:r>
        <w:rPr>
          <w:rFonts w:ascii="Times New Roman" w:hAnsi="Times New Roman" w:cs="Times New Roman" w:eastAsia="Times New Roman" w:hint="default"/>
          <w:spacing w:val="-3"/>
        </w:rPr>
        <w:t>249.88</w:t>
      </w:r>
      <w:r>
        <w:rPr>
          <w:spacing w:val="-3"/>
        </w:rPr>
        <w:t>万亿元，同比分别增长</w:t>
      </w:r>
      <w:r>
        <w:rPr>
          <w:rFonts w:ascii="Times New Roman" w:hAnsi="Times New Roman" w:cs="Times New Roman" w:eastAsia="Times New Roman" w:hint="default"/>
          <w:spacing w:val="-3"/>
        </w:rPr>
        <w:t>35.69%</w:t>
      </w:r>
      <w:r>
        <w:rPr>
          <w:spacing w:val="-3"/>
        </w:rPr>
        <w:t>和</w:t>
      </w:r>
      <w:r>
        <w:rPr>
          <w:rFonts w:ascii="Times New Roman" w:hAnsi="Times New Roman" w:cs="Times New Roman" w:eastAsia="Times New Roman" w:hint="default"/>
          <w:spacing w:val="-3"/>
        </w:rPr>
        <w:t>20.10%</w:t>
      </w:r>
      <w:r>
        <w:rPr>
          <w:spacing w:val="-3"/>
        </w:rPr>
        <w:t>。截至</w:t>
      </w:r>
      <w:r>
        <w:rPr>
          <w:rFonts w:ascii="Times New Roman" w:hAnsi="Times New Roman" w:cs="Times New Roman" w:eastAsia="Times New Roman" w:hint="default"/>
          <w:spacing w:val="-3"/>
        </w:rPr>
        <w:t>2019</w:t>
      </w:r>
      <w:r>
        <w:rPr>
          <w:spacing w:val="-3"/>
        </w:rPr>
        <w:t>年末，银行卡跨行支付系统联网商户</w:t>
      </w:r>
      <w:r>
        <w:rPr>
          <w:rFonts w:ascii="Times New Roman" w:hAnsi="Times New Roman" w:cs="Times New Roman" w:eastAsia="Times New Roman" w:hint="default"/>
          <w:spacing w:val="-3"/>
        </w:rPr>
        <w:t>2362.96</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万户，联网</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3089.28</w:t>
      </w:r>
      <w:r>
        <w:rPr/>
        <w:t>万台，较上年末分别减少</w:t>
      </w:r>
      <w:r>
        <w:rPr>
          <w:rFonts w:ascii="Times New Roman" w:hAnsi="Times New Roman" w:cs="Times New Roman" w:eastAsia="Times New Roman" w:hint="default"/>
        </w:rPr>
        <w:t>370.04</w:t>
      </w:r>
      <w:r>
        <w:rPr/>
        <w:t>万户、</w:t>
      </w:r>
      <w:r>
        <w:rPr>
          <w:rFonts w:ascii="Times New Roman" w:hAnsi="Times New Roman" w:cs="Times New Roman" w:eastAsia="Times New Roman" w:hint="default"/>
        </w:rPr>
        <w:t>325.54</w:t>
      </w:r>
      <w:r>
        <w:rPr/>
        <w:t>万台。全国每万人对应的</w:t>
      </w:r>
      <w:r>
        <w:rPr>
          <w:rFonts w:ascii="Times New Roman" w:hAnsi="Times New Roman" w:cs="Times New Roman" w:eastAsia="Times New Roman" w:hint="default"/>
        </w:rPr>
        <w:t>POS</w:t>
      </w:r>
      <w:r>
        <w:rPr/>
        <w:t>机具数量</w:t>
      </w:r>
      <w:r>
        <w:rPr>
          <w:rFonts w:ascii="Times New Roman" w:hAnsi="Times New Roman" w:cs="Times New Roman" w:eastAsia="Times New Roman" w:hint="default"/>
        </w:rPr>
        <w:t>221.39</w:t>
      </w:r>
      <w:r>
        <w:rPr/>
        <w:t>台，</w:t>
      </w:r>
      <w:r>
        <w:rPr>
          <w:spacing w:val="-3"/>
        </w:rPr>
        <w:t> </w:t>
      </w:r>
      <w:r>
        <w:rPr/>
        <w:t>同比下降</w:t>
      </w:r>
      <w:r>
        <w:rPr>
          <w:rFonts w:ascii="Times New Roman" w:hAnsi="Times New Roman" w:cs="Times New Roman" w:eastAsia="Times New Roman" w:hint="default"/>
        </w:rPr>
        <w:t>9.88%</w:t>
      </w:r>
      <w:r>
        <w:rPr/>
        <w:t>。</w:t>
      </w:r>
    </w:p>
    <w:p>
      <w:pPr>
        <w:pStyle w:val="BodyText"/>
        <w:spacing w:line="451" w:lineRule="auto" w:before="43"/>
        <w:ind w:right="1117" w:firstLine="360"/>
        <w:jc w:val="left"/>
      </w:pPr>
      <w:r>
        <w:rPr>
          <w:spacing w:val="-1"/>
        </w:rPr>
        <w:t>整体而言，虽银行跨行支付系统联网商户及联网</w:t>
      </w:r>
      <w:r>
        <w:rPr>
          <w:rFonts w:ascii="Times New Roman" w:hAnsi="Times New Roman" w:cs="Times New Roman" w:eastAsia="Times New Roman" w:hint="default"/>
          <w:spacing w:val="-1"/>
        </w:rPr>
        <w:t>POS</w:t>
      </w:r>
      <w:r>
        <w:rPr>
          <w:spacing w:val="-1"/>
        </w:rPr>
        <w:t>机具数量较上年同期有所下降，但无银行卡交易、电子支付业务及</w:t>
      </w:r>
      <w:r>
        <w:rPr/>
        <w:t> 交易频次都保持较高增长，催动以智能</w:t>
      </w:r>
      <w:r>
        <w:rPr>
          <w:rFonts w:ascii="Times New Roman" w:hAnsi="Times New Roman" w:cs="Times New Roman" w:eastAsia="Times New Roman" w:hint="default"/>
        </w:rPr>
        <w:t>POS</w:t>
      </w:r>
      <w:r>
        <w:rPr/>
        <w:t>机为代表的新型收单终端不断迭代升级。</w:t>
      </w:r>
    </w:p>
    <w:p>
      <w:pPr>
        <w:pStyle w:val="BodyText"/>
        <w:spacing w:line="458" w:lineRule="auto" w:before="43"/>
        <w:ind w:right="1025" w:firstLine="360"/>
        <w:jc w:val="left"/>
      </w:pPr>
      <w:r>
        <w:rPr>
          <w:spacing w:val="-2"/>
        </w:rPr>
        <w:t>与此同时，依托于大数据、云计算、人工智能等新技术发展，移动支付通过数据收集、数据处理、数据分析和数据洞察</w:t>
      </w:r>
      <w:r>
        <w:rPr/>
        <w:t> </w:t>
      </w:r>
      <w:r>
        <w:rPr>
          <w:spacing w:val="-2"/>
        </w:rPr>
        <w:t>等方式，实现场景感知和用户行为数字化，移动支付已经作为通道和载体渗透进入衣食住行，实现对线上线下消费、服务等</w:t>
      </w:r>
      <w:r>
        <w:rPr>
          <w:spacing w:val="-64"/>
        </w:rPr>
        <w:t> </w:t>
      </w:r>
      <w:r>
        <w:rPr>
          <w:spacing w:val="-64"/>
        </w:rPr>
      </w:r>
      <w:r>
        <w:rPr/>
        <w:t>场景的全行业覆盖，带来消费生活的升级和公共服务、交通、医疗等刚需领域的场景变革，推动着智能</w:t>
      </w:r>
      <w:r>
        <w:rPr>
          <w:rFonts w:ascii="Times New Roman" w:hAnsi="Times New Roman" w:cs="Times New Roman" w:eastAsia="Times New Roman" w:hint="default"/>
        </w:rPr>
        <w:t>POS</w:t>
      </w:r>
      <w:r>
        <w:rPr/>
        <w:t>等新型支付设备 </w:t>
      </w:r>
      <w:r>
        <w:rPr>
          <w:spacing w:val="-3"/>
        </w:rPr>
        <w:t>的大规模深入生活的各场景，带来新型支付设备的新一轮成长空间。根据易观数据发布的《中国智能支付终端专题分析</w:t>
      </w:r>
      <w:r>
        <w:rPr>
          <w:rFonts w:ascii="Times New Roman" w:hAnsi="Times New Roman" w:cs="Times New Roman" w:eastAsia="Times New Roman" w:hint="default"/>
          <w:spacing w:val="-3"/>
        </w:rPr>
        <w:t>2019</w:t>
      </w:r>
      <w:r>
        <w:rPr>
          <w:spacing w:val="-3"/>
        </w:rPr>
        <w:t>》</w:t>
      </w:r>
      <w:r>
        <w:rPr/>
        <w:t> </w:t>
      </w:r>
      <w:r>
        <w:rPr>
          <w:spacing w:val="-4"/>
        </w:rPr>
        <w:t>观点认为，支付行业的下半场竞争向着精细化发展，竞争边界逐渐模糊，支付终端厂商通过战略升级向聚合支付发展。同时，</w:t>
      </w:r>
      <w:r>
        <w:rPr>
          <w:spacing w:val="-46"/>
        </w:rPr>
        <w:t> </w:t>
      </w:r>
      <w:r>
        <w:rPr>
          <w:spacing w:val="-46"/>
        </w:rPr>
      </w:r>
      <w:r>
        <w:rPr/>
        <w:t>根据艾瑞咨询发布《中国聚合支付行业研究报告》显示，</w:t>
      </w:r>
      <w:r>
        <w:rPr>
          <w:rFonts w:ascii="Times New Roman" w:hAnsi="Times New Roman" w:cs="Times New Roman" w:eastAsia="Times New Roman" w:hint="default"/>
        </w:rPr>
        <w:t>2018</w:t>
      </w:r>
      <w:r>
        <w:rPr/>
        <w:t>年，聚合支付的市场交易规模为</w:t>
      </w:r>
      <w:r>
        <w:rPr>
          <w:rFonts w:ascii="Times New Roman" w:hAnsi="Times New Roman" w:cs="Times New Roman" w:eastAsia="Times New Roman" w:hint="default"/>
        </w:rPr>
        <w:t>5.5</w:t>
      </w:r>
      <w:r>
        <w:rPr/>
        <w:t>万亿元，占线下扫码支付</w:t>
      </w:r>
      <w:r>
        <w:rPr>
          <w:spacing w:val="-86"/>
        </w:rPr>
        <w:t> </w:t>
      </w:r>
      <w:r>
        <w:rPr>
          <w:spacing w:val="-3"/>
        </w:rPr>
        <w:t>总规模的</w:t>
      </w:r>
      <w:r>
        <w:rPr>
          <w:rFonts w:ascii="Times New Roman" w:hAnsi="Times New Roman" w:cs="Times New Roman" w:eastAsia="Times New Roman" w:hint="default"/>
          <w:spacing w:val="-3"/>
        </w:rPr>
        <w:t>25.9%</w:t>
      </w:r>
      <w:r>
        <w:rPr>
          <w:spacing w:val="-3"/>
        </w:rPr>
        <w:t>，预计</w:t>
      </w:r>
      <w:r>
        <w:rPr>
          <w:rFonts w:ascii="Times New Roman" w:hAnsi="Times New Roman" w:cs="Times New Roman" w:eastAsia="Times New Roman" w:hint="default"/>
          <w:spacing w:val="-3"/>
        </w:rPr>
        <w:t>2019</w:t>
      </w:r>
      <w:r>
        <w:rPr>
          <w:spacing w:val="-3"/>
        </w:rPr>
        <w:t>年聚合支付市场交易规模约为</w:t>
      </w:r>
      <w:r>
        <w:rPr>
          <w:rFonts w:ascii="Times New Roman" w:hAnsi="Times New Roman" w:cs="Times New Roman" w:eastAsia="Times New Roman" w:hint="default"/>
          <w:spacing w:val="-3"/>
        </w:rPr>
        <w:t>8.8</w:t>
      </w:r>
      <w:r>
        <w:rPr>
          <w:spacing w:val="-3"/>
        </w:rPr>
        <w:t>万亿元，同比增速为</w:t>
      </w:r>
      <w:r>
        <w:rPr>
          <w:rFonts w:ascii="Times New Roman" w:hAnsi="Times New Roman" w:cs="Times New Roman" w:eastAsia="Times New Roman" w:hint="default"/>
          <w:spacing w:val="-3"/>
        </w:rPr>
        <w:t>59.8%</w:t>
      </w:r>
      <w:r>
        <w:rPr>
          <w:spacing w:val="-3"/>
        </w:rPr>
        <w:t>。我国聚合支付覆盖的商户数量从</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年的</w:t>
      </w:r>
      <w:r>
        <w:rPr>
          <w:rFonts w:ascii="Times New Roman" w:hAnsi="Times New Roman" w:cs="Times New Roman" w:eastAsia="Times New Roman" w:hint="default"/>
        </w:rPr>
        <w:t>121.3</w:t>
      </w:r>
      <w:r>
        <w:rPr/>
        <w:t>万家增长到了</w:t>
      </w:r>
      <w:r>
        <w:rPr>
          <w:rFonts w:ascii="Times New Roman" w:hAnsi="Times New Roman" w:cs="Times New Roman" w:eastAsia="Times New Roman" w:hint="default"/>
        </w:rPr>
        <w:t>2019</w:t>
      </w:r>
      <w:r>
        <w:rPr/>
        <w:t>年的</w:t>
      </w:r>
      <w:r>
        <w:rPr>
          <w:rFonts w:ascii="Times New Roman" w:hAnsi="Times New Roman" w:cs="Times New Roman" w:eastAsia="Times New Roman" w:hint="default"/>
        </w:rPr>
        <w:t>2307</w:t>
      </w:r>
      <w:r>
        <w:rPr/>
        <w:t>万家，</w:t>
      </w:r>
      <w:r>
        <w:rPr>
          <w:rFonts w:ascii="Times New Roman" w:hAnsi="Times New Roman" w:cs="Times New Roman" w:eastAsia="Times New Roman" w:hint="default"/>
        </w:rPr>
        <w:t>3</w:t>
      </w:r>
      <w:r>
        <w:rPr/>
        <w:t>年时间增长超过了</w:t>
      </w:r>
      <w:r>
        <w:rPr>
          <w:rFonts w:ascii="Times New Roman" w:hAnsi="Times New Roman" w:cs="Times New Roman" w:eastAsia="Times New Roman" w:hint="default"/>
        </w:rPr>
        <w:t>18</w:t>
      </w:r>
      <w:r>
        <w:rPr/>
        <w:t>倍。</w:t>
      </w:r>
      <w:r>
        <w:rPr>
          <w:rFonts w:ascii="Times New Roman" w:hAnsi="Times New Roman" w:cs="Times New Roman" w:eastAsia="Times New Roman" w:hint="default"/>
        </w:rPr>
        <w:t>2019</w:t>
      </w:r>
      <w:r>
        <w:rPr/>
        <w:t>年，我国支持移动支付的商户总数量在</w:t>
      </w:r>
      <w:r>
        <w:rPr>
          <w:rFonts w:ascii="Times New Roman" w:hAnsi="Times New Roman" w:cs="Times New Roman" w:eastAsia="Times New Roman" w:hint="default"/>
        </w:rPr>
        <w:t>5000</w:t>
      </w:r>
      <w:r>
        <w:rPr/>
        <w:t>万左</w:t>
      </w:r>
      <w:r>
        <w:rPr>
          <w:spacing w:val="-3"/>
        </w:rPr>
        <w:t> </w:t>
      </w:r>
      <w:r>
        <w:rPr/>
        <w:t>右，聚合支付覆盖的商户渗透率达到了</w:t>
      </w:r>
      <w:r>
        <w:rPr>
          <w:rFonts w:ascii="Times New Roman" w:hAnsi="Times New Roman" w:cs="Times New Roman" w:eastAsia="Times New Roman" w:hint="default"/>
        </w:rPr>
        <w:t>46.1%</w:t>
      </w:r>
      <w:r>
        <w:rPr/>
        <w:t>。移动支付在角色定位上将从一个服务者转变为更有主动性的参与者，科技应 用和资源整合的能力将是考验支付机构的重要能力，</w:t>
      </w:r>
      <w:r>
        <w:rPr>
          <w:rFonts w:ascii="Times New Roman" w:hAnsi="Times New Roman" w:cs="Times New Roman" w:eastAsia="Times New Roman" w:hint="default"/>
        </w:rPr>
        <w:t>“</w:t>
      </w:r>
      <w:r>
        <w:rPr/>
        <w:t>协同</w:t>
      </w:r>
      <w:r>
        <w:rPr>
          <w:rFonts w:ascii="Times New Roman" w:hAnsi="Times New Roman" w:cs="Times New Roman" w:eastAsia="Times New Roman" w:hint="default"/>
        </w:rPr>
        <w:t>”</w:t>
      </w:r>
      <w:r>
        <w:rPr/>
        <w:t>创新、相互赋能将成为产业转型、优化升级中的关键词。</w:t>
      </w:r>
    </w:p>
    <w:p>
      <w:pPr>
        <w:pStyle w:val="BodyText"/>
        <w:spacing w:line="477" w:lineRule="auto" w:before="37"/>
        <w:ind w:right="1034" w:firstLine="360"/>
        <w:jc w:val="left"/>
      </w:pPr>
      <w:r>
        <w:rPr>
          <w:spacing w:val="-2"/>
        </w:rPr>
        <w:t>随着金融科技与移动支付的加速融合，包含生物特征、多维交叉结合的创新支付认证技术将广泛应用，支付技术将更加</w:t>
      </w:r>
      <w:r>
        <w:rPr/>
        <w:t> </w:t>
      </w:r>
      <w:r>
        <w:rPr>
          <w:spacing w:val="-2"/>
        </w:rPr>
        <w:t>安全，另一方面大数据、云计算等科技手段与移动支付加速结合，个性化的移动支付产品将更加个性化、智能化，通过个性</w:t>
      </w:r>
      <w:r>
        <w:rPr>
          <w:spacing w:val="-66"/>
        </w:rPr>
        <w:t> </w:t>
      </w:r>
      <w:r>
        <w:rPr>
          <w:spacing w:val="-66"/>
        </w:rPr>
      </w:r>
      <w:r>
        <w:rPr>
          <w:spacing w:val="-4"/>
        </w:rPr>
        <w:t>化的定制能力和提升增值服务的比重成为未来的竞争关键点。支付行业下半场，需要更专注于精细化深耕行业、产品及服务，</w:t>
      </w:r>
      <w:r>
        <w:rPr>
          <w:spacing w:val="-44"/>
        </w:rPr>
        <w:t> </w:t>
      </w:r>
      <w:r>
        <w:rPr>
          <w:spacing w:val="-44"/>
        </w:rPr>
      </w:r>
      <w:r>
        <w:rPr>
          <w:spacing w:val="-2"/>
        </w:rPr>
        <w:t>建立一套发展客户、服务客户的流程，通过支付入口，以商户为载体衔接支付场景，为客户量身定制聚合支付等全方位场景</w:t>
      </w:r>
      <w:r>
        <w:rPr>
          <w:spacing w:val="-64"/>
        </w:rPr>
        <w:t> </w:t>
      </w:r>
      <w:r>
        <w:rPr>
          <w:spacing w:val="-64"/>
        </w:rPr>
      </w:r>
      <w:r>
        <w:rPr/>
        <w:t>解决方案。</w:t>
      </w:r>
    </w:p>
    <w:p>
      <w:pPr>
        <w:pStyle w:val="BodyText"/>
        <w:spacing w:line="463" w:lineRule="auto" w:before="54"/>
        <w:ind w:right="1129" w:firstLine="360"/>
        <w:jc w:val="left"/>
      </w:pPr>
      <w:r>
        <w:rPr>
          <w:spacing w:val="-2"/>
        </w:rPr>
        <w:t>此外，新的经济环境和新技术的出现，货币形态和支付方式加速升级，电子货币和电子支付未来将更加适应数字经济和</w:t>
      </w:r>
      <w:r>
        <w:rPr/>
        <w:t> 共享经济的需求。我国央行发行的数字货币称为</w:t>
      </w:r>
      <w:r>
        <w:rPr>
          <w:rFonts w:ascii="Times New Roman" w:hAnsi="Times New Roman" w:cs="Times New Roman" w:eastAsia="Times New Roman" w:hint="default"/>
        </w:rPr>
        <w:t>DC/EP</w:t>
      </w:r>
      <w:r>
        <w:rPr/>
        <w:t>，属于法定加密数字货币，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日，中国人民银行召开</w:t>
      </w:r>
      <w:r>
        <w:rPr>
          <w:rFonts w:ascii="Times New Roman" w:hAnsi="Times New Roman" w:cs="Times New Roman" w:eastAsia="Times New Roman" w:hint="default"/>
        </w:rPr>
        <w:t>2020 </w:t>
      </w:r>
      <w:r>
        <w:rPr>
          <w:spacing w:val="-2"/>
        </w:rPr>
        <w:t>年全国货币金银和安全保卫工作电视电话会议强调坚定不移推进法定数字货币研发工作，我国数字货币产业链有望迎来进一</w:t>
      </w:r>
      <w:r>
        <w:rPr>
          <w:spacing w:val="-63"/>
        </w:rPr>
        <w:t> </w:t>
      </w:r>
      <w:r>
        <w:rPr>
          <w:spacing w:val="-63"/>
        </w:rPr>
      </w:r>
      <w:r>
        <w:rPr>
          <w:spacing w:val="-2"/>
        </w:rPr>
        <w:t>步提速发展的机遇。其中下游支付终端行业主要涉及智能</w:t>
      </w:r>
      <w:r>
        <w:rPr>
          <w:rFonts w:ascii="Times New Roman" w:hAnsi="Times New Roman" w:cs="Times New Roman" w:eastAsia="Times New Roman" w:hint="default"/>
          <w:spacing w:val="-2"/>
        </w:rPr>
        <w:t>POS</w:t>
      </w:r>
      <w:r>
        <w:rPr>
          <w:spacing w:val="-2"/>
        </w:rPr>
        <w:t>机和</w:t>
      </w:r>
      <w:r>
        <w:rPr>
          <w:rFonts w:ascii="Times New Roman" w:hAnsi="Times New Roman" w:cs="Times New Roman" w:eastAsia="Times New Roman" w:hint="default"/>
          <w:spacing w:val="-2"/>
        </w:rPr>
        <w:t>ATM</w:t>
      </w:r>
      <w:r>
        <w:rPr>
          <w:spacing w:val="-2"/>
        </w:rPr>
        <w:t>金融机具领域，支付企业自身需要适配</w:t>
      </w:r>
      <w:r>
        <w:rPr>
          <w:rFonts w:ascii="Times New Roman" w:hAnsi="Times New Roman" w:cs="Times New Roman" w:eastAsia="Times New Roman" w:hint="default"/>
          <w:spacing w:val="-2"/>
        </w:rPr>
        <w:t>DC/EP</w:t>
      </w:r>
      <w:r>
        <w:rPr>
          <w:spacing w:val="-2"/>
        </w:rPr>
        <w:t>账户模</w:t>
      </w:r>
      <w:r>
        <w:rPr>
          <w:spacing w:val="-42"/>
        </w:rPr>
        <w:t> </w:t>
      </w:r>
      <w:r>
        <w:rPr>
          <w:spacing w:val="-42"/>
        </w:rPr>
      </w:r>
      <w:r>
        <w:rPr/>
        <w:t>块以满足数字货币流通要求，同时支付系统需设置运营商接口，受此影响支付机构将在软硬件两方面进行升级改造，</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spacing w:val="-2"/>
        </w:rPr>
        <w:t>机未来将有望承担自由兑换职能，改造需求具备较大的确定性，自助产品及支付产品的迭代升级将驱动行业迎来新一轮的发</w:t>
      </w:r>
      <w:r>
        <w:rPr>
          <w:spacing w:val="-64"/>
        </w:rPr>
        <w:t> </w:t>
      </w:r>
      <w:r>
        <w:rPr>
          <w:spacing w:val="-64"/>
        </w:rPr>
      </w:r>
      <w:r>
        <w:rPr/>
        <w:t>展机遇。</w:t>
      </w:r>
    </w:p>
    <w:p>
      <w:pPr>
        <w:spacing w:after="0" w:line="46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8" w:lineRule="auto"/>
        <w:ind w:right="1131" w:firstLine="360"/>
        <w:jc w:val="both"/>
      </w:pPr>
      <w:r>
        <w:rPr>
          <w:spacing w:val="-2"/>
        </w:rPr>
        <w:t>市场竞争格局：公司在银行业非现金类自助服务终端的主要竞争对手是恒银金融科技股份有限公司、广州广电运通金融</w:t>
      </w:r>
      <w:r>
        <w:rPr/>
        <w:t> </w:t>
      </w:r>
      <w:r>
        <w:rPr>
          <w:spacing w:val="-2"/>
        </w:rPr>
        <w:t>电子股份有限公司、长城信息产业股份有限公司、云南南天电子信息产业股份有限公司、浪潮集团有限公司。支付产品竞争</w:t>
      </w:r>
      <w:r>
        <w:rPr>
          <w:spacing w:val="-65"/>
        </w:rPr>
        <w:t> </w:t>
      </w:r>
      <w:r>
        <w:rPr>
          <w:spacing w:val="-65"/>
        </w:rPr>
      </w:r>
      <w:r>
        <w:rPr>
          <w:spacing w:val="-1"/>
        </w:rPr>
        <w:t>对手包括福建联迪商用设备有限公司、百富计算机技术</w:t>
      </w:r>
      <w:r>
        <w:rPr>
          <w:rFonts w:ascii="Times New Roman" w:hAnsi="Times New Roman" w:cs="Times New Roman" w:eastAsia="Times New Roman" w:hint="default"/>
          <w:spacing w:val="-1"/>
        </w:rPr>
        <w:t>(</w:t>
      </w:r>
      <w:r>
        <w:rPr>
          <w:spacing w:val="-1"/>
        </w:rPr>
        <w:t>深圳</w:t>
      </w:r>
      <w:r>
        <w:rPr>
          <w:rFonts w:ascii="Times New Roman" w:hAnsi="Times New Roman" w:cs="Times New Roman" w:eastAsia="Times New Roman" w:hint="default"/>
          <w:spacing w:val="-1"/>
        </w:rPr>
        <w:t>)</w:t>
      </w:r>
      <w:r>
        <w:rPr>
          <w:spacing w:val="-1"/>
        </w:rPr>
        <w:t>有限公司、深圳市新国都技术股份有限公司等。加密键盘主要</w:t>
      </w:r>
      <w:r>
        <w:rPr>
          <w:spacing w:val="-58"/>
        </w:rPr>
        <w:t> </w:t>
      </w:r>
      <w:r>
        <w:rPr>
          <w:spacing w:val="-58"/>
        </w:rPr>
      </w:r>
      <w:r>
        <w:rPr/>
        <w:t>竞争对手包括深圳市九思泰达技术有限公司、深圳市旭子科技有限公司、美国</w:t>
      </w:r>
      <w:r>
        <w:rPr>
          <w:rFonts w:ascii="Times New Roman" w:hAnsi="Times New Roman" w:cs="Times New Roman" w:eastAsia="Times New Roman" w:hint="default"/>
        </w:rPr>
        <w:t>VeriFone</w:t>
      </w:r>
      <w:r>
        <w:rPr/>
        <w:t>公司、丹麦</w:t>
      </w:r>
      <w:r>
        <w:rPr>
          <w:rFonts w:ascii="Times New Roman" w:hAnsi="Times New Roman" w:cs="Times New Roman" w:eastAsia="Times New Roman" w:hint="default"/>
        </w:rPr>
        <w:t>Cryptera</w:t>
      </w:r>
      <w:r>
        <w:rPr/>
        <w:t>公司。</w:t>
      </w:r>
    </w:p>
    <w:p>
      <w:pPr>
        <w:pStyle w:val="BodyText"/>
        <w:spacing w:line="451" w:lineRule="auto" w:before="29"/>
        <w:ind w:left="513" w:right="117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IDC</w:t>
      </w:r>
      <w:r>
        <w:rPr/>
        <w:t>及云计算 工信部发布的《</w:t>
      </w:r>
      <w:r>
        <w:rPr>
          <w:rFonts w:ascii="Times New Roman" w:hAnsi="Times New Roman" w:cs="Times New Roman" w:eastAsia="Times New Roman" w:hint="default"/>
        </w:rPr>
        <w:t>2019</w:t>
      </w:r>
      <w:r>
        <w:rPr/>
        <w:t>年互联网和相关服务业运行情况》指出，</w:t>
      </w:r>
      <w:r>
        <w:rPr>
          <w:rFonts w:ascii="Times New Roman" w:hAnsi="Times New Roman" w:cs="Times New Roman" w:eastAsia="Times New Roman" w:hint="default"/>
        </w:rPr>
        <w:t>2019</w:t>
      </w:r>
      <w:r>
        <w:rPr/>
        <w:t>年，随着</w:t>
      </w:r>
      <w:r>
        <w:rPr>
          <w:rFonts w:ascii="Times New Roman" w:hAnsi="Times New Roman" w:cs="Times New Roman" w:eastAsia="Times New Roman" w:hint="default"/>
        </w:rPr>
        <w:t>5G</w:t>
      </w:r>
      <w:r>
        <w:rPr/>
        <w:t>、云计算、大数据和人工智能等新技术</w:t>
      </w:r>
    </w:p>
    <w:p>
      <w:pPr>
        <w:pStyle w:val="BodyText"/>
        <w:spacing w:line="451" w:lineRule="auto" w:before="43"/>
        <w:ind w:right="0"/>
        <w:jc w:val="left"/>
      </w:pPr>
      <w:r>
        <w:rPr/>
        <w:t>应用加快，新型基础设施建设进入快速增长期，拉动互联网数据服务（含数据中心业务、云计算业务等）实现收入</w:t>
      </w:r>
      <w:r>
        <w:rPr>
          <w:rFonts w:ascii="Times New Roman" w:hAnsi="Times New Roman" w:cs="Times New Roman" w:eastAsia="Times New Roman" w:hint="default"/>
        </w:rPr>
        <w:t>116.2</w:t>
      </w:r>
      <w:r>
        <w:rPr/>
        <w:t>亿 </w:t>
      </w:r>
      <w:r>
        <w:rPr>
          <w:spacing w:val="-5"/>
        </w:rPr>
        <w:t>元，同比增长</w:t>
      </w:r>
      <w:r>
        <w:rPr>
          <w:rFonts w:ascii="Times New Roman" w:hAnsi="Times New Roman" w:cs="Times New Roman" w:eastAsia="Times New Roman" w:hint="default"/>
          <w:spacing w:val="-5"/>
        </w:rPr>
        <w:t>25.6%</w:t>
      </w:r>
      <w:r>
        <w:rPr>
          <w:spacing w:val="-5"/>
        </w:rPr>
        <w:t>，增速高于互联网业务收入</w:t>
      </w:r>
      <w:r>
        <w:rPr>
          <w:rFonts w:ascii="Times New Roman" w:hAnsi="Times New Roman" w:cs="Times New Roman" w:eastAsia="Times New Roman" w:hint="default"/>
          <w:spacing w:val="-5"/>
        </w:rPr>
        <w:t>4.2</w:t>
      </w:r>
      <w:r>
        <w:rPr>
          <w:spacing w:val="-5"/>
        </w:rPr>
        <w:t>个百分点；截止到</w:t>
      </w:r>
      <w:r>
        <w:rPr>
          <w:rFonts w:ascii="Times New Roman" w:hAnsi="Times New Roman" w:cs="Times New Roman" w:eastAsia="Times New Roman" w:hint="default"/>
          <w:spacing w:val="-5"/>
        </w:rPr>
        <w:t>12</w:t>
      </w:r>
      <w:r>
        <w:rPr>
          <w:spacing w:val="-5"/>
        </w:rPr>
        <w:t>月末，部署的服务器数量达</w:t>
      </w:r>
      <w:r>
        <w:rPr>
          <w:rFonts w:ascii="Times New Roman" w:hAnsi="Times New Roman" w:cs="Times New Roman" w:eastAsia="Times New Roman" w:hint="default"/>
          <w:spacing w:val="-5"/>
        </w:rPr>
        <w:t>193.6</w:t>
      </w:r>
      <w:r>
        <w:rPr>
          <w:spacing w:val="-5"/>
        </w:rPr>
        <w:t>万台，同比增长</w:t>
      </w:r>
      <w:r>
        <w:rPr>
          <w:rFonts w:ascii="Times New Roman" w:hAnsi="Times New Roman" w:cs="Times New Roman" w:eastAsia="Times New Roman" w:hint="default"/>
          <w:spacing w:val="-5"/>
        </w:rPr>
        <w:t>17.3%</w:t>
      </w:r>
      <w:r>
        <w:rPr>
          <w:spacing w:val="-5"/>
        </w:rPr>
        <w:t>。</w:t>
      </w:r>
    </w:p>
    <w:p>
      <w:pPr>
        <w:pStyle w:val="BodyText"/>
        <w:spacing w:line="456" w:lineRule="auto" w:before="43"/>
        <w:ind w:right="0" w:firstLine="360"/>
        <w:jc w:val="left"/>
      </w:pPr>
      <w:r>
        <w:rPr/>
        <w:t>根据科智咨询（中国</w:t>
      </w:r>
      <w:r>
        <w:rPr>
          <w:rFonts w:ascii="Times New Roman" w:hAnsi="Times New Roman" w:cs="Times New Roman" w:eastAsia="Times New Roman" w:hint="default"/>
        </w:rPr>
        <w:t>IDC</w:t>
      </w:r>
      <w:r>
        <w:rPr/>
        <w:t>圈）预测，随着</w:t>
      </w:r>
      <w:r>
        <w:rPr>
          <w:rFonts w:ascii="Times New Roman" w:hAnsi="Times New Roman" w:cs="Times New Roman" w:eastAsia="Times New Roman" w:hint="default"/>
        </w:rPr>
        <w:t>5G</w:t>
      </w:r>
      <w:r>
        <w:rPr/>
        <w:t>、物联网等终端侧对</w:t>
      </w:r>
      <w:r>
        <w:rPr>
          <w:rFonts w:ascii="Times New Roman" w:hAnsi="Times New Roman" w:cs="Times New Roman" w:eastAsia="Times New Roman" w:hint="default"/>
        </w:rPr>
        <w:t>IDC</w:t>
      </w:r>
      <w:r>
        <w:rPr/>
        <w:t>的应用场景的扩大，</w:t>
      </w:r>
      <w:r>
        <w:rPr>
          <w:rFonts w:ascii="Times New Roman" w:hAnsi="Times New Roman" w:cs="Times New Roman" w:eastAsia="Times New Roman" w:hint="default"/>
        </w:rPr>
        <w:t>2019</w:t>
      </w:r>
      <w:r>
        <w:rPr/>
        <w:t>年中国</w:t>
      </w:r>
      <w:r>
        <w:rPr>
          <w:rFonts w:ascii="Times New Roman" w:hAnsi="Times New Roman" w:cs="Times New Roman" w:eastAsia="Times New Roman" w:hint="default"/>
        </w:rPr>
        <w:t>IDC</w:t>
      </w:r>
      <w:r>
        <w:rPr/>
        <w:t>市场规模达到 </w:t>
      </w:r>
      <w:r>
        <w:rPr>
          <w:rFonts w:ascii="Times New Roman" w:hAnsi="Times New Roman" w:cs="Times New Roman" w:eastAsia="Times New Roman" w:hint="default"/>
        </w:rPr>
        <w:t>1562.5</w:t>
      </w:r>
      <w:r>
        <w:rPr/>
        <w:t>亿元，同比增长</w:t>
      </w:r>
      <w:r>
        <w:rPr>
          <w:rFonts w:ascii="Times New Roman" w:hAnsi="Times New Roman" w:cs="Times New Roman" w:eastAsia="Times New Roman" w:hint="default"/>
        </w:rPr>
        <w:t>27.2%</w:t>
      </w:r>
      <w:r>
        <w:rPr/>
        <w:t>，预计</w:t>
      </w:r>
      <w:r>
        <w:rPr>
          <w:rFonts w:ascii="Times New Roman" w:hAnsi="Times New Roman" w:cs="Times New Roman" w:eastAsia="Times New Roman" w:hint="default"/>
        </w:rPr>
        <w:t>2020</w:t>
      </w:r>
      <w:r>
        <w:rPr/>
        <w:t>年中国</w:t>
      </w:r>
      <w:r>
        <w:rPr>
          <w:rFonts w:ascii="Times New Roman" w:hAnsi="Times New Roman" w:cs="Times New Roman" w:eastAsia="Times New Roman" w:hint="default"/>
        </w:rPr>
        <w:t>IDC</w:t>
      </w:r>
      <w:r>
        <w:rPr/>
        <w:t>市场将迎来新一轮大规模增长，市场规模将超过</w:t>
      </w:r>
      <w:r>
        <w:rPr>
          <w:rFonts w:ascii="Times New Roman" w:hAnsi="Times New Roman" w:cs="Times New Roman" w:eastAsia="Times New Roman" w:hint="default"/>
        </w:rPr>
        <w:t>2000</w:t>
      </w:r>
      <w:r>
        <w:rPr/>
        <w:t>亿元。特别是新冠 </w:t>
      </w:r>
      <w:r>
        <w:rPr>
          <w:spacing w:val="-2"/>
        </w:rPr>
        <w:t>疫情的到来，对防疫数据及在线经济的计算能力提出了更高要求，除需求增加外，政策端也在不断重视及加大扶持力度，继</w:t>
      </w:r>
      <w:r>
        <w:rPr>
          <w:spacing w:val="-65"/>
        </w:rPr>
        <w:t> </w:t>
      </w:r>
      <w:r>
        <w:rPr>
          <w:spacing w:val="-65"/>
        </w:rPr>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日，中共中央政治局常务委员会召开会议，强调要加快</w:t>
      </w:r>
      <w:r>
        <w:rPr>
          <w:rFonts w:ascii="Times New Roman" w:hAnsi="Times New Roman" w:cs="Times New Roman" w:eastAsia="Times New Roman" w:hint="default"/>
          <w:spacing w:val="-3"/>
        </w:rPr>
        <w:t>5G</w:t>
      </w:r>
      <w:r>
        <w:rPr>
          <w:spacing w:val="-3"/>
        </w:rPr>
        <w:t>网络、数据中心等新型基础设施建设之后，在</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21</w:t>
      </w:r>
      <w:r>
        <w:rPr>
          <w:spacing w:val="-3"/>
        </w:rPr>
        <w:t>日，</w:t>
      </w:r>
      <w:r>
        <w:rPr>
          <w:spacing w:val="-41"/>
        </w:rPr>
        <w:t> </w:t>
      </w:r>
      <w:r>
        <w:rPr/>
        <w:t>国家发展改革委投资司司长欧鸿再次明确表示</w:t>
      </w:r>
      <w:r>
        <w:rPr>
          <w:rFonts w:ascii="Times New Roman" w:hAnsi="Times New Roman" w:cs="Times New Roman" w:eastAsia="Times New Roman" w:hint="default"/>
        </w:rPr>
        <w:t>“</w:t>
      </w:r>
      <w:r>
        <w:rPr/>
        <w:t>聚焦经济社会发展存在的短板领域，加快</w:t>
      </w:r>
      <w:r>
        <w:rPr>
          <w:rFonts w:ascii="Times New Roman" w:hAnsi="Times New Roman" w:cs="Times New Roman" w:eastAsia="Times New Roman" w:hint="default"/>
        </w:rPr>
        <w:t>5G</w:t>
      </w:r>
      <w:r>
        <w:rPr/>
        <w:t>网络、数据中心等新型基础设施 建设进度</w:t>
      </w:r>
      <w:r>
        <w:rPr>
          <w:rFonts w:ascii="Times New Roman" w:hAnsi="Times New Roman" w:cs="Times New Roman" w:eastAsia="Times New Roman" w:hint="default"/>
        </w:rPr>
        <w:t>”</w:t>
      </w:r>
      <w:r>
        <w:rPr/>
        <w:t>。随着</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的推进，云计算服务部署提速，相关设备及服务需求增加，数据中心作为底层基础设施有望持续 增长，数据中心建设及扩容的步伐也会相应加快。</w:t>
      </w:r>
    </w:p>
    <w:p>
      <w:pPr>
        <w:pStyle w:val="BodyText"/>
        <w:spacing w:line="451" w:lineRule="auto" w:before="70"/>
        <w:ind w:right="1132" w:firstLine="360"/>
        <w:jc w:val="both"/>
      </w:pPr>
      <w:r>
        <w:rPr/>
        <w:t>赛迪顾问发布数据显示，</w:t>
      </w:r>
      <w:r>
        <w:rPr>
          <w:rFonts w:ascii="Times New Roman" w:hAnsi="Times New Roman" w:cs="Times New Roman" w:eastAsia="Times New Roman" w:hint="default"/>
        </w:rPr>
        <w:t>2019</w:t>
      </w:r>
      <w:r>
        <w:rPr/>
        <w:t>年中国数据中心数量大约有</w:t>
      </w:r>
      <w:r>
        <w:rPr>
          <w:rFonts w:ascii="Times New Roman" w:hAnsi="Times New Roman" w:cs="Times New Roman" w:eastAsia="Times New Roman" w:hint="default"/>
        </w:rPr>
        <w:t>7.4</w:t>
      </w:r>
      <w:r>
        <w:rPr/>
        <w:t>万个，大约能占全球数据中心总量的</w:t>
      </w:r>
      <w:r>
        <w:rPr>
          <w:rFonts w:ascii="Times New Roman" w:hAnsi="Times New Roman" w:cs="Times New Roman" w:eastAsia="Times New Roman" w:hint="default"/>
        </w:rPr>
        <w:t>23%</w:t>
      </w:r>
      <w:r>
        <w:rPr/>
        <w:t>，数据中心机架 规模达到</w:t>
      </w:r>
      <w:r>
        <w:rPr>
          <w:rFonts w:ascii="Times New Roman" w:hAnsi="Times New Roman" w:cs="Times New Roman" w:eastAsia="Times New Roman" w:hint="default"/>
        </w:rPr>
        <w:t>227</w:t>
      </w:r>
      <w:r>
        <w:rPr/>
        <w:t>万架，在用</w:t>
      </w:r>
      <w:r>
        <w:rPr>
          <w:rFonts w:ascii="Times New Roman" w:hAnsi="Times New Roman" w:cs="Times New Roman" w:eastAsia="Times New Roman" w:hint="default"/>
        </w:rPr>
        <w:t>IDC</w:t>
      </w:r>
      <w:r>
        <w:rPr/>
        <w:t>数据中心数量</w:t>
      </w:r>
      <w:r>
        <w:rPr>
          <w:rFonts w:ascii="Times New Roman" w:hAnsi="Times New Roman" w:cs="Times New Roman" w:eastAsia="Times New Roman" w:hint="default"/>
        </w:rPr>
        <w:t>2213</w:t>
      </w:r>
      <w:r>
        <w:rPr/>
        <w:t>个；目前超大型、大型数据中心数量占比达到</w:t>
      </w:r>
      <w:r>
        <w:rPr>
          <w:rFonts w:ascii="Times New Roman" w:hAnsi="Times New Roman" w:cs="Times New Roman" w:eastAsia="Times New Roman" w:hint="default"/>
        </w:rPr>
        <w:t>12.7%</w:t>
      </w:r>
      <w:r>
        <w:rPr/>
        <w:t>；规划在建数据中心</w:t>
      </w:r>
      <w:r>
        <w:rPr>
          <w:rFonts w:ascii="Times New Roman" w:hAnsi="Times New Roman" w:cs="Times New Roman" w:eastAsia="Times New Roman" w:hint="default"/>
        </w:rPr>
        <w:t>320 </w:t>
      </w:r>
      <w:r>
        <w:rPr>
          <w:spacing w:val="-1"/>
        </w:rPr>
        <w:t>个，超大型、大型数据中心数量占比达到</w:t>
      </w:r>
      <w:r>
        <w:rPr>
          <w:rFonts w:ascii="Times New Roman" w:hAnsi="Times New Roman" w:cs="Times New Roman" w:eastAsia="Times New Roman" w:hint="default"/>
          <w:spacing w:val="-1"/>
        </w:rPr>
        <w:t>36.1%</w:t>
      </w:r>
      <w:r>
        <w:rPr>
          <w:spacing w:val="-1"/>
        </w:rPr>
        <w:t>。互联网新兴技术的高速发展使得万物数据化，引发数据量和计算量呈指数</w:t>
      </w:r>
      <w:r>
        <w:rPr>
          <w:spacing w:val="-43"/>
        </w:rPr>
        <w:t> </w:t>
      </w:r>
      <w:r>
        <w:rPr>
          <w:spacing w:val="-43"/>
        </w:rPr>
      </w:r>
      <w:r>
        <w:rPr/>
        <w:t>爆发，到</w:t>
      </w:r>
      <w:r>
        <w:rPr>
          <w:rFonts w:ascii="Times New Roman" w:hAnsi="Times New Roman" w:cs="Times New Roman" w:eastAsia="Times New Roman" w:hint="default"/>
        </w:rPr>
        <w:t>2030</w:t>
      </w:r>
      <w:r>
        <w:rPr/>
        <w:t>年数据原生产业规模量占整体经济总量的</w:t>
      </w:r>
      <w:r>
        <w:rPr>
          <w:rFonts w:ascii="Times New Roman" w:hAnsi="Times New Roman" w:cs="Times New Roman" w:eastAsia="Times New Roman" w:hint="default"/>
        </w:rPr>
        <w:t>15%</w:t>
      </w:r>
      <w:r>
        <w:rPr/>
        <w:t>，中国数据总量将占全球数据量</w:t>
      </w:r>
      <w:r>
        <w:rPr>
          <w:rFonts w:ascii="Times New Roman" w:hAnsi="Times New Roman" w:cs="Times New Roman" w:eastAsia="Times New Roman" w:hint="default"/>
        </w:rPr>
        <w:t>30%</w:t>
      </w:r>
      <w:r>
        <w:rPr/>
        <w:t>。</w:t>
      </w:r>
    </w:p>
    <w:p>
      <w:pPr>
        <w:pStyle w:val="BodyText"/>
        <w:spacing w:line="451" w:lineRule="auto" w:before="43"/>
        <w:ind w:right="1129" w:firstLine="360"/>
        <w:jc w:val="both"/>
      </w:pPr>
      <w:r>
        <w:rPr>
          <w:spacing w:val="-2"/>
        </w:rPr>
        <w:t>科学技术的发展和下游客户的需求始终是</w:t>
      </w:r>
      <w:r>
        <w:rPr>
          <w:rFonts w:ascii="Times New Roman" w:hAnsi="Times New Roman" w:cs="Times New Roman" w:eastAsia="Times New Roman" w:hint="default"/>
          <w:spacing w:val="-2"/>
        </w:rPr>
        <w:t>IDC</w:t>
      </w:r>
      <w:r>
        <w:rPr>
          <w:spacing w:val="-2"/>
        </w:rPr>
        <w:t>行业发展的主要驱动力。当前来看，</w:t>
      </w:r>
      <w:r>
        <w:rPr>
          <w:rFonts w:ascii="Times New Roman" w:hAnsi="Times New Roman" w:cs="Times New Roman" w:eastAsia="Times New Roman" w:hint="default"/>
          <w:spacing w:val="-2"/>
        </w:rPr>
        <w:t>5G</w:t>
      </w:r>
      <w:r>
        <w:rPr>
          <w:spacing w:val="-2"/>
        </w:rPr>
        <w:t>和云计算并行向前，前沿技术的大</w:t>
      </w:r>
      <w:r>
        <w:rPr/>
        <w:t> </w:t>
      </w:r>
      <w:r>
        <w:rPr>
          <w:spacing w:val="-1"/>
        </w:rPr>
        <w:t>规模应用必将带动下游需求逐步爆发，数据流量也将迎来一个暴涨期，而</w:t>
      </w:r>
      <w:r>
        <w:rPr>
          <w:rFonts w:ascii="Times New Roman" w:hAnsi="Times New Roman" w:cs="Times New Roman" w:eastAsia="Times New Roman" w:hint="default"/>
          <w:spacing w:val="-1"/>
        </w:rPr>
        <w:t>IDC</w:t>
      </w:r>
      <w:r>
        <w:rPr>
          <w:spacing w:val="-1"/>
        </w:rPr>
        <w:t>作为数据流量的核心载体，有望乘势步入高速</w:t>
      </w:r>
      <w:r>
        <w:rPr>
          <w:spacing w:val="-67"/>
        </w:rPr>
        <w:t> </w:t>
      </w:r>
      <w:r>
        <w:rPr>
          <w:spacing w:val="-67"/>
        </w:rPr>
      </w:r>
      <w:r>
        <w:rPr/>
        <w:t>增长轨道。</w:t>
      </w:r>
    </w:p>
    <w:p>
      <w:pPr>
        <w:pStyle w:val="BodyText"/>
        <w:spacing w:line="458" w:lineRule="auto" w:before="74"/>
        <w:ind w:right="1130" w:firstLine="360"/>
        <w:jc w:val="both"/>
      </w:pPr>
      <w:r>
        <w:rPr>
          <w:spacing w:val="-2"/>
        </w:rPr>
        <w:t>云计算将成为数字经济社会最重要的基础设施，在政府、产业的双重推动下，我国云计算技术得到迅速发展，根据中国</w:t>
      </w:r>
      <w:r>
        <w:rPr/>
        <w:t> </w:t>
      </w:r>
      <w:r>
        <w:rPr>
          <w:spacing w:val="-5"/>
        </w:rPr>
        <w:t>信通院究院发布的《云计算发展白皮书（</w:t>
      </w:r>
      <w:r>
        <w:rPr>
          <w:rFonts w:ascii="Times New Roman" w:hAnsi="Times New Roman" w:cs="Times New Roman" w:eastAsia="Times New Roman" w:hint="default"/>
          <w:spacing w:val="-5"/>
        </w:rPr>
        <w:t>2019</w:t>
      </w:r>
      <w:r>
        <w:rPr>
          <w:spacing w:val="-5"/>
        </w:rPr>
        <w:t>年）》数据显示，</w:t>
      </w:r>
      <w:r>
        <w:rPr>
          <w:rFonts w:ascii="Times New Roman" w:hAnsi="Times New Roman" w:cs="Times New Roman" w:eastAsia="Times New Roman" w:hint="default"/>
          <w:spacing w:val="-5"/>
        </w:rPr>
        <w:t>2018</w:t>
      </w:r>
      <w:r>
        <w:rPr>
          <w:spacing w:val="-5"/>
        </w:rPr>
        <w:t>年中国云计算产业规模达到</w:t>
      </w:r>
      <w:r>
        <w:rPr>
          <w:rFonts w:ascii="Times New Roman" w:hAnsi="Times New Roman" w:cs="Times New Roman" w:eastAsia="Times New Roman" w:hint="default"/>
          <w:spacing w:val="-5"/>
        </w:rPr>
        <w:t>962.8</w:t>
      </w:r>
      <w:r>
        <w:rPr>
          <w:spacing w:val="-5"/>
        </w:rPr>
        <w:t>亿元，</w:t>
      </w:r>
      <w:r>
        <w:rPr>
          <w:rFonts w:ascii="Times New Roman" w:hAnsi="Times New Roman" w:cs="Times New Roman" w:eastAsia="Times New Roman" w:hint="default"/>
          <w:spacing w:val="-5"/>
        </w:rPr>
        <w:t>2019</w:t>
      </w:r>
      <w:r>
        <w:rPr>
          <w:spacing w:val="-5"/>
        </w:rPr>
        <w:t>年达到</w:t>
      </w:r>
      <w:r>
        <w:rPr>
          <w:rFonts w:ascii="Times New Roman" w:hAnsi="Times New Roman" w:cs="Times New Roman" w:eastAsia="Times New Roman" w:hint="default"/>
          <w:spacing w:val="-5"/>
        </w:rPr>
        <w:t>1290.7</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亿元，同比增长</w:t>
      </w:r>
      <w:r>
        <w:rPr>
          <w:rFonts w:ascii="Times New Roman" w:hAnsi="Times New Roman" w:cs="Times New Roman" w:eastAsia="Times New Roman" w:hint="default"/>
        </w:rPr>
        <w:t>34.1%</w:t>
      </w:r>
      <w:r>
        <w:rPr/>
        <w:t>，预计未来几年市场平均增长率在</w:t>
      </w:r>
      <w:r>
        <w:rPr>
          <w:rFonts w:ascii="Times New Roman" w:hAnsi="Times New Roman" w:cs="Times New Roman" w:eastAsia="Times New Roman" w:hint="default"/>
        </w:rPr>
        <w:t>20%</w:t>
      </w:r>
      <w:r>
        <w:rPr/>
        <w:t>左右，到</w:t>
      </w:r>
      <w:r>
        <w:rPr>
          <w:rFonts w:ascii="Times New Roman" w:hAnsi="Times New Roman" w:cs="Times New Roman" w:eastAsia="Times New Roman" w:hint="default"/>
        </w:rPr>
        <w:t>2021</w:t>
      </w:r>
      <w:r>
        <w:rPr/>
        <w:t>年产业规模将破</w:t>
      </w:r>
      <w:r>
        <w:rPr>
          <w:rFonts w:ascii="Times New Roman" w:hAnsi="Times New Roman" w:cs="Times New Roman" w:eastAsia="Times New Roman" w:hint="default"/>
        </w:rPr>
        <w:t>2000</w:t>
      </w:r>
      <w:r>
        <w:rPr/>
        <w:t>亿元，到</w:t>
      </w:r>
      <w:r>
        <w:rPr>
          <w:rFonts w:ascii="Times New Roman" w:hAnsi="Times New Roman" w:cs="Times New Roman" w:eastAsia="Times New Roman" w:hint="default"/>
        </w:rPr>
        <w:t>2023</w:t>
      </w:r>
      <w:r>
        <w:rPr/>
        <w:t>年产业规模将 </w:t>
      </w:r>
      <w:r>
        <w:rPr>
          <w:spacing w:val="-2"/>
        </w:rPr>
        <w:t>超过</w:t>
      </w:r>
      <w:r>
        <w:rPr>
          <w:rFonts w:ascii="Times New Roman" w:hAnsi="Times New Roman" w:cs="Times New Roman" w:eastAsia="Times New Roman" w:hint="default"/>
          <w:spacing w:val="-2"/>
        </w:rPr>
        <w:t>3000</w:t>
      </w:r>
      <w:r>
        <w:rPr>
          <w:spacing w:val="-2"/>
        </w:rPr>
        <w:t>亿元。此外，根据中国电子学会等组织和机构的不完全统计，</w:t>
      </w:r>
      <w:r>
        <w:rPr>
          <w:rFonts w:ascii="Times New Roman" w:hAnsi="Times New Roman" w:cs="Times New Roman" w:eastAsia="Times New Roman" w:hint="default"/>
          <w:spacing w:val="-2"/>
        </w:rPr>
        <w:t>2018</w:t>
      </w:r>
      <w:r>
        <w:rPr>
          <w:spacing w:val="-2"/>
        </w:rPr>
        <w:t>年中国各行业企业上云率只有</w:t>
      </w:r>
      <w:r>
        <w:rPr>
          <w:rFonts w:ascii="Times New Roman" w:hAnsi="Times New Roman" w:cs="Times New Roman" w:eastAsia="Times New Roman" w:hint="default"/>
          <w:spacing w:val="-2"/>
        </w:rPr>
        <w:t>40%</w:t>
      </w:r>
      <w:r>
        <w:rPr>
          <w:spacing w:val="-2"/>
        </w:rPr>
        <w:t>左右，在数字</w:t>
      </w:r>
      <w:r>
        <w:rPr>
          <w:spacing w:val="-33"/>
        </w:rPr>
        <w:t> </w:t>
      </w:r>
      <w:r>
        <w:rPr>
          <w:spacing w:val="-33"/>
        </w:rPr>
      </w:r>
      <w:r>
        <w:rPr/>
        <w:t>经济核心基础设施建设方面还有较大空间，预计在</w:t>
      </w:r>
      <w:r>
        <w:rPr>
          <w:rFonts w:ascii="Times New Roman" w:hAnsi="Times New Roman" w:cs="Times New Roman" w:eastAsia="Times New Roman" w:hint="default"/>
        </w:rPr>
        <w:t>2023</w:t>
      </w:r>
      <w:r>
        <w:rPr/>
        <w:t>年产业规模达到</w:t>
      </w:r>
      <w:r>
        <w:rPr>
          <w:rFonts w:ascii="Times New Roman" w:hAnsi="Times New Roman" w:cs="Times New Roman" w:eastAsia="Times New Roman" w:hint="default"/>
        </w:rPr>
        <w:t>3000</w:t>
      </w:r>
      <w:r>
        <w:rPr/>
        <w:t>亿元时，政府和企业上云率将超过</w:t>
      </w:r>
      <w:r>
        <w:rPr>
          <w:rFonts w:ascii="Times New Roman" w:hAnsi="Times New Roman" w:cs="Times New Roman" w:eastAsia="Times New Roman" w:hint="default"/>
        </w:rPr>
        <w:t>60%</w:t>
      </w:r>
      <w:r>
        <w:rPr/>
        <w:t>。</w:t>
      </w:r>
    </w:p>
    <w:p>
      <w:pPr>
        <w:pStyle w:val="BodyText"/>
        <w:spacing w:line="451" w:lineRule="auto" w:before="37"/>
        <w:ind w:right="0" w:firstLine="360"/>
        <w:jc w:val="left"/>
      </w:pPr>
      <w:r>
        <w:rPr>
          <w:rFonts w:ascii="Times New Roman" w:hAnsi="Times New Roman" w:cs="Times New Roman" w:eastAsia="Times New Roman" w:hint="default"/>
          <w:spacing w:val="-2"/>
        </w:rPr>
        <w:t>5G</w:t>
      </w:r>
      <w:r>
        <w:rPr>
          <w:spacing w:val="-2"/>
        </w:rPr>
        <w:t>方面，根据由中国国际经济交流中心、国经咨询有限公司和中国信息通信研究院联合推出的《中国</w:t>
      </w:r>
      <w:r>
        <w:rPr>
          <w:rFonts w:ascii="Times New Roman" w:hAnsi="Times New Roman" w:cs="Times New Roman" w:eastAsia="Times New Roman" w:hint="default"/>
          <w:spacing w:val="-2"/>
        </w:rPr>
        <w:t>5G</w:t>
      </w:r>
      <w:r>
        <w:rPr>
          <w:spacing w:val="-2"/>
        </w:rPr>
        <w:t>经济报告</w:t>
      </w:r>
      <w:r>
        <w:rPr>
          <w:rFonts w:ascii="Times New Roman" w:hAnsi="Times New Roman" w:cs="Times New Roman" w:eastAsia="Times New Roman" w:hint="default"/>
          <w:spacing w:val="-2"/>
        </w:rPr>
        <w:t>2020</w:t>
      </w:r>
      <w:r>
        <w:rPr>
          <w:spacing w:val="-2"/>
        </w:rPr>
        <w:t>》</w:t>
      </w:r>
      <w:r>
        <w:rPr/>
        <w:t> 预测，到</w:t>
      </w:r>
      <w:r>
        <w:rPr>
          <w:rFonts w:ascii="Times New Roman" w:hAnsi="Times New Roman" w:cs="Times New Roman" w:eastAsia="Times New Roman" w:hint="default"/>
        </w:rPr>
        <w:t>2025</w:t>
      </w:r>
      <w:r>
        <w:rPr/>
        <w:t>年，中国将占全世界</w:t>
      </w:r>
      <w:r>
        <w:rPr>
          <w:rFonts w:ascii="Times New Roman" w:hAnsi="Times New Roman" w:cs="Times New Roman" w:eastAsia="Times New Roman" w:hint="default"/>
        </w:rPr>
        <w:t>30%</w:t>
      </w:r>
      <w:r>
        <w:rPr/>
        <w:t>的连接，</w:t>
      </w:r>
      <w:r>
        <w:rPr>
          <w:rFonts w:ascii="Times New Roman" w:hAnsi="Times New Roman" w:cs="Times New Roman" w:eastAsia="Times New Roman" w:hint="default"/>
        </w:rPr>
        <w:t>5G</w:t>
      </w:r>
      <w:r>
        <w:rPr/>
        <w:t>用户将达到</w:t>
      </w:r>
      <w:r>
        <w:rPr>
          <w:rFonts w:ascii="Times New Roman" w:hAnsi="Times New Roman" w:cs="Times New Roman" w:eastAsia="Times New Roman" w:hint="default"/>
        </w:rPr>
        <w:t>8.16</w:t>
      </w:r>
      <w:r>
        <w:rPr/>
        <w:t>亿，占移动用户的</w:t>
      </w:r>
      <w:r>
        <w:rPr>
          <w:rFonts w:ascii="Times New Roman" w:hAnsi="Times New Roman" w:cs="Times New Roman" w:eastAsia="Times New Roman" w:hint="default"/>
        </w:rPr>
        <w:t>48%</w:t>
      </w:r>
      <w:r>
        <w:rPr/>
        <w:t>左右。根据中国信通院《</w:t>
      </w:r>
      <w:r>
        <w:rPr>
          <w:rFonts w:ascii="Times New Roman" w:hAnsi="Times New Roman" w:cs="Times New Roman" w:eastAsia="Times New Roman" w:hint="default"/>
        </w:rPr>
        <w:t>5G</w:t>
      </w:r>
      <w:r>
        <w:rPr/>
        <w:t>经济社 会影响白皮书》预测，</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5G</w:t>
      </w:r>
      <w:r>
        <w:rPr/>
        <w:t>将直接带动</w:t>
      </w:r>
      <w:r>
        <w:rPr>
          <w:rFonts w:ascii="Times New Roman" w:hAnsi="Times New Roman" w:cs="Times New Roman" w:eastAsia="Times New Roman" w:hint="default"/>
        </w:rPr>
        <w:t>4840</w:t>
      </w:r>
      <w:r>
        <w:rPr/>
        <w:t>亿元的直接产出、</w:t>
      </w:r>
      <w:r>
        <w:rPr>
          <w:rFonts w:ascii="Times New Roman" w:hAnsi="Times New Roman" w:cs="Times New Roman" w:eastAsia="Times New Roman" w:hint="default"/>
        </w:rPr>
        <w:t>1.2</w:t>
      </w:r>
      <w:r>
        <w:rPr/>
        <w:t>万亿的间接产出，十年间的年均复合增长率分别为在</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rPr>
        <w:t>29%</w:t>
      </w:r>
      <w:r>
        <w:rPr/>
        <w:t>及</w:t>
      </w:r>
      <w:r>
        <w:rPr>
          <w:rFonts w:ascii="Times New Roman" w:hAnsi="Times New Roman" w:cs="Times New Roman" w:eastAsia="Times New Roman" w:hint="default"/>
        </w:rPr>
        <w:t>24%</w:t>
      </w:r>
      <w:r>
        <w:rPr/>
        <w:t>；到</w:t>
      </w:r>
      <w:r>
        <w:rPr>
          <w:rFonts w:ascii="Times New Roman" w:hAnsi="Times New Roman" w:cs="Times New Roman" w:eastAsia="Times New Roman" w:hint="default"/>
        </w:rPr>
        <w:t>2030</w:t>
      </w:r>
      <w:r>
        <w:rPr/>
        <w:t>年</w:t>
      </w:r>
      <w:r>
        <w:rPr>
          <w:rFonts w:ascii="Times New Roman" w:hAnsi="Times New Roman" w:cs="Times New Roman" w:eastAsia="Times New Roman" w:hint="default"/>
        </w:rPr>
        <w:t>5G</w:t>
      </w:r>
      <w:r>
        <w:rPr/>
        <w:t>带动的直接产出和间接产出将分别达到</w:t>
      </w:r>
      <w:r>
        <w:rPr>
          <w:rFonts w:ascii="Times New Roman" w:hAnsi="Times New Roman" w:cs="Times New Roman" w:eastAsia="Times New Roman" w:hint="default"/>
        </w:rPr>
        <w:t>6.3</w:t>
      </w:r>
      <w:r>
        <w:rPr/>
        <w:t>万亿和</w:t>
      </w:r>
      <w:r>
        <w:rPr>
          <w:rFonts w:ascii="Times New Roman" w:hAnsi="Times New Roman" w:cs="Times New Roman" w:eastAsia="Times New Roman" w:hint="default"/>
        </w:rPr>
        <w:t>10.6</w:t>
      </w:r>
      <w:r>
        <w:rPr/>
        <w:t>万亿元。与此同时，高层密集出台政策强调以</w:t>
      </w:r>
    </w:p>
    <w:p>
      <w:pPr>
        <w:spacing w:line="240" w:lineRule="auto" w:before="9"/>
        <w:rPr>
          <w:rFonts w:ascii="宋体" w:hAnsi="宋体" w:cs="宋体" w:eastAsia="宋体" w:hint="default"/>
          <w:sz w:val="16"/>
          <w:szCs w:val="16"/>
        </w:rPr>
      </w:pPr>
    </w:p>
    <w:p>
      <w:pPr>
        <w:pStyle w:val="BodyText"/>
        <w:spacing w:line="451" w:lineRule="auto"/>
        <w:ind w:right="1189"/>
        <w:jc w:val="both"/>
      </w:pPr>
      <w:r>
        <w:rPr>
          <w:rFonts w:ascii="Times New Roman" w:hAnsi="Times New Roman" w:cs="Times New Roman" w:eastAsia="Times New Roman" w:hint="default"/>
        </w:rPr>
        <w:t>5G</w:t>
      </w:r>
      <w:r>
        <w:rPr/>
        <w:t>为首的新基建，工信部和运营商调研建设实施方案并明确年内提前完成原定计划。政策引导资源趋向新型基础设施，有 望加快加大投入，</w:t>
      </w:r>
      <w:r>
        <w:rPr>
          <w:rFonts w:ascii="Times New Roman" w:hAnsi="Times New Roman" w:cs="Times New Roman" w:eastAsia="Times New Roman" w:hint="default"/>
        </w:rPr>
        <w:t>5G</w:t>
      </w:r>
      <w:r>
        <w:rPr/>
        <w:t>网络处于核心地位，未来十年会对</w:t>
      </w:r>
      <w:r>
        <w:rPr>
          <w:rFonts w:ascii="Times New Roman" w:hAnsi="Times New Roman" w:cs="Times New Roman" w:eastAsia="Times New Roman" w:hint="default"/>
        </w:rPr>
        <w:t>GDP</w:t>
      </w:r>
      <w:r>
        <w:rPr/>
        <w:t>产生庞大的直接或间接拉动，带动上游产业链变革的同时，也 将激发数字经济全面兴起。</w:t>
      </w:r>
    </w:p>
    <w:p>
      <w:pPr>
        <w:pStyle w:val="BodyText"/>
        <w:spacing w:line="451" w:lineRule="auto" w:before="74"/>
        <w:ind w:right="1123" w:firstLine="360"/>
        <w:jc w:val="left"/>
      </w:pPr>
      <w:r>
        <w:rPr/>
        <w:t>此外，</w:t>
      </w:r>
      <w:r>
        <w:rPr>
          <w:rFonts w:ascii="Times New Roman" w:hAnsi="Times New Roman" w:cs="Times New Roman" w:eastAsia="Times New Roman" w:hint="default"/>
        </w:rPr>
        <w:t>5G</w:t>
      </w:r>
      <w:r>
        <w:rPr/>
        <w:t>作为最新一代的无线通信技术，与云计算、大数据、人工智能以及物联网等为代表的新一代信息技术的深度 融合，通过使</w:t>
      </w:r>
      <w:r>
        <w:rPr>
          <w:rFonts w:ascii="Times New Roman" w:hAnsi="Times New Roman" w:cs="Times New Roman" w:eastAsia="Times New Roman" w:hint="default"/>
        </w:rPr>
        <w:t>5G</w:t>
      </w:r>
      <w:r>
        <w:rPr/>
        <w:t>网络根据末端应用场景灵活配置网络资源，满足智慧城市对网络差异化需求，为智慧城市赋能。根据</w:t>
      </w:r>
      <w:r>
        <w:rPr>
          <w:rFonts w:ascii="Times New Roman" w:hAnsi="Times New Roman" w:cs="Times New Roman" w:eastAsia="Times New Roman" w:hint="default"/>
        </w:rPr>
        <w:t>IDC</w:t>
      </w:r>
      <w:r>
        <w:rPr>
          <w:rFonts w:ascii="Times New Roman" w:hAnsi="Times New Roman" w:cs="Times New Roman" w:eastAsia="Times New Roman" w:hint="default"/>
          <w:w w:val="99"/>
        </w:rPr>
        <w:t> </w:t>
      </w:r>
      <w:r>
        <w:rPr/>
        <w:t>发布的《全球半年度智慧城市支出指南》，</w:t>
      </w:r>
      <w:r>
        <w:rPr>
          <w:rFonts w:ascii="Times New Roman" w:hAnsi="Times New Roman" w:cs="Times New Roman" w:eastAsia="Times New Roman" w:hint="default"/>
        </w:rPr>
        <w:t>2019</w:t>
      </w:r>
      <w:r>
        <w:rPr/>
        <w:t>年，中国智慧城市技术相关投资预计到</w:t>
      </w:r>
      <w:r>
        <w:rPr>
          <w:rFonts w:ascii="Times New Roman" w:hAnsi="Times New Roman" w:cs="Times New Roman" w:eastAsia="Times New Roman" w:hint="default"/>
        </w:rPr>
        <w:t>228.79</w:t>
      </w:r>
      <w:r>
        <w:rPr/>
        <w:t>亿美元，相较</w:t>
      </w:r>
      <w:r>
        <w:rPr>
          <w:rFonts w:ascii="Times New Roman" w:hAnsi="Times New Roman" w:cs="Times New Roman" w:eastAsia="Times New Roman" w:hint="default"/>
        </w:rPr>
        <w:t>2018</w:t>
      </w:r>
      <w:r>
        <w:rPr/>
        <w:t>年的</w:t>
      </w:r>
      <w:r>
        <w:rPr>
          <w:rFonts w:ascii="Times New Roman" w:hAnsi="Times New Roman" w:cs="Times New Roman" w:eastAsia="Times New Roman" w:hint="default"/>
        </w:rPr>
        <w:t>200.53 </w:t>
      </w:r>
      <w:r>
        <w:rPr/>
        <w:t>亿美元增长了</w:t>
      </w:r>
      <w:r>
        <w:rPr>
          <w:rFonts w:ascii="Times New Roman" w:hAnsi="Times New Roman" w:cs="Times New Roman" w:eastAsia="Times New Roman" w:hint="default"/>
        </w:rPr>
        <w:t>14.09%</w:t>
      </w:r>
      <w:r>
        <w:rPr/>
        <w:t>。根据中国智慧城市工作委员会数据，预测到</w:t>
      </w:r>
      <w:r>
        <w:rPr>
          <w:rFonts w:ascii="Times New Roman" w:hAnsi="Times New Roman" w:cs="Times New Roman" w:eastAsia="Times New Roman" w:hint="default"/>
        </w:rPr>
        <w:t>2022</w:t>
      </w:r>
      <w:r>
        <w:rPr/>
        <w:t>年，我国智慧城市市场规模将达到</w:t>
      </w:r>
      <w:r>
        <w:rPr>
          <w:rFonts w:ascii="Times New Roman" w:hAnsi="Times New Roman" w:cs="Times New Roman" w:eastAsia="Times New Roman" w:hint="default"/>
        </w:rPr>
        <w:t>25</w:t>
      </w:r>
      <w:r>
        <w:rPr/>
        <w:t>万亿元。智慧 </w:t>
      </w:r>
      <w:r>
        <w:rPr>
          <w:spacing w:val="-1"/>
        </w:rPr>
        <w:t>园区作为智慧城市的重要表现形态和核心组成部分，</w:t>
      </w:r>
      <w:r>
        <w:rPr>
          <w:rFonts w:ascii="Times New Roman" w:hAnsi="Times New Roman" w:cs="Times New Roman" w:eastAsia="Times New Roman" w:hint="default"/>
          <w:spacing w:val="-1"/>
        </w:rPr>
        <w:t>IDC</w:t>
      </w:r>
      <w:r>
        <w:rPr>
          <w:spacing w:val="-1"/>
        </w:rPr>
        <w:t>发布《中国智慧园区市场现状与预测分析，</w:t>
      </w:r>
      <w:r>
        <w:rPr>
          <w:rFonts w:ascii="Times New Roman" w:hAnsi="Times New Roman" w:cs="Times New Roman" w:eastAsia="Times New Roman" w:hint="default"/>
          <w:spacing w:val="-1"/>
        </w:rPr>
        <w:t>2019</w:t>
      </w:r>
      <w:r>
        <w:rPr>
          <w:spacing w:val="-1"/>
        </w:rPr>
        <w:t>》报告指出，中国</w:t>
      </w:r>
      <w:r>
        <w:rPr>
          <w:spacing w:val="-68"/>
        </w:rPr>
        <w:t> </w:t>
      </w:r>
      <w:r>
        <w:rPr>
          <w:spacing w:val="-68"/>
        </w:rPr>
      </w:r>
      <w:r>
        <w:rPr>
          <w:spacing w:val="-1"/>
        </w:rPr>
        <w:t>智慧园区建设正在进入快速发展期，</w:t>
      </w:r>
      <w:r>
        <w:rPr>
          <w:rFonts w:ascii="Times New Roman" w:hAnsi="Times New Roman" w:cs="Times New Roman" w:eastAsia="Times New Roman" w:hint="default"/>
          <w:spacing w:val="-1"/>
        </w:rPr>
        <w:t>2019</w:t>
      </w:r>
      <w:r>
        <w:rPr>
          <w:spacing w:val="-1"/>
        </w:rPr>
        <w:t>年数字化投资超过</w:t>
      </w:r>
      <w:r>
        <w:rPr>
          <w:rFonts w:ascii="Times New Roman" w:hAnsi="Times New Roman" w:cs="Times New Roman" w:eastAsia="Times New Roman" w:hint="default"/>
          <w:spacing w:val="-1"/>
        </w:rPr>
        <w:t>1600</w:t>
      </w:r>
      <w:r>
        <w:rPr>
          <w:spacing w:val="-1"/>
        </w:rPr>
        <w:t>亿元，未来三年增长近</w:t>
      </w:r>
      <w:r>
        <w:rPr>
          <w:rFonts w:ascii="Times New Roman" w:hAnsi="Times New Roman" w:cs="Times New Roman" w:eastAsia="Times New Roman" w:hint="default"/>
          <w:spacing w:val="-1"/>
        </w:rPr>
        <w:t>20%</w:t>
      </w:r>
      <w:r>
        <w:rPr>
          <w:spacing w:val="-1"/>
        </w:rPr>
        <w:t>，政府主导产业园区作为投资和</w:t>
      </w:r>
      <w:r>
        <w:rPr>
          <w:spacing w:val="-87"/>
        </w:rPr>
        <w:t> </w:t>
      </w:r>
      <w:r>
        <w:rPr>
          <w:spacing w:val="-87"/>
        </w:rPr>
      </w:r>
      <w:r>
        <w:rPr/>
        <w:t>建设的重点方向之一，预计到</w:t>
      </w:r>
      <w:r>
        <w:rPr>
          <w:rFonts w:ascii="Times New Roman" w:hAnsi="Times New Roman" w:cs="Times New Roman" w:eastAsia="Times New Roman" w:hint="default"/>
        </w:rPr>
        <w:t>2020</w:t>
      </w:r>
      <w:r>
        <w:rPr/>
        <w:t>年，政府产业园智慧园区投资为</w:t>
      </w:r>
      <w:r>
        <w:rPr>
          <w:rFonts w:ascii="Times New Roman" w:hAnsi="Times New Roman" w:cs="Times New Roman" w:eastAsia="Times New Roman" w:hint="default"/>
        </w:rPr>
        <w:t>754.3</w:t>
      </w:r>
      <w:r>
        <w:rPr/>
        <w:t>亿元人民币。</w:t>
      </w:r>
    </w:p>
    <w:p>
      <w:pPr>
        <w:pStyle w:val="BodyText"/>
        <w:spacing w:line="451" w:lineRule="auto" w:before="43"/>
        <w:ind w:right="0" w:firstLine="360"/>
        <w:jc w:val="left"/>
      </w:pPr>
      <w:r>
        <w:rPr>
          <w:spacing w:val="-2"/>
        </w:rPr>
        <w:t>在智慧城市、智慧园区快速发展的同时，</w:t>
      </w:r>
      <w:r>
        <w:rPr>
          <w:rFonts w:ascii="Times New Roman" w:hAnsi="Times New Roman" w:cs="Times New Roman" w:eastAsia="Times New Roman" w:hint="default"/>
          <w:spacing w:val="-2"/>
        </w:rPr>
        <w:t>2019</w:t>
      </w:r>
      <w:r>
        <w:rPr>
          <w:spacing w:val="-2"/>
        </w:rPr>
        <w:t>年，国家部委、省级行政单位、各地市已发布了</w:t>
      </w:r>
      <w:r>
        <w:rPr>
          <w:rFonts w:ascii="Times New Roman" w:hAnsi="Times New Roman" w:cs="Times New Roman" w:eastAsia="Times New Roman" w:hint="default"/>
          <w:spacing w:val="-2"/>
        </w:rPr>
        <w:t>30</w:t>
      </w:r>
      <w:r>
        <w:rPr>
          <w:spacing w:val="-2"/>
        </w:rPr>
        <w:t>多份关于智慧杆塔相关</w:t>
      </w:r>
      <w:r>
        <w:rPr/>
        <w:t> </w:t>
      </w:r>
      <w:r>
        <w:rPr>
          <w:spacing w:val="-1"/>
        </w:rPr>
        <w:t>政策，引导城市各类杆塔</w:t>
      </w:r>
      <w:r>
        <w:rPr>
          <w:rFonts w:ascii="Times New Roman" w:hAnsi="Times New Roman" w:cs="Times New Roman" w:eastAsia="Times New Roman" w:hint="default"/>
          <w:spacing w:val="-1"/>
        </w:rPr>
        <w:t>“</w:t>
      </w:r>
      <w:r>
        <w:rPr>
          <w:spacing w:val="-1"/>
        </w:rPr>
        <w:t>多杆合一</w:t>
      </w:r>
      <w:r>
        <w:rPr>
          <w:rFonts w:ascii="Times New Roman" w:hAnsi="Times New Roman" w:cs="Times New Roman" w:eastAsia="Times New Roman" w:hint="default"/>
          <w:spacing w:val="-1"/>
        </w:rPr>
        <w:t>”</w:t>
      </w:r>
      <w:r>
        <w:rPr>
          <w:spacing w:val="-1"/>
        </w:rPr>
        <w:t>，推动</w:t>
      </w:r>
      <w:r>
        <w:rPr>
          <w:rFonts w:ascii="Times New Roman" w:hAnsi="Times New Roman" w:cs="Times New Roman" w:eastAsia="Times New Roman" w:hint="default"/>
          <w:spacing w:val="-1"/>
        </w:rPr>
        <w:t>“</w:t>
      </w:r>
      <w:r>
        <w:rPr>
          <w:spacing w:val="-1"/>
        </w:rPr>
        <w:t>一杆多用</w:t>
      </w:r>
      <w:r>
        <w:rPr>
          <w:rFonts w:ascii="Times New Roman" w:hAnsi="Times New Roman" w:cs="Times New Roman" w:eastAsia="Times New Roman" w:hint="default"/>
          <w:spacing w:val="-1"/>
        </w:rPr>
        <w:t>”</w:t>
      </w:r>
      <w:r>
        <w:rPr>
          <w:spacing w:val="-1"/>
        </w:rPr>
        <w:t>的智慧杆塔建设，鼓励集约利用杆塔资源部署</w:t>
      </w:r>
      <w:r>
        <w:rPr>
          <w:rFonts w:ascii="Times New Roman" w:hAnsi="Times New Roman" w:cs="Times New Roman" w:eastAsia="Times New Roman" w:hint="default"/>
          <w:spacing w:val="-1"/>
        </w:rPr>
        <w:t>5G</w:t>
      </w:r>
      <w:r>
        <w:rPr>
          <w:spacing w:val="-1"/>
        </w:rPr>
        <w:t>和储备</w:t>
      </w:r>
      <w:r>
        <w:rPr>
          <w:rFonts w:ascii="Times New Roman" w:hAnsi="Times New Roman" w:cs="Times New Roman" w:eastAsia="Times New Roman" w:hint="default"/>
          <w:spacing w:val="-1"/>
        </w:rPr>
        <w:t>5G</w:t>
      </w:r>
      <w:r>
        <w:rPr>
          <w:spacing w:val="-1"/>
        </w:rPr>
        <w:t>站址资源。</w:t>
      </w:r>
      <w:r>
        <w:rPr>
          <w:spacing w:val="-66"/>
        </w:rPr>
        <w:t> </w:t>
      </w:r>
      <w:r>
        <w:rPr>
          <w:spacing w:val="-66"/>
        </w:rPr>
      </w:r>
      <w:r>
        <w:rPr>
          <w:spacing w:val="-1"/>
        </w:rPr>
        <w:t>随着智慧城市的建设、国家及省市政策是出台、城镇化的推进、</w:t>
      </w:r>
      <w:r>
        <w:rPr>
          <w:rFonts w:ascii="Times New Roman" w:hAnsi="Times New Roman" w:cs="Times New Roman" w:eastAsia="Times New Roman" w:hint="default"/>
          <w:spacing w:val="-1"/>
        </w:rPr>
        <w:t>5G</w:t>
      </w:r>
      <w:r>
        <w:rPr>
          <w:spacing w:val="-1"/>
        </w:rPr>
        <w:t>及物联网技术的成熟等发展趋势，行业瓶颈逐渐化解时，</w:t>
      </w:r>
      <w:r>
        <w:rPr>
          <w:spacing w:val="-68"/>
        </w:rPr>
        <w:t> </w:t>
      </w:r>
      <w:r>
        <w:rPr>
          <w:spacing w:val="-68"/>
        </w:rPr>
      </w:r>
      <w:r>
        <w:rPr/>
        <w:t>智慧灯杆将迎来高速发展期。据中商产业研究院发布的《</w:t>
      </w:r>
      <w:r>
        <w:rPr>
          <w:rFonts w:ascii="Times New Roman" w:hAnsi="Times New Roman" w:cs="Times New Roman" w:eastAsia="Times New Roman" w:hint="default"/>
        </w:rPr>
        <w:t>2020</w:t>
      </w:r>
      <w:r>
        <w:rPr/>
        <w:t>年中国智慧路灯行业市场前景及投资研究报告》显示，</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年我国智慧路灯行业市场规模超过</w:t>
      </w:r>
      <w:r>
        <w:rPr>
          <w:rFonts w:ascii="Times New Roman" w:hAnsi="Times New Roman" w:cs="Times New Roman" w:eastAsia="Times New Roman" w:hint="default"/>
        </w:rPr>
        <w:t>200</w:t>
      </w:r>
      <w:r>
        <w:rPr/>
        <w:t>亿元，并预测照此发展速度，到</w:t>
      </w:r>
      <w:r>
        <w:rPr>
          <w:rFonts w:ascii="Times New Roman" w:hAnsi="Times New Roman" w:cs="Times New Roman" w:eastAsia="Times New Roman" w:hint="default"/>
        </w:rPr>
        <w:t>2022</w:t>
      </w:r>
      <w:r>
        <w:rPr/>
        <w:t>年我国智慧路灯行业市场规模将突破千亿元。</w:t>
      </w:r>
    </w:p>
    <w:p>
      <w:pPr>
        <w:pStyle w:val="BodyText"/>
        <w:spacing w:line="458" w:lineRule="auto" w:before="43"/>
        <w:ind w:right="1034" w:firstLine="360"/>
        <w:jc w:val="left"/>
      </w:pPr>
      <w:r>
        <w:rPr/>
        <w:t>市场竞争格局：市场参与者主要包括电信运营商、第三方</w:t>
      </w:r>
      <w:r>
        <w:rPr>
          <w:rFonts w:ascii="Times New Roman" w:hAnsi="Times New Roman" w:cs="Times New Roman" w:eastAsia="Times New Roman" w:hint="default"/>
        </w:rPr>
        <w:t>IDC</w:t>
      </w:r>
      <w:r>
        <w:rPr/>
        <w:t>厂商和云服务提供商。电信基础运营商在</w:t>
      </w:r>
      <w:r>
        <w:rPr>
          <w:rFonts w:ascii="Times New Roman" w:hAnsi="Times New Roman" w:cs="Times New Roman" w:eastAsia="Times New Roman" w:hint="default"/>
        </w:rPr>
        <w:t>IDC</w:t>
      </w:r>
      <w:r>
        <w:rPr/>
        <w:t>市场中占垄 断地位，但对于电信运营商而言，数据中心并非其核心业务，因此随着互联网行业的蓬勃发展，第三方</w:t>
      </w:r>
      <w:r>
        <w:rPr>
          <w:rFonts w:ascii="Times New Roman" w:hAnsi="Times New Roman" w:cs="Times New Roman" w:eastAsia="Times New Roman" w:hint="default"/>
        </w:rPr>
        <w:t>IDC</w:t>
      </w:r>
      <w:r>
        <w:rPr/>
        <w:t>厂商得以迅速扩 张。公司的主要竞争对手包括上海网宿科技股份有限公司、世纪互联数据中心有限公司、北京光环新网科技股份有限公司、 上海数据港股份有限公司、浪潮电子信息产业股份有限公司、鹏博士电信传媒集团股份有限公司。</w:t>
      </w:r>
    </w:p>
    <w:p>
      <w:pPr>
        <w:pStyle w:val="BodyText"/>
        <w:spacing w:line="451" w:lineRule="auto" w:before="68"/>
        <w:ind w:left="513" w:right="112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LED</w:t>
      </w:r>
      <w:r>
        <w:rPr/>
        <w:t>照明 </w:t>
      </w:r>
      <w:r>
        <w:rPr>
          <w:spacing w:val="-2"/>
        </w:rPr>
        <w:t>智慧照明作为智慧城市的重要组成部分，随着智慧城市等应用场景的落地，以及</w:t>
      </w:r>
      <w:r>
        <w:rPr>
          <w:rFonts w:ascii="Times New Roman" w:hAnsi="Times New Roman" w:cs="Times New Roman" w:eastAsia="Times New Roman" w:hint="default"/>
          <w:spacing w:val="-2"/>
        </w:rPr>
        <w:t>LED</w:t>
      </w:r>
      <w:r>
        <w:rPr>
          <w:spacing w:val="-2"/>
        </w:rPr>
        <w:t>应用带来的变革，运用物联网、传</w:t>
      </w:r>
    </w:p>
    <w:p>
      <w:pPr>
        <w:pStyle w:val="BodyText"/>
        <w:spacing w:line="451" w:lineRule="auto" w:before="43"/>
        <w:ind w:right="1132"/>
        <w:jc w:val="both"/>
      </w:pPr>
      <w:r>
        <w:rPr>
          <w:spacing w:val="-5"/>
        </w:rPr>
        <w:t>感器、嵌入式等技术的智慧照明已成为当今主流智能解决方案之一。据前瞻产业研究院《智能照明行业分析报告》数据，</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年全球智能照明市场规模为</w:t>
      </w:r>
      <w:r>
        <w:rPr>
          <w:rFonts w:ascii="Times New Roman" w:hAnsi="Times New Roman" w:cs="Times New Roman" w:eastAsia="Times New Roman" w:hint="default"/>
        </w:rPr>
        <w:t>78.3</w:t>
      </w:r>
      <w:r>
        <w:rPr/>
        <w:t>亿美元，预计</w:t>
      </w:r>
      <w:r>
        <w:rPr>
          <w:rFonts w:ascii="Times New Roman" w:hAnsi="Times New Roman" w:cs="Times New Roman" w:eastAsia="Times New Roman" w:hint="default"/>
        </w:rPr>
        <w:t>2020</w:t>
      </w:r>
      <w:r>
        <w:rPr/>
        <w:t>年可达</w:t>
      </w:r>
      <w:r>
        <w:rPr>
          <w:rFonts w:ascii="Times New Roman" w:hAnsi="Times New Roman" w:cs="Times New Roman" w:eastAsia="Times New Roman" w:hint="default"/>
        </w:rPr>
        <w:t>243.41</w:t>
      </w:r>
      <w:r>
        <w:rPr/>
        <w:t>亿美元，年复合增长率超过</w:t>
      </w:r>
      <w:r>
        <w:rPr>
          <w:rFonts w:ascii="Times New Roman" w:hAnsi="Times New Roman" w:cs="Times New Roman" w:eastAsia="Times New Roman" w:hint="default"/>
        </w:rPr>
        <w:t>20%</w:t>
      </w:r>
      <w:r>
        <w:rPr/>
        <w:t>。</w:t>
      </w:r>
    </w:p>
    <w:p>
      <w:pPr>
        <w:pStyle w:val="BodyText"/>
        <w:spacing w:line="458" w:lineRule="auto" w:before="43"/>
        <w:ind w:right="1129" w:firstLine="360"/>
        <w:jc w:val="left"/>
      </w:pPr>
      <w:r>
        <w:rPr>
          <w:spacing w:val="-2"/>
        </w:rPr>
        <w:t>同时，随着各地政策的推动，夜游经济、城镇化进程、特色小镇的促进，景观照明工程市场规模不断提升。根据中国照</w:t>
      </w:r>
      <w:r>
        <w:rPr/>
        <w:t> </w:t>
      </w:r>
      <w:r>
        <w:rPr>
          <w:spacing w:val="-2"/>
        </w:rPr>
        <w:t>明网和中国采招网的统计数据，景观照明工程招标信息从</w:t>
      </w:r>
      <w:r>
        <w:rPr>
          <w:rFonts w:ascii="Times New Roman" w:hAnsi="Times New Roman" w:cs="Times New Roman" w:eastAsia="Times New Roman" w:hint="default"/>
          <w:spacing w:val="-2"/>
        </w:rPr>
        <w:t>2015</w:t>
      </w:r>
      <w:r>
        <w:rPr>
          <w:spacing w:val="-2"/>
        </w:rPr>
        <w:t>年的</w:t>
      </w:r>
      <w:r>
        <w:rPr>
          <w:rFonts w:ascii="Times New Roman" w:hAnsi="Times New Roman" w:cs="Times New Roman" w:eastAsia="Times New Roman" w:hint="default"/>
          <w:spacing w:val="-2"/>
        </w:rPr>
        <w:t>2378</w:t>
      </w:r>
      <w:r>
        <w:rPr>
          <w:spacing w:val="-2"/>
        </w:rPr>
        <w:t>个增加至</w:t>
      </w:r>
      <w:r>
        <w:rPr>
          <w:rFonts w:ascii="Times New Roman" w:hAnsi="Times New Roman" w:cs="Times New Roman" w:eastAsia="Times New Roman" w:hint="default"/>
          <w:spacing w:val="-2"/>
        </w:rPr>
        <w:t>2018</w:t>
      </w:r>
      <w:r>
        <w:rPr>
          <w:spacing w:val="-2"/>
        </w:rPr>
        <w:t>年的</w:t>
      </w:r>
      <w:r>
        <w:rPr>
          <w:rFonts w:ascii="Times New Roman" w:hAnsi="Times New Roman" w:cs="Times New Roman" w:eastAsia="Times New Roman" w:hint="default"/>
          <w:spacing w:val="-2"/>
        </w:rPr>
        <w:t>4873</w:t>
      </w:r>
      <w:r>
        <w:rPr>
          <w:spacing w:val="-2"/>
        </w:rPr>
        <w:t>个，呈现逐年增长趋势。景观</w:t>
      </w:r>
      <w:r>
        <w:rPr>
          <w:spacing w:val="-57"/>
        </w:rPr>
        <w:t> </w:t>
      </w:r>
      <w:r>
        <w:rPr>
          <w:spacing w:val="-57"/>
        </w:rPr>
      </w:r>
      <w:r>
        <w:rPr/>
        <w:t>照明市场规模从</w:t>
      </w:r>
      <w:r>
        <w:rPr>
          <w:rFonts w:ascii="Times New Roman" w:hAnsi="Times New Roman" w:cs="Times New Roman" w:eastAsia="Times New Roman" w:hint="default"/>
        </w:rPr>
        <w:t>2013</w:t>
      </w:r>
      <w:r>
        <w:rPr/>
        <w:t>年的</w:t>
      </w:r>
      <w:r>
        <w:rPr>
          <w:rFonts w:ascii="Times New Roman" w:hAnsi="Times New Roman" w:cs="Times New Roman" w:eastAsia="Times New Roman" w:hint="default"/>
        </w:rPr>
        <w:t>415.7</w:t>
      </w:r>
      <w:r>
        <w:rPr/>
        <w:t>亿元增长至</w:t>
      </w:r>
      <w:r>
        <w:rPr>
          <w:rFonts w:ascii="Times New Roman" w:hAnsi="Times New Roman" w:cs="Times New Roman" w:eastAsia="Times New Roman" w:hint="default"/>
        </w:rPr>
        <w:t>2017</w:t>
      </w:r>
      <w:r>
        <w:rPr/>
        <w:t>年的</w:t>
      </w:r>
      <w:r>
        <w:rPr>
          <w:rFonts w:ascii="Times New Roman" w:hAnsi="Times New Roman" w:cs="Times New Roman" w:eastAsia="Times New Roman" w:hint="default"/>
        </w:rPr>
        <w:t>796.1</w:t>
      </w:r>
      <w:r>
        <w:rPr/>
        <w:t>亿元，期间年均复合增长率达</w:t>
      </w:r>
      <w:r>
        <w:rPr>
          <w:rFonts w:ascii="Times New Roman" w:hAnsi="Times New Roman" w:cs="Times New Roman" w:eastAsia="Times New Roman" w:hint="default"/>
        </w:rPr>
        <w:t>21.22%</w:t>
      </w:r>
      <w:r>
        <w:rPr/>
        <w:t>，预计</w:t>
      </w:r>
      <w:r>
        <w:rPr>
          <w:rFonts w:ascii="Times New Roman" w:hAnsi="Times New Roman" w:cs="Times New Roman" w:eastAsia="Times New Roman" w:hint="default"/>
        </w:rPr>
        <w:t>2019</w:t>
      </w:r>
      <w:r>
        <w:rPr/>
        <w:t>年行业规模将超 </w:t>
      </w:r>
      <w:r>
        <w:rPr>
          <w:rFonts w:ascii="Times New Roman" w:hAnsi="Times New Roman" w:cs="Times New Roman" w:eastAsia="Times New Roman" w:hint="default"/>
        </w:rPr>
        <w:t>1000</w:t>
      </w:r>
      <w:r>
        <w:rPr/>
        <w:t>亿元。</w:t>
      </w:r>
    </w:p>
    <w:p>
      <w:pPr>
        <w:pStyle w:val="BodyText"/>
        <w:spacing w:line="451" w:lineRule="auto" w:before="38"/>
        <w:ind w:right="1129" w:firstLine="360"/>
        <w:jc w:val="left"/>
      </w:pPr>
      <w:r>
        <w:rPr>
          <w:spacing w:val="-2"/>
        </w:rPr>
        <w:t>市场竞争格局：公司在</w:t>
      </w:r>
      <w:r>
        <w:rPr>
          <w:rFonts w:ascii="Times New Roman" w:hAnsi="Times New Roman" w:cs="Times New Roman" w:eastAsia="Times New Roman" w:hint="default"/>
          <w:spacing w:val="-2"/>
        </w:rPr>
        <w:t>LED</w:t>
      </w:r>
      <w:r>
        <w:rPr>
          <w:spacing w:val="-2"/>
        </w:rPr>
        <w:t>道路照明的主要竞争对手深圳市洲明科技股份有限公司；国内城市景观照明市场公司主要竞</w:t>
      </w:r>
      <w:r>
        <w:rPr/>
        <w:t> 争对手包括深圳市名家汇科技股份有限公司、深圳市金达照明股份有限公司等。</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77" w:lineRule="auto" w:before="0"/>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（二）公司经营宗旨及发展规划</w:t>
      </w:r>
      <w:r>
        <w:rPr>
          <w:rFonts w:ascii="宋体" w:hAnsi="宋体" w:cs="宋体" w:eastAsia="宋体" w:hint="default"/>
          <w:b/>
          <w:bCs/>
          <w:w w:val="99"/>
          <w:sz w:val="18"/>
          <w:szCs w:val="18"/>
        </w:rPr>
        <w:t> </w:t>
      </w:r>
      <w:r>
        <w:rPr>
          <w:rFonts w:ascii="宋体" w:hAnsi="宋体" w:cs="宋体" w:eastAsia="宋体" w:hint="default"/>
          <w:spacing w:val="-1"/>
          <w:sz w:val="18"/>
          <w:szCs w:val="18"/>
        </w:rPr>
        <w:t>公司的经营宗旨是依托于公司在创新科技和行业洞察方面的核心竞争力，通过金融科技、</w:t>
      </w:r>
      <w:r>
        <w:rPr>
          <w:rFonts w:ascii="Times New Roman" w:hAnsi="Times New Roman" w:cs="Times New Roman" w:eastAsia="Times New Roman" w:hint="default"/>
          <w:spacing w:val="-1"/>
          <w:sz w:val="18"/>
          <w:szCs w:val="18"/>
        </w:rPr>
        <w:t>IDC</w:t>
      </w:r>
      <w:r>
        <w:rPr>
          <w:rFonts w:ascii="宋体" w:hAnsi="宋体" w:cs="宋体" w:eastAsia="宋体" w:hint="default"/>
          <w:spacing w:val="-1"/>
          <w:sz w:val="18"/>
          <w:szCs w:val="18"/>
        </w:rPr>
        <w:t>及云计算、城市亮化工程</w:t>
      </w:r>
    </w:p>
    <w:p>
      <w:pPr>
        <w:pStyle w:val="BodyText"/>
        <w:spacing w:line="477" w:lineRule="auto" w:before="21"/>
        <w:ind w:right="1131"/>
        <w:jc w:val="both"/>
      </w:pPr>
      <w:r>
        <w:rPr>
          <w:spacing w:val="-2"/>
        </w:rPr>
        <w:t>三大业务板块的协同发展及相互赋能，为客户提供可靠、高效、灵活、智能的综合解决方案，引领智慧生活，推动社会及城</w:t>
      </w:r>
      <w:r>
        <w:rPr>
          <w:spacing w:val="-67"/>
        </w:rPr>
        <w:t> </w:t>
      </w:r>
      <w:r>
        <w:rPr>
          <w:spacing w:val="-67"/>
        </w:rPr>
      </w:r>
      <w:r>
        <w:rPr/>
        <w:t>市的繁荣发展。</w:t>
      </w:r>
    </w:p>
    <w:p>
      <w:pPr>
        <w:pStyle w:val="BodyText"/>
        <w:spacing w:line="451" w:lineRule="auto" w:before="54"/>
        <w:ind w:right="1131" w:firstLine="360"/>
        <w:jc w:val="both"/>
      </w:pPr>
      <w:r>
        <w:rPr>
          <w:spacing w:val="-2"/>
        </w:rPr>
        <w:t>公司的发展规划是稳步推进</w:t>
      </w:r>
      <w:r>
        <w:rPr>
          <w:rFonts w:ascii="Times New Roman" w:hAnsi="Times New Roman" w:cs="Times New Roman" w:eastAsia="Times New Roman" w:hint="default"/>
          <w:spacing w:val="-2"/>
        </w:rPr>
        <w:t>“IDC+</w:t>
      </w:r>
      <w:r>
        <w:rPr>
          <w:spacing w:val="-2"/>
        </w:rPr>
        <w:t>生态</w:t>
      </w:r>
      <w:r>
        <w:rPr>
          <w:rFonts w:ascii="Times New Roman" w:hAnsi="Times New Roman" w:cs="Times New Roman" w:eastAsia="Times New Roman" w:hint="default"/>
          <w:spacing w:val="-2"/>
        </w:rPr>
        <w:t>”</w:t>
      </w:r>
      <w:r>
        <w:rPr>
          <w:spacing w:val="-2"/>
        </w:rPr>
        <w:t>战略，以安全支付为核心、以</w:t>
      </w:r>
      <w:r>
        <w:rPr>
          <w:rFonts w:ascii="Times New Roman" w:hAnsi="Times New Roman" w:cs="Times New Roman" w:eastAsia="Times New Roman" w:hint="default"/>
          <w:spacing w:val="-2"/>
        </w:rPr>
        <w:t>IDC</w:t>
      </w:r>
      <w:r>
        <w:rPr>
          <w:spacing w:val="-2"/>
        </w:rPr>
        <w:t>基础资源为依托、以数据为核心驱动，垂直布</w:t>
      </w:r>
      <w:r>
        <w:rPr/>
        <w:t> 局云服务产业链，形成金融科技、照明科技、</w:t>
      </w:r>
      <w:r>
        <w:rPr>
          <w:rFonts w:ascii="Times New Roman" w:hAnsi="Times New Roman" w:cs="Times New Roman" w:eastAsia="Times New Roman" w:hint="default"/>
        </w:rPr>
        <w:t>“IDC+”</w:t>
      </w:r>
      <w:r>
        <w:rPr/>
        <w:t>三大业务板块协同赋能的产业布局，拓展</w:t>
      </w:r>
      <w:r>
        <w:rPr>
          <w:rFonts w:ascii="Times New Roman" w:hAnsi="Times New Roman" w:cs="Times New Roman" w:eastAsia="Times New Roman" w:hint="default"/>
        </w:rPr>
        <w:t>IDC+</w:t>
      </w:r>
      <w:r>
        <w:rPr/>
        <w:t>智慧城市、智慧园区的 市场机遇。</w:t>
      </w:r>
    </w:p>
    <w:p>
      <w:pPr>
        <w:pStyle w:val="Heading4"/>
        <w:spacing w:line="240" w:lineRule="auto" w:before="74"/>
        <w:ind w:right="1133"/>
        <w:jc w:val="left"/>
        <w:rPr>
          <w:b w:val="0"/>
          <w:bCs w:val="0"/>
        </w:rPr>
      </w:pPr>
      <w:r>
        <w:rPr/>
        <w:t>（三）</w:t>
      </w:r>
      <w:r>
        <w:rPr>
          <w:rFonts w:ascii="Times New Roman" w:hAnsi="Times New Roman" w:cs="Times New Roman" w:eastAsia="Times New Roman" w:hint="default"/>
        </w:rPr>
        <w:t>2020</w:t>
      </w:r>
      <w:r>
        <w:rPr/>
        <w:t>年度经营计划</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54" w:firstLine="360"/>
        <w:jc w:val="left"/>
      </w:pPr>
      <w:r>
        <w:rPr>
          <w:rFonts w:ascii="Times New Roman" w:hAnsi="Times New Roman" w:cs="Times New Roman" w:eastAsia="Times New Roman" w:hint="default"/>
        </w:rPr>
        <w:t>2020</w:t>
      </w:r>
      <w:r>
        <w:rPr/>
        <w:t>年公司将以</w:t>
      </w:r>
      <w:r>
        <w:rPr>
          <w:rFonts w:ascii="Times New Roman" w:hAnsi="Times New Roman" w:cs="Times New Roman" w:eastAsia="Times New Roman" w:hint="default"/>
        </w:rPr>
        <w:t>“</w:t>
      </w:r>
      <w:r>
        <w:rPr/>
        <w:t>做优主业、提升效益、稳健经营、控制风险、构建能力</w:t>
      </w:r>
      <w:r>
        <w:rPr>
          <w:rFonts w:ascii="Times New Roman" w:hAnsi="Times New Roman" w:cs="Times New Roman" w:eastAsia="Times New Roman" w:hint="default"/>
        </w:rPr>
        <w:t>”</w:t>
      </w:r>
      <w:r>
        <w:rPr/>
        <w:t>为年度经营指导思想，聚焦</w:t>
      </w:r>
      <w:r>
        <w:rPr>
          <w:rFonts w:ascii="Times New Roman" w:hAnsi="Times New Roman" w:cs="Times New Roman" w:eastAsia="Times New Roman" w:hint="default"/>
        </w:rPr>
        <w:t>“</w:t>
      </w:r>
      <w:r>
        <w:rPr/>
        <w:t>金融电子（金融 科技）、亮化照明、</w:t>
      </w:r>
      <w:r>
        <w:rPr>
          <w:rFonts w:ascii="Times New Roman" w:hAnsi="Times New Roman" w:cs="Times New Roman" w:eastAsia="Times New Roman" w:hint="default"/>
        </w:rPr>
        <w:t>IDC</w:t>
      </w:r>
      <w:r>
        <w:rPr/>
        <w:t>及云计算</w:t>
      </w:r>
      <w:r>
        <w:rPr>
          <w:rFonts w:ascii="Times New Roman" w:hAnsi="Times New Roman" w:cs="Times New Roman" w:eastAsia="Times New Roman" w:hint="default"/>
        </w:rPr>
        <w:t>”</w:t>
      </w:r>
      <w:r>
        <w:rPr/>
        <w:t>三大核心业务，推动公司业务做优、做强，不断提升经营效益。</w:t>
      </w:r>
    </w:p>
    <w:p>
      <w:pPr>
        <w:pStyle w:val="BodyText"/>
        <w:spacing w:line="472" w:lineRule="auto" w:before="43"/>
        <w:ind w:right="0" w:firstLine="360"/>
        <w:jc w:val="left"/>
      </w:pPr>
      <w:r>
        <w:rPr>
          <w:rFonts w:ascii="Times New Roman" w:hAnsi="Times New Roman" w:cs="Times New Roman" w:eastAsia="Times New Roman" w:hint="default"/>
          <w:spacing w:val="-4"/>
        </w:rPr>
        <w:t>2020</w:t>
      </w:r>
      <w:r>
        <w:rPr>
          <w:spacing w:val="-4"/>
        </w:rPr>
        <w:t>年，公司将统筹各个事业部和职能部门，总部重点提升资金保障、激励机制等方面的专业服务能力和统筹管理能力，</w:t>
      </w:r>
      <w:r>
        <w:rPr/>
        <w:t> </w:t>
      </w:r>
      <w:r>
        <w:rPr>
          <w:spacing w:val="-2"/>
        </w:rPr>
        <w:t>事业部强化提升市场的管理、产品的管理、合同的管理、存货的管理、应收的管理等基础业务管理能力。公司将继续重点抓</w:t>
      </w:r>
      <w:r>
        <w:rPr>
          <w:spacing w:val="-67"/>
        </w:rPr>
        <w:t> </w:t>
      </w:r>
      <w:r>
        <w:rPr>
          <w:spacing w:val="-67"/>
        </w:rPr>
      </w:r>
      <w:r>
        <w:rPr>
          <w:spacing w:val="-2"/>
        </w:rPr>
        <w:t>好收款工作，加强现金流管理及资金链安全管理；通过进一步优化债务结构，合理控制债务风险，盘活公司资产的效益；并</w:t>
      </w:r>
      <w:r>
        <w:rPr>
          <w:spacing w:val="-67"/>
        </w:rPr>
        <w:t> </w:t>
      </w:r>
      <w:r>
        <w:rPr>
          <w:spacing w:val="-67"/>
        </w:rPr>
      </w:r>
      <w:r>
        <w:rPr>
          <w:spacing w:val="-2"/>
        </w:rPr>
        <w:t>继续加强对组织和人员的管理，优化完善事业部制管理模式，建立多层次的激励体系，提升公司核心产业链构建、核心产品</w:t>
      </w:r>
      <w:r>
        <w:rPr>
          <w:spacing w:val="-64"/>
        </w:rPr>
        <w:t> </w:t>
      </w:r>
      <w:r>
        <w:rPr>
          <w:spacing w:val="-64"/>
        </w:rPr>
      </w:r>
      <w:r>
        <w:rPr>
          <w:spacing w:val="-2"/>
        </w:rPr>
        <w:t>打造、核心团队及人员的梯队建设的能力，以做好全年经营目标的保障工作，增强公司盈利能力和业务核心竞争力，强化积</w:t>
      </w:r>
      <w:r>
        <w:rPr>
          <w:spacing w:val="-65"/>
        </w:rPr>
        <w:t> </w:t>
      </w:r>
      <w:r>
        <w:rPr>
          <w:spacing w:val="-65"/>
        </w:rPr>
      </w:r>
      <w:r>
        <w:rPr/>
        <w:t>蓄公司业务长期可持续发展的源动力。</w:t>
      </w:r>
    </w:p>
    <w:p>
      <w:pPr>
        <w:pStyle w:val="BodyText"/>
        <w:spacing w:line="451" w:lineRule="auto" w:before="58"/>
        <w:ind w:left="513" w:right="1133"/>
        <w:jc w:val="left"/>
      </w:pPr>
      <w:r>
        <w:rPr/>
        <w:t>公司</w:t>
      </w:r>
      <w:r>
        <w:rPr>
          <w:rFonts w:ascii="Times New Roman" w:hAnsi="Times New Roman" w:cs="Times New Roman" w:eastAsia="Times New Roman" w:hint="default"/>
        </w:rPr>
        <w:t>2020</w:t>
      </w:r>
      <w:r>
        <w:rPr/>
        <w:t>年各业务板块的经营规划如下： </w:t>
      </w:r>
      <w:r>
        <w:rPr>
          <w:spacing w:val="-2"/>
        </w:rPr>
        <w:t>自助设备业务将以科技赋能为核心推动力，实行精细化管理，通过提前介入市场、主动布局、主动作为的市场理念，以</w:t>
      </w:r>
    </w:p>
    <w:p>
      <w:pPr>
        <w:pStyle w:val="BodyText"/>
        <w:spacing w:line="477" w:lineRule="auto" w:before="74"/>
        <w:ind w:right="1134"/>
        <w:jc w:val="both"/>
      </w:pPr>
      <w:r>
        <w:rPr>
          <w:spacing w:val="-2"/>
        </w:rPr>
        <w:t>多年的行业洞察力为基础、以成本最优为前提、以市场需求为牵引，做好产品的全生命周期的可靠性管理，推动产品、服务</w:t>
      </w:r>
      <w:r>
        <w:rPr>
          <w:spacing w:val="-67"/>
        </w:rPr>
        <w:t> </w:t>
      </w:r>
      <w:r>
        <w:rPr>
          <w:spacing w:val="-67"/>
        </w:rPr>
      </w:r>
      <w:r>
        <w:rPr>
          <w:spacing w:val="-2"/>
        </w:rPr>
        <w:t>及运营模式创新，逐步完善应用软件技术体系的能力建设，重点把握市场增量和存量机会中银行总行、银行分行、银医、银</w:t>
      </w:r>
      <w:r>
        <w:rPr>
          <w:spacing w:val="-67"/>
        </w:rPr>
        <w:t> </w:t>
      </w:r>
      <w:r>
        <w:rPr>
          <w:spacing w:val="-67"/>
        </w:rPr>
      </w:r>
      <w:r>
        <w:rPr/>
        <w:t>某及创新业务的市场机会，促进业务稳步发展。</w:t>
      </w:r>
    </w:p>
    <w:p>
      <w:pPr>
        <w:pStyle w:val="BodyText"/>
        <w:spacing w:line="477" w:lineRule="auto" w:before="55"/>
        <w:ind w:right="1131" w:firstLine="360"/>
        <w:jc w:val="both"/>
      </w:pPr>
      <w:r>
        <w:rPr>
          <w:spacing w:val="-2"/>
        </w:rPr>
        <w:t>安全支付业务将持续依托已构建的行业经验及能力，结合新技术、新领域、新产品的发展趋势持续沉淀及创新，针对不</w:t>
      </w:r>
      <w:r>
        <w:rPr/>
        <w:t> </w:t>
      </w:r>
      <w:r>
        <w:rPr>
          <w:spacing w:val="-2"/>
        </w:rPr>
        <w:t>同的细分领域精准匹配市场策略，协同市场需求，重点部署及推进新型支付产品的产品化与认证完善，完成相关税控平台应</w:t>
      </w:r>
      <w:r>
        <w:rPr>
          <w:spacing w:val="-66"/>
        </w:rPr>
        <w:t> </w:t>
      </w:r>
      <w:r>
        <w:rPr>
          <w:spacing w:val="-66"/>
        </w:rPr>
      </w:r>
      <w:r>
        <w:rPr>
          <w:spacing w:val="-2"/>
        </w:rPr>
        <w:t>用研发，缩短新研发产品的开发周期，满足国内新增的市场需求，同时密切关注疫情及国际市场环境的变化情况，及时调整</w:t>
      </w:r>
      <w:r>
        <w:rPr>
          <w:spacing w:val="-65"/>
        </w:rPr>
        <w:t> </w:t>
      </w:r>
      <w:r>
        <w:rPr>
          <w:spacing w:val="-65"/>
        </w:rPr>
      </w:r>
      <w:r>
        <w:rPr/>
        <w:t>海外市场的策略，重点做好现有客户的维护，择机推进相关订单的落地及新市场的拓展。</w:t>
      </w:r>
    </w:p>
    <w:p>
      <w:pPr>
        <w:pStyle w:val="BodyText"/>
        <w:spacing w:line="463" w:lineRule="auto" w:before="54"/>
        <w:ind w:right="0" w:firstLine="360"/>
        <w:jc w:val="left"/>
      </w:pPr>
      <w:r>
        <w:rPr>
          <w:rFonts w:ascii="Times New Roman" w:hAnsi="Times New Roman" w:cs="Times New Roman" w:eastAsia="Times New Roman" w:hint="default"/>
          <w:spacing w:val="-2"/>
        </w:rPr>
        <w:t>IDC</w:t>
      </w:r>
      <w:r>
        <w:rPr>
          <w:spacing w:val="-2"/>
        </w:rPr>
        <w:t>及云计算业务将继续稳步推进</w:t>
      </w:r>
      <w:r>
        <w:rPr>
          <w:rFonts w:ascii="Times New Roman" w:hAnsi="Times New Roman" w:cs="Times New Roman" w:eastAsia="Times New Roman" w:hint="default"/>
          <w:spacing w:val="-2"/>
        </w:rPr>
        <w:t>“IDC+</w:t>
      </w:r>
      <w:r>
        <w:rPr>
          <w:spacing w:val="-2"/>
        </w:rPr>
        <w:t>生态</w:t>
      </w:r>
      <w:r>
        <w:rPr>
          <w:rFonts w:ascii="Times New Roman" w:hAnsi="Times New Roman" w:cs="Times New Roman" w:eastAsia="Times New Roman" w:hint="default"/>
          <w:spacing w:val="-2"/>
        </w:rPr>
        <w:t>”</w:t>
      </w:r>
      <w:r>
        <w:rPr>
          <w:spacing w:val="-2"/>
        </w:rPr>
        <w:t>战略，不断完善</w:t>
      </w:r>
      <w:r>
        <w:rPr>
          <w:rFonts w:ascii="Times New Roman" w:hAnsi="Times New Roman" w:cs="Times New Roman" w:eastAsia="Times New Roman" w:hint="default"/>
          <w:spacing w:val="-2"/>
        </w:rPr>
        <w:t>IDC</w:t>
      </w:r>
      <w:r>
        <w:rPr>
          <w:spacing w:val="-2"/>
        </w:rPr>
        <w:t>及云计算业务布局，助力公司业务转型升级。</w:t>
      </w:r>
      <w:r>
        <w:rPr>
          <w:rFonts w:ascii="Times New Roman" w:hAnsi="Times New Roman" w:cs="Times New Roman" w:eastAsia="Times New Roman" w:hint="default"/>
          <w:spacing w:val="-2"/>
        </w:rPr>
        <w:t>2020</w:t>
      </w:r>
      <w:r>
        <w:rPr>
          <w:spacing w:val="-2"/>
        </w:rPr>
        <w:t>年，</w:t>
      </w:r>
      <w:r>
        <w:rPr/>
        <w:t> </w:t>
      </w:r>
      <w:r>
        <w:rPr>
          <w:spacing w:val="-2"/>
        </w:rPr>
        <w:t>公司将全力推动长沙云谷项目、证通智慧光明云数据中心项目的建设工作及旗峰数据中心的交付运营，并不断提升已投建机</w:t>
      </w:r>
      <w:r>
        <w:rPr>
          <w:spacing w:val="-64"/>
        </w:rPr>
        <w:t> </w:t>
      </w:r>
      <w:r>
        <w:rPr>
          <w:spacing w:val="-64"/>
        </w:rPr>
      </w:r>
      <w:r>
        <w:rPr>
          <w:spacing w:val="-4"/>
        </w:rPr>
        <w:t>房的上架率，加速数据中心订单效益的释放；在盘活公司</w:t>
      </w:r>
      <w:r>
        <w:rPr>
          <w:rFonts w:ascii="Times New Roman" w:hAnsi="Times New Roman" w:cs="Times New Roman" w:eastAsia="Times New Roman" w:hint="default"/>
          <w:spacing w:val="-4"/>
        </w:rPr>
        <w:t>IDC</w:t>
      </w:r>
      <w:r>
        <w:rPr>
          <w:spacing w:val="-4"/>
        </w:rPr>
        <w:t>数据中心优质资源的基础上，积极、健康地探索</w:t>
      </w:r>
      <w:r>
        <w:rPr>
          <w:rFonts w:ascii="Times New Roman" w:hAnsi="Times New Roman" w:cs="Times New Roman" w:eastAsia="Times New Roman" w:hint="default"/>
          <w:spacing w:val="-4"/>
        </w:rPr>
        <w:t>IDC+</w:t>
      </w:r>
      <w:r>
        <w:rPr>
          <w:spacing w:val="-4"/>
        </w:rPr>
        <w:t>增值业务，</w:t>
      </w:r>
      <w:r>
        <w:rPr>
          <w:spacing w:val="-35"/>
        </w:rPr>
        <w:t> </w:t>
      </w:r>
      <w:r>
        <w:rPr>
          <w:spacing w:val="-2"/>
        </w:rPr>
        <w:t>公司将结合自身发展布局及客户定制化需求，不断提升研发能力和运维支撑能力，迭代优化云平台的性能，缩短交付流程和</w:t>
      </w:r>
      <w:r>
        <w:rPr>
          <w:spacing w:val="-63"/>
        </w:rPr>
        <w:t> </w:t>
      </w:r>
      <w:r>
        <w:rPr>
          <w:spacing w:val="-63"/>
        </w:rPr>
      </w:r>
      <w:r>
        <w:rPr>
          <w:spacing w:val="-2"/>
        </w:rPr>
        <w:t>时间，公司将以证通云平台为业务基础和依托，深度挖掘客户潜在诉求，为客户提供定制化的云服务解决方案；并结合公司</w:t>
      </w:r>
    </w:p>
    <w:p>
      <w:pPr>
        <w:spacing w:after="0" w:line="46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78"/>
        <w:jc w:val="both"/>
      </w:pPr>
      <w:r>
        <w:rPr/>
        <w:t>的市场、资源整合、项目交付及售后服务能力与客户进行</w:t>
      </w:r>
      <w:r>
        <w:rPr>
          <w:rFonts w:ascii="Times New Roman" w:hAnsi="Times New Roman" w:cs="Times New Roman" w:eastAsia="Times New Roman" w:hint="default"/>
        </w:rPr>
        <w:t>“IDC+”</w:t>
      </w:r>
      <w:r>
        <w:rPr/>
        <w:t>业务的耦合，促进资源整合和互利共赢；此外，公司将积 极拓展</w:t>
      </w:r>
      <w:r>
        <w:rPr>
          <w:rFonts w:ascii="Times New Roman" w:hAnsi="Times New Roman" w:cs="Times New Roman" w:eastAsia="Times New Roman" w:hint="default"/>
        </w:rPr>
        <w:t>IDC+</w:t>
      </w:r>
      <w:r>
        <w:rPr/>
        <w:t>业务和智慧城市、智慧园区项目，重点稳步推进深圳光明、广州南沙、湖南长沙三地的智慧城市、智慧园区项 目的落地实施，提升</w:t>
      </w:r>
      <w:r>
        <w:rPr>
          <w:rFonts w:ascii="Times New Roman" w:hAnsi="Times New Roman" w:cs="Times New Roman" w:eastAsia="Times New Roman" w:hint="default"/>
        </w:rPr>
        <w:t>IDC</w:t>
      </w:r>
      <w:r>
        <w:rPr/>
        <w:t>及云计算业务的盈利能力。</w:t>
      </w:r>
    </w:p>
    <w:p>
      <w:pPr>
        <w:pStyle w:val="BodyText"/>
        <w:spacing w:line="451" w:lineRule="auto" w:before="43"/>
        <w:ind w:right="1026" w:firstLine="360"/>
        <w:jc w:val="left"/>
      </w:pPr>
      <w:r>
        <w:rPr>
          <w:rFonts w:ascii="Times New Roman" w:hAnsi="Times New Roman" w:cs="Times New Roman" w:eastAsia="Times New Roman" w:hint="default"/>
          <w:spacing w:val="-3"/>
        </w:rPr>
        <w:t>LED</w:t>
      </w:r>
      <w:r>
        <w:rPr>
          <w:spacing w:val="-3"/>
        </w:rPr>
        <w:t>照明业务将在继续强化风险控制的基础上，积极关注国家及各级政府的配套政策、产业扶持动态，依托公司的平台、</w:t>
      </w:r>
      <w:r>
        <w:rPr/>
        <w:t> 资质及品牌效应，发挥</w:t>
      </w:r>
      <w:r>
        <w:rPr>
          <w:rFonts w:ascii="Times New Roman" w:hAnsi="Times New Roman" w:cs="Times New Roman" w:eastAsia="Times New Roman" w:hint="default"/>
        </w:rPr>
        <w:t>“</w:t>
      </w:r>
      <w:r>
        <w:rPr/>
        <w:t>双甲</w:t>
      </w:r>
      <w:r>
        <w:rPr>
          <w:rFonts w:ascii="Times New Roman" w:hAnsi="Times New Roman" w:cs="Times New Roman" w:eastAsia="Times New Roman" w:hint="default"/>
        </w:rPr>
        <w:t>”</w:t>
      </w:r>
      <w:r>
        <w:rPr/>
        <w:t>优势，拓展一二线城市等经济发达地区，挖掘优质客户、优质项目，并保障好相关重点项目的 落地实施，保持业务规模稳定在合理区间。</w:t>
      </w:r>
    </w:p>
    <w:p>
      <w:pPr>
        <w:pStyle w:val="BodyText"/>
        <w:spacing w:line="460" w:lineRule="auto" w:before="74"/>
        <w:ind w:right="1130" w:firstLine="360"/>
        <w:jc w:val="both"/>
      </w:pPr>
      <w:r>
        <w:rPr>
          <w:rFonts w:ascii="Times New Roman" w:hAnsi="Times New Roman" w:cs="Times New Roman" w:eastAsia="Times New Roman" w:hint="default"/>
          <w:spacing w:val="-2"/>
        </w:rPr>
        <w:t>2020</w:t>
      </w:r>
      <w:r>
        <w:rPr>
          <w:spacing w:val="-2"/>
        </w:rPr>
        <w:t>年，公司将充分有效利用资本市场融资平台，积极拓宽融资渠道；同时积极拥抱新基建、智慧城市等带来的市场发</w:t>
      </w:r>
      <w:r>
        <w:rPr/>
        <w:t> </w:t>
      </w:r>
      <w:r>
        <w:rPr>
          <w:spacing w:val="-2"/>
        </w:rPr>
        <w:t>展机遇，坚持做优做强主业，提高经营管理水平，推进有效创新，积极服务客户，努力争取客户订单和项目，提升公司内在</w:t>
      </w:r>
      <w:r>
        <w:rPr>
          <w:spacing w:val="-68"/>
        </w:rPr>
        <w:t> </w:t>
      </w:r>
      <w:r>
        <w:rPr>
          <w:spacing w:val="-68"/>
        </w:rPr>
      </w:r>
      <w:r>
        <w:rPr>
          <w:spacing w:val="-2"/>
        </w:rPr>
        <w:t>价值。此外，针对</w:t>
      </w:r>
      <w:r>
        <w:rPr>
          <w:rFonts w:ascii="Times New Roman" w:hAnsi="Times New Roman" w:cs="Times New Roman" w:eastAsia="Times New Roman" w:hint="default"/>
          <w:spacing w:val="-2"/>
        </w:rPr>
        <w:t>2020</w:t>
      </w:r>
      <w:r>
        <w:rPr>
          <w:spacing w:val="-2"/>
        </w:rPr>
        <w:t>年全球新冠病毒肺炎疫情带来的影响，公司将充分预估可能对生产经营带来的影响，积极通过多加强</w:t>
      </w:r>
      <w:r>
        <w:rPr>
          <w:spacing w:val="-61"/>
        </w:rPr>
        <w:t> </w:t>
      </w:r>
      <w:r>
        <w:rPr>
          <w:spacing w:val="-61"/>
        </w:rPr>
      </w:r>
      <w:r>
        <w:rPr/>
        <w:t>现金流管理、存货管理、应收账款管理等多项措施防范风险，稳健经营。</w:t>
      </w:r>
    </w:p>
    <w:p>
      <w:pPr>
        <w:pStyle w:val="Heading4"/>
        <w:spacing w:line="240" w:lineRule="auto" w:before="67"/>
        <w:ind w:right="1133"/>
        <w:jc w:val="left"/>
        <w:rPr>
          <w:b w:val="0"/>
          <w:bCs w:val="0"/>
        </w:rPr>
      </w:pPr>
      <w:r>
        <w:rPr/>
        <w:t>（四）公司面临的风险和应对措施</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left="513" w:right="1129"/>
        <w:jc w:val="left"/>
      </w:pPr>
      <w:r>
        <w:rPr/>
        <w:t>（</w:t>
      </w:r>
      <w:r>
        <w:rPr>
          <w:rFonts w:ascii="Times New Roman" w:hAnsi="Times New Roman" w:cs="Times New Roman" w:eastAsia="Times New Roman" w:hint="default"/>
        </w:rPr>
        <w:t>1</w:t>
      </w:r>
      <w:r>
        <w:rPr/>
        <w:t>）宏观经济不确定性及经营管控风险 </w:t>
      </w:r>
      <w:r>
        <w:rPr>
          <w:spacing w:val="-2"/>
        </w:rPr>
        <w:t>一方面，</w:t>
      </w:r>
      <w:r>
        <w:rPr>
          <w:rFonts w:ascii="Times New Roman" w:hAnsi="Times New Roman" w:cs="Times New Roman" w:eastAsia="Times New Roman" w:hint="default"/>
          <w:spacing w:val="-2"/>
        </w:rPr>
        <w:t>2020</w:t>
      </w:r>
      <w:r>
        <w:rPr>
          <w:spacing w:val="-2"/>
        </w:rPr>
        <w:t>宏观经济形势复杂多变，国际贸易摩擦仍然存在加剧的可能，受到新冠病毒肺炎疫情影响，全球经济不确</w:t>
      </w:r>
    </w:p>
    <w:p>
      <w:pPr>
        <w:pStyle w:val="BodyText"/>
        <w:spacing w:line="472" w:lineRule="auto" w:before="43"/>
        <w:ind w:right="1034"/>
        <w:jc w:val="left"/>
      </w:pPr>
      <w:r>
        <w:rPr>
          <w:spacing w:val="-2"/>
        </w:rPr>
        <w:t>定性风险加剧；另一方面，随着公司主营业务布局的深入和发展，对公司运营管理、人才发展、技术开发、国内外业务拓展</w:t>
      </w:r>
      <w:r>
        <w:rPr>
          <w:spacing w:val="-67"/>
        </w:rPr>
        <w:t> </w:t>
      </w:r>
      <w:r>
        <w:rPr>
          <w:spacing w:val="-67"/>
        </w:rPr>
      </w:r>
      <w:r>
        <w:rPr>
          <w:spacing w:val="-2"/>
        </w:rPr>
        <w:t>等各方面的能力带来更大的挑战。在此情形下，公司经营仍将可能面临较大的内、外部压力，公司若不能进一步提高管理水</w:t>
      </w:r>
      <w:r>
        <w:rPr>
          <w:spacing w:val="-64"/>
        </w:rPr>
        <w:t> </w:t>
      </w:r>
      <w:r>
        <w:rPr>
          <w:spacing w:val="-64"/>
        </w:rPr>
      </w:r>
      <w:r>
        <w:rPr>
          <w:spacing w:val="-2"/>
        </w:rPr>
        <w:t>平，产品、技术和服务的创新速度跟不上市场的变化，有可能影响公司的正常运作以及经营目标的实现。公司将充分预估疫</w:t>
      </w:r>
      <w:r>
        <w:rPr>
          <w:spacing w:val="-64"/>
        </w:rPr>
        <w:t> </w:t>
      </w:r>
      <w:r>
        <w:rPr>
          <w:spacing w:val="-64"/>
        </w:rPr>
      </w:r>
      <w:r>
        <w:rPr/>
        <w:t>情及全球经济不确定性将给公司带来的影响，积极通过加强预算管理、供应链管理、存货管理等多项措施防范和控制风险，</w:t>
      </w:r>
      <w:r>
        <w:rPr/>
        <w:t> 稳健经营；同时公司将继续推进业务的转型升级，积极拥抱</w:t>
      </w:r>
      <w:r>
        <w:rPr>
          <w:rFonts w:ascii="Times New Roman" w:hAnsi="Times New Roman" w:cs="Times New Roman" w:eastAsia="Times New Roman" w:hint="default"/>
        </w:rPr>
        <w:t>5G</w:t>
      </w:r>
      <w:r>
        <w:rPr/>
        <w:t>、大数据、人工智能、物联网等新兴技术带来的发展机遇， 提升公司核心产业链构建、核心产品打造、产品及服务交付等方面的能力，保障公司的稳健发展。</w:t>
      </w:r>
    </w:p>
    <w:p>
      <w:pPr>
        <w:pStyle w:val="BodyText"/>
        <w:spacing w:line="451" w:lineRule="auto" w:before="58"/>
        <w:ind w:left="513" w:right="1129"/>
        <w:jc w:val="left"/>
      </w:pPr>
      <w:r>
        <w:rPr/>
        <w:t>（</w:t>
      </w:r>
      <w:r>
        <w:rPr>
          <w:rFonts w:ascii="Times New Roman" w:hAnsi="Times New Roman" w:cs="Times New Roman" w:eastAsia="Times New Roman" w:hint="default"/>
        </w:rPr>
        <w:t>2</w:t>
      </w:r>
      <w:r>
        <w:rPr/>
        <w:t>）行业竞争加剧的风险 </w:t>
      </w:r>
      <w:r>
        <w:rPr>
          <w:spacing w:val="-2"/>
        </w:rPr>
        <w:t>随着人工智能、大数据、云计算、产业互联网为代表的新一轮信息技术的应用及普及，新兴技术日新月异带来新的市场</w:t>
      </w:r>
    </w:p>
    <w:p>
      <w:pPr>
        <w:pStyle w:val="BodyText"/>
        <w:spacing w:line="463" w:lineRule="auto" w:before="74"/>
        <w:ind w:right="0"/>
        <w:jc w:val="left"/>
      </w:pPr>
      <w:r>
        <w:rPr>
          <w:spacing w:val="-2"/>
        </w:rPr>
        <w:t>机会和诉求。行业市场规模扩大在给公司带来良好发展机遇的同时，资金、人才逐步向行业聚集，在各细分的领域竞争对手</w:t>
      </w:r>
      <w:r>
        <w:rPr>
          <w:spacing w:val="-64"/>
        </w:rPr>
        <w:t> </w:t>
      </w:r>
      <w:r>
        <w:rPr>
          <w:spacing w:val="-64"/>
        </w:rPr>
      </w:r>
      <w:r>
        <w:rPr>
          <w:spacing w:val="-2"/>
        </w:rPr>
        <w:t>增加，从而使公司在进行业务拓展时面临的竞争愈加激烈，公司金融科技和亮化照明业务存在市场份额被竞争对手抢夺的风</w:t>
      </w:r>
      <w:r>
        <w:rPr>
          <w:spacing w:val="-64"/>
        </w:rPr>
        <w:t> </w:t>
      </w:r>
      <w:r>
        <w:rPr>
          <w:spacing w:val="-64"/>
        </w:rPr>
      </w:r>
      <w:r>
        <w:rPr/>
        <w:t>险，</w:t>
      </w:r>
      <w:r>
        <w:rPr>
          <w:rFonts w:ascii="Times New Roman" w:hAnsi="Times New Roman" w:cs="Times New Roman" w:eastAsia="Times New Roman" w:hint="default"/>
        </w:rPr>
        <w:t>IDC</w:t>
      </w:r>
      <w:r>
        <w:rPr/>
        <w:t>及云计算行业处于较快增长期，竞争厂商不断加入云计算产业，公司将可能面临行业竞争加剧、业务利润率下降的 风险。公司将加强对行业的分析研究，通过更深入地了解行业应用需求，及时掌握行业技术，聚焦</w:t>
      </w:r>
      <w:r>
        <w:rPr>
          <w:rFonts w:ascii="Times New Roman" w:hAnsi="Times New Roman" w:cs="Times New Roman" w:eastAsia="Times New Roman" w:hint="default"/>
        </w:rPr>
        <w:t>“</w:t>
      </w:r>
      <w:r>
        <w:rPr/>
        <w:t>金融科技、</w:t>
      </w:r>
      <w:r>
        <w:rPr>
          <w:rFonts w:ascii="Times New Roman" w:hAnsi="Times New Roman" w:cs="Times New Roman" w:eastAsia="Times New Roman" w:hint="default"/>
        </w:rPr>
        <w:t>IDC</w:t>
      </w:r>
      <w:r>
        <w:rPr/>
        <w:t>及云计 </w:t>
      </w:r>
      <w:r>
        <w:rPr>
          <w:spacing w:val="-2"/>
        </w:rPr>
        <w:t>算、亮化照明、</w:t>
      </w:r>
      <w:r>
        <w:rPr>
          <w:rFonts w:ascii="Times New Roman" w:hAnsi="Times New Roman" w:cs="Times New Roman" w:eastAsia="Times New Roman" w:hint="default"/>
          <w:spacing w:val="-2"/>
        </w:rPr>
        <w:t>”</w:t>
      </w:r>
      <w:r>
        <w:rPr>
          <w:spacing w:val="-2"/>
        </w:rPr>
        <w:t>三大核心业务，加快研发和应用技术创新，推动公司三大主业持续做强做精，不断增强公司在技术、资质、</w:t>
      </w:r>
      <w:r>
        <w:rPr>
          <w:spacing w:val="-58"/>
        </w:rPr>
        <w:t> </w:t>
      </w:r>
      <w:r>
        <w:rPr>
          <w:spacing w:val="-58"/>
        </w:rPr>
      </w:r>
      <w:r>
        <w:rPr>
          <w:spacing w:val="-2"/>
        </w:rPr>
        <w:t>客户和服务方面的核心竞争力，推出差异化的服务、产品和行业应用解决方案，以加强市场营销和业务拓展能力，确保公司</w:t>
      </w:r>
      <w:r>
        <w:rPr>
          <w:spacing w:val="-62"/>
        </w:rPr>
        <w:t> </w:t>
      </w:r>
      <w:r>
        <w:rPr>
          <w:spacing w:val="-62"/>
        </w:rPr>
      </w:r>
      <w:r>
        <w:rPr/>
        <w:t>运营能够适应市场变化。</w:t>
      </w:r>
    </w:p>
    <w:p>
      <w:pPr>
        <w:pStyle w:val="BodyText"/>
        <w:spacing w:line="451" w:lineRule="auto" w:before="65"/>
        <w:ind w:left="513" w:right="1123"/>
        <w:jc w:val="left"/>
      </w:pPr>
      <w:r>
        <w:rPr/>
        <w:t>（</w:t>
      </w:r>
      <w:r>
        <w:rPr>
          <w:rFonts w:ascii="Times New Roman" w:hAnsi="Times New Roman" w:cs="Times New Roman" w:eastAsia="Times New Roman" w:hint="default"/>
        </w:rPr>
        <w:t>3</w:t>
      </w:r>
      <w:r>
        <w:rPr/>
        <w:t>）现金流风险 公司主要客户为知名企业单位和政府客户，信誉度较高，且应收账款大部分账龄在</w:t>
      </w:r>
      <w:r>
        <w:rPr>
          <w:rFonts w:ascii="Times New Roman" w:hAnsi="Times New Roman" w:cs="Times New Roman" w:eastAsia="Times New Roman" w:hint="default"/>
        </w:rPr>
        <w:t>1</w:t>
      </w:r>
      <w:r>
        <w:rPr/>
        <w:t>年左右，但受到国内外宏观经济的</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2" w:lineRule="auto"/>
        <w:ind w:right="1130"/>
        <w:jc w:val="both"/>
      </w:pPr>
      <w:r>
        <w:rPr>
          <w:spacing w:val="-2"/>
        </w:rPr>
        <w:t>不确定性和重大突发公共卫生事件等多重因素影响，若客户的信用状况发生不利变化或者客户延迟支付货款，可能出现部分</w:t>
      </w:r>
      <w:r>
        <w:rPr>
          <w:spacing w:val="-64"/>
        </w:rPr>
        <w:t> </w:t>
      </w:r>
      <w:r>
        <w:rPr>
          <w:spacing w:val="-64"/>
        </w:rPr>
      </w:r>
      <w:r>
        <w:rPr>
          <w:spacing w:val="-2"/>
        </w:rPr>
        <w:t>项目进度推进较慢、应收账款不能按期或无法全部回收的坏账情况，公司将面临生产经营活动资金紧张和发生坏账损失的风</w:t>
      </w:r>
      <w:r>
        <w:rPr>
          <w:spacing w:val="-64"/>
        </w:rPr>
        <w:t> </w:t>
      </w:r>
      <w:r>
        <w:rPr>
          <w:spacing w:val="-64"/>
        </w:rPr>
      </w:r>
      <w:r>
        <w:rPr>
          <w:spacing w:val="-2"/>
        </w:rPr>
        <w:t>险，从而对公司的生产经营和业绩产生不利影响。公司将按照</w:t>
      </w:r>
      <w:r>
        <w:rPr>
          <w:rFonts w:ascii="Times New Roman" w:hAnsi="Times New Roman" w:cs="Times New Roman" w:eastAsia="Times New Roman" w:hint="default"/>
          <w:spacing w:val="-2"/>
        </w:rPr>
        <w:t>“</w:t>
      </w:r>
      <w:r>
        <w:rPr>
          <w:spacing w:val="-2"/>
        </w:rPr>
        <w:t>稳健经营</w:t>
      </w:r>
      <w:r>
        <w:rPr>
          <w:rFonts w:ascii="Times New Roman" w:hAnsi="Times New Roman" w:cs="Times New Roman" w:eastAsia="Times New Roman" w:hint="default"/>
          <w:spacing w:val="-2"/>
        </w:rPr>
        <w:t>”</w:t>
      </w:r>
      <w:r>
        <w:rPr>
          <w:spacing w:val="-2"/>
        </w:rPr>
        <w:t>的原则进行发展，加强现金流管理及资金链安全管</w:t>
      </w:r>
      <w:r>
        <w:rPr>
          <w:spacing w:val="-45"/>
        </w:rPr>
        <w:t> </w:t>
      </w:r>
      <w:r>
        <w:rPr>
          <w:spacing w:val="-45"/>
        </w:rPr>
      </w:r>
      <w:r>
        <w:rPr>
          <w:spacing w:val="-2"/>
        </w:rPr>
        <w:t>理，积极建立全面的信用管理制度，通过业务回款等实现自身运营现金流的良性循环；加强项目管理，建立全面的信用管理</w:t>
      </w:r>
      <w:r>
        <w:rPr>
          <w:spacing w:val="-65"/>
        </w:rPr>
        <w:t> </w:t>
      </w:r>
      <w:r>
        <w:rPr>
          <w:spacing w:val="-65"/>
        </w:rPr>
      </w:r>
      <w:r>
        <w:rPr>
          <w:spacing w:val="-2"/>
        </w:rPr>
        <w:t>制度和客户信用评估体系，针对不同信用等级客户给予不同的账期，通过业务的差异化调控，专注扩展现金流较好的项目和</w:t>
      </w:r>
      <w:r>
        <w:rPr>
          <w:spacing w:val="-63"/>
        </w:rPr>
        <w:t> </w:t>
      </w:r>
      <w:r>
        <w:rPr>
          <w:spacing w:val="-63"/>
        </w:rPr>
      </w:r>
      <w:r>
        <w:rPr>
          <w:spacing w:val="-2"/>
        </w:rPr>
        <w:t>履约能力强的客户，提升交付能力和服务水平，加强货款的管理与监控，及时督促客户进行验收并支付验收款，以改善现金</w:t>
      </w:r>
      <w:r>
        <w:rPr>
          <w:spacing w:val="-65"/>
        </w:rPr>
        <w:t> </w:t>
      </w:r>
      <w:r>
        <w:rPr>
          <w:spacing w:val="-65"/>
        </w:rPr>
      </w:r>
      <w:r>
        <w:rPr>
          <w:spacing w:val="-2"/>
        </w:rPr>
        <w:t>流情况；同时积极通过合理的财务规划并将在适当时机利用各种融资方式，促进项目建设期和融资期限的相匹配，实现项目</w:t>
      </w:r>
      <w:r>
        <w:rPr>
          <w:spacing w:val="-63"/>
        </w:rPr>
        <w:t> </w:t>
      </w:r>
      <w:r>
        <w:rPr>
          <w:spacing w:val="-63"/>
        </w:rPr>
      </w:r>
      <w:r>
        <w:rPr>
          <w:spacing w:val="-2"/>
        </w:rPr>
        <w:t>收入和融资还款的良好循环，提高业务毛利率水平、控制费用、改善负债结构、降低融资成本，以满足自身经营发展的流动</w:t>
      </w:r>
      <w:r>
        <w:rPr>
          <w:spacing w:val="-66"/>
        </w:rPr>
        <w:t> </w:t>
      </w:r>
      <w:r>
        <w:rPr>
          <w:spacing w:val="-66"/>
        </w:rPr>
      </w:r>
      <w:r>
        <w:rPr/>
        <w:t>资金需求。</w:t>
      </w:r>
    </w:p>
    <w:p>
      <w:pPr>
        <w:pStyle w:val="BodyText"/>
        <w:spacing w:line="451" w:lineRule="auto" w:before="58"/>
        <w:ind w:left="513" w:right="1033"/>
        <w:jc w:val="left"/>
      </w:pPr>
      <w:r>
        <w:rPr/>
        <w:t>（</w:t>
      </w:r>
      <w:r>
        <w:rPr>
          <w:rFonts w:ascii="Times New Roman" w:hAnsi="Times New Roman" w:cs="Times New Roman" w:eastAsia="Times New Roman" w:hint="default"/>
        </w:rPr>
        <w:t>4</w:t>
      </w:r>
      <w:r>
        <w:rPr/>
        <w:t>）新增固定资产折旧风险 公司在粤港澳大湾区和中部地区投建的数据中心陆续建成、交付，将带来公司资产折旧的增加。在折旧费增加的同时，</w:t>
      </w:r>
    </w:p>
    <w:p>
      <w:pPr>
        <w:pStyle w:val="BodyText"/>
        <w:spacing w:line="470" w:lineRule="auto" w:before="74"/>
        <w:ind w:right="1130"/>
        <w:jc w:val="both"/>
      </w:pPr>
      <w:r>
        <w:rPr>
          <w:spacing w:val="-2"/>
        </w:rPr>
        <w:t>如客户项目进度推进较慢，影响机柜上架进度，预期收益或公司盈利能力增长未能有效消化相应的固定资产折旧，则公司新</w:t>
      </w:r>
      <w:r>
        <w:rPr>
          <w:spacing w:val="-63"/>
        </w:rPr>
        <w:t> </w:t>
      </w:r>
      <w:r>
        <w:rPr>
          <w:spacing w:val="-63"/>
        </w:rPr>
      </w:r>
      <w:r>
        <w:rPr>
          <w:spacing w:val="-2"/>
        </w:rPr>
        <w:t>增折旧将会对公司盈利水平、经营业绩产生造成不利影响。公司将积极提升运营管理水平，逐步加大现有投产的分布式数据</w:t>
      </w:r>
      <w:r>
        <w:rPr>
          <w:spacing w:val="-63"/>
        </w:rPr>
        <w:t> </w:t>
      </w:r>
      <w:r>
        <w:rPr>
          <w:spacing w:val="-63"/>
        </w:rPr>
      </w:r>
      <w:r>
        <w:rPr>
          <w:spacing w:val="-2"/>
        </w:rPr>
        <w:t>中心的机架租赁上架率、带宽租金和增值服务的销售，在盘活公司</w:t>
      </w:r>
      <w:r>
        <w:rPr>
          <w:rFonts w:ascii="Times New Roman" w:hAnsi="Times New Roman" w:cs="Times New Roman" w:eastAsia="Times New Roman" w:hint="default"/>
          <w:spacing w:val="-2"/>
        </w:rPr>
        <w:t>IDC</w:t>
      </w:r>
      <w:r>
        <w:rPr>
          <w:spacing w:val="-2"/>
        </w:rPr>
        <w:t>数据中心优质资源的基础上，积极、健康地探索</w:t>
      </w:r>
      <w:r>
        <w:rPr>
          <w:rFonts w:ascii="Times New Roman" w:hAnsi="Times New Roman" w:cs="Times New Roman" w:eastAsia="Times New Roman" w:hint="default"/>
          <w:spacing w:val="-2"/>
        </w:rPr>
        <w:t>IDC+</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增值业务，以证通云平台为业务基础和依托，深度挖掘现有客户和潜在客户的业务诉求，结合公司的市场、资源整合、项目</w:t>
      </w:r>
      <w:r>
        <w:rPr>
          <w:spacing w:val="-67"/>
        </w:rPr>
        <w:t> </w:t>
      </w:r>
      <w:r>
        <w:rPr>
          <w:spacing w:val="-67"/>
        </w:rPr>
      </w:r>
      <w:r>
        <w:rPr/>
        <w:t>交付及售后服务能力与客户进行</w:t>
      </w:r>
      <w:r>
        <w:rPr>
          <w:rFonts w:ascii="Times New Roman" w:hAnsi="Times New Roman" w:cs="Times New Roman" w:eastAsia="Times New Roman" w:hint="default"/>
        </w:rPr>
        <w:t>“IDC+”</w:t>
      </w:r>
      <w:r>
        <w:rPr/>
        <w:t>业务的耦合，加速释放现有投产的分布式数据中心的订单效益。</w:t>
      </w:r>
    </w:p>
    <w:p>
      <w:pPr>
        <w:spacing w:line="240" w:lineRule="auto" w:before="6"/>
        <w:rPr>
          <w:rFonts w:ascii="宋体" w:hAnsi="宋体" w:cs="宋体" w:eastAsia="宋体" w:hint="default"/>
          <w:sz w:val="15"/>
          <w:szCs w:val="15"/>
        </w:rPr>
      </w:pPr>
    </w:p>
    <w:p>
      <w:pPr>
        <w:pStyle w:val="Heading2"/>
        <w:spacing w:line="240" w:lineRule="auto"/>
        <w:ind w:right="0"/>
        <w:jc w:val="both"/>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深交所互动易平台</w:t>
            </w:r>
          </w:p>
          <w:p>
            <w:pPr>
              <w:pStyle w:val="TableParagraph"/>
              <w:spacing w:line="300" w:lineRule="auto" w:before="76"/>
              <w:ind w:left="23" w:right="18"/>
              <w:jc w:val="both"/>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http://irm.cninfo.com.cn/ssessgs/S002</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197/index.html</w:t>
            </w:r>
            <w:r>
              <w:rPr>
                <w:rFonts w:ascii="宋体" w:hAnsi="宋体" w:cs="宋体" w:eastAsia="宋体" w:hint="default"/>
                <w:spacing w:val="-2"/>
                <w:sz w:val="18"/>
                <w:szCs w:val="18"/>
              </w:rPr>
              <w:t>）投资者关系专栏</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日投资者关系活动记录表</w:t>
            </w:r>
          </w:p>
        </w:tc>
      </w:tr>
    </w:tbl>
    <w:p>
      <w:pPr>
        <w:spacing w:after="0" w:line="30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1"/>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412" w:lineRule="auto" w:before="117"/>
        <w:ind w:left="513" w:right="10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公司根据《公司法》、《证券法》、《上市公司章程指引》、《关于进一步落实上市公司现金分红有关事项的通知》、</w:t>
      </w:r>
    </w:p>
    <w:p>
      <w:pPr>
        <w:pStyle w:val="BodyText"/>
        <w:spacing w:line="451" w:lineRule="auto" w:before="103"/>
        <w:ind w:right="1042"/>
        <w:jc w:val="left"/>
      </w:pPr>
      <w:r>
        <w:rPr>
          <w:spacing w:val="-2"/>
        </w:rPr>
        <w:t>《上市公司监管指引第</w:t>
      </w:r>
      <w:r>
        <w:rPr>
          <w:rFonts w:ascii="Times New Roman" w:hAnsi="Times New Roman" w:cs="Times New Roman" w:eastAsia="Times New Roman" w:hint="default"/>
          <w:spacing w:val="-2"/>
        </w:rPr>
        <w:t>3</w:t>
      </w:r>
      <w:r>
        <w:rPr>
          <w:spacing w:val="-2"/>
        </w:rPr>
        <w:t>号</w:t>
      </w:r>
      <w:r>
        <w:rPr>
          <w:rFonts w:ascii="Times New Roman" w:hAnsi="Times New Roman" w:cs="Times New Roman" w:eastAsia="Times New Roman" w:hint="default"/>
          <w:spacing w:val="-2"/>
        </w:rPr>
        <w:t>——</w:t>
      </w:r>
      <w:r>
        <w:rPr>
          <w:spacing w:val="-2"/>
        </w:rPr>
        <w:t>上市公司现金分红》和《公司章程》等相关规定，并综合考虑公司盈利能力、经营发展规划、</w:t>
      </w:r>
      <w:r>
        <w:rPr>
          <w:spacing w:val="-63"/>
        </w:rPr>
        <w:t> </w:t>
      </w:r>
      <w:r>
        <w:rPr>
          <w:spacing w:val="-63"/>
        </w:rPr>
      </w:r>
      <w:r>
        <w:rPr/>
        <w:t>股东回报、社会资金成本以及外部融资环境等因素，制定了《公司未来三年（</w:t>
      </w:r>
      <w:r>
        <w:rPr>
          <w:rFonts w:ascii="Times New Roman" w:hAnsi="Times New Roman" w:cs="Times New Roman" w:eastAsia="Times New Roman" w:hint="default"/>
        </w:rPr>
        <w:t>2018-2020</w:t>
      </w:r>
      <w:r>
        <w:rPr>
          <w:rFonts w:ascii="Times New Roman" w:hAnsi="Times New Roman" w:cs="Times New Roman" w:eastAsia="Times New Roman" w:hint="default"/>
          <w:spacing w:val="16"/>
        </w:rPr>
        <w:t> </w:t>
      </w:r>
      <w:r>
        <w:rPr/>
        <w:t>年）股东回报规划》，并经公司于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日召开的第四届董事会第二十三次会议和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2017</w:t>
      </w:r>
      <w:r>
        <w:rPr/>
        <w:t>年年度股东大会审议通过。</w:t>
      </w:r>
    </w:p>
    <w:p>
      <w:pPr>
        <w:spacing w:line="240" w:lineRule="auto" w:before="8"/>
        <w:rPr>
          <w:rFonts w:ascii="宋体" w:hAnsi="宋体" w:cs="宋体" w:eastAsia="宋体" w:hint="default"/>
          <w:sz w:val="20"/>
          <w:szCs w:val="20"/>
        </w:rPr>
      </w:pPr>
    </w:p>
    <w:tbl>
      <w:tblPr>
        <w:tblW w:w="0" w:type="auto"/>
        <w:jc w:val="left"/>
        <w:tblInd w:w="160" w:type="dxa"/>
        <w:tblLayout w:type="fixed"/>
        <w:tblCellMar>
          <w:top w:w="0" w:type="dxa"/>
          <w:left w:w="0" w:type="dxa"/>
          <w:bottom w:w="0" w:type="dxa"/>
          <w:right w:w="0" w:type="dxa"/>
        </w:tblCellMar>
        <w:tblLook w:val="01E0"/>
      </w:tblPr>
      <w:tblGrid>
        <w:gridCol w:w="6358"/>
        <w:gridCol w:w="3201"/>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10"/>
        <w:rPr>
          <w:rFonts w:ascii="宋体" w:hAnsi="宋体" w:cs="宋体" w:eastAsia="宋体" w:hint="default"/>
          <w:sz w:val="13"/>
          <w:szCs w:val="13"/>
        </w:rPr>
      </w:pPr>
    </w:p>
    <w:p>
      <w:pPr>
        <w:pStyle w:val="BodyText"/>
        <w:spacing w:line="451" w:lineRule="auto"/>
        <w:ind w:right="1133" w:firstLine="360"/>
        <w:jc w:val="both"/>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2019</w:t>
      </w:r>
      <w:r>
        <w:rPr/>
        <w:t>年年度权益分派方案为：公司本年度不派发现金红利，不送红股，不以公积金转增股本。但公司</w:t>
      </w:r>
      <w:r>
        <w:rPr>
          <w:rFonts w:ascii="Times New Roman" w:hAnsi="Times New Roman" w:cs="Times New Roman" w:eastAsia="Times New Roman" w:hint="default"/>
        </w:rPr>
        <w:t>2019</w:t>
      </w:r>
      <w:r>
        <w:rPr/>
        <w:t>年通 </w:t>
      </w:r>
      <w:r>
        <w:rPr>
          <w:spacing w:val="-1"/>
        </w:rPr>
        <w:t>过集中竞价方式累计回购公司股份</w:t>
      </w:r>
      <w:r>
        <w:rPr>
          <w:rFonts w:ascii="Times New Roman" w:hAnsi="Times New Roman" w:cs="Times New Roman" w:eastAsia="Times New Roman" w:hint="default"/>
          <w:spacing w:val="-1"/>
        </w:rPr>
        <w:t>4,086,246</w:t>
      </w:r>
      <w:r>
        <w:rPr>
          <w:spacing w:val="-1"/>
        </w:rPr>
        <w:t>股，回购公司股份支付总金额为</w:t>
      </w:r>
      <w:r>
        <w:rPr>
          <w:rFonts w:ascii="Times New Roman" w:hAnsi="Times New Roman" w:cs="Times New Roman" w:eastAsia="Times New Roman" w:hint="default"/>
          <w:spacing w:val="-1"/>
        </w:rPr>
        <w:t>33,190,744.57</w:t>
      </w:r>
      <w:r>
        <w:rPr>
          <w:spacing w:val="-1"/>
        </w:rPr>
        <w:t>元，纳入公司</w:t>
      </w:r>
      <w:r>
        <w:rPr>
          <w:rFonts w:ascii="Times New Roman" w:hAnsi="Times New Roman" w:cs="Times New Roman" w:eastAsia="Times New Roman" w:hint="default"/>
          <w:spacing w:val="-1"/>
        </w:rPr>
        <w:t>2019</w:t>
      </w:r>
      <w:r>
        <w:rPr>
          <w:spacing w:val="-1"/>
        </w:rPr>
        <w:t>年度现金分红总</w:t>
      </w:r>
      <w:r>
        <w:rPr>
          <w:spacing w:val="-71"/>
        </w:rPr>
        <w:t> </w:t>
      </w:r>
      <w:r>
        <w:rPr>
          <w:spacing w:val="-71"/>
        </w:rPr>
      </w:r>
      <w:r>
        <w:rPr/>
        <w:t>额（含其他方式）。</w:t>
      </w:r>
    </w:p>
    <w:p>
      <w:pPr>
        <w:pStyle w:val="BodyText"/>
        <w:spacing w:line="451" w:lineRule="auto" w:before="74"/>
        <w:ind w:right="1133" w:firstLine="36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2018</w:t>
      </w:r>
      <w:r>
        <w:rPr/>
        <w:t>年年度权益分派方案为：公司本年度不派发现金红利，不送红股，不以公积金转增股本，但公司</w:t>
      </w:r>
      <w:r>
        <w:rPr>
          <w:rFonts w:ascii="Times New Roman" w:hAnsi="Times New Roman" w:cs="Times New Roman" w:eastAsia="Times New Roman" w:hint="default"/>
        </w:rPr>
        <w:t>2018</w:t>
      </w:r>
      <w:r>
        <w:rPr/>
        <w:t>年通 </w:t>
      </w:r>
      <w:r>
        <w:rPr>
          <w:spacing w:val="-1"/>
        </w:rPr>
        <w:t>过集中竞价方式累计回购公司股份</w:t>
      </w:r>
      <w:r>
        <w:rPr>
          <w:rFonts w:ascii="Times New Roman" w:hAnsi="Times New Roman" w:cs="Times New Roman" w:eastAsia="Times New Roman" w:hint="default"/>
          <w:spacing w:val="-1"/>
        </w:rPr>
        <w:t>3,716,500</w:t>
      </w:r>
      <w:r>
        <w:rPr>
          <w:spacing w:val="-1"/>
        </w:rPr>
        <w:t>股，回购公司股份支付总金额为</w:t>
      </w:r>
      <w:r>
        <w:rPr>
          <w:rFonts w:ascii="Times New Roman" w:hAnsi="Times New Roman" w:cs="Times New Roman" w:eastAsia="Times New Roman" w:hint="default"/>
          <w:spacing w:val="-1"/>
        </w:rPr>
        <w:t>27,883,032.00</w:t>
      </w:r>
      <w:r>
        <w:rPr>
          <w:spacing w:val="-1"/>
        </w:rPr>
        <w:t>元，纳入公司</w:t>
      </w:r>
      <w:r>
        <w:rPr>
          <w:rFonts w:ascii="Times New Roman" w:hAnsi="Times New Roman" w:cs="Times New Roman" w:eastAsia="Times New Roman" w:hint="default"/>
          <w:spacing w:val="-1"/>
        </w:rPr>
        <w:t>2018</w:t>
      </w:r>
      <w:r>
        <w:rPr>
          <w:spacing w:val="-1"/>
        </w:rPr>
        <w:t>年度现金分红总</w:t>
      </w:r>
      <w:r>
        <w:rPr>
          <w:spacing w:val="-71"/>
        </w:rPr>
        <w:t> </w:t>
      </w:r>
      <w:r>
        <w:rPr>
          <w:spacing w:val="-71"/>
        </w:rPr>
      </w:r>
      <w:r>
        <w:rPr/>
        <w:t>额（含其他方式）。</w:t>
      </w:r>
    </w:p>
    <w:p>
      <w:pPr>
        <w:pStyle w:val="BodyText"/>
        <w:spacing w:line="451" w:lineRule="auto" w:before="74"/>
        <w:ind w:right="1040" w:firstLine="360"/>
        <w:jc w:val="both"/>
      </w:pPr>
      <w:r>
        <w:rPr>
          <w:rFonts w:ascii="Times New Roman" w:hAnsi="Times New Roman" w:cs="Times New Roman" w:eastAsia="Times New Roman" w:hint="default"/>
          <w:spacing w:val="-4"/>
        </w:rPr>
        <w:t>3</w:t>
      </w:r>
      <w:r>
        <w:rPr>
          <w:spacing w:val="-4"/>
        </w:rPr>
        <w:t>、公司</w:t>
      </w:r>
      <w:r>
        <w:rPr>
          <w:rFonts w:ascii="Times New Roman" w:hAnsi="Times New Roman" w:cs="Times New Roman" w:eastAsia="Times New Roman" w:hint="default"/>
          <w:spacing w:val="-4"/>
        </w:rPr>
        <w:t>2017</w:t>
      </w:r>
      <w:r>
        <w:rPr>
          <w:spacing w:val="-4"/>
        </w:rPr>
        <w:t>年年度权益分派方案为：公司以</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515,156,948</w:t>
      </w:r>
      <w:r>
        <w:rPr>
          <w:spacing w:val="-4"/>
        </w:rPr>
        <w:t>股为基数，每</w:t>
      </w:r>
      <w:r>
        <w:rPr>
          <w:rFonts w:ascii="Times New Roman" w:hAnsi="Times New Roman" w:cs="Times New Roman" w:eastAsia="Times New Roman" w:hint="default"/>
          <w:spacing w:val="-4"/>
        </w:rPr>
        <w:t>10</w:t>
      </w:r>
      <w:r>
        <w:rPr>
          <w:spacing w:val="-4"/>
        </w:rPr>
        <w:t>股派现金</w:t>
      </w:r>
      <w:r>
        <w:rPr>
          <w:rFonts w:ascii="Times New Roman" w:hAnsi="Times New Roman" w:cs="Times New Roman" w:eastAsia="Times New Roman" w:hint="default"/>
          <w:spacing w:val="-4"/>
        </w:rPr>
        <w:t>0.50</w:t>
      </w:r>
      <w:r>
        <w:rPr>
          <w:spacing w:val="-4"/>
        </w:rPr>
        <w:t>元（含税），</w:t>
      </w:r>
      <w:r>
        <w:rPr/>
        <w:t> 共计派现</w:t>
      </w:r>
      <w:r>
        <w:rPr>
          <w:rFonts w:ascii="Times New Roman" w:hAnsi="Times New Roman" w:cs="Times New Roman" w:eastAsia="Times New Roman" w:hint="default"/>
        </w:rPr>
        <w:t>25,757,847.40</w:t>
      </w:r>
      <w:r>
        <w:rPr/>
        <w:t>元，剩余部分结转下年分配。</w:t>
      </w:r>
    </w:p>
    <w:p>
      <w:pPr>
        <w:pStyle w:val="BodyText"/>
        <w:spacing w:line="240" w:lineRule="auto" w:before="43"/>
        <w:ind w:left="513" w:right="1133"/>
        <w:jc w:val="left"/>
      </w:pPr>
      <w:r>
        <w:rPr>
          <w:rFonts w:ascii="Times New Roman" w:hAnsi="Times New Roman" w:cs="Times New Roman" w:eastAsia="Times New Roman" w:hint="default"/>
        </w:rPr>
        <w:t>2019</w:t>
      </w:r>
      <w:r>
        <w:rPr/>
        <w:t>年度，公司报告期内盈利但母公司未分配利润为负，本年度不派发现金红利，不送红股，不以公积金转增股本。</w:t>
      </w:r>
    </w:p>
    <w:p>
      <w:pPr>
        <w:spacing w:line="240" w:lineRule="auto" w:before="5"/>
        <w:rPr>
          <w:rFonts w:ascii="宋体" w:hAnsi="宋体" w:cs="宋体" w:eastAsia="宋体" w:hint="default"/>
          <w:sz w:val="10"/>
          <w:szCs w:val="10"/>
        </w:rPr>
      </w:pPr>
    </w:p>
    <w:p>
      <w:pPr>
        <w:pStyle w:val="BodyText"/>
        <w:spacing w:line="240" w:lineRule="auto" w:before="44"/>
        <w:ind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1122"/>
        <w:gridCol w:w="1418"/>
        <w:gridCol w:w="1381"/>
        <w:gridCol w:w="1197"/>
        <w:gridCol w:w="1196"/>
        <w:gridCol w:w="1195"/>
        <w:gridCol w:w="1198"/>
      </w:tblGrid>
      <w:tr>
        <w:trPr>
          <w:trHeight w:val="152" w:hRule="exact"/>
        </w:trPr>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1"/>
              <w:ind w:left="100" w:right="109"/>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0"/>
              <w:ind w:left="73" w:right="72"/>
              <w:jc w:val="left"/>
              <w:rPr>
                <w:rFonts w:ascii="宋体" w:hAnsi="宋体" w:cs="宋体" w:eastAsia="宋体" w:hint="default"/>
                <w:sz w:val="18"/>
                <w:szCs w:val="18"/>
              </w:rPr>
            </w:pPr>
            <w:r>
              <w:rPr>
                <w:rFonts w:ascii="宋体" w:hAnsi="宋体" w:cs="宋体" w:eastAsia="宋体" w:hint="default"/>
                <w:sz w:val="18"/>
                <w:szCs w:val="18"/>
              </w:rPr>
              <w:t>分红年度合并报 表中归属于上市</w:t>
            </w:r>
          </w:p>
        </w:tc>
        <w:tc>
          <w:tcPr>
            <w:tcW w:w="13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0"/>
              <w:ind w:left="57" w:right="53"/>
              <w:jc w:val="left"/>
              <w:rPr>
                <w:rFonts w:ascii="宋体" w:hAnsi="宋体" w:cs="宋体" w:eastAsia="宋体" w:hint="default"/>
                <w:sz w:val="18"/>
                <w:szCs w:val="18"/>
              </w:rPr>
            </w:pPr>
            <w:r>
              <w:rPr>
                <w:rFonts w:ascii="宋体" w:hAnsi="宋体" w:cs="宋体" w:eastAsia="宋体" w:hint="default"/>
                <w:sz w:val="18"/>
                <w:szCs w:val="18"/>
              </w:rPr>
              <w:t>现金分红金额占 合并报表中归属</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142" w:right="0"/>
              <w:jc w:val="left"/>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240" w:lineRule="auto" w:before="76"/>
              <w:ind w:left="142" w:right="0"/>
              <w:jc w:val="left"/>
              <w:rPr>
                <w:rFonts w:ascii="宋体" w:hAnsi="宋体" w:cs="宋体" w:eastAsia="宋体" w:hint="default"/>
                <w:sz w:val="18"/>
                <w:szCs w:val="18"/>
              </w:rPr>
            </w:pPr>
            <w:r>
              <w:rPr>
                <w:rFonts w:ascii="宋体" w:hAnsi="宋体" w:cs="宋体" w:eastAsia="宋体" w:hint="default"/>
                <w:sz w:val="18"/>
                <w:szCs w:val="18"/>
              </w:rPr>
              <w:t>（如回购股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0"/>
              <w:ind w:left="52" w:right="53"/>
              <w:jc w:val="left"/>
              <w:rPr>
                <w:rFonts w:ascii="宋体" w:hAnsi="宋体" w:cs="宋体" w:eastAsia="宋体" w:hint="default"/>
                <w:sz w:val="18"/>
                <w:szCs w:val="18"/>
              </w:rPr>
            </w:pPr>
            <w:r>
              <w:rPr>
                <w:rFonts w:ascii="宋体" w:hAnsi="宋体" w:cs="宋体" w:eastAsia="宋体" w:hint="default"/>
                <w:sz w:val="18"/>
                <w:szCs w:val="18"/>
              </w:rPr>
              <w:t>以其他方式现 金分红金额占</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51"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142" w:right="0"/>
              <w:jc w:val="left"/>
              <w:rPr>
                <w:rFonts w:ascii="宋体" w:hAnsi="宋体" w:cs="宋体" w:eastAsia="宋体" w:hint="default"/>
                <w:sz w:val="18"/>
                <w:szCs w:val="18"/>
              </w:rPr>
            </w:pPr>
            <w:r>
              <w:rPr>
                <w:rFonts w:ascii="宋体" w:hAnsi="宋体" w:cs="宋体" w:eastAsia="宋体" w:hint="default"/>
                <w:sz w:val="18"/>
                <w:szCs w:val="18"/>
              </w:rPr>
              <w:t>（含其他方</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143" w:right="0"/>
              <w:jc w:val="left"/>
              <w:rPr>
                <w:rFonts w:ascii="宋体" w:hAnsi="宋体" w:cs="宋体" w:eastAsia="宋体" w:hint="default"/>
                <w:sz w:val="18"/>
                <w:szCs w:val="18"/>
              </w:rPr>
            </w:pPr>
            <w:r>
              <w:rPr>
                <w:rFonts w:ascii="宋体" w:hAnsi="宋体" w:cs="宋体" w:eastAsia="宋体" w:hint="default"/>
                <w:sz w:val="18"/>
                <w:szCs w:val="18"/>
              </w:rPr>
              <w:t>（含其他方</w:t>
            </w:r>
          </w:p>
        </w:tc>
      </w:tr>
      <w:tr>
        <w:trPr>
          <w:trHeight w:val="392" w:hRule="exact"/>
        </w:trPr>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22"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381"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1" w:hRule="exact"/>
        </w:trPr>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2"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381"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1133"/>
        <w:gridCol w:w="1419"/>
        <w:gridCol w:w="1380"/>
        <w:gridCol w:w="1198"/>
        <w:gridCol w:w="1195"/>
        <w:gridCol w:w="1196"/>
        <w:gridCol w:w="1198"/>
      </w:tblGrid>
      <w:tr>
        <w:trPr>
          <w:trHeight w:val="358" w:hRule="exact"/>
        </w:trPr>
        <w:tc>
          <w:tcPr>
            <w:tcW w:w="852"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343" w:right="74" w:hanging="269"/>
              <w:jc w:val="left"/>
              <w:rPr>
                <w:rFonts w:ascii="宋体" w:hAnsi="宋体" w:cs="宋体" w:eastAsia="宋体" w:hint="default"/>
                <w:sz w:val="18"/>
                <w:szCs w:val="18"/>
              </w:rPr>
            </w:pPr>
            <w:r>
              <w:rPr>
                <w:rFonts w:ascii="宋体" w:hAnsi="宋体" w:cs="宋体" w:eastAsia="宋体" w:hint="default"/>
                <w:sz w:val="18"/>
                <w:szCs w:val="18"/>
              </w:rPr>
              <w:t>公司普通股股东 的净利润</w:t>
            </w: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57" w:right="50"/>
              <w:jc w:val="center"/>
              <w:rPr>
                <w:rFonts w:ascii="宋体" w:hAnsi="宋体" w:cs="宋体" w:eastAsia="宋体" w:hint="default"/>
                <w:sz w:val="18"/>
                <w:szCs w:val="18"/>
              </w:rPr>
            </w:pPr>
            <w:r>
              <w:rPr>
                <w:rFonts w:ascii="宋体" w:hAnsi="宋体" w:cs="宋体" w:eastAsia="宋体" w:hint="default"/>
                <w:sz w:val="18"/>
                <w:szCs w:val="18"/>
              </w:rPr>
              <w:t>于上市公司普通 股股东的净利润 的比率</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323" w:right="53" w:hanging="272"/>
              <w:jc w:val="left"/>
              <w:rPr>
                <w:rFonts w:ascii="宋体" w:hAnsi="宋体" w:cs="宋体" w:eastAsia="宋体" w:hint="default"/>
                <w:sz w:val="18"/>
                <w:szCs w:val="18"/>
              </w:rPr>
            </w:pPr>
            <w:r>
              <w:rPr>
                <w:rFonts w:ascii="宋体" w:hAnsi="宋体" w:cs="宋体" w:eastAsia="宋体" w:hint="default"/>
                <w:sz w:val="18"/>
                <w:szCs w:val="18"/>
              </w:rPr>
              <w:t>份）现金分红 的金额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52" w:right="50"/>
              <w:jc w:val="both"/>
              <w:rPr>
                <w:rFonts w:ascii="宋体" w:hAnsi="宋体" w:cs="宋体" w:eastAsia="宋体" w:hint="default"/>
                <w:sz w:val="18"/>
                <w:szCs w:val="18"/>
              </w:rPr>
            </w:pPr>
            <w:r>
              <w:rPr>
                <w:rFonts w:ascii="宋体" w:hAnsi="宋体" w:cs="宋体" w:eastAsia="宋体" w:hint="default"/>
                <w:sz w:val="18"/>
                <w:szCs w:val="18"/>
              </w:rPr>
              <w:t>合并报表中归 属于上市公司 普通股股东的 净利润的比例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式）</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52" w:right="53"/>
              <w:jc w:val="center"/>
              <w:rPr>
                <w:rFonts w:ascii="宋体" w:hAnsi="宋体" w:cs="宋体" w:eastAsia="宋体" w:hint="default"/>
                <w:sz w:val="18"/>
                <w:szCs w:val="18"/>
              </w:rPr>
            </w:pPr>
            <w:r>
              <w:rPr>
                <w:rFonts w:ascii="宋体" w:hAnsi="宋体" w:cs="宋体" w:eastAsia="宋体" w:hint="default"/>
                <w:sz w:val="18"/>
                <w:szCs w:val="18"/>
              </w:rPr>
              <w:t>式）占合并报 表中归属于上 市公司普通股 股东的净利润 的比率</w:t>
            </w:r>
          </w:p>
        </w:tc>
      </w:tr>
      <w:tr>
        <w:trPr>
          <w:trHeight w:val="312" w:hRule="exact"/>
        </w:trPr>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312" w:hRule="exact"/>
        </w:trPr>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312" w:hRule="exact"/>
        </w:trPr>
        <w:tc>
          <w:tcPr>
            <w:tcW w:w="85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317"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20,355,219.82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33,190,744.57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33,190,744.57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163.06%</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-241,200,992.13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27,883,032.00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27,883,032.00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-11.56%</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25,757,847.40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43,095,599.68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59.77%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25,757,847.40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59.77%</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5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575"/>
        <w:gridCol w:w="994"/>
        <w:gridCol w:w="850"/>
        <w:gridCol w:w="1061"/>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014"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6" w:right="19"/>
              <w:jc w:val="left"/>
              <w:rPr>
                <w:rFonts w:ascii="宋体" w:hAnsi="宋体" w:cs="宋体" w:eastAsia="宋体" w:hint="default"/>
                <w:sz w:val="18"/>
                <w:szCs w:val="18"/>
              </w:rPr>
            </w:pPr>
            <w:r>
              <w:rPr>
                <w:rFonts w:ascii="宋体" w:hAnsi="宋体" w:cs="宋体" w:eastAsia="宋体" w:hint="default"/>
                <w:spacing w:val="-3"/>
                <w:sz w:val="18"/>
                <w:szCs w:val="18"/>
              </w:rPr>
              <w:t>曾胜强、许忠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桂、曾胜辉</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同业竞争承 诺</w:t>
            </w:r>
          </w:p>
        </w:tc>
        <w:tc>
          <w:tcPr>
            <w:tcW w:w="157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、关于避免同业竞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争承诺：本人不直 接或间接从事与股 份公司相同或相似 的业务；在本人作 为股份公司主要股 东的事实改变之 前，本人将不会直 接或间接地以任何 方式（包括但不限 于独自经营，合资 经营和拥有在其他 公司或企业的股票 或权益）从事与股</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57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2014"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57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575"/>
        <w:gridCol w:w="994"/>
        <w:gridCol w:w="850"/>
        <w:gridCol w:w="1063"/>
      </w:tblGrid>
      <w:tr>
        <w:trPr>
          <w:trHeight w:val="754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份公司的业务有竞 争或可能构成竞争 的业务或活动；如 因未履行避免同业 竞争的承诺而给公 司造成损失，本人 将对公司遭受的损 </w:t>
            </w:r>
            <w:r>
              <w:rPr>
                <w:rFonts w:ascii="宋体" w:hAnsi="宋体" w:cs="宋体" w:eastAsia="宋体" w:hint="default"/>
                <w:spacing w:val="-2"/>
                <w:sz w:val="18"/>
                <w:szCs w:val="18"/>
              </w:rPr>
              <w:t>失作出赔偿。</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、关</w:t>
            </w:r>
            <w:r>
              <w:rPr>
                <w:rFonts w:ascii="宋体" w:hAnsi="宋体" w:cs="宋体" w:eastAsia="宋体" w:hint="default"/>
                <w:spacing w:val="-86"/>
                <w:sz w:val="18"/>
                <w:szCs w:val="18"/>
              </w:rPr>
              <w:t> </w:t>
            </w:r>
            <w:r>
              <w:rPr>
                <w:rFonts w:ascii="宋体" w:hAnsi="宋体" w:cs="宋体" w:eastAsia="宋体" w:hint="default"/>
                <w:sz w:val="18"/>
                <w:szCs w:val="18"/>
              </w:rPr>
              <w:t>于补缴所得税优惠</w:t>
            </w:r>
            <w:r>
              <w:rPr>
                <w:rFonts w:ascii="宋体" w:hAnsi="宋体" w:cs="宋体" w:eastAsia="宋体" w:hint="default"/>
                <w:sz w:val="18"/>
                <w:szCs w:val="18"/>
              </w:rPr>
              <w:t> 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公司发行前 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 要股东曾胜强、许 忠桂和曾胜辉承 诺：若因税收主管 部门对证通电子上 市前享受的企业所 得税减免税款进行 追缴，本人作为证 通电子的股东，将 以现金方式及时、 无条件、全额承担 应补交的税款及</w:t>
            </w:r>
            <w:r>
              <w:rPr>
                <w:rFonts w:ascii="Times New Roman" w:hAnsi="Times New Roman" w:cs="Times New Roman" w:eastAsia="Times New Roman" w:hint="default"/>
                <w:sz w:val="18"/>
                <w:szCs w:val="18"/>
              </w:rPr>
              <w:t>/</w:t>
            </w:r>
            <w:r>
              <w:rPr>
                <w:rFonts w:ascii="宋体" w:hAnsi="宋体" w:cs="宋体" w:eastAsia="宋体" w:hint="default"/>
                <w:sz w:val="18"/>
                <w:szCs w:val="18"/>
              </w:rPr>
              <w:t>或 因此所产生的所有 相关费用。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公司股东曾胜强作 为公司董事承诺， 在上述承诺的限售 期届满后，其所持 本公司股份在其任 职期间内每年转让 的比例不超过其所 持本公司股份总数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，在离职后 半年内不转让所持 本公司的股份。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4"/>
              <w:jc w:val="both"/>
              <w:rPr>
                <w:rFonts w:ascii="宋体" w:hAnsi="宋体" w:cs="宋体" w:eastAsia="宋体" w:hint="default"/>
                <w:sz w:val="18"/>
                <w:szCs w:val="18"/>
              </w:rPr>
            </w:pPr>
            <w:r>
              <w:rPr>
                <w:rFonts w:ascii="宋体" w:hAnsi="宋体" w:cs="宋体" w:eastAsia="宋体" w:hint="default"/>
                <w:sz w:val="18"/>
                <w:szCs w:val="18"/>
              </w:rPr>
              <w:t>董事在职 及离职后 半年内有 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285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6" w:right="191"/>
              <w:jc w:val="both"/>
              <w:rPr>
                <w:rFonts w:ascii="宋体" w:hAnsi="宋体" w:cs="宋体" w:eastAsia="宋体" w:hint="default"/>
                <w:sz w:val="18"/>
                <w:szCs w:val="18"/>
              </w:rPr>
            </w:pPr>
            <w:r>
              <w:rPr>
                <w:rFonts w:ascii="宋体" w:hAnsi="宋体" w:cs="宋体" w:eastAsia="宋体" w:hint="default"/>
                <w:sz w:val="18"/>
                <w:szCs w:val="18"/>
              </w:rPr>
              <w:t>公司债付息 相关保证承 诺</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公司承诺在预计不 能按期偿付公司债 券本息或者到期未 能按期偿付债券本 息时，将至少采取 如下措施：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、不向 股东分配利润；</w:t>
            </w:r>
            <w:r>
              <w:rPr>
                <w:rFonts w:ascii="Times New Roman" w:hAnsi="Times New Roman" w:cs="Times New Roman" w:eastAsia="Times New Roman" w:hint="default"/>
                <w:sz w:val="18"/>
                <w:szCs w:val="18"/>
              </w:rPr>
              <w:t>2</w:t>
            </w:r>
            <w:r>
              <w:rPr>
                <w:rFonts w:ascii="宋体" w:hAnsi="宋体" w:cs="宋体" w:eastAsia="宋体" w:hint="default"/>
                <w:sz w:val="18"/>
                <w:szCs w:val="18"/>
              </w:rPr>
              <w:t>、 暂缓重大对外投 资、收购兼并等资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公司债券 存续期内</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575"/>
        <w:gridCol w:w="994"/>
        <w:gridCol w:w="850"/>
        <w:gridCol w:w="1061"/>
      </w:tblGrid>
      <w:tr>
        <w:trPr>
          <w:trHeight w:val="192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本性支出项目的实 施；</w:t>
            </w:r>
            <w:r>
              <w:rPr>
                <w:rFonts w:ascii="Times New Roman" w:hAnsi="Times New Roman" w:cs="Times New Roman" w:eastAsia="Times New Roman" w:hint="default"/>
                <w:sz w:val="18"/>
                <w:szCs w:val="18"/>
              </w:rPr>
              <w:t>3</w:t>
            </w:r>
            <w:r>
              <w:rPr>
                <w:rFonts w:ascii="宋体" w:hAnsi="宋体" w:cs="宋体" w:eastAsia="宋体" w:hint="default"/>
                <w:sz w:val="18"/>
                <w:szCs w:val="18"/>
              </w:rPr>
              <w:t>、调减或停发 董事和高级管理人 员的工资和奖金； </w:t>
            </w:r>
            <w:r>
              <w:rPr>
                <w:rFonts w:ascii="Times New Roman" w:hAnsi="Times New Roman" w:cs="Times New Roman" w:eastAsia="Times New Roman" w:hint="default"/>
                <w:sz w:val="18"/>
                <w:szCs w:val="18"/>
              </w:rPr>
              <w:t>4</w:t>
            </w:r>
            <w:r>
              <w:rPr>
                <w:rFonts w:ascii="宋体" w:hAnsi="宋体" w:cs="宋体" w:eastAsia="宋体" w:hint="default"/>
                <w:sz w:val="18"/>
                <w:szCs w:val="18"/>
              </w:rPr>
              <w:t>、主要责任人不得 调离。</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0"/>
        </w:rPr>
        <w:t> </w:t>
      </w:r>
      <w:r>
        <w:rPr>
          <w:spacing w:val="-60"/>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4"/>
          <w:szCs w:val="14"/>
        </w:rPr>
      </w:pPr>
    </w:p>
    <w:p>
      <w:pPr>
        <w:pStyle w:val="BodyText"/>
        <w:spacing w:line="451" w:lineRule="auto"/>
        <w:ind w:right="1034" w:firstLine="360"/>
        <w:jc w:val="left"/>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日召开第四届董事会第三十九次会议、第四届监事会第三十三次会议审议通过了《关于公司会计</w:t>
      </w:r>
      <w:r>
        <w:rPr/>
        <w:t> 政策变更的议案》，本次公司会计政策变更是根据</w:t>
      </w:r>
      <w:r>
        <w:rPr>
          <w:rFonts w:ascii="Times New Roman" w:hAnsi="Times New Roman" w:cs="Times New Roman" w:eastAsia="Times New Roman" w:hint="default"/>
        </w:rPr>
        <w:t>2017</w:t>
      </w:r>
      <w:r>
        <w:rPr/>
        <w:t>年财政部新修订的《企业会计准则第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p>
    <w:p>
      <w:pPr>
        <w:pStyle w:val="BodyText"/>
        <w:spacing w:line="458" w:lineRule="auto" w:before="43"/>
        <w:ind w:right="1133"/>
        <w:jc w:val="both"/>
      </w:pPr>
      <w:r>
        <w:rPr>
          <w:spacing w:val="-2"/>
        </w:rPr>
        <w:t>（财会〔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7</w:t>
      </w:r>
      <w:r>
        <w:rPr>
          <w:spacing w:val="-2"/>
        </w:rPr>
        <w:t>号）、《企业会计准则第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w:t>
      </w:r>
      <w:r>
        <w:rPr>
          <w:spacing w:val="-2"/>
        </w:rPr>
        <w:t>号）、《企业会计准则第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w:t>
      </w:r>
      <w:r>
        <w:rPr>
          <w:spacing w:val="-66"/>
        </w:rPr>
        <w:t> </w:t>
      </w:r>
      <w:r>
        <w:rPr/>
        <w:t>会计》（财会〔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t>号）等金融工具相关会计准则 </w:t>
      </w:r>
      <w:r>
        <w:rPr>
          <w:spacing w:val="-2"/>
        </w:rPr>
        <w:t>的规定对会计政策进行相应变更，本次会计政策变更涉及的项目包括对新金融工具准则所规定的金融资产的分类、计量及列</w:t>
      </w:r>
      <w:r>
        <w:rPr>
          <w:spacing w:val="-64"/>
        </w:rPr>
        <w:t> </w:t>
      </w:r>
      <w:r>
        <w:rPr>
          <w:spacing w:val="-64"/>
        </w:rPr>
      </w:r>
      <w:r>
        <w:rPr/>
        <w:t>报等。</w:t>
      </w:r>
    </w:p>
    <w:p>
      <w:pPr>
        <w:pStyle w:val="BodyText"/>
        <w:spacing w:line="477" w:lineRule="auto" w:before="68"/>
        <w:ind w:right="1129" w:firstLine="360"/>
        <w:jc w:val="left"/>
      </w:pPr>
      <w:r>
        <w:rPr>
          <w:spacing w:val="-2"/>
        </w:rPr>
        <w:t>根据相关新旧准则衔接规定，对可比期间信息不予调整，首次执行日执行新准则与原准则的差异追溯调整本报告期期初</w:t>
      </w:r>
      <w:r>
        <w:rPr/>
        <w:t> 留存收益或其他综合收益。</w:t>
      </w:r>
    </w:p>
    <w:p>
      <w:pPr>
        <w:pStyle w:val="BodyText"/>
        <w:spacing w:line="240" w:lineRule="auto" w:before="54"/>
        <w:ind w:left="513" w:right="1133"/>
        <w:jc w:val="left"/>
      </w:pPr>
      <w:r>
        <w:rPr>
          <w:rFonts w:ascii="Times New Roman" w:hAnsi="Times New Roman" w:cs="Times New Roman" w:eastAsia="Times New Roman" w:hint="default"/>
        </w:rPr>
        <w:t>(1)</w:t>
      </w:r>
      <w:r>
        <w:rPr/>
        <w:t>新金融工具准则改变了金融资产的分类和计量方式，确定了三个主要的计量类别：摊余成本；以公允价值计量且其</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0"/>
        <w:jc w:val="both"/>
      </w:pPr>
      <w:r>
        <w:rPr>
          <w:spacing w:val="-2"/>
        </w:rPr>
        <w:t>变动计入其他综合收益；以公允价值计量且其变动计入当期损益。公司考虑自身业务模式，以及金融资产的合同现金流特征</w:t>
      </w:r>
      <w:r>
        <w:rPr>
          <w:spacing w:val="-63"/>
        </w:rPr>
        <w:t> </w:t>
      </w:r>
      <w:r>
        <w:rPr>
          <w:spacing w:val="-63"/>
        </w:rPr>
      </w:r>
      <w:r>
        <w:rPr>
          <w:spacing w:val="-2"/>
        </w:rPr>
        <w:t>进行上述分类。权益类投资需按公允价值计量且其变动计入当期损益，但在初始确认时可选择按公允价值计量且其变动计入</w:t>
      </w:r>
      <w:r>
        <w:rPr>
          <w:spacing w:val="-64"/>
        </w:rPr>
        <w:t> </w:t>
      </w:r>
      <w:r>
        <w:rPr>
          <w:spacing w:val="-64"/>
        </w:rPr>
      </w:r>
      <w:r>
        <w:rPr/>
        <w:t>其他综合收益</w:t>
      </w:r>
      <w:r>
        <w:rPr>
          <w:rFonts w:ascii="Times New Roman" w:hAnsi="Times New Roman" w:cs="Times New Roman" w:eastAsia="Times New Roman" w:hint="default"/>
        </w:rPr>
        <w:t>(</w:t>
      </w:r>
      <w:r>
        <w:rPr/>
        <w:t>处置时的利得或损失不能回转到损益，但股利收入计入当期损益</w:t>
      </w:r>
      <w:r>
        <w:rPr>
          <w:rFonts w:ascii="Times New Roman" w:hAnsi="Times New Roman" w:cs="Times New Roman" w:eastAsia="Times New Roman" w:hint="default"/>
        </w:rPr>
        <w:t>)</w:t>
      </w:r>
      <w:r>
        <w:rPr/>
        <w:t>，且该选择不可撤销。</w:t>
      </w:r>
    </w:p>
    <w:p>
      <w:pPr>
        <w:pStyle w:val="BodyText"/>
        <w:spacing w:line="451" w:lineRule="auto" w:before="21"/>
        <w:ind w:right="1133" w:firstLine="360"/>
        <w:jc w:val="left"/>
      </w:pPr>
      <w:r>
        <w:rPr>
          <w:rFonts w:ascii="Times New Roman" w:hAnsi="Times New Roman" w:cs="Times New Roman" w:eastAsia="Times New Roman" w:hint="default"/>
          <w:spacing w:val="-2"/>
          <w:w w:val="100"/>
        </w:rPr>
        <w:t>(2)</w:t>
      </w:r>
      <w:r>
        <w:rPr>
          <w:spacing w:val="-2"/>
          <w:w w:val="100"/>
        </w:rPr>
        <w:t>新金融工具准则要求金融资产减值计量由</w:t>
      </w:r>
      <w:r>
        <w:rPr>
          <w:rFonts w:ascii="Times New Roman" w:hAnsi="Times New Roman" w:cs="Times New Roman" w:eastAsia="Times New Roman" w:hint="default"/>
          <w:spacing w:val="-2"/>
          <w:w w:val="100"/>
        </w:rPr>
        <w:t>“</w:t>
      </w:r>
      <w:r>
        <w:rPr>
          <w:spacing w:val="-2"/>
          <w:w w:val="100"/>
        </w:rPr>
        <w:t>已发生损失模型</w:t>
      </w:r>
      <w:r>
        <w:rPr>
          <w:rFonts w:ascii="Times New Roman" w:hAnsi="Times New Roman" w:cs="Times New Roman" w:eastAsia="Times New Roman" w:hint="default"/>
          <w:spacing w:val="-2"/>
          <w:w w:val="100"/>
        </w:rPr>
        <w:t>”</w:t>
      </w:r>
      <w:r>
        <w:rPr>
          <w:spacing w:val="-2"/>
          <w:w w:val="100"/>
        </w:rPr>
        <w:t>改为</w:t>
      </w:r>
      <w:r>
        <w:rPr>
          <w:rFonts w:ascii="Times New Roman" w:hAnsi="Times New Roman" w:cs="Times New Roman" w:eastAsia="Times New Roman" w:hint="default"/>
          <w:spacing w:val="-2"/>
          <w:w w:val="100"/>
        </w:rPr>
        <w:t>“</w:t>
      </w:r>
      <w:r>
        <w:rPr>
          <w:spacing w:val="-2"/>
          <w:w w:val="100"/>
        </w:rPr>
        <w:t>预期信用损失模型</w:t>
      </w:r>
      <w:r>
        <w:rPr>
          <w:rFonts w:ascii="Times New Roman" w:hAnsi="Times New Roman" w:cs="Times New Roman" w:eastAsia="Times New Roman" w:hint="default"/>
          <w:spacing w:val="-2"/>
          <w:w w:val="100"/>
        </w:rPr>
        <w:t>”</w:t>
      </w:r>
      <w:r>
        <w:rPr>
          <w:spacing w:val="-2"/>
          <w:w w:val="100"/>
        </w:rPr>
        <w:t>，适用于以摊余成本计量的金融</w:t>
      </w:r>
      <w:r>
        <w:rPr/>
        <w:t> 资产、以公允价值计量且其变动计入其他综合收益的金融资产、租赁应收款。</w:t>
      </w:r>
    </w:p>
    <w:p>
      <w:pPr>
        <w:pStyle w:val="BodyText"/>
        <w:spacing w:line="451" w:lineRule="auto" w:before="74"/>
        <w:ind w:right="1129" w:firstLine="360"/>
        <w:jc w:val="left"/>
      </w:pPr>
      <w:r>
        <w:rPr>
          <w:rFonts w:ascii="Times New Roman" w:hAnsi="Times New Roman" w:cs="Times New Roman" w:eastAsia="Times New Roman" w:hint="default"/>
        </w:rPr>
        <w:t>(3)</w:t>
      </w:r>
      <w:r>
        <w:rPr/>
        <w:t>公司持有的某些理财产品、信托产品、股权收益权及资产管理计划等，其收益取决于标的资产的收益率，原分类为</w:t>
      </w:r>
      <w:r>
        <w:rPr>
          <w:w w:val="99"/>
        </w:rPr>
        <w:t> </w:t>
      </w:r>
      <w:r>
        <w:rPr>
          <w:spacing w:val="-2"/>
        </w:rPr>
        <w:t>可供出售金融资产。由于其合同现金流量不仅仅为对本金和以未偿付本金为基础的利息的支付，本公司在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日及以</w:t>
      </w:r>
      <w:r>
        <w:rPr>
          <w:spacing w:val="-60"/>
        </w:rPr>
        <w:t> </w:t>
      </w:r>
      <w:r>
        <w:rPr>
          <w:spacing w:val="-60"/>
        </w:rPr>
      </w:r>
      <w:r>
        <w:rPr/>
        <w:t>后将其重分类为以公允价值计量且其变动计入当期损益的金融资产，列报为交易性金融资产。</w:t>
      </w:r>
    </w:p>
    <w:p>
      <w:pPr>
        <w:pStyle w:val="BodyText"/>
        <w:spacing w:line="451" w:lineRule="auto" w:before="74"/>
        <w:ind w:right="1129" w:firstLine="360"/>
        <w:jc w:val="left"/>
      </w:pPr>
      <w:r>
        <w:rPr>
          <w:rFonts w:ascii="Times New Roman" w:hAnsi="Times New Roman" w:cs="Times New Roman" w:eastAsia="Times New Roman" w:hint="default"/>
        </w:rPr>
        <w:t>(4)</w:t>
      </w:r>
      <w:r>
        <w:rPr/>
        <w:t>公司在日常资金管理中将部分银行承兑汇票背书或贴现，既以收取合同现金流量又以出售金融资产为目标，因此，</w:t>
      </w:r>
      <w:r>
        <w:rPr>
          <w:w w:val="99"/>
        </w:rPr>
        <w:t> </w:t>
      </w:r>
      <w:r>
        <w:rPr>
          <w:spacing w:val="-2"/>
          <w:w w:val="99"/>
        </w:rPr>
        <w:t>本公司在</w:t>
      </w:r>
      <w:r>
        <w:rPr>
          <w:rFonts w:ascii="Times New Roman" w:hAnsi="Times New Roman" w:cs="Times New Roman" w:eastAsia="Times New Roman" w:hint="default"/>
          <w:spacing w:val="-2"/>
          <w:w w:val="99"/>
        </w:rPr>
        <w:t>2019</w:t>
      </w:r>
      <w:r>
        <w:rPr>
          <w:spacing w:val="-2"/>
          <w:w w:val="99"/>
        </w:rPr>
        <w:t>年</w:t>
      </w:r>
      <w:r>
        <w:rPr>
          <w:rFonts w:ascii="Times New Roman" w:hAnsi="Times New Roman" w:cs="Times New Roman" w:eastAsia="Times New Roman" w:hint="default"/>
          <w:spacing w:val="-2"/>
          <w:w w:val="99"/>
        </w:rPr>
        <w:t>1</w:t>
      </w:r>
      <w:r>
        <w:rPr>
          <w:spacing w:val="-2"/>
          <w:w w:val="99"/>
        </w:rPr>
        <w:t>月</w:t>
      </w:r>
      <w:r>
        <w:rPr>
          <w:rFonts w:ascii="Times New Roman" w:hAnsi="Times New Roman" w:cs="Times New Roman" w:eastAsia="Times New Roman" w:hint="default"/>
          <w:spacing w:val="-2"/>
          <w:w w:val="99"/>
        </w:rPr>
        <w:t>1</w:t>
      </w:r>
      <w:r>
        <w:rPr>
          <w:spacing w:val="-2"/>
          <w:w w:val="99"/>
        </w:rPr>
        <w:t>日及以后将该等应收票据重分类为以公允价值计量且其变动计入其他综合收益金融资产类别，列报为应</w:t>
      </w:r>
      <w:r>
        <w:rPr>
          <w:spacing w:val="-61"/>
          <w:w w:val="99"/>
        </w:rPr>
        <w:t> </w:t>
      </w:r>
      <w:r>
        <w:rPr>
          <w:spacing w:val="-61"/>
          <w:w w:val="99"/>
        </w:rPr>
      </w:r>
      <w:r>
        <w:rPr/>
        <w:t>收款项融资。</w:t>
      </w:r>
    </w:p>
    <w:p>
      <w:pPr>
        <w:pStyle w:val="BodyText"/>
        <w:spacing w:line="463" w:lineRule="auto" w:before="74"/>
        <w:ind w:right="1131" w:firstLine="360"/>
        <w:jc w:val="both"/>
      </w:pPr>
      <w:r>
        <w:rPr>
          <w:spacing w:val="-2"/>
        </w:rPr>
        <w:t>首次执行日前后金融资产分类和计量对比情况及首次执行日，原金融资产账面价值调整为按照新金融工具准则的规定进</w:t>
      </w:r>
      <w:r>
        <w:rPr/>
        <w:t> </w:t>
      </w:r>
      <w:r>
        <w:rPr>
          <w:spacing w:val="-2"/>
        </w:rPr>
        <w:t>行分类和计量的新金融资产账面价值的调节情况、金融资产减值准备调节情况，对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日留存收益和其他综合收益的</w:t>
      </w:r>
      <w:r>
        <w:rPr>
          <w:spacing w:val="-60"/>
        </w:rPr>
        <w:t> </w:t>
      </w:r>
      <w:r>
        <w:rPr/>
        <w:t>影响详见</w:t>
      </w:r>
      <w:r>
        <w:rPr>
          <w:rFonts w:ascii="Times New Roman" w:hAnsi="Times New Roman" w:cs="Times New Roman" w:eastAsia="Times New Roman" w:hint="default"/>
        </w:rPr>
        <w:t>“</w:t>
      </w:r>
      <w:r>
        <w:rPr/>
        <w:t>第十二节</w:t>
      </w:r>
      <w:r>
        <w:rPr>
          <w:spacing w:val="-3"/>
        </w:rPr>
        <w:t> </w:t>
      </w:r>
      <w:r>
        <w:rPr/>
        <w:t>财务报告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五、重要会计政策和会计估计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“34</w:t>
      </w:r>
      <w:r>
        <w:rPr/>
        <w:t>、重要会计政策和会计估计变更</w:t>
      </w:r>
      <w:r>
        <w:rPr>
          <w:rFonts w:ascii="Times New Roman" w:hAnsi="Times New Roman" w:cs="Times New Roman" w:eastAsia="Times New Roman" w:hint="default"/>
        </w:rPr>
        <w:t>”</w:t>
      </w:r>
      <w:r>
        <w:rPr/>
        <w:t>部分内容。</w:t>
      </w:r>
    </w:p>
    <w:p>
      <w:pPr>
        <w:pStyle w:val="BodyText"/>
        <w:spacing w:line="451" w:lineRule="auto" w:before="34"/>
        <w:ind w:right="1132" w:firstLine="36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日召开第五届董事会第三次会议、第五届监事会第三次会议，审议通过了《关于公司会计政策变 更的议案》，本次公司会计政策变更是根据财政部于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日发布的《关于修订印发</w:t>
      </w:r>
      <w:r>
        <w:rPr>
          <w:rFonts w:ascii="Times New Roman" w:hAnsi="Times New Roman" w:cs="Times New Roman" w:eastAsia="Times New Roman" w:hint="default"/>
        </w:rPr>
        <w:t>2019</w:t>
      </w:r>
      <w:r>
        <w:rPr/>
        <w:t>年度一般企业财务报表格式</w:t>
      </w:r>
      <w:r>
        <w:rPr>
          <w:spacing w:val="-87"/>
        </w:rPr>
        <w:t> </w:t>
      </w:r>
      <w:r>
        <w:rPr>
          <w:spacing w:val="-2"/>
        </w:rPr>
        <w:t>的通知》（财会〔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号）（以下简称财会〔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号）要求，执行企业会计准则的非金融企业按照企业会计准则和财</w:t>
      </w:r>
      <w:r>
        <w:rPr>
          <w:spacing w:val="-62"/>
        </w:rPr>
        <w:t> </w:t>
      </w:r>
      <w:r>
        <w:rPr>
          <w:spacing w:val="-62"/>
        </w:rPr>
      </w:r>
      <w:r>
        <w:rPr/>
        <w:t>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号的要求编制财务报表，本次会计政策变更采用追溯调整法，</w:t>
      </w:r>
      <w:r>
        <w:rPr>
          <w:rFonts w:ascii="Times New Roman" w:hAnsi="Times New Roman" w:cs="Times New Roman" w:eastAsia="Times New Roman" w:hint="default"/>
        </w:rPr>
        <w:t>2018</w:t>
      </w:r>
      <w:r>
        <w:rPr/>
        <w:t>年度财务报表受重要影响的报表项目和金额 如下：</w:t>
      </w:r>
    </w:p>
    <w:tbl>
      <w:tblPr>
        <w:tblW w:w="0" w:type="auto"/>
        <w:jc w:val="left"/>
        <w:tblInd w:w="136" w:type="dxa"/>
        <w:tblLayout w:type="fixed"/>
        <w:tblCellMar>
          <w:top w:w="0" w:type="dxa"/>
          <w:left w:w="0" w:type="dxa"/>
          <w:bottom w:w="0" w:type="dxa"/>
          <w:right w:w="0" w:type="dxa"/>
        </w:tblCellMar>
        <w:tblLook w:val="01E0"/>
      </w:tblPr>
      <w:tblGrid>
        <w:gridCol w:w="2571"/>
        <w:gridCol w:w="2751"/>
        <w:gridCol w:w="2066"/>
        <w:gridCol w:w="2271"/>
      </w:tblGrid>
      <w:tr>
        <w:trPr>
          <w:trHeight w:val="348" w:hRule="exact"/>
        </w:trPr>
        <w:tc>
          <w:tcPr>
            <w:tcW w:w="5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603"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113"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46" w:hRule="exact"/>
        </w:trPr>
        <w:tc>
          <w:tcPr>
            <w:tcW w:w="2571" w:type="dxa"/>
            <w:vMerge w:val="restart"/>
            <w:tcBorders>
              <w:top w:val="single" w:sz="6" w:space="0" w:color="000000"/>
              <w:left w:val="single" w:sz="6" w:space="0" w:color="000000"/>
              <w:right w:val="single" w:sz="6" w:space="0" w:color="000000"/>
            </w:tcBorders>
          </w:tcPr>
          <w:p>
            <w:pPr>
              <w:pStyle w:val="TableParagraph"/>
              <w:spacing w:line="240" w:lineRule="auto" w:before="156"/>
              <w:ind w:left="33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75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31" w:right="0"/>
              <w:jc w:val="left"/>
              <w:rPr>
                <w:rFonts w:ascii="Times New Roman" w:hAnsi="Times New Roman" w:cs="Times New Roman" w:eastAsia="Times New Roman" w:hint="default"/>
                <w:sz w:val="21"/>
                <w:szCs w:val="21"/>
              </w:rPr>
            </w:pPr>
            <w:r>
              <w:rPr>
                <w:rFonts w:ascii="Times New Roman"/>
                <w:sz w:val="21"/>
              </w:rPr>
              <w:t>1,369,360,911.98</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
              <w:jc w:val="right"/>
              <w:rPr>
                <w:rFonts w:ascii="Times New Roman" w:hAnsi="Times New Roman" w:cs="Times New Roman" w:eastAsia="Times New Roman" w:hint="default"/>
                <w:sz w:val="21"/>
                <w:szCs w:val="21"/>
              </w:rPr>
            </w:pPr>
            <w:r>
              <w:rPr>
                <w:rFonts w:ascii="Times New Roman"/>
                <w:spacing w:val="-1"/>
                <w:sz w:val="21"/>
              </w:rPr>
              <w:t>47,345,662.53</w:t>
            </w:r>
          </w:p>
        </w:tc>
      </w:tr>
      <w:tr>
        <w:trPr>
          <w:trHeight w:val="348" w:hRule="exact"/>
        </w:trPr>
        <w:tc>
          <w:tcPr>
            <w:tcW w:w="2571" w:type="dxa"/>
            <w:vMerge/>
            <w:tcBorders>
              <w:left w:val="single" w:sz="6" w:space="0" w:color="000000"/>
              <w:bottom w:val="single" w:sz="6" w:space="0" w:color="000000"/>
              <w:right w:val="single" w:sz="6" w:space="0" w:color="000000"/>
            </w:tcBorders>
          </w:tcPr>
          <w:p>
            <w:pPr/>
          </w:p>
        </w:tc>
        <w:tc>
          <w:tcPr>
            <w:tcW w:w="2751" w:type="dxa"/>
            <w:vMerge/>
            <w:tcBorders>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
              <w:jc w:val="right"/>
              <w:rPr>
                <w:rFonts w:ascii="Times New Roman" w:hAnsi="Times New Roman" w:cs="Times New Roman" w:eastAsia="Times New Roman" w:hint="default"/>
                <w:sz w:val="21"/>
                <w:szCs w:val="21"/>
              </w:rPr>
            </w:pPr>
            <w:r>
              <w:rPr>
                <w:rFonts w:ascii="Times New Roman"/>
                <w:spacing w:val="-1"/>
                <w:sz w:val="21"/>
              </w:rPr>
              <w:t>1,322,015,249.45</w:t>
            </w:r>
          </w:p>
        </w:tc>
      </w:tr>
      <w:tr>
        <w:trPr>
          <w:trHeight w:val="346" w:hRule="exact"/>
        </w:trPr>
        <w:tc>
          <w:tcPr>
            <w:tcW w:w="2571" w:type="dxa"/>
            <w:vMerge w:val="restart"/>
            <w:tcBorders>
              <w:top w:val="single" w:sz="6" w:space="0" w:color="000000"/>
              <w:left w:val="single" w:sz="6" w:space="0" w:color="000000"/>
              <w:right w:val="single" w:sz="6" w:space="0" w:color="000000"/>
            </w:tcBorders>
          </w:tcPr>
          <w:p>
            <w:pPr>
              <w:pStyle w:val="TableParagraph"/>
              <w:spacing w:line="240" w:lineRule="auto" w:before="157"/>
              <w:ind w:left="33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75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11" w:right="0"/>
              <w:jc w:val="left"/>
              <w:rPr>
                <w:rFonts w:ascii="Times New Roman" w:hAnsi="Times New Roman" w:cs="Times New Roman" w:eastAsia="Times New Roman" w:hint="default"/>
                <w:sz w:val="21"/>
                <w:szCs w:val="21"/>
              </w:rPr>
            </w:pPr>
            <w:r>
              <w:rPr>
                <w:rFonts w:ascii="Times New Roman"/>
                <w:sz w:val="21"/>
              </w:rPr>
              <w:t>712,738,436.07</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
              <w:jc w:val="right"/>
              <w:rPr>
                <w:rFonts w:ascii="Times New Roman" w:hAnsi="Times New Roman" w:cs="Times New Roman" w:eastAsia="Times New Roman" w:hint="default"/>
                <w:sz w:val="21"/>
                <w:szCs w:val="21"/>
              </w:rPr>
            </w:pPr>
            <w:r>
              <w:rPr>
                <w:rFonts w:ascii="Times New Roman"/>
                <w:spacing w:val="-1"/>
                <w:sz w:val="21"/>
              </w:rPr>
              <w:t>45,174,031.80</w:t>
            </w:r>
          </w:p>
        </w:tc>
      </w:tr>
      <w:tr>
        <w:trPr>
          <w:trHeight w:val="348" w:hRule="exact"/>
        </w:trPr>
        <w:tc>
          <w:tcPr>
            <w:tcW w:w="2571" w:type="dxa"/>
            <w:vMerge/>
            <w:tcBorders>
              <w:left w:val="single" w:sz="6" w:space="0" w:color="000000"/>
              <w:bottom w:val="single" w:sz="6" w:space="0" w:color="000000"/>
              <w:right w:val="single" w:sz="6" w:space="0" w:color="000000"/>
            </w:tcBorders>
          </w:tcPr>
          <w:p>
            <w:pPr/>
          </w:p>
        </w:tc>
        <w:tc>
          <w:tcPr>
            <w:tcW w:w="2751" w:type="dxa"/>
            <w:vMerge/>
            <w:tcBorders>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
              <w:jc w:val="right"/>
              <w:rPr>
                <w:rFonts w:ascii="Times New Roman" w:hAnsi="Times New Roman" w:cs="Times New Roman" w:eastAsia="Times New Roman" w:hint="default"/>
                <w:sz w:val="21"/>
                <w:szCs w:val="21"/>
              </w:rPr>
            </w:pPr>
            <w:r>
              <w:rPr>
                <w:rFonts w:ascii="Times New Roman"/>
                <w:spacing w:val="-1"/>
                <w:sz w:val="21"/>
              </w:rPr>
              <w:t>667,564,404.27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26"/>
        <w:ind w:right="113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3" w:right="1133"/>
        <w:jc w:val="left"/>
      </w:pPr>
      <w:r>
        <w:rPr/>
        <w:t>公司控股子公司宏达通信新设全资子公司东莞宏腾数字科技有限公司，注册资本 </w:t>
      </w:r>
      <w:r>
        <w:rPr>
          <w:rFonts w:ascii="Times New Roman" w:hAnsi="Times New Roman" w:cs="Times New Roman" w:eastAsia="Times New Roman" w:hint="default"/>
        </w:rPr>
        <w:t>1,000</w:t>
      </w:r>
      <w:r>
        <w:rPr>
          <w:rFonts w:ascii="Times New Roman" w:hAnsi="Times New Roman" w:cs="Times New Roman" w:eastAsia="Times New Roman" w:hint="default"/>
          <w:spacing w:val="44"/>
        </w:rPr>
        <w:t> </w:t>
      </w:r>
      <w:r>
        <w:rPr/>
        <w:t>万，报告期内尚未实缴。</w:t>
      </w: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李志光、陈丽敏</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李志光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年、陈丽敏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1133"/>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412" w:lineRule="auto" w:before="41"/>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本年度公司因</w:t>
      </w:r>
      <w:r>
        <w:rPr>
          <w:rFonts w:ascii="Times New Roman" w:hAnsi="Times New Roman" w:cs="Times New Roman" w:eastAsia="Times New Roman" w:hint="default"/>
          <w:spacing w:val="-2"/>
        </w:rPr>
        <w:t>2018</w:t>
      </w:r>
      <w:r>
        <w:rPr>
          <w:spacing w:val="-2"/>
        </w:rPr>
        <w:t>年度财报审计聘请了中勤万信会计师事务所（特殊普通合伙）为审计机构，对公司及公司合并报表范</w:t>
      </w:r>
    </w:p>
    <w:p>
      <w:pPr>
        <w:pStyle w:val="BodyText"/>
        <w:spacing w:line="451" w:lineRule="auto" w:before="75"/>
        <w:ind w:right="1133"/>
        <w:jc w:val="left"/>
      </w:pPr>
      <w:r>
        <w:rPr>
          <w:spacing w:val="-2"/>
        </w:rPr>
        <w:t>围内下属各控股子公司的</w:t>
      </w:r>
      <w:r>
        <w:rPr>
          <w:rFonts w:ascii="Times New Roman" w:hAnsi="Times New Roman" w:cs="Times New Roman" w:eastAsia="Times New Roman" w:hint="default"/>
          <w:spacing w:val="-2"/>
        </w:rPr>
        <w:t>2018</w:t>
      </w:r>
      <w:r>
        <w:rPr>
          <w:spacing w:val="-2"/>
        </w:rPr>
        <w:t>年度财报进行审计，合计发生审计费用总金额为</w:t>
      </w:r>
      <w:r>
        <w:rPr>
          <w:rFonts w:ascii="Times New Roman" w:hAnsi="Times New Roman" w:cs="Times New Roman" w:eastAsia="Times New Roman" w:hint="default"/>
          <w:spacing w:val="-2"/>
        </w:rPr>
        <w:t>100.00</w:t>
      </w:r>
      <w:r>
        <w:rPr>
          <w:spacing w:val="-2"/>
        </w:rPr>
        <w:t>万元，其中</w:t>
      </w:r>
      <w:r>
        <w:rPr>
          <w:rFonts w:ascii="Times New Roman" w:hAnsi="Times New Roman" w:cs="Times New Roman" w:eastAsia="Times New Roman" w:hint="default"/>
          <w:spacing w:val="-2"/>
        </w:rPr>
        <w:t>82.50</w:t>
      </w:r>
      <w:r>
        <w:rPr>
          <w:spacing w:val="-2"/>
        </w:rPr>
        <w:t>万元为公司主体审计费</w:t>
      </w:r>
      <w:r>
        <w:rPr>
          <w:spacing w:val="-52"/>
        </w:rPr>
        <w:t> </w:t>
      </w:r>
      <w:r>
        <w:rPr>
          <w:spacing w:val="-52"/>
        </w:rPr>
      </w:r>
      <w:r>
        <w:rPr/>
        <w:t>用，剩余</w:t>
      </w:r>
      <w:r>
        <w:rPr>
          <w:rFonts w:ascii="Times New Roman" w:hAnsi="Times New Roman" w:cs="Times New Roman" w:eastAsia="Times New Roman" w:hint="default"/>
        </w:rPr>
        <w:t>17.50</w:t>
      </w:r>
      <w:r>
        <w:rPr/>
        <w:t>万元为公司下属各控股子公司审计费用，报告期内公司已支付前述审计费用。</w:t>
      </w:r>
    </w:p>
    <w:p>
      <w:pPr>
        <w:spacing w:line="240" w:lineRule="auto" w:before="9"/>
        <w:rPr>
          <w:rFonts w:ascii="宋体" w:hAnsi="宋体" w:cs="宋体" w:eastAsia="宋体" w:hint="default"/>
          <w:sz w:val="16"/>
          <w:szCs w:val="16"/>
        </w:rPr>
      </w:pPr>
    </w:p>
    <w:p>
      <w:pPr>
        <w:pStyle w:val="Heading2"/>
        <w:spacing w:line="240" w:lineRule="auto"/>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十二、重大诉讼、仲裁事项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2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上海华东电脑股份 有限公司因工程剩 余结算款纠纷起诉 公司子公司云硕科 技</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16,012.01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已调解结 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z w:val="18"/>
                <w:szCs w:val="18"/>
              </w:rPr>
              <w:t>本案双方已经法 院调解达成和解 协议，由公司支 付华东电脑工程 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12,406.71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及资金占用费。 不会对公司利润</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已按调解结果 执行完毕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在巨潮资讯 网披露的 </w:t>
            </w:r>
            <w:r>
              <w:rPr>
                <w:rFonts w:ascii="Times New Roman" w:hAnsi="Times New Roman" w:cs="Times New Roman" w:eastAsia="Times New Roman" w:hint="default"/>
                <w:sz w:val="18"/>
                <w:szCs w:val="18"/>
              </w:rPr>
              <w:t>2019-119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pStyle w:val="TableParagraph"/>
              <w:spacing w:line="319" w:lineRule="auto"/>
              <w:ind w:left="23" w:right="131"/>
              <w:jc w:val="both"/>
              <w:rPr>
                <w:rFonts w:ascii="宋体" w:hAnsi="宋体" w:cs="宋体" w:eastAsia="宋体" w:hint="default"/>
                <w:sz w:val="18"/>
                <w:szCs w:val="18"/>
              </w:rPr>
            </w:pPr>
            <w:r>
              <w:rPr>
                <w:rFonts w:ascii="宋体" w:hAnsi="宋体" w:cs="宋体" w:eastAsia="宋体" w:hint="default"/>
                <w:sz w:val="18"/>
                <w:szCs w:val="18"/>
              </w:rPr>
              <w:t>《关于子公 司重大诉讼 进展公告关 于子公司诉 讼事项调解</w:t>
            </w:r>
          </w:p>
        </w:tc>
      </w:tr>
    </w:tbl>
    <w:p>
      <w:pPr>
        <w:spacing w:after="0" w:line="319"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363"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产生重大影响。</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49"/>
              <w:jc w:val="left"/>
              <w:rPr>
                <w:rFonts w:ascii="宋体" w:hAnsi="宋体" w:cs="宋体" w:eastAsia="宋体" w:hint="default"/>
                <w:sz w:val="18"/>
                <w:szCs w:val="18"/>
              </w:rPr>
            </w:pPr>
            <w:r>
              <w:rPr>
                <w:rFonts w:ascii="宋体" w:hAnsi="宋体" w:cs="宋体" w:eastAsia="宋体" w:hint="default"/>
                <w:sz w:val="18"/>
                <w:szCs w:val="18"/>
              </w:rPr>
              <w:t>结果的公告》</w:t>
            </w:r>
          </w:p>
        </w:tc>
      </w:tr>
      <w:tr>
        <w:trPr>
          <w:trHeight w:val="227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月，公</w:t>
            </w:r>
            <w:r>
              <w:rPr>
                <w:rFonts w:ascii="宋体" w:hAnsi="宋体" w:cs="宋体" w:eastAsia="宋体" w:hint="default"/>
                <w:sz w:val="18"/>
                <w:szCs w:val="18"/>
              </w:rPr>
              <w:t> 司起诉东莞东海龙 环保科技有限公 司、东莞豪川光电 科技有限公司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639.73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二审判决， 追加执行</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3" w:right="29"/>
              <w:jc w:val="both"/>
              <w:rPr>
                <w:rFonts w:ascii="宋体" w:hAnsi="宋体" w:cs="宋体" w:eastAsia="宋体" w:hint="default"/>
                <w:sz w:val="18"/>
                <w:szCs w:val="18"/>
              </w:rPr>
            </w:pPr>
            <w:r>
              <w:rPr>
                <w:rFonts w:ascii="宋体" w:hAnsi="宋体" w:cs="宋体" w:eastAsia="宋体" w:hint="default"/>
                <w:sz w:val="18"/>
                <w:szCs w:val="18"/>
              </w:rPr>
              <w:t>判决被告及其股 东向公司返还款 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466.57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 利息费等。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法院强制执行 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在巨潮资讯 网披露的 </w:t>
            </w:r>
            <w:r>
              <w:rPr>
                <w:rFonts w:ascii="Times New Roman" w:hAnsi="Times New Roman" w:cs="Times New Roman" w:eastAsia="Times New Roman" w:hint="default"/>
                <w:sz w:val="18"/>
                <w:szCs w:val="18"/>
              </w:rPr>
              <w:t>2016-062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《公司关于 控股子公司 重大诉讼公 告》</w:t>
            </w:r>
          </w:p>
        </w:tc>
      </w:tr>
      <w:tr>
        <w:trPr>
          <w:trHeight w:val="321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7"/>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月，公</w:t>
            </w:r>
            <w:r>
              <w:rPr>
                <w:rFonts w:ascii="宋体" w:hAnsi="宋体" w:cs="宋体" w:eastAsia="宋体" w:hint="default"/>
                <w:sz w:val="18"/>
                <w:szCs w:val="18"/>
              </w:rPr>
              <w:t> 司因合同纠纷起诉 南京理工速必得科 技有限公司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2,012.14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已调解结 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本案双方已经法 院调解达成和解 协议，由被告确 认并分七期支付 所欠公司的款项 </w:t>
            </w:r>
            <w:r>
              <w:rPr>
                <w:rFonts w:ascii="Times New Roman" w:hAnsi="Times New Roman" w:cs="Times New Roman" w:eastAsia="Times New Roman" w:hint="default"/>
                <w:sz w:val="18"/>
                <w:szCs w:val="18"/>
              </w:rPr>
              <w:t>1,908.33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报告期，公司已 单项预计提坏账 准备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因被告未按和 解协议履行义 </w:t>
            </w:r>
            <w:r>
              <w:rPr>
                <w:rFonts w:ascii="宋体" w:hAnsi="宋体" w:cs="宋体" w:eastAsia="宋体" w:hint="default"/>
                <w:spacing w:val="-10"/>
                <w:sz w:val="18"/>
                <w:szCs w:val="18"/>
              </w:rPr>
              <w:t>务，法院已重新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强制执行，并查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封其相关房产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13"/>
              <w:jc w:val="left"/>
              <w:rPr>
                <w:rFonts w:ascii="宋体" w:hAnsi="宋体" w:cs="宋体" w:eastAsia="宋体" w:hint="default"/>
                <w:sz w:val="18"/>
                <w:szCs w:val="18"/>
              </w:rPr>
            </w:pPr>
            <w:r>
              <w:rPr>
                <w:rFonts w:ascii="宋体" w:hAnsi="宋体" w:cs="宋体" w:eastAsia="宋体" w:hint="default"/>
                <w:sz w:val="18"/>
                <w:szCs w:val="18"/>
              </w:rPr>
              <w:t>在巨潮资讯 网披露的 </w:t>
            </w: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《公司关于 控股子公司 重大诉讼公 告》</w:t>
            </w:r>
          </w:p>
        </w:tc>
      </w:tr>
      <w:tr>
        <w:trPr>
          <w:trHeight w:val="383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月，晋</w:t>
            </w:r>
            <w:r>
              <w:rPr>
                <w:rFonts w:ascii="宋体" w:hAnsi="宋体" w:cs="宋体" w:eastAsia="宋体" w:hint="default"/>
                <w:sz w:val="18"/>
                <w:szCs w:val="18"/>
              </w:rPr>
              <w:t> 州市月光照明电器 厂诉公司全资子公 司定州市中标节能 技术服务有限公司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907.86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定州中标 不服二审 </w:t>
            </w:r>
            <w:r>
              <w:rPr>
                <w:rFonts w:ascii="宋体" w:hAnsi="宋体" w:cs="宋体" w:eastAsia="宋体" w:hint="default"/>
                <w:spacing w:val="-4"/>
                <w:sz w:val="18"/>
                <w:szCs w:val="18"/>
              </w:rPr>
              <w:t>判决，已提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出再审并 </w:t>
            </w:r>
            <w:r>
              <w:rPr>
                <w:rFonts w:ascii="宋体" w:hAnsi="宋体" w:cs="宋体" w:eastAsia="宋体" w:hint="default"/>
                <w:spacing w:val="-4"/>
                <w:sz w:val="18"/>
                <w:szCs w:val="18"/>
              </w:rPr>
              <w:t>受理，案件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在审理及 调解中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二审判决公司返 还原告材料款</w:t>
            </w:r>
          </w:p>
          <w:p>
            <w:pPr>
              <w:pStyle w:val="TableParagraph"/>
              <w:spacing w:line="314" w:lineRule="auto" w:before="1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907.86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万元及利 息，判决生效， 法院冻结定州中 标的货币资金 </w:t>
            </w: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万元，后因</w:t>
            </w:r>
            <w:r>
              <w:rPr>
                <w:rFonts w:ascii="宋体" w:hAnsi="宋体" w:cs="宋体" w:eastAsia="宋体" w:hint="default"/>
                <w:sz w:val="18"/>
                <w:szCs w:val="18"/>
              </w:rPr>
              <w:t> 法院受理公司再 审申请，已中止 原判决执行，公 司未支付相关款 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32"/>
              <w:jc w:val="left"/>
              <w:rPr>
                <w:rFonts w:ascii="宋体" w:hAnsi="宋体" w:cs="宋体" w:eastAsia="宋体" w:hint="default"/>
                <w:sz w:val="18"/>
                <w:szCs w:val="18"/>
              </w:rPr>
            </w:pPr>
            <w:r>
              <w:rPr>
                <w:rFonts w:ascii="宋体" w:hAnsi="宋体" w:cs="宋体" w:eastAsia="宋体" w:hint="default"/>
                <w:sz w:val="18"/>
                <w:szCs w:val="18"/>
              </w:rPr>
              <w:t>再审已提审并 调解中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在巨潮资讯 网披露的 </w:t>
            </w: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《公司关于 控股子公司 重大诉讼公 告》</w:t>
            </w:r>
          </w:p>
        </w:tc>
      </w:tr>
      <w:tr>
        <w:trPr>
          <w:trHeight w:val="227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9" w:lineRule="auto"/>
              <w:ind w:left="24"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 公司起诉杭州度联 信息技术有限公司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696.31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一审已判 决生效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判决被告公司支 付货款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624.56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元及逾期付款利 息。报告期，公 司单项预计提坏 账准备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已申请强制执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在巨潮资讯 网披露的 </w:t>
            </w: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《公司关于 控股子公司 重大诉讼公 告》</w:t>
            </w:r>
          </w:p>
        </w:tc>
      </w:tr>
      <w:tr>
        <w:trPr>
          <w:trHeight w:val="19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34"/>
              <w:ind w:left="2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公司因合同纠纷起 诉上海友网科技有 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1,301.12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申请财产 保全审理 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公司请求法院依 法判令被告立即 向公司支付欠款 本金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元及利息，并承 担本案诉讼相关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3" w:right="132"/>
              <w:jc w:val="left"/>
              <w:rPr>
                <w:rFonts w:ascii="宋体" w:hAnsi="宋体" w:cs="宋体" w:eastAsia="宋体" w:hint="default"/>
                <w:sz w:val="18"/>
                <w:szCs w:val="18"/>
              </w:rPr>
            </w:pPr>
            <w:r>
              <w:rPr>
                <w:rFonts w:ascii="宋体" w:hAnsi="宋体" w:cs="宋体" w:eastAsia="宋体" w:hint="default"/>
                <w:sz w:val="18"/>
                <w:szCs w:val="18"/>
              </w:rPr>
              <w:t>已冻结被告部 分资金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363"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 公司因合同纠纷起 诉湖南昭山未名生 物医学有限公司、 湖南北大未名生物 科技有限公司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4,000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85"/>
              <w:jc w:val="left"/>
              <w:rPr>
                <w:rFonts w:ascii="宋体" w:hAnsi="宋体" w:cs="宋体" w:eastAsia="宋体" w:hint="default"/>
                <w:sz w:val="18"/>
                <w:szCs w:val="18"/>
              </w:rPr>
            </w:pPr>
            <w:r>
              <w:rPr>
                <w:rFonts w:ascii="宋体" w:hAnsi="宋体" w:cs="宋体" w:eastAsia="宋体" w:hint="default"/>
                <w:sz w:val="18"/>
                <w:szCs w:val="18"/>
              </w:rPr>
              <w:t>一审审理 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公司请求法院依 法判令被告向公 司支付欠款本金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逾期付款利息。 并承担本案诉讼 费用、保全费、 保险费。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法院裁定采取 </w:t>
            </w:r>
            <w:r>
              <w:rPr>
                <w:rFonts w:ascii="宋体" w:hAnsi="宋体" w:cs="宋体" w:eastAsia="宋体" w:hint="default"/>
                <w:spacing w:val="-10"/>
                <w:sz w:val="18"/>
                <w:szCs w:val="18"/>
              </w:rPr>
              <w:t>财产保全，查封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被告名下价值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万元的不 动产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、报告期内发生的</w:t>
            </w:r>
            <w:r>
              <w:rPr>
                <w:rFonts w:ascii="宋体" w:hAnsi="宋体" w:cs="宋体" w:eastAsia="宋体" w:hint="default"/>
                <w:sz w:val="18"/>
                <w:szCs w:val="18"/>
              </w:rPr>
              <w:t> 诉讼，截至本报告 期末尚未了结且未 达到重大诉讼披露 标准的其他诉讼汇 总</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10,156.74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85"/>
              <w:jc w:val="both"/>
              <w:rPr>
                <w:rFonts w:ascii="宋体" w:hAnsi="宋体" w:cs="宋体" w:eastAsia="宋体" w:hint="default"/>
                <w:sz w:val="18"/>
                <w:szCs w:val="18"/>
              </w:rPr>
            </w:pPr>
            <w:r>
              <w:rPr>
                <w:rFonts w:ascii="宋体" w:hAnsi="宋体" w:cs="宋体" w:eastAsia="宋体" w:hint="default"/>
                <w:sz w:val="18"/>
                <w:szCs w:val="18"/>
              </w:rPr>
              <w:t>审理中或 判决结果 执行中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7"/>
              <w:jc w:val="both"/>
              <w:rPr>
                <w:rFonts w:ascii="宋体" w:hAnsi="宋体" w:cs="宋体" w:eastAsia="宋体" w:hint="default"/>
                <w:sz w:val="18"/>
                <w:szCs w:val="18"/>
              </w:rPr>
            </w:pPr>
            <w:r>
              <w:rPr>
                <w:rFonts w:ascii="宋体" w:hAnsi="宋体" w:cs="宋体" w:eastAsia="宋体" w:hint="default"/>
                <w:sz w:val="18"/>
                <w:szCs w:val="18"/>
              </w:rPr>
              <w:t>前述诉讼主要为 买卖合同纠纷， 对公司无重大影 响。</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9"/>
              <w:jc w:val="left"/>
              <w:rPr>
                <w:rFonts w:ascii="宋体" w:hAnsi="宋体" w:cs="宋体" w:eastAsia="宋体" w:hint="default"/>
                <w:sz w:val="18"/>
                <w:szCs w:val="18"/>
              </w:rPr>
            </w:pPr>
            <w:r>
              <w:rPr>
                <w:rFonts w:ascii="宋体" w:hAnsi="宋体" w:cs="宋体" w:eastAsia="宋体" w:hint="default"/>
                <w:spacing w:val="-10"/>
                <w:sz w:val="18"/>
                <w:szCs w:val="18"/>
              </w:rPr>
              <w:t>已立案、审理中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或判决结果执 行中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2838"/>
        <w:gridCol w:w="1274"/>
        <w:gridCol w:w="1136"/>
        <w:gridCol w:w="850"/>
        <w:gridCol w:w="924"/>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深圳市证通电子 股份有限公司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年度业绩预告修正公告、 业绩快报修正较大，未能按规定及 时、准确地履行相关信息披露义务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通报批评</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年度业绩预告修正公告、 业绩快报修正较大，董事长未能恪 尽职守、履行诚信勤勉义务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通报批评</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黄毅</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年度业绩预告修正公告、 业绩快报修正较大，财务总监未能 恪尽职守、履行诚信勤勉义务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通报批评</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整改情况说明</w:t>
      </w:r>
    </w:p>
    <w:p>
      <w:pPr>
        <w:pStyle w:val="BodyText"/>
        <w:spacing w:line="240" w:lineRule="auto" w:before="11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472" w:lineRule="auto"/>
        <w:ind w:right="0"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日，公司收到深圳交易所下发的《关于对深圳市证通电子股份有限公司及相关当事人给予通报批评处分的 </w:t>
      </w:r>
      <w:r>
        <w:rPr>
          <w:spacing w:val="-2"/>
        </w:rPr>
        <w:t>决定》，针对其中指出的问题，公司严格按照《公司年度报告重大差错责任追究制度》的相关规定进行了责任认定，同时公</w:t>
      </w:r>
      <w:r>
        <w:rPr>
          <w:spacing w:val="-67"/>
        </w:rPr>
        <w:t> </w:t>
      </w:r>
      <w:r>
        <w:rPr>
          <w:spacing w:val="-67"/>
        </w:rPr>
      </w:r>
      <w:r>
        <w:rPr>
          <w:spacing w:val="-2"/>
        </w:rPr>
        <w:t>司管理层召集相关部门会议，针对此次年报业绩快报修正较大的事项进行讨论分析，加强培训以提高业务人员的专业能力和</w:t>
      </w:r>
      <w:r>
        <w:rPr>
          <w:spacing w:val="-64"/>
        </w:rPr>
        <w:t> </w:t>
      </w:r>
      <w:r>
        <w:rPr>
          <w:spacing w:val="-64"/>
        </w:rPr>
      </w:r>
      <w:r>
        <w:rPr>
          <w:spacing w:val="-2"/>
        </w:rPr>
        <w:t>业务水准，同时加强与中介机构的业务沟通，加强监督和复核工作，切实避免类似情况再次发生。公司及全体董事、监事和</w:t>
      </w:r>
      <w:r>
        <w:rPr>
          <w:spacing w:val="-67"/>
        </w:rPr>
        <w:t> </w:t>
      </w:r>
      <w:r>
        <w:rPr>
          <w:spacing w:val="-67"/>
        </w:rPr>
      </w:r>
      <w:r>
        <w:rPr>
          <w:spacing w:val="-2"/>
        </w:rPr>
        <w:t>高管人员以此为戒，今后严格按照《公司法》、《证券法》、《股票上市规则》、《上市公司信息披露管理办法》《会计准</w:t>
      </w:r>
      <w:r>
        <w:rPr>
          <w:spacing w:val="-70"/>
        </w:rPr>
        <w:t> </w:t>
      </w:r>
      <w:r>
        <w:rPr>
          <w:spacing w:val="-70"/>
        </w:rPr>
      </w:r>
      <w:r>
        <w:rPr>
          <w:spacing w:val="-4"/>
        </w:rPr>
        <w:t>则》等法律法规的要求，涉及专业问题及时跟监管机构和中介机构沟通，保证日常运营规范运作，进一步提高信息披露质量，</w:t>
      </w:r>
      <w:r>
        <w:rPr>
          <w:spacing w:val="-46"/>
        </w:rPr>
        <w:t> </w:t>
      </w:r>
      <w:r>
        <w:rPr>
          <w:spacing w:val="-46"/>
        </w:rPr>
      </w:r>
      <w:r>
        <w:rPr/>
        <w:t>并真实、准确、完整、及时地履行信息披露义务。</w:t>
      </w:r>
    </w:p>
    <w:p>
      <w:pPr>
        <w:spacing w:after="0" w:line="472"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员工持股计划</w:t>
      </w:r>
    </w:p>
    <w:p>
      <w:pPr>
        <w:pStyle w:val="BodyText"/>
        <w:spacing w:line="451" w:lineRule="auto" w:before="80"/>
        <w:ind w:right="1131" w:firstLine="360"/>
        <w:jc w:val="left"/>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日召开的第四届董事会第十五次会议审议通过了《关于</w:t>
      </w:r>
      <w:r>
        <w:rPr>
          <w:rFonts w:ascii="Times New Roman" w:hAnsi="Times New Roman" w:cs="Times New Roman" w:eastAsia="Times New Roman" w:hint="default"/>
        </w:rPr>
        <w:t>&lt;</w:t>
      </w:r>
      <w:r>
        <w:rPr/>
        <w:t>公司第一期员工持股计划（草案）</w:t>
      </w:r>
      <w:r>
        <w:rPr>
          <w:rFonts w:ascii="Times New Roman" w:hAnsi="Times New Roman" w:cs="Times New Roman" w:eastAsia="Times New Roman" w:hint="default"/>
        </w:rPr>
        <w:t>&gt; </w:t>
      </w:r>
      <w:r>
        <w:rPr>
          <w:spacing w:val="-1"/>
        </w:rPr>
        <w:t>及其摘要的议案》、《关于</w:t>
      </w:r>
      <w:r>
        <w:rPr>
          <w:rFonts w:ascii="Times New Roman" w:hAnsi="Times New Roman" w:cs="Times New Roman" w:eastAsia="Times New Roman" w:hint="default"/>
          <w:spacing w:val="-1"/>
        </w:rPr>
        <w:t>&lt;</w:t>
      </w:r>
      <w:r>
        <w:rPr>
          <w:spacing w:val="-1"/>
        </w:rPr>
        <w:t>公司第一期员工持股计划管理办法</w:t>
      </w:r>
      <w:r>
        <w:rPr>
          <w:rFonts w:ascii="Times New Roman" w:hAnsi="Times New Roman" w:cs="Times New Roman" w:eastAsia="Times New Roman" w:hint="default"/>
          <w:spacing w:val="-1"/>
        </w:rPr>
        <w:t>&gt;</w:t>
      </w:r>
      <w:r>
        <w:rPr>
          <w:spacing w:val="-1"/>
        </w:rPr>
        <w:t>的议案》，并于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26</w:t>
      </w:r>
      <w:r>
        <w:rPr>
          <w:spacing w:val="-1"/>
        </w:rPr>
        <w:t>日在巨潮资讯网上发布了《公</w:t>
      </w:r>
      <w:r>
        <w:rPr>
          <w:spacing w:val="-53"/>
        </w:rPr>
        <w:t> </w:t>
      </w:r>
      <w:r>
        <w:rPr>
          <w:spacing w:val="-53"/>
        </w:rPr>
      </w:r>
      <w:r>
        <w:rPr/>
        <w:t>司第一期员工持股计划（草案）》及摘要的公告（编号：</w:t>
      </w:r>
      <w:r>
        <w:rPr>
          <w:rFonts w:ascii="Times New Roman" w:hAnsi="Times New Roman" w:cs="Times New Roman" w:eastAsia="Times New Roman" w:hint="default"/>
        </w:rPr>
        <w:t>2017-059</w:t>
      </w:r>
      <w:r>
        <w:rPr/>
        <w:t>号）。</w:t>
      </w:r>
    </w:p>
    <w:p>
      <w:pPr>
        <w:pStyle w:val="BodyText"/>
        <w:spacing w:line="451" w:lineRule="auto" w:before="43"/>
        <w:ind w:right="1128"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日，华澳</w:t>
      </w:r>
      <w:r>
        <w:rPr>
          <w:rFonts w:ascii="Times New Roman" w:hAnsi="Times New Roman" w:cs="Times New Roman" w:eastAsia="Times New Roman" w:hint="default"/>
        </w:rPr>
        <w:t>•</w:t>
      </w:r>
      <w:r>
        <w:rPr/>
        <w:t>臻智</w:t>
      </w:r>
      <w:r>
        <w:rPr>
          <w:rFonts w:ascii="Times New Roman" w:hAnsi="Times New Roman" w:cs="Times New Roman" w:eastAsia="Times New Roman" w:hint="default"/>
        </w:rPr>
        <w:t>57</w:t>
      </w:r>
      <w:r>
        <w:rPr/>
        <w:t>号</w:t>
      </w:r>
      <w:r>
        <w:rPr>
          <w:rFonts w:ascii="Times New Roman" w:hAnsi="Times New Roman" w:cs="Times New Roman" w:eastAsia="Times New Roman" w:hint="default"/>
        </w:rPr>
        <w:t>-</w:t>
      </w:r>
      <w:r>
        <w:rPr/>
        <w:t>证通电子第一期员工持股集合信托计划通过二级市场集中竞价交易方式累计购 </w:t>
      </w:r>
      <w:r>
        <w:rPr>
          <w:spacing w:val="-1"/>
        </w:rPr>
        <w:t>买公司股票合计</w:t>
      </w:r>
      <w:r>
        <w:rPr>
          <w:rFonts w:ascii="Times New Roman" w:hAnsi="Times New Roman" w:cs="Times New Roman" w:eastAsia="Times New Roman" w:hint="default"/>
          <w:spacing w:val="-1"/>
        </w:rPr>
        <w:t>23,121,021</w:t>
      </w:r>
      <w:r>
        <w:rPr>
          <w:spacing w:val="-1"/>
        </w:rPr>
        <w:t>股，占公司总股本的</w:t>
      </w:r>
      <w:r>
        <w:rPr>
          <w:rFonts w:ascii="Times New Roman" w:hAnsi="Times New Roman" w:cs="Times New Roman" w:eastAsia="Times New Roman" w:hint="default"/>
          <w:spacing w:val="-1"/>
        </w:rPr>
        <w:t>4.49%</w:t>
      </w:r>
      <w:r>
        <w:rPr>
          <w:spacing w:val="-1"/>
        </w:rPr>
        <w:t>，成交均价为</w:t>
      </w:r>
      <w:r>
        <w:rPr>
          <w:rFonts w:ascii="Times New Roman" w:hAnsi="Times New Roman" w:cs="Times New Roman" w:eastAsia="Times New Roman" w:hint="default"/>
          <w:spacing w:val="-1"/>
        </w:rPr>
        <w:t>12.89</w:t>
      </w:r>
      <w:r>
        <w:rPr>
          <w:spacing w:val="-1"/>
        </w:rPr>
        <w:t>元，公司已按规定于公司股东大会审议通过后</w:t>
      </w:r>
      <w:r>
        <w:rPr>
          <w:rFonts w:ascii="Times New Roman" w:hAnsi="Times New Roman" w:cs="Times New Roman" w:eastAsia="Times New Roman" w:hint="default"/>
          <w:spacing w:val="-1"/>
        </w:rPr>
        <w:t>6</w:t>
      </w:r>
      <w:r>
        <w:rPr>
          <w:spacing w:val="-1"/>
        </w:rPr>
        <w:t>个月</w:t>
      </w:r>
      <w:r>
        <w:rPr>
          <w:spacing w:val="-83"/>
        </w:rPr>
        <w:t> </w:t>
      </w:r>
      <w:r>
        <w:rPr>
          <w:spacing w:val="-2"/>
        </w:rPr>
        <w:t>内完成第一期员工持股计划标的股票的购买，其锁定期为完成股票购买日起</w:t>
      </w:r>
      <w:r>
        <w:rPr>
          <w:rFonts w:ascii="Times New Roman" w:hAnsi="Times New Roman" w:cs="Times New Roman" w:eastAsia="Times New Roman" w:hint="default"/>
          <w:spacing w:val="-2"/>
        </w:rPr>
        <w:t>12</w:t>
      </w:r>
      <w:r>
        <w:rPr>
          <w:spacing w:val="-2"/>
        </w:rPr>
        <w:t>个月。相关事项详见公司于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日披</w:t>
      </w:r>
      <w:r>
        <w:rPr>
          <w:spacing w:val="-58"/>
        </w:rPr>
        <w:t> </w:t>
      </w:r>
      <w:r>
        <w:rPr/>
        <w:t>露于《证券时报》及巨潮资讯网上的《公司关于第一期员工持股计划完成股票购买的公告》（编号：</w:t>
      </w:r>
      <w:r>
        <w:rPr>
          <w:rFonts w:ascii="Times New Roman" w:hAnsi="Times New Roman" w:cs="Times New Roman" w:eastAsia="Times New Roman" w:hint="default"/>
        </w:rPr>
        <w:t>2017-101</w:t>
      </w:r>
      <w:r>
        <w:rPr/>
        <w:t>号）。</w:t>
      </w:r>
    </w:p>
    <w:p>
      <w:pPr>
        <w:pStyle w:val="BodyText"/>
        <w:spacing w:line="451" w:lineRule="auto" w:before="43"/>
        <w:ind w:right="1124" w:firstLine="360"/>
        <w:jc w:val="left"/>
      </w:pPr>
      <w:r>
        <w:rPr/>
        <w:t>（</w:t>
      </w:r>
      <w:r>
        <w:rPr>
          <w:rFonts w:ascii="Times New Roman" w:hAnsi="Times New Roman" w:cs="Times New Roman" w:eastAsia="Times New Roman" w:hint="default"/>
        </w:rPr>
        <w:t>3</w:t>
      </w:r>
      <w:r>
        <w:rPr/>
        <w:t>）因证券市场股票交易波动情况，为避免市场波动带来的不确定性，进一步增强投资者信心，结合员工持股计划实 施的实际情况，截至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日，实际控制人曾胜强先生以自有资金总计</w:t>
      </w:r>
      <w:r>
        <w:rPr>
          <w:rFonts w:ascii="Times New Roman" w:hAnsi="Times New Roman" w:cs="Times New Roman" w:eastAsia="Times New Roman" w:hint="default"/>
        </w:rPr>
        <w:t>3,000</w:t>
      </w:r>
      <w:r>
        <w:rPr/>
        <w:t>万元置换公司第一期员工持股计划华澳</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4"/>
        </w:rPr>
        <w:t>臻智</w:t>
      </w:r>
      <w:r>
        <w:rPr>
          <w:rFonts w:ascii="Times New Roman" w:hAnsi="Times New Roman" w:cs="Times New Roman" w:eastAsia="Times New Roman" w:hint="default"/>
          <w:spacing w:val="-4"/>
        </w:rPr>
        <w:t>57</w:t>
      </w:r>
      <w:r>
        <w:rPr>
          <w:spacing w:val="-4"/>
        </w:rPr>
        <w:t>号中招商银行认购的优先</w:t>
      </w:r>
      <w:r>
        <w:rPr>
          <w:rFonts w:ascii="Times New Roman" w:hAnsi="Times New Roman" w:cs="Times New Roman" w:eastAsia="Times New Roman" w:hint="default"/>
          <w:spacing w:val="-4"/>
        </w:rPr>
        <w:t>A</w:t>
      </w:r>
      <w:r>
        <w:rPr>
          <w:spacing w:val="-4"/>
        </w:rPr>
        <w:t>类份额本金，置换完成后，优先</w:t>
      </w:r>
      <w:r>
        <w:rPr>
          <w:rFonts w:ascii="Times New Roman" w:hAnsi="Times New Roman" w:cs="Times New Roman" w:eastAsia="Times New Roman" w:hint="default"/>
          <w:spacing w:val="-4"/>
        </w:rPr>
        <w:t>A</w:t>
      </w:r>
      <w:r>
        <w:rPr>
          <w:spacing w:val="-4"/>
        </w:rPr>
        <w:t>类份额信托资金余额为</w:t>
      </w:r>
      <w:r>
        <w:rPr>
          <w:rFonts w:ascii="Times New Roman" w:hAnsi="Times New Roman" w:cs="Times New Roman" w:eastAsia="Times New Roman" w:hint="default"/>
          <w:spacing w:val="-4"/>
        </w:rPr>
        <w:t>1.2</w:t>
      </w:r>
      <w:r>
        <w:rPr>
          <w:spacing w:val="-4"/>
        </w:rPr>
        <w:t>亿元。相关事项详见公司于</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日披露于《证券时报》及巨潮资讯网上的《公司关于控股股东完成第一期员工持股计划优先</w:t>
      </w:r>
      <w:r>
        <w:rPr>
          <w:rFonts w:ascii="Times New Roman" w:hAnsi="Times New Roman" w:cs="Times New Roman" w:eastAsia="Times New Roman" w:hint="default"/>
        </w:rPr>
        <w:t>A</w:t>
      </w:r>
      <w:r>
        <w:rPr/>
        <w:t>类资金置换的公告》</w:t>
      </w:r>
    </w:p>
    <w:p>
      <w:pPr>
        <w:pStyle w:val="BodyText"/>
        <w:spacing w:line="240" w:lineRule="auto" w:before="43"/>
        <w:ind w:right="1133"/>
        <w:jc w:val="left"/>
      </w:pPr>
      <w:r>
        <w:rPr/>
        <w:t>（编号：</w:t>
      </w:r>
      <w:r>
        <w:rPr>
          <w:rFonts w:ascii="Times New Roman" w:hAnsi="Times New Roman" w:cs="Times New Roman" w:eastAsia="Times New Roman" w:hint="default"/>
        </w:rPr>
        <w:t>2018-064</w:t>
      </w:r>
      <w:r>
        <w:rPr/>
        <w:t>号）。</w:t>
      </w:r>
    </w:p>
    <w:p>
      <w:pPr>
        <w:spacing w:line="240" w:lineRule="auto" w:before="9"/>
        <w:rPr>
          <w:rFonts w:ascii="宋体" w:hAnsi="宋体" w:cs="宋体" w:eastAsia="宋体" w:hint="default"/>
          <w:sz w:val="16"/>
          <w:szCs w:val="16"/>
        </w:rPr>
      </w:pPr>
    </w:p>
    <w:p>
      <w:pPr>
        <w:pStyle w:val="BodyText"/>
        <w:spacing w:line="451" w:lineRule="auto"/>
        <w:ind w:right="1126" w:firstLine="360"/>
        <w:jc w:val="both"/>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18</w:t>
      </w:r>
      <w:r>
        <w:rPr>
          <w:spacing w:val="-5"/>
        </w:rPr>
        <w:t>日，公司披露了第一期员工持股计划锁定期届满的提示性公告，锁定期为自</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19</w:t>
      </w:r>
      <w:r>
        <w:rPr>
          <w:spacing w:val="-5"/>
        </w:rPr>
        <w:t>日至</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4"/>
        </w:rPr>
        <w:t> </w:t>
      </w:r>
      <w:r>
        <w:rPr/>
        <w:t>年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日止。相关事项详见公司披露于《证券时报》及巨潮资讯网上的《公司关于第一期员工持股计划锁定期届满的提示性</w:t>
      </w:r>
      <w:r>
        <w:rPr>
          <w:spacing w:val="-61"/>
        </w:rPr>
        <w:t> </w:t>
      </w:r>
      <w:r>
        <w:rPr>
          <w:spacing w:val="-61"/>
        </w:rPr>
      </w:r>
      <w:r>
        <w:rPr/>
        <w:t>公告》（编号：</w:t>
      </w:r>
      <w:r>
        <w:rPr>
          <w:rFonts w:ascii="Times New Roman" w:hAnsi="Times New Roman" w:cs="Times New Roman" w:eastAsia="Times New Roman" w:hint="default"/>
        </w:rPr>
        <w:t>2018-140</w:t>
      </w:r>
      <w:r>
        <w:rPr/>
        <w:t>号）。</w:t>
      </w:r>
    </w:p>
    <w:p>
      <w:pPr>
        <w:pStyle w:val="BodyText"/>
        <w:spacing w:line="451" w:lineRule="auto" w:before="43"/>
        <w:ind w:right="1131" w:firstLine="36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日，鉴于公司第一期员工持股计划持有的 </w:t>
      </w:r>
      <w:r>
        <w:rPr>
          <w:rFonts w:ascii="Times New Roman" w:hAnsi="Times New Roman" w:cs="Times New Roman" w:eastAsia="Times New Roman" w:hint="default"/>
        </w:rPr>
        <w:t>23,121,021</w:t>
      </w:r>
      <w:r>
        <w:rPr>
          <w:rFonts w:ascii="Times New Roman" w:hAnsi="Times New Roman" w:cs="Times New Roman" w:eastAsia="Times New Roman" w:hint="default"/>
          <w:spacing w:val="44"/>
        </w:rPr>
        <w:t> </w:t>
      </w:r>
      <w:r>
        <w:rPr/>
        <w:t>股公司股票已出售完毕，占公司总股本的 </w:t>
      </w:r>
      <w:r>
        <w:rPr>
          <w:rFonts w:ascii="Times New Roman" w:hAnsi="Times New Roman" w:cs="Times New Roman" w:eastAsia="Times New Roman" w:hint="default"/>
        </w:rPr>
        <w:t>4.49%</w:t>
      </w:r>
      <w:r>
        <w:rPr/>
        <w:t>。根据《公司第一期员工持股计划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》的相关规定，本期员工持股计划实施完毕并终止。相关事项详见公司披露 </w:t>
      </w:r>
      <w:r>
        <w:rPr>
          <w:spacing w:val="-1"/>
        </w:rPr>
        <w:t>于《证券时报》及巨潮资讯网上的《公司关于第一期员工持股计划出售完毕暨终止的公告》（编号：</w:t>
      </w:r>
      <w:r>
        <w:rPr>
          <w:rFonts w:ascii="Times New Roman" w:hAnsi="Times New Roman" w:cs="Times New Roman" w:eastAsia="Times New Roman" w:hint="default"/>
          <w:spacing w:val="-1"/>
        </w:rPr>
        <w:t>2019-027</w:t>
      </w:r>
      <w:r>
        <w:rPr>
          <w:spacing w:val="-1"/>
        </w:rPr>
        <w:t>号）。报告期</w:t>
      </w:r>
      <w:r>
        <w:rPr/>
        <w:t> 内，公司已完成相关资产清算和分配工作。</w:t>
      </w:r>
    </w:p>
    <w:p>
      <w:pPr>
        <w:spacing w:line="240" w:lineRule="auto" w:before="0"/>
        <w:rPr>
          <w:rFonts w:ascii="宋体" w:hAnsi="宋体" w:cs="宋体" w:eastAsia="宋体" w:hint="default"/>
          <w:sz w:val="19"/>
          <w:szCs w:val="19"/>
        </w:rPr>
      </w:pPr>
    </w:p>
    <w:p>
      <w:pPr>
        <w:pStyle w:val="Heading2"/>
        <w:spacing w:line="240" w:lineRule="auto"/>
        <w:ind w:right="1133"/>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677"/>
        <w:gridCol w:w="679"/>
        <w:gridCol w:w="704"/>
        <w:gridCol w:w="682"/>
        <w:gridCol w:w="672"/>
        <w:gridCol w:w="674"/>
        <w:gridCol w:w="675"/>
        <w:gridCol w:w="674"/>
        <w:gridCol w:w="674"/>
        <w:gridCol w:w="674"/>
        <w:gridCol w:w="673"/>
        <w:gridCol w:w="672"/>
        <w:gridCol w:w="641"/>
      </w:tblGrid>
      <w:tr>
        <w:trPr>
          <w:trHeight w:val="67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关联关</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4" w:right="65"/>
              <w:jc w:val="left"/>
              <w:rPr>
                <w:rFonts w:ascii="宋体" w:hAnsi="宋体" w:cs="宋体" w:eastAsia="宋体" w:hint="default"/>
                <w:sz w:val="18"/>
                <w:szCs w:val="18"/>
              </w:rPr>
            </w:pPr>
            <w:r>
              <w:rPr>
                <w:rFonts w:ascii="宋体" w:hAnsi="宋体" w:cs="宋体" w:eastAsia="宋体" w:hint="default"/>
                <w:sz w:val="18"/>
                <w:szCs w:val="18"/>
              </w:rPr>
              <w:t>关联交 易定价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60"/>
              <w:jc w:val="left"/>
              <w:rPr>
                <w:rFonts w:ascii="宋体" w:hAnsi="宋体" w:cs="宋体" w:eastAsia="宋体" w:hint="default"/>
                <w:sz w:val="18"/>
                <w:szCs w:val="18"/>
              </w:rPr>
            </w:pPr>
            <w:r>
              <w:rPr>
                <w:rFonts w:ascii="宋体" w:hAnsi="宋体" w:cs="宋体" w:eastAsia="宋体" w:hint="default"/>
                <w:sz w:val="18"/>
                <w:szCs w:val="18"/>
              </w:rPr>
              <w:t>占同类 交易金</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60"/>
              <w:jc w:val="left"/>
              <w:rPr>
                <w:rFonts w:ascii="宋体" w:hAnsi="宋体" w:cs="宋体" w:eastAsia="宋体" w:hint="default"/>
                <w:sz w:val="18"/>
                <w:szCs w:val="18"/>
              </w:rPr>
            </w:pPr>
            <w:r>
              <w:rPr>
                <w:rFonts w:ascii="宋体" w:hAnsi="宋体" w:cs="宋体" w:eastAsia="宋体" w:hint="default"/>
                <w:sz w:val="18"/>
                <w:szCs w:val="18"/>
              </w:rPr>
              <w:t>获批的 交易额</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60"/>
              <w:jc w:val="left"/>
              <w:rPr>
                <w:rFonts w:ascii="宋体" w:hAnsi="宋体" w:cs="宋体" w:eastAsia="宋体" w:hint="default"/>
                <w:sz w:val="18"/>
                <w:szCs w:val="18"/>
              </w:rPr>
            </w:pPr>
            <w:r>
              <w:rPr>
                <w:rFonts w:ascii="宋体" w:hAnsi="宋体" w:cs="宋体" w:eastAsia="宋体" w:hint="default"/>
                <w:sz w:val="18"/>
                <w:szCs w:val="18"/>
              </w:rPr>
              <w:t>是否超 过获批</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60"/>
              <w:jc w:val="left"/>
              <w:rPr>
                <w:rFonts w:ascii="宋体" w:hAnsi="宋体" w:cs="宋体" w:eastAsia="宋体" w:hint="default"/>
                <w:sz w:val="18"/>
                <w:szCs w:val="18"/>
              </w:rPr>
            </w:pPr>
            <w:r>
              <w:rPr>
                <w:rFonts w:ascii="宋体" w:hAnsi="宋体" w:cs="宋体" w:eastAsia="宋体" w:hint="default"/>
                <w:sz w:val="18"/>
                <w:szCs w:val="18"/>
              </w:rPr>
              <w:t>关联交 易结算</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58"/>
              <w:jc w:val="left"/>
              <w:rPr>
                <w:rFonts w:ascii="宋体" w:hAnsi="宋体" w:cs="宋体" w:eastAsia="宋体" w:hint="default"/>
                <w:sz w:val="18"/>
                <w:szCs w:val="18"/>
              </w:rPr>
            </w:pPr>
            <w:r>
              <w:rPr>
                <w:rFonts w:ascii="宋体" w:hAnsi="宋体" w:cs="宋体" w:eastAsia="宋体" w:hint="default"/>
                <w:sz w:val="18"/>
                <w:szCs w:val="18"/>
              </w:rPr>
              <w:t>可获得 的同类</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2" w:right="0"/>
              <w:jc w:val="left"/>
              <w:rPr>
                <w:rFonts w:ascii="宋体" w:hAnsi="宋体" w:cs="宋体" w:eastAsia="宋体" w:hint="default"/>
                <w:sz w:val="18"/>
                <w:szCs w:val="18"/>
              </w:rPr>
            </w:pPr>
            <w:r>
              <w:rPr>
                <w:rFonts w:ascii="宋体" w:hAnsi="宋体" w:cs="宋体" w:eastAsia="宋体" w:hint="default"/>
                <w:sz w:val="18"/>
                <w:szCs w:val="18"/>
              </w:rPr>
              <w:t>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2" w:right="60" w:hanging="180"/>
              <w:jc w:val="left"/>
              <w:rPr>
                <w:rFonts w:ascii="宋体" w:hAnsi="宋体" w:cs="宋体" w:eastAsia="宋体" w:hint="default"/>
                <w:sz w:val="18"/>
                <w:szCs w:val="18"/>
              </w:rPr>
            </w:pPr>
            <w:r>
              <w:rPr>
                <w:rFonts w:ascii="宋体" w:hAnsi="宋体" w:cs="宋体" w:eastAsia="宋体" w:hint="default"/>
                <w:sz w:val="18"/>
                <w:szCs w:val="18"/>
              </w:rPr>
              <w:t>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51" w:right="60" w:hanging="89"/>
              <w:jc w:val="left"/>
              <w:rPr>
                <w:rFonts w:ascii="宋体" w:hAnsi="宋体" w:cs="宋体" w:eastAsia="宋体" w:hint="default"/>
                <w:sz w:val="18"/>
                <w:szCs w:val="18"/>
              </w:rPr>
            </w:pPr>
            <w:r>
              <w:rPr>
                <w:rFonts w:ascii="宋体" w:hAnsi="宋体" w:cs="宋体" w:eastAsia="宋体" w:hint="default"/>
                <w:sz w:val="18"/>
                <w:szCs w:val="18"/>
              </w:rPr>
              <w:t>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2" w:right="58" w:hanging="181"/>
              <w:jc w:val="left"/>
              <w:rPr>
                <w:rFonts w:ascii="宋体" w:hAnsi="宋体" w:cs="宋体" w:eastAsia="宋体" w:hint="default"/>
                <w:sz w:val="18"/>
                <w:szCs w:val="18"/>
              </w:rPr>
            </w:pPr>
            <w:r>
              <w:rPr>
                <w:rFonts w:ascii="宋体" w:hAnsi="宋体" w:cs="宋体" w:eastAsia="宋体" w:hint="default"/>
                <w:sz w:val="18"/>
                <w:szCs w:val="18"/>
              </w:rPr>
              <w:t>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23"/>
              <w:jc w:val="right"/>
              <w:rPr>
                <w:rFonts w:ascii="宋体" w:hAnsi="宋体" w:cs="宋体" w:eastAsia="宋体" w:hint="default"/>
                <w:sz w:val="18"/>
                <w:szCs w:val="18"/>
              </w:rPr>
            </w:pPr>
            <w:r>
              <w:rPr>
                <w:rFonts w:ascii="宋体" w:hAnsi="宋体" w:cs="宋体" w:eastAsia="宋体" w:hint="default"/>
                <w:sz w:val="18"/>
                <w:szCs w:val="18"/>
              </w:rPr>
              <w:t>引</w:t>
            </w:r>
          </w:p>
        </w:tc>
      </w:tr>
      <w:tr>
        <w:trPr>
          <w:trHeight w:val="445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盛灿科技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2"/>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公司持 有其 </w:t>
            </w:r>
            <w:r>
              <w:rPr>
                <w:rFonts w:ascii="Times New Roman" w:hAnsi="Times New Roman" w:cs="Times New Roman" w:eastAsia="Times New Roman" w:hint="default"/>
                <w:sz w:val="18"/>
                <w:szCs w:val="18"/>
              </w:rPr>
              <w:t>12.58%</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的出资</w:t>
            </w:r>
          </w:p>
          <w:p>
            <w:pPr>
              <w:pStyle w:val="TableParagraph"/>
              <w:spacing w:line="319" w:lineRule="auto" w:before="76"/>
              <w:ind w:left="23" w:right="101"/>
              <w:jc w:val="both"/>
              <w:rPr>
                <w:rFonts w:ascii="宋体" w:hAnsi="宋体" w:cs="宋体" w:eastAsia="宋体" w:hint="default"/>
                <w:sz w:val="18"/>
                <w:szCs w:val="18"/>
              </w:rPr>
            </w:pPr>
            <w:r>
              <w:rPr>
                <w:rFonts w:ascii="宋体" w:hAnsi="宋体" w:cs="宋体" w:eastAsia="宋体" w:hint="default"/>
                <w:sz w:val="18"/>
                <w:szCs w:val="18"/>
              </w:rPr>
              <w:t>比例； 公司副 总裁担 任其董 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向关联 方提供 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3" w:right="20"/>
              <w:jc w:val="left"/>
              <w:rPr>
                <w:rFonts w:ascii="宋体" w:hAnsi="宋体" w:cs="宋体" w:eastAsia="宋体" w:hint="default"/>
                <w:sz w:val="18"/>
                <w:szCs w:val="18"/>
              </w:rPr>
            </w:pPr>
            <w:r>
              <w:rPr>
                <w:rFonts w:ascii="宋体" w:hAnsi="宋体" w:cs="宋体" w:eastAsia="宋体" w:hint="default"/>
                <w:sz w:val="18"/>
                <w:szCs w:val="18"/>
              </w:rPr>
              <w:t>公司向 盛灿科 技提供 </w:t>
            </w:r>
            <w:r>
              <w:rPr>
                <w:rFonts w:ascii="宋体" w:hAnsi="宋体" w:cs="宋体" w:eastAsia="宋体" w:hint="default"/>
                <w:spacing w:val="-18"/>
                <w:sz w:val="18"/>
                <w:szCs w:val="18"/>
              </w:rPr>
              <w:t>服务（含</w:t>
            </w:r>
            <w:r>
              <w:rPr>
                <w:rFonts w:ascii="宋体" w:hAnsi="宋体" w:cs="宋体" w:eastAsia="宋体" w:hint="default"/>
                <w:sz w:val="18"/>
                <w:szCs w:val="18"/>
              </w:rPr>
              <w:t> 委托开 发等）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732.85</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按合同 约定结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巨潮资 讯网及</w:t>
            </w:r>
          </w:p>
          <w:p>
            <w:pPr>
              <w:pStyle w:val="TableParagraph"/>
              <w:spacing w:line="316" w:lineRule="auto" w:before="19"/>
              <w:ind w:left="23" w:right="65"/>
              <w:jc w:val="both"/>
              <w:rPr>
                <w:rFonts w:ascii="宋体" w:hAnsi="宋体" w:cs="宋体" w:eastAsia="宋体" w:hint="default"/>
                <w:sz w:val="18"/>
                <w:szCs w:val="18"/>
              </w:rPr>
            </w:pPr>
            <w:r>
              <w:rPr>
                <w:rFonts w:ascii="宋体" w:hAnsi="宋体" w:cs="宋体" w:eastAsia="宋体" w:hint="default"/>
                <w:sz w:val="18"/>
                <w:szCs w:val="18"/>
              </w:rPr>
              <w:t>《证券 时报》 刊登的</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9"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《关于 未来一 年内日 常关联 交易预 计的公 告》</w:t>
            </w: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44"/>
              <w:jc w:val="left"/>
              <w:rPr>
                <w:rFonts w:ascii="宋体" w:hAnsi="宋体" w:cs="宋体" w:eastAsia="宋体" w:hint="default"/>
                <w:sz w:val="18"/>
                <w:szCs w:val="18"/>
              </w:rPr>
            </w:pPr>
            <w:r>
              <w:rPr>
                <w:rFonts w:ascii="宋体" w:hAnsi="宋体" w:cs="宋体" w:eastAsia="宋体" w:hint="default"/>
                <w:sz w:val="18"/>
                <w:szCs w:val="18"/>
              </w:rPr>
              <w:t>觅鑫蜂网 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公司原 高管方 进先生 控股的 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both"/>
              <w:rPr>
                <w:rFonts w:ascii="宋体" w:hAnsi="宋体" w:cs="宋体" w:eastAsia="宋体" w:hint="default"/>
                <w:sz w:val="18"/>
                <w:szCs w:val="18"/>
              </w:rPr>
            </w:pPr>
            <w:r>
              <w:rPr>
                <w:rFonts w:ascii="宋体" w:hAnsi="宋体" w:cs="宋体" w:eastAsia="宋体" w:hint="default"/>
                <w:sz w:val="18"/>
                <w:szCs w:val="18"/>
              </w:rPr>
              <w:t>向关联 方销售 产品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公司向 南京觅 鑫蜂销 售产品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145.48</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both"/>
              <w:rPr>
                <w:rFonts w:ascii="宋体" w:hAnsi="宋体" w:cs="宋体" w:eastAsia="宋体" w:hint="default"/>
                <w:sz w:val="18"/>
                <w:szCs w:val="18"/>
              </w:rPr>
            </w:pPr>
            <w:r>
              <w:rPr>
                <w:rFonts w:ascii="宋体" w:hAnsi="宋体" w:cs="宋体" w:eastAsia="宋体" w:hint="default"/>
                <w:sz w:val="18"/>
                <w:szCs w:val="18"/>
              </w:rPr>
              <w:t>按合同 约定结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878.33</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14"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1"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年度，公司原高管方进先生控股的南京市觅鑫蜂网络科技有限公司与公司 发生关联交易金额为 </w:t>
            </w:r>
            <w:r>
              <w:rPr>
                <w:rFonts w:ascii="Times New Roman" w:hAnsi="Times New Roman" w:cs="Times New Roman" w:eastAsia="Times New Roman" w:hint="default"/>
                <w:spacing w:val="-1"/>
                <w:sz w:val="18"/>
                <w:szCs w:val="18"/>
              </w:rPr>
              <w:t>145.48</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万元（该关联交易额度在董事长审批权限范围内）。</w:t>
            </w:r>
          </w:p>
          <w:p>
            <w:pPr>
              <w:pStyle w:val="TableParagraph"/>
              <w:spacing w:line="307" w:lineRule="auto" w:before="92"/>
              <w:ind w:left="16"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）公司与关联方的年度日常关联交易预计是基于公司实际需求和业务开展进行的 初步判断，因此与实际发生情况存在一定的差异，公司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年度日常关联交易实际 发生总金额低于预计总金额，这属于正常经营行为，对公司日常经营及业绩不会产生 重大影响。</w:t>
            </w:r>
          </w:p>
        </w:tc>
      </w:tr>
      <w:tr>
        <w:trPr>
          <w:trHeight w:val="1015"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vMerge/>
            <w:tcBorders>
              <w:left w:val="single" w:sz="10" w:space="0" w:color="D2D2D2"/>
              <w:right w:val="single" w:sz="4" w:space="0" w:color="000000"/>
            </w:tcBorders>
          </w:tcPr>
          <w:p>
            <w:pPr/>
          </w:p>
        </w:tc>
      </w:tr>
      <w:tr>
        <w:trPr>
          <w:trHeight w:val="514"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1" w:type="dxa"/>
            <w:gridSpan w:val="10"/>
            <w:vMerge/>
            <w:tcBorders>
              <w:left w:val="single" w:sz="10" w:space="0" w:color="D2D2D2"/>
              <w:bottom w:val="single" w:sz="4" w:space="0" w:color="000000"/>
              <w:right w:val="single" w:sz="4" w:space="0" w:color="000000"/>
            </w:tcBorders>
          </w:tcPr>
          <w:p>
            <w:pPr/>
          </w:p>
        </w:tc>
      </w:tr>
      <w:tr>
        <w:trPr>
          <w:trHeight w:val="71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日，经公司第四届董事会第三十九会议审议通过的《关于公司补充确认关联交易的议案》。满足公司云计 </w:t>
      </w:r>
      <w:r>
        <w:rPr>
          <w:spacing w:val="-2"/>
        </w:rPr>
        <w:t>算业务发展日常经营流动资金需求，</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月，公司董事许忠慈先生与公司控股子公司宏达通信签署《借款协议》，宏达</w:t>
      </w:r>
      <w:r>
        <w:rPr>
          <w:spacing w:val="-61"/>
        </w:rPr>
        <w:t> </w:t>
      </w:r>
      <w:r>
        <w:rPr>
          <w:spacing w:val="-61"/>
        </w:rPr>
      </w:r>
      <w:r>
        <w:rPr>
          <w:spacing w:val="-1"/>
        </w:rPr>
        <w:t>通信向许忠慈先生借款最高不超过人民币</w:t>
      </w:r>
      <w:r>
        <w:rPr>
          <w:rFonts w:ascii="Times New Roman" w:hAnsi="Times New Roman" w:cs="Times New Roman" w:eastAsia="Times New Roman" w:hint="default"/>
          <w:spacing w:val="-1"/>
        </w:rPr>
        <w:t>1,000</w:t>
      </w:r>
      <w:r>
        <w:rPr>
          <w:spacing w:val="-1"/>
        </w:rPr>
        <w:t>万元，借款年利率按照</w:t>
      </w:r>
      <w:r>
        <w:rPr>
          <w:rFonts w:ascii="Times New Roman" w:hAnsi="Times New Roman" w:cs="Times New Roman" w:eastAsia="Times New Roman" w:hint="default"/>
          <w:spacing w:val="-1"/>
        </w:rPr>
        <w:t>4.9%</w:t>
      </w:r>
      <w:r>
        <w:rPr>
          <w:spacing w:val="-1"/>
        </w:rPr>
        <w:t>确定，宏达通信已于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月归还许忠慈先生借</w:t>
      </w:r>
      <w:r>
        <w:rPr>
          <w:spacing w:val="-86"/>
        </w:rPr>
        <w:t> </w:t>
      </w:r>
      <w:r>
        <w:rPr>
          <w:spacing w:val="-86"/>
        </w:rPr>
      </w:r>
      <w:r>
        <w:rPr>
          <w:spacing w:val="-4"/>
        </w:rPr>
        <w:t>款，并按《借款协议》的约定支付相应的利息；</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月，公司董事许忠慈先生与公司全资子公司深圳证通云计算签署《借</w:t>
      </w:r>
      <w:r>
        <w:rPr>
          <w:spacing w:val="-36"/>
        </w:rPr>
        <w:t> </w:t>
      </w:r>
      <w:r>
        <w:rPr>
          <w:spacing w:val="-36"/>
        </w:rPr>
      </w:r>
      <w:r>
        <w:rPr/>
        <w:t>款协议书》，深圳证通云计算向许忠慈先生无息借款最高不超过人民币</w:t>
      </w:r>
      <w:r>
        <w:rPr>
          <w:rFonts w:ascii="Times New Roman" w:hAnsi="Times New Roman" w:cs="Times New Roman" w:eastAsia="Times New Roman" w:hint="default"/>
        </w:rPr>
        <w:t>1,500</w:t>
      </w:r>
      <w:r>
        <w:rPr/>
        <w:t>万元，借款期限不超过</w:t>
      </w:r>
      <w:r>
        <w:rPr>
          <w:rFonts w:ascii="Times New Roman" w:hAnsi="Times New Roman" w:cs="Times New Roman" w:eastAsia="Times New Roman" w:hint="default"/>
        </w:rPr>
        <w:t>12</w:t>
      </w:r>
      <w:r>
        <w:rPr/>
        <w:t>个月。报告期内，宏 达通信已归还许忠慈先生上述借款。</w:t>
      </w:r>
    </w:p>
    <w:p>
      <w:pPr>
        <w:pStyle w:val="BodyText"/>
        <w:spacing w:line="240" w:lineRule="auto" w:before="35"/>
        <w:ind w:right="1133"/>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《公司关于补充确认关联交易的公告》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247"/>
        <w:gridCol w:w="816"/>
        <w:gridCol w:w="178"/>
        <w:gridCol w:w="857"/>
        <w:gridCol w:w="1049"/>
        <w:gridCol w:w="792"/>
        <w:gridCol w:w="780"/>
      </w:tblGrid>
      <w:tr>
        <w:trPr>
          <w:trHeight w:val="403"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100"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2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6"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65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53"/>
              <w:jc w:val="both"/>
              <w:rPr>
                <w:rFonts w:ascii="宋体" w:hAnsi="宋体" w:cs="宋体" w:eastAsia="宋体" w:hint="default"/>
                <w:sz w:val="18"/>
                <w:szCs w:val="18"/>
              </w:rPr>
            </w:pPr>
            <w:r>
              <w:rPr>
                <w:rFonts w:ascii="宋体" w:hAnsi="宋体" w:cs="宋体" w:eastAsia="宋体" w:hint="default"/>
                <w:sz w:val="18"/>
                <w:szCs w:val="18"/>
              </w:rPr>
              <w:t>拥有公司应付账款债 务等条件的产业链链 条企业（供应商及其 上游各层级供应商）</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7,469.61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保证期间为 该合同相应 债务履行期 届满之日起 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7,469.61</w:t>
            </w:r>
          </w:p>
        </w:tc>
      </w:tr>
      <w:tr>
        <w:trPr>
          <w:trHeight w:val="720"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1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543" w:type="dxa"/>
            <w:gridSpan w:val="2"/>
            <w:vMerge w:val="restart"/>
            <w:tcBorders>
              <w:top w:val="single" w:sz="4" w:space="0" w:color="000000"/>
              <w:left w:val="single" w:sz="4" w:space="0" w:color="000000"/>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gridSpan w:val="2"/>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543" w:type="dxa"/>
            <w:gridSpan w:val="2"/>
            <w:vMerge/>
            <w:tcBorders>
              <w:left w:val="single" w:sz="4" w:space="0" w:color="000000"/>
              <w:bottom w:val="nil" w:sz="6" w:space="0" w:color="auto"/>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3" w:right="41"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gridSpan w:val="2"/>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816" w:type="dxa"/>
            <w:vMerge/>
            <w:tcBorders>
              <w:left w:val="single" w:sz="4" w:space="0" w:color="000000"/>
              <w:right w:val="single" w:sz="4" w:space="0" w:color="000000"/>
            </w:tcBorders>
            <w:shd w:val="clear" w:color="auto" w:fill="D2D2D2"/>
          </w:tcPr>
          <w:p>
            <w:pPr/>
          </w:p>
        </w:tc>
        <w:tc>
          <w:tcPr>
            <w:tcW w:w="103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543" w:type="dxa"/>
            <w:gridSpan w:val="2"/>
            <w:vMerge w:val="restart"/>
            <w:tcBorders>
              <w:top w:val="nil" w:sz="6" w:space="0" w:color="auto"/>
              <w:left w:val="single" w:sz="4" w:space="0" w:color="000000"/>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1034" w:type="dxa"/>
            <w:gridSpan w:val="2"/>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543" w:type="dxa"/>
            <w:gridSpan w:val="2"/>
            <w:vMerge/>
            <w:tcBorders>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gridSpan w:val="2"/>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0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5,379.09</w:t>
            </w: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自本《保证 合同》生效 之日至《售 后回租赁合 同》主合同 项下所负的 所有债务履 行期届满之 日起两年 止。</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43" w:type="dxa"/>
            <w:gridSpan w:val="2"/>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3,333.33</w:t>
            </w: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保证期间为 该合同相应 债务开始之 日起，债务 履行期届满 之日止。</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43" w:type="dxa"/>
            <w:gridSpan w:val="2"/>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担保额度的 有效期为自 本次董事会 审议通过之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543"/>
        <w:gridCol w:w="816"/>
        <w:gridCol w:w="1034"/>
        <w:gridCol w:w="1047"/>
        <w:gridCol w:w="794"/>
        <w:gridCol w:w="780"/>
      </w:tblGrid>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保证期间为 该合同相应 债务履行期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担保额度的 有效期为自 本次董事会 审议通过之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保证期间为 该合同相应 债务履行期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长沙证通云计算</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担保额度的 有效期为自 本次董事会 审议通过之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长沙证通云计算</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both"/>
              <w:rPr>
                <w:rFonts w:ascii="宋体" w:hAnsi="宋体" w:cs="宋体" w:eastAsia="宋体" w:hint="default"/>
                <w:sz w:val="18"/>
                <w:szCs w:val="18"/>
              </w:rPr>
            </w:pPr>
            <w:r>
              <w:rPr>
                <w:rFonts w:ascii="宋体" w:hAnsi="宋体" w:cs="宋体" w:eastAsia="宋体" w:hint="default"/>
                <w:sz w:val="18"/>
                <w:szCs w:val="18"/>
              </w:rPr>
              <w:t>担保额度的 有效期为自 本次董事会 审议通过之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长沙证通云计算</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1"/>
              <w:jc w:val="both"/>
              <w:rPr>
                <w:rFonts w:ascii="宋体" w:hAnsi="宋体" w:cs="宋体" w:eastAsia="宋体" w:hint="default"/>
                <w:sz w:val="18"/>
                <w:szCs w:val="18"/>
              </w:rPr>
            </w:pPr>
            <w:r>
              <w:rPr>
                <w:rFonts w:ascii="宋体" w:hAnsi="宋体" w:cs="宋体" w:eastAsia="宋体" w:hint="default"/>
                <w:sz w:val="18"/>
                <w:szCs w:val="18"/>
              </w:rPr>
              <w:t>保证期间为 该合同相应 债务履行期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保证期间为 该合同相应 债务开始之 日起，债务 履行期届满 之日止。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61" w:hRule="exact"/>
        </w:trPr>
        <w:tc>
          <w:tcPr>
            <w:tcW w:w="1709"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佳明光电</w:t>
            </w:r>
          </w:p>
        </w:tc>
        <w:tc>
          <w:tcPr>
            <w:tcW w:w="924"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担保额度的 有效期为自 本次董事会 审议通过之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2"/>
                <w:sz w:val="18"/>
              </w:rPr>
              <w:t>115,000</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报告期内对子公司担</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135,012.42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709"/>
        <w:gridCol w:w="898"/>
        <w:gridCol w:w="924"/>
        <w:gridCol w:w="1313"/>
        <w:gridCol w:w="259"/>
        <w:gridCol w:w="774"/>
        <w:gridCol w:w="1057"/>
        <w:gridCol w:w="1066"/>
        <w:gridCol w:w="774"/>
        <w:gridCol w:w="788"/>
      </w:tblGrid>
      <w:tr>
        <w:trPr>
          <w:trHeight w:val="358" w:hRule="exact"/>
        </w:trPr>
        <w:tc>
          <w:tcPr>
            <w:tcW w:w="2607"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96" w:type="dxa"/>
            <w:gridSpan w:val="3"/>
            <w:vMerge w:val="restart"/>
            <w:tcBorders>
              <w:top w:val="single" w:sz="4" w:space="0" w:color="000000"/>
              <w:left w:val="single" w:sz="10" w:space="0" w:color="D2D2D2"/>
              <w:right w:val="single" w:sz="13" w:space="0" w:color="D2D2D2"/>
            </w:tcBorders>
          </w:tcPr>
          <w:p>
            <w:pPr/>
          </w:p>
        </w:tc>
        <w:tc>
          <w:tcPr>
            <w:tcW w:w="1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保实际发生额合计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vMerge w:val="restart"/>
            <w:tcBorders>
              <w:top w:val="single" w:sz="4" w:space="0" w:color="000000"/>
              <w:left w:val="single" w:sz="12" w:space="0" w:color="D2D2D2"/>
              <w:right w:val="single" w:sz="4" w:space="0" w:color="000000"/>
            </w:tcBorders>
          </w:tcPr>
          <w:p>
            <w:pPr/>
          </w:p>
        </w:tc>
      </w:tr>
      <w:tr>
        <w:trPr>
          <w:trHeight w:val="317" w:hRule="exact"/>
        </w:trPr>
        <w:tc>
          <w:tcPr>
            <w:tcW w:w="260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96" w:type="dxa"/>
            <w:gridSpan w:val="3"/>
            <w:vMerge/>
            <w:tcBorders>
              <w:left w:val="single" w:sz="10" w:space="0" w:color="D2D2D2"/>
              <w:bottom w:val="single" w:sz="4" w:space="0" w:color="000000"/>
              <w:right w:val="single" w:sz="13" w:space="0" w:color="D2D2D2"/>
            </w:tcBorders>
          </w:tcPr>
          <w:p>
            <w:pPr/>
          </w:p>
        </w:tc>
        <w:tc>
          <w:tcPr>
            <w:tcW w:w="1832" w:type="dxa"/>
            <w:gridSpan w:val="2"/>
            <w:vMerge/>
            <w:tcBorders>
              <w:left w:val="single" w:sz="4" w:space="0" w:color="000000"/>
              <w:bottom w:val="single" w:sz="4" w:space="0" w:color="000000"/>
              <w:right w:val="single" w:sz="4" w:space="0" w:color="000000"/>
            </w:tcBorders>
            <w:shd w:val="clear" w:color="auto" w:fill="D2D2D2"/>
          </w:tcPr>
          <w:p>
            <w:pPr/>
          </w:p>
        </w:tc>
        <w:tc>
          <w:tcPr>
            <w:tcW w:w="2629" w:type="dxa"/>
            <w:gridSpan w:val="3"/>
            <w:vMerge/>
            <w:tcBorders>
              <w:left w:val="single" w:sz="12" w:space="0" w:color="D2D2D2"/>
              <w:bottom w:val="single" w:sz="4" w:space="0" w:color="000000"/>
              <w:right w:val="single" w:sz="4" w:space="0" w:color="000000"/>
            </w:tcBorders>
          </w:tcPr>
          <w:p>
            <w:pPr/>
          </w:p>
        </w:tc>
      </w:tr>
      <w:tr>
        <w:trPr>
          <w:trHeight w:val="718"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96"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226,600</w:t>
            </w: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2"/>
              <w:jc w:val="left"/>
              <w:rPr>
                <w:rFonts w:ascii="宋体" w:hAnsi="宋体" w:cs="宋体" w:eastAsia="宋体" w:hint="default"/>
                <w:sz w:val="18"/>
                <w:szCs w:val="18"/>
              </w:rPr>
            </w:pPr>
            <w:r>
              <w:rPr>
                <w:rFonts w:ascii="宋体" w:hAnsi="宋体" w:cs="宋体" w:eastAsia="宋体" w:hint="default"/>
                <w:sz w:val="18"/>
                <w:szCs w:val="18"/>
              </w:rPr>
              <w:t>报告期末对子公司实 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120,809.75</w:t>
            </w:r>
          </w:p>
        </w:tc>
      </w:tr>
      <w:tr>
        <w:trPr>
          <w:trHeight w:val="394" w:hRule="exact"/>
        </w:trPr>
        <w:tc>
          <w:tcPr>
            <w:tcW w:w="956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13" w:type="dxa"/>
            <w:vMerge w:val="restart"/>
            <w:tcBorders>
              <w:top w:val="single" w:sz="4" w:space="0" w:color="000000"/>
              <w:left w:val="single" w:sz="4" w:space="0" w:color="000000"/>
              <w:right w:val="single" w:sz="4" w:space="0" w:color="000000"/>
            </w:tcBorders>
            <w:shd w:val="clear" w:color="auto" w:fill="D2D2D2"/>
          </w:tcPr>
          <w:p>
            <w:pPr/>
          </w:p>
        </w:tc>
        <w:tc>
          <w:tcPr>
            <w:tcW w:w="10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13" w:type="dxa"/>
            <w:vMerge/>
            <w:tcBorders>
              <w:left w:val="single" w:sz="4" w:space="0" w:color="000000"/>
              <w:bottom w:val="nil" w:sz="6" w:space="0" w:color="auto"/>
              <w:right w:val="single" w:sz="4" w:space="0" w:color="000000"/>
            </w:tcBorders>
            <w:shd w:val="clear" w:color="auto" w:fill="D2D2D2"/>
          </w:tcPr>
          <w:p>
            <w:pPr/>
          </w:p>
        </w:tc>
        <w:tc>
          <w:tcPr>
            <w:tcW w:w="10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7" w:right="5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7"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8"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33" w:type="dxa"/>
            <w:gridSpan w:val="2"/>
            <w:vMerge/>
            <w:tcBorders>
              <w:left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13" w:type="dxa"/>
            <w:vMerge w:val="restart"/>
            <w:tcBorders>
              <w:top w:val="nil" w:sz="6" w:space="0" w:color="auto"/>
              <w:left w:val="single" w:sz="4" w:space="0" w:color="000000"/>
              <w:right w:val="single" w:sz="4" w:space="0" w:color="000000"/>
            </w:tcBorders>
            <w:shd w:val="clear" w:color="auto" w:fill="D2D2D2"/>
          </w:tcPr>
          <w:p>
            <w:pPr/>
          </w:p>
        </w:tc>
        <w:tc>
          <w:tcPr>
            <w:tcW w:w="1033" w:type="dxa"/>
            <w:gridSpan w:val="2"/>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13" w:type="dxa"/>
            <w:vMerge/>
            <w:tcBorders>
              <w:left w:val="single" w:sz="4" w:space="0" w:color="000000"/>
              <w:bottom w:val="single" w:sz="4" w:space="0" w:color="000000"/>
              <w:right w:val="single" w:sz="4" w:space="0" w:color="000000"/>
            </w:tcBorders>
            <w:shd w:val="clear" w:color="auto" w:fill="D2D2D2"/>
          </w:tcPr>
          <w:p>
            <w:pPr/>
          </w:p>
        </w:tc>
        <w:tc>
          <w:tcPr>
            <w:tcW w:w="10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6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120,000</w:t>
            </w:r>
          </w:p>
        </w:tc>
        <w:tc>
          <w:tcPr>
            <w:tcW w:w="20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142,482.03</w:t>
            </w:r>
          </w:p>
        </w:tc>
      </w:tr>
      <w:tr>
        <w:trPr>
          <w:trHeight w:val="715"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231,600</w:t>
            </w:r>
          </w:p>
        </w:tc>
        <w:tc>
          <w:tcPr>
            <w:tcW w:w="20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120,809.75</w:t>
            </w:r>
          </w:p>
        </w:tc>
      </w:tr>
      <w:tr>
        <w:trPr>
          <w:trHeight w:val="406"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50.47%</w:t>
            </w:r>
          </w:p>
        </w:tc>
      </w:tr>
      <w:tr>
        <w:trPr>
          <w:trHeight w:val="394" w:hRule="exact"/>
        </w:trPr>
        <w:tc>
          <w:tcPr>
            <w:tcW w:w="956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82,400</w:t>
            </w:r>
          </w:p>
        </w:tc>
      </w:tr>
      <w:tr>
        <w:trPr>
          <w:trHeight w:val="401"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1,121.31</w:t>
            </w:r>
          </w:p>
        </w:tc>
      </w:tr>
      <w:tr>
        <w:trPr>
          <w:trHeight w:val="403"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83,521.31</w:t>
            </w:r>
          </w:p>
        </w:tc>
      </w:tr>
      <w:tr>
        <w:trPr>
          <w:trHeight w:val="713"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公司报告期不存在委托理财。</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32"/>
          <w:szCs w:val="32"/>
        </w:rPr>
      </w:pPr>
    </w:p>
    <w:p>
      <w:pPr>
        <w:pStyle w:val="BodyText"/>
        <w:spacing w:line="463" w:lineRule="auto"/>
        <w:ind w:right="1054" w:firstLine="360"/>
        <w:jc w:val="left"/>
      </w:pPr>
      <w:r>
        <w:rPr/>
        <w:t>报告期内，公司秉承</w:t>
      </w:r>
      <w:r>
        <w:rPr>
          <w:rFonts w:ascii="Times New Roman" w:hAnsi="Times New Roman" w:cs="Times New Roman" w:eastAsia="Times New Roman" w:hint="default"/>
        </w:rPr>
        <w:t>“</w:t>
      </w:r>
      <w:r>
        <w:rPr/>
        <w:t>客户增值、员工发展、企业进步</w:t>
      </w:r>
      <w:r>
        <w:rPr>
          <w:rFonts w:ascii="Times New Roman" w:hAnsi="Times New Roman" w:cs="Times New Roman" w:eastAsia="Times New Roman" w:hint="default"/>
        </w:rPr>
        <w:t>”</w:t>
      </w:r>
      <w:r>
        <w:rPr/>
        <w:t>的使命的同时，积极履行企业的社会责任，积极维护股东利益、 </w:t>
      </w:r>
      <w:r>
        <w:rPr>
          <w:spacing w:val="-2"/>
        </w:rPr>
        <w:t>债权人利益以及员工、客户、供应商等相关方的合法权益，坚持做到经济效益、社会贡献与环境友好并重，实现公司与社会</w:t>
      </w:r>
      <w:r>
        <w:rPr>
          <w:spacing w:val="-67"/>
        </w:rPr>
        <w:t> </w:t>
      </w:r>
      <w:r>
        <w:rPr>
          <w:spacing w:val="-67"/>
        </w:rPr>
      </w:r>
      <w:r>
        <w:rPr/>
        <w:t>的融合共进及可持续发展。</w:t>
      </w:r>
    </w:p>
    <w:p>
      <w:pPr>
        <w:pStyle w:val="BodyText"/>
        <w:spacing w:line="451" w:lineRule="auto" w:before="65"/>
        <w:ind w:left="513" w:right="1129"/>
        <w:jc w:val="left"/>
      </w:pPr>
      <w:r>
        <w:rPr/>
        <w:t>（</w:t>
      </w:r>
      <w:r>
        <w:rPr>
          <w:rFonts w:ascii="Times New Roman" w:hAnsi="Times New Roman" w:cs="Times New Roman" w:eastAsia="Times New Roman" w:hint="default"/>
        </w:rPr>
        <w:t>1</w:t>
      </w:r>
      <w:r>
        <w:rPr/>
        <w:t>）股东和债权人权益保护 </w:t>
      </w:r>
      <w:r>
        <w:rPr>
          <w:spacing w:val="-2"/>
        </w:rPr>
        <w:t>公司根据《公司法》、《证券法》、《上市公司治理准则》等法律法规的相关要求，不断完善公司治理结构，坚持股东</w:t>
      </w:r>
    </w:p>
    <w:p>
      <w:pPr>
        <w:pStyle w:val="BodyText"/>
        <w:spacing w:line="472" w:lineRule="auto" w:before="74"/>
        <w:ind w:right="1044"/>
        <w:jc w:val="left"/>
      </w:pPr>
      <w:r>
        <w:rPr>
          <w:spacing w:val="-2"/>
        </w:rPr>
        <w:t>大会、董事会、监事会及高管团队的规范运作，构建权责分明、协调运作、互相制衡的治理机制，确保决策、执行和监督相</w:t>
      </w:r>
      <w:r>
        <w:rPr>
          <w:spacing w:val="-73"/>
        </w:rPr>
        <w:t> </w:t>
      </w:r>
      <w:r>
        <w:rPr>
          <w:spacing w:val="-73"/>
        </w:rPr>
      </w:r>
      <w:r>
        <w:rPr/>
        <w:t>互分离、相互制衡，保障投资人权益。公司通过信息披露、专线电话交流、专用邮箱沟通、业绩说明会、投资者互动平台、 </w:t>
      </w:r>
      <w:r>
        <w:rPr>
          <w:spacing w:val="-2"/>
        </w:rPr>
        <w:t>投资者现场调研等多种方式与投资者互动，使投资者更加深入地了解公司经营管理状况，确保其信息的知情权，促进公司与</w:t>
      </w:r>
      <w:r>
        <w:rPr>
          <w:spacing w:val="-63"/>
        </w:rPr>
        <w:t> </w:t>
      </w:r>
      <w:r>
        <w:rPr>
          <w:spacing w:val="-63"/>
        </w:rPr>
      </w:r>
      <w:r>
        <w:rPr/>
        <w:t>投资者建立长期、稳定的良好互动关系。公司重视对股东的合理回报，根据中国证监会关于上市公司现金分红的有关规定， 报告期内，公司严格执行《公司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年股东回报规划》，在兼顾公司可持续发展的情况下，公司积极按照分红条件 </w:t>
      </w:r>
      <w:r>
        <w:rPr>
          <w:spacing w:val="-4"/>
        </w:rPr>
        <w:t>实施现金分红政策，通过回购股份的形式回报广大投资者，提高公司每股收益指标，以保障股东的收益权。诚信是经营之本，</w:t>
      </w:r>
      <w:r>
        <w:rPr>
          <w:spacing w:val="-46"/>
        </w:rPr>
        <w:t> </w:t>
      </w:r>
      <w:r>
        <w:rPr>
          <w:spacing w:val="-46"/>
        </w:rPr>
      </w:r>
      <w:r>
        <w:rPr>
          <w:spacing w:val="-2"/>
        </w:rPr>
        <w:t>公司追求股东利益的同时，也兼顾债权人的利益，及时向债权人反馈与其债权权益相关的重大信息，严格按照与债权人签订</w:t>
      </w:r>
      <w:r>
        <w:rPr>
          <w:spacing w:val="-63"/>
        </w:rPr>
        <w:t> </w:t>
      </w:r>
      <w:r>
        <w:rPr>
          <w:spacing w:val="-63"/>
        </w:rPr>
      </w:r>
      <w:r>
        <w:rPr/>
        <w:t>的债务合同履行债务，实现股东利益与债权人利益的双赢。</w:t>
      </w:r>
    </w:p>
    <w:p>
      <w:pPr>
        <w:pStyle w:val="BodyText"/>
        <w:spacing w:line="451" w:lineRule="auto" w:before="58"/>
        <w:ind w:left="513" w:right="1129"/>
        <w:jc w:val="left"/>
      </w:pPr>
      <w:r>
        <w:rPr/>
        <w:t>（</w:t>
      </w:r>
      <w:r>
        <w:rPr>
          <w:rFonts w:ascii="Times New Roman" w:hAnsi="Times New Roman" w:cs="Times New Roman" w:eastAsia="Times New Roman" w:hint="default"/>
        </w:rPr>
        <w:t>2</w:t>
      </w:r>
      <w:r>
        <w:rPr/>
        <w:t>）职工权益保护 </w:t>
      </w:r>
      <w:r>
        <w:rPr>
          <w:spacing w:val="-2"/>
        </w:rPr>
        <w:t>公司重视保障员工的权益，始终坚持以人为本的核心价值观，把改善员工的工作环境、实现员工的自我价值、提高员工</w:t>
      </w:r>
    </w:p>
    <w:p>
      <w:pPr>
        <w:pStyle w:val="BodyText"/>
        <w:spacing w:line="477" w:lineRule="auto" w:before="74"/>
        <w:ind w:right="1129"/>
        <w:jc w:val="both"/>
      </w:pPr>
      <w:r>
        <w:rPr>
          <w:spacing w:val="-2"/>
        </w:rPr>
        <w:t>的生活质量、推动员工的职业成长作为公司发展战略的重要组成部分，切实维护和保障员工的各项权益。公司严格遵守各项</w:t>
      </w:r>
      <w:r>
        <w:rPr>
          <w:spacing w:val="-62"/>
        </w:rPr>
        <w:t> </w:t>
      </w:r>
      <w:r>
        <w:rPr>
          <w:spacing w:val="-62"/>
        </w:rPr>
      </w:r>
      <w:r>
        <w:rPr>
          <w:spacing w:val="-2"/>
        </w:rPr>
        <w:t>劳动和社会保障法律法规，建立完善的用工管理制度，依法与员工签订劳动合同，按时足额发放员工工资和为在岗员工缴纳</w:t>
      </w:r>
      <w:r>
        <w:rPr>
          <w:spacing w:val="-63"/>
        </w:rPr>
        <w:t> </w:t>
      </w:r>
      <w:r>
        <w:rPr>
          <w:spacing w:val="-63"/>
        </w:rPr>
      </w:r>
      <w:r>
        <w:rPr>
          <w:spacing w:val="-2"/>
        </w:rPr>
        <w:t>各项法定社会保险及公积金。公司建立了健全的休假制度、完整的薪酬及绩效管理制度、安全生产的相关制度，建立健全的</w:t>
      </w:r>
      <w:r>
        <w:rPr>
          <w:spacing w:val="-65"/>
        </w:rPr>
        <w:t> </w:t>
      </w:r>
      <w:r>
        <w:rPr>
          <w:spacing w:val="-65"/>
        </w:rPr>
      </w:r>
      <w:r>
        <w:rPr/>
        <w:t>职业安全管理体系。公司为员工提供多种学习、培训和提升渠道，报告期内，累计组织培训场次</w:t>
      </w:r>
      <w:r>
        <w:rPr>
          <w:rFonts w:ascii="Times New Roman" w:hAnsi="Times New Roman" w:cs="Times New Roman" w:eastAsia="Times New Roman" w:hint="default"/>
        </w:rPr>
        <w:t>146</w:t>
      </w:r>
      <w:r>
        <w:rPr/>
        <w:t>场，为员工提供提升平</w:t>
      </w:r>
    </w:p>
    <w:p>
      <w:pPr>
        <w:spacing w:after="0" w:line="47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8" w:lineRule="auto"/>
        <w:ind w:right="1131"/>
        <w:jc w:val="both"/>
      </w:pPr>
      <w:r>
        <w:rPr>
          <w:spacing w:val="-2"/>
        </w:rPr>
        <w:t>台，支持员工自我增值。公司通过公开竞聘、推荐和自荐相结合的人才选拔机制，为员工提供开放的晋升渠道。公司为员工</w:t>
      </w:r>
      <w:r>
        <w:rPr>
          <w:spacing w:val="-67"/>
        </w:rPr>
        <w:t> </w:t>
      </w:r>
      <w:r>
        <w:rPr>
          <w:spacing w:val="-67"/>
        </w:rPr>
      </w:r>
      <w:r>
        <w:rPr>
          <w:spacing w:val="-2"/>
        </w:rPr>
        <w:t>提供安全舒适的生活、工作环境，并每年为员工安排免费体检。公司还定期或不定期开展各种形式的企业文化活动，关注员</w:t>
      </w:r>
      <w:r>
        <w:rPr>
          <w:spacing w:val="-65"/>
        </w:rPr>
        <w:t> </w:t>
      </w:r>
      <w:r>
        <w:rPr>
          <w:spacing w:val="-65"/>
        </w:rPr>
      </w:r>
      <w:r>
        <w:rPr/>
        <w:t>工身心健康和文化生活，增强员工身体素质，有效激发员工集体归属感和团队凝聚力。此外，公司的</w:t>
      </w:r>
      <w:r>
        <w:rPr>
          <w:rFonts w:ascii="Times New Roman" w:hAnsi="Times New Roman" w:cs="Times New Roman" w:eastAsia="Times New Roman" w:hint="default"/>
        </w:rPr>
        <w:t>“</w:t>
      </w:r>
      <w:r>
        <w:rPr/>
        <w:t>证通电子爱心互助基 金会</w:t>
      </w:r>
      <w:r>
        <w:rPr>
          <w:rFonts w:ascii="Times New Roman" w:hAnsi="Times New Roman" w:cs="Times New Roman" w:eastAsia="Times New Roman" w:hint="default"/>
        </w:rPr>
        <w:t>”</w:t>
      </w:r>
      <w:r>
        <w:rPr/>
        <w:t>也在不断为困难员工提供及时的救助支援。</w:t>
      </w:r>
    </w:p>
    <w:p>
      <w:pPr>
        <w:pStyle w:val="BodyText"/>
        <w:spacing w:line="451" w:lineRule="auto" w:before="29"/>
        <w:ind w:left="513" w:right="1133"/>
        <w:jc w:val="left"/>
      </w:pPr>
      <w:r>
        <w:rPr/>
        <w:t>（</w:t>
      </w:r>
      <w:r>
        <w:rPr>
          <w:rFonts w:ascii="Times New Roman" w:hAnsi="Times New Roman" w:cs="Times New Roman" w:eastAsia="Times New Roman" w:hint="default"/>
        </w:rPr>
        <w:t>3</w:t>
      </w:r>
      <w:r>
        <w:rPr/>
        <w:t>）客户及供应商权益保护 </w:t>
      </w:r>
      <w:r>
        <w:rPr>
          <w:spacing w:val="-2"/>
        </w:rPr>
        <w:t>公司持续践行</w:t>
      </w:r>
      <w:r>
        <w:rPr>
          <w:rFonts w:ascii="Times New Roman" w:hAnsi="Times New Roman" w:cs="Times New Roman" w:eastAsia="Times New Roman" w:hint="default"/>
          <w:spacing w:val="-2"/>
        </w:rPr>
        <w:t>“</w:t>
      </w:r>
      <w:r>
        <w:rPr>
          <w:spacing w:val="-2"/>
        </w:rPr>
        <w:t>诚实守信、共享价值</w:t>
      </w:r>
      <w:r>
        <w:rPr>
          <w:rFonts w:ascii="Times New Roman" w:hAnsi="Times New Roman" w:cs="Times New Roman" w:eastAsia="Times New Roman" w:hint="default"/>
          <w:spacing w:val="-2"/>
        </w:rPr>
        <w:t>”</w:t>
      </w:r>
      <w:r>
        <w:rPr>
          <w:spacing w:val="-2"/>
        </w:rPr>
        <w:t>的理念，与客户、供应商建立良好的合作关系。对于客户，公司本着对客户负责的</w:t>
      </w:r>
    </w:p>
    <w:p>
      <w:pPr>
        <w:pStyle w:val="BodyText"/>
        <w:spacing w:line="477" w:lineRule="auto" w:before="43"/>
        <w:ind w:right="1128"/>
        <w:jc w:val="both"/>
      </w:pPr>
      <w:r>
        <w:rPr>
          <w:spacing w:val="-2"/>
        </w:rPr>
        <w:t>态度，以满足客户需求为基本出发点，以服务战略定位为导向，通过规范的流程、严格的实施标准和完善的监控方案，致力</w:t>
      </w:r>
      <w:r>
        <w:rPr>
          <w:spacing w:val="-67"/>
        </w:rPr>
        <w:t> </w:t>
      </w:r>
      <w:r>
        <w:rPr>
          <w:spacing w:val="-67"/>
        </w:rPr>
      </w:r>
      <w:r>
        <w:rPr>
          <w:spacing w:val="-2"/>
        </w:rPr>
        <w:t>于为客户提供优质的产品与服务。公司建立了专业的客户服务中心，目前区域客服管理中心、售后服务网点覆盖全国（除港</w:t>
      </w:r>
      <w:r>
        <w:rPr>
          <w:spacing w:val="-64"/>
        </w:rPr>
        <w:t> </w:t>
      </w:r>
      <w:r>
        <w:rPr>
          <w:spacing w:val="-64"/>
        </w:rPr>
      </w:r>
      <w:r>
        <w:rPr>
          <w:spacing w:val="-2"/>
        </w:rPr>
        <w:t>澳台），通过公司网站、服务网点、服务电话，及时了解客户需求和意见反馈，有效快速的回复客户、定期对客户进行满意</w:t>
      </w:r>
      <w:r>
        <w:rPr>
          <w:spacing w:val="-73"/>
        </w:rPr>
        <w:t> </w:t>
      </w:r>
      <w:r>
        <w:rPr>
          <w:spacing w:val="-73"/>
        </w:rPr>
      </w:r>
      <w:r>
        <w:rPr>
          <w:spacing w:val="-2"/>
        </w:rPr>
        <w:t>度调查，提高客户的满意度及忠诚度。公司通过持续积累的品牌价值，获得行业内客户较高的认可，已与多家客户达成战略</w:t>
      </w:r>
      <w:r>
        <w:rPr>
          <w:spacing w:val="-65"/>
        </w:rPr>
        <w:t> </w:t>
      </w:r>
      <w:r>
        <w:rPr>
          <w:spacing w:val="-65"/>
        </w:rPr>
      </w:r>
      <w:r>
        <w:rPr>
          <w:spacing w:val="-2"/>
        </w:rPr>
        <w:t>合作伙伴关系，与客户实现诚信互助、优势互补、利益共享。对于供应商，公司秉承诚实守信、互惠互利、公平公正、协同</w:t>
      </w:r>
      <w:r>
        <w:rPr>
          <w:spacing w:val="-65"/>
        </w:rPr>
        <w:t> </w:t>
      </w:r>
      <w:r>
        <w:rPr>
          <w:spacing w:val="-65"/>
        </w:rPr>
      </w:r>
      <w:r>
        <w:rPr>
          <w:spacing w:val="-2"/>
        </w:rPr>
        <w:t>发展的商业价值观，严格履行与供应商签订的合同约定与商业规则，与供应商保持平等的沟通与合作，尊重供应商的合理报</w:t>
      </w:r>
      <w:r>
        <w:rPr>
          <w:spacing w:val="-61"/>
        </w:rPr>
        <w:t> </w:t>
      </w:r>
      <w:r>
        <w:rPr>
          <w:spacing w:val="-61"/>
        </w:rPr>
      </w:r>
      <w:r>
        <w:rPr>
          <w:spacing w:val="-2"/>
        </w:rPr>
        <w:t>价，建立并严格执行采购标准和评估体系，对采购工作进行稳定有效的管理，切实维护供应商的合法权益。遵循基本的市场</w:t>
      </w:r>
      <w:r>
        <w:rPr>
          <w:spacing w:val="-65"/>
        </w:rPr>
        <w:t> </w:t>
      </w:r>
      <w:r>
        <w:rPr>
          <w:spacing w:val="-65"/>
        </w:rPr>
      </w:r>
      <w:r>
        <w:rPr>
          <w:spacing w:val="-2"/>
        </w:rPr>
        <w:t>法则，保守供应商商业秘密，对供应商的技术信息和经营信息严格保密，为供应商提供一个良好的竞争环境，促进公司与供</w:t>
      </w:r>
      <w:r>
        <w:rPr>
          <w:spacing w:val="-64"/>
        </w:rPr>
        <w:t> </w:t>
      </w:r>
      <w:r>
        <w:rPr>
          <w:spacing w:val="-64"/>
        </w:rPr>
      </w:r>
      <w:r>
        <w:rPr/>
        <w:t>应商长期稳定合作。</w:t>
      </w:r>
    </w:p>
    <w:p>
      <w:pPr>
        <w:pStyle w:val="BodyText"/>
        <w:spacing w:line="451" w:lineRule="auto" w:before="54"/>
        <w:ind w:left="513" w:right="1233"/>
        <w:jc w:val="left"/>
      </w:pPr>
      <w:r>
        <w:rPr/>
        <w:t>（</w:t>
      </w:r>
      <w:r>
        <w:rPr>
          <w:rFonts w:ascii="Times New Roman" w:hAnsi="Times New Roman" w:cs="Times New Roman" w:eastAsia="Times New Roman" w:hint="default"/>
        </w:rPr>
        <w:t>4</w:t>
      </w:r>
      <w:r>
        <w:rPr/>
        <w:t>）商品质量 公司以</w:t>
      </w:r>
      <w:r>
        <w:rPr>
          <w:rFonts w:ascii="Times New Roman" w:hAnsi="Times New Roman" w:cs="Times New Roman" w:eastAsia="Times New Roman" w:hint="default"/>
        </w:rPr>
        <w:t>“</w:t>
      </w:r>
      <w:r>
        <w:rPr/>
        <w:t>持续改善、构建价值和尊严，创行业领先，用品质与世界对话</w:t>
      </w:r>
      <w:r>
        <w:rPr>
          <w:rFonts w:ascii="Times New Roman" w:hAnsi="Times New Roman" w:cs="Times New Roman" w:eastAsia="Times New Roman" w:hint="default"/>
        </w:rPr>
        <w:t>”</w:t>
      </w:r>
      <w:r>
        <w:rPr/>
        <w:t>为质量方针。已通过国际先进的质量管理体系</w:t>
      </w:r>
    </w:p>
    <w:p>
      <w:pPr>
        <w:pStyle w:val="BodyText"/>
        <w:spacing w:line="463" w:lineRule="auto" w:before="43"/>
        <w:ind w:right="1120"/>
        <w:jc w:val="both"/>
      </w:pPr>
      <w:r>
        <w:rPr>
          <w:rFonts w:ascii="Times New Roman" w:hAnsi="Times New Roman" w:cs="Times New Roman" w:eastAsia="Times New Roman" w:hint="default"/>
        </w:rPr>
        <w:t>ISO9001</w:t>
      </w:r>
      <w:r>
        <w:rPr/>
        <w:t>认证，并建立了完善的产品及服务质量管理制度及周到的售后服务体系，设立了包括最高管理者，管理层及职员、 </w:t>
      </w:r>
      <w:r>
        <w:rPr>
          <w:spacing w:val="-2"/>
        </w:rPr>
        <w:t>员工等各个层级在内的质量管理组织，围绕运营质量提升开展工作并达到预期目的。近年来，公司获深圳质量百强企业、深</w:t>
      </w:r>
      <w:r>
        <w:rPr>
          <w:spacing w:val="-64"/>
        </w:rPr>
        <w:t> </w:t>
      </w:r>
      <w:r>
        <w:rPr>
          <w:spacing w:val="-64"/>
        </w:rPr>
      </w:r>
      <w:r>
        <w:rPr/>
        <w:t>圳市质量强市卓越贡献奖、南山区人民政府质量奖等多个奖项。</w:t>
      </w:r>
    </w:p>
    <w:p>
      <w:pPr>
        <w:pStyle w:val="BodyText"/>
        <w:spacing w:line="451" w:lineRule="auto" w:before="65"/>
        <w:ind w:left="513" w:right="1173"/>
        <w:jc w:val="left"/>
      </w:pPr>
      <w:r>
        <w:rPr/>
        <w:t>（</w:t>
      </w:r>
      <w:r>
        <w:rPr>
          <w:rFonts w:ascii="Times New Roman" w:hAnsi="Times New Roman" w:cs="Times New Roman" w:eastAsia="Times New Roman" w:hint="default"/>
        </w:rPr>
        <w:t>5</w:t>
      </w:r>
      <w:r>
        <w:rPr/>
        <w:t>）环境保护和可持续发展 公司高度重视绿色发展的持续发展理念，已通过</w:t>
      </w:r>
      <w:r>
        <w:rPr>
          <w:rFonts w:ascii="Times New Roman" w:hAnsi="Times New Roman" w:cs="Times New Roman" w:eastAsia="Times New Roman" w:hint="default"/>
        </w:rPr>
        <w:t>ISO14001</w:t>
      </w:r>
      <w:r>
        <w:rPr/>
        <w:t>环境管理国际体系认证，并严格按</w:t>
      </w:r>
      <w:r>
        <w:rPr>
          <w:rFonts w:ascii="Times New Roman" w:hAnsi="Times New Roman" w:cs="Times New Roman" w:eastAsia="Times New Roman" w:hint="default"/>
        </w:rPr>
        <w:t>ISO14001</w:t>
      </w:r>
      <w:r>
        <w:rPr/>
        <w:t>体系管理公司的</w:t>
      </w:r>
    </w:p>
    <w:p>
      <w:pPr>
        <w:pStyle w:val="BodyText"/>
        <w:spacing w:line="465" w:lineRule="auto" w:before="43"/>
        <w:ind w:right="1034"/>
        <w:jc w:val="left"/>
      </w:pPr>
      <w:r>
        <w:rPr>
          <w:spacing w:val="-2"/>
        </w:rPr>
        <w:t>各项生产经营活动。公司各业务板块都倡导节能减排、安全环保的理念。金融电子板块，通过循环利用、使用检测仪器进行</w:t>
      </w:r>
      <w:r>
        <w:rPr>
          <w:spacing w:val="-67"/>
        </w:rPr>
        <w:t> </w:t>
      </w:r>
      <w:r>
        <w:rPr>
          <w:spacing w:val="-67"/>
        </w:rPr>
      </w:r>
      <w:r>
        <w:rPr>
          <w:spacing w:val="-2"/>
        </w:rPr>
        <w:t>在线监测水质状况是否达标或超标，并通过建立生化池及聘请专业环保公司集中清理等方式，降低</w:t>
      </w:r>
      <w:r>
        <w:rPr>
          <w:rFonts w:ascii="Times New Roman" w:hAnsi="Times New Roman" w:cs="Times New Roman" w:eastAsia="Times New Roman" w:hint="default"/>
          <w:spacing w:val="-2"/>
        </w:rPr>
        <w:t>“</w:t>
      </w:r>
      <w:r>
        <w:rPr>
          <w:spacing w:val="-2"/>
        </w:rPr>
        <w:t>废气、废水、废渣</w:t>
      </w:r>
      <w:r>
        <w:rPr>
          <w:rFonts w:ascii="Times New Roman" w:hAnsi="Times New Roman" w:cs="Times New Roman" w:eastAsia="Times New Roman" w:hint="default"/>
          <w:spacing w:val="-2"/>
        </w:rPr>
        <w:t>”</w:t>
      </w:r>
      <w:r>
        <w:rPr>
          <w:spacing w:val="-2"/>
        </w:rPr>
        <w:t>的排</w:t>
      </w:r>
      <w:r>
        <w:rPr>
          <w:spacing w:val="-47"/>
        </w:rPr>
        <w:t> </w:t>
      </w:r>
      <w:r>
        <w:rPr/>
        <w:t>放；生产区域内通过减少使用及更换掉噪音较大设备的方式降低生产噪音；产品包装材料、废弃物料统一回收，循环利用。</w:t>
      </w:r>
      <w:r>
        <w:rPr/>
        <w:t> 亮化照明板块，公司与多地政府合作采取</w:t>
      </w:r>
      <w:r>
        <w:rPr>
          <w:rFonts w:ascii="Times New Roman" w:hAnsi="Times New Roman" w:cs="Times New Roman" w:eastAsia="Times New Roman" w:hint="default"/>
        </w:rPr>
        <w:t>EMC</w:t>
      </w:r>
      <w:r>
        <w:rPr/>
        <w:t>的节能投资方式，降低能耗，提升社会能源的使用效率。数据中心的能源效 </w:t>
      </w:r>
      <w:r>
        <w:rPr>
          <w:spacing w:val="-2"/>
        </w:rPr>
        <w:t>率上，公司从设计到运营全程控制低能耗运行，强调绿色节能，严格符合工信部提出的绿色数据中心的要求。办公方面，公</w:t>
      </w:r>
      <w:r>
        <w:rPr>
          <w:spacing w:val="-67"/>
        </w:rPr>
        <w:t> </w:t>
      </w:r>
      <w:r>
        <w:rPr>
          <w:spacing w:val="-67"/>
        </w:rPr>
      </w:r>
      <w:r>
        <w:rPr>
          <w:spacing w:val="-2"/>
        </w:rPr>
        <w:t>司持续强化绿色办公、无纸化办公的理念，定期审查照明及办公设备的合理使用情况，合理规划办公区域空调温度、通过使</w:t>
      </w:r>
      <w:r>
        <w:rPr>
          <w:spacing w:val="-65"/>
        </w:rPr>
        <w:t> </w:t>
      </w:r>
      <w:r>
        <w:rPr>
          <w:spacing w:val="-65"/>
        </w:rPr>
      </w:r>
      <w:r>
        <w:rPr/>
        <w:t>用</w:t>
      </w:r>
      <w:r>
        <w:rPr>
          <w:rFonts w:ascii="Times New Roman" w:hAnsi="Times New Roman" w:cs="Times New Roman" w:eastAsia="Times New Roman" w:hint="default"/>
        </w:rPr>
        <w:t>ERP</w:t>
      </w:r>
      <w:r>
        <w:rPr/>
        <w:t>系统及</w:t>
      </w:r>
      <w:r>
        <w:rPr>
          <w:rFonts w:ascii="Times New Roman" w:hAnsi="Times New Roman" w:cs="Times New Roman" w:eastAsia="Times New Roman" w:hint="default"/>
        </w:rPr>
        <w:t>OA</w:t>
      </w:r>
      <w:r>
        <w:rPr/>
        <w:t>、钉钉等移动互联网工具，不断推进无纸化实现；积极利用视频会议、电话会议等现代信息技术手段，开 </w:t>
      </w:r>
      <w:r>
        <w:rPr>
          <w:spacing w:val="-2"/>
        </w:rPr>
        <w:t>展工作，提升效率。园区方面，公司合理规划产业园区绿化面积，培育植被、实施综合景观治理，园区内提供新能源汽车充</w:t>
      </w:r>
    </w:p>
    <w:p>
      <w:pPr>
        <w:spacing w:after="0" w:line="465"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电桩设备、可风力蓄电的智慧灯杆，并通过噪音检测、雨污分流进一步改善产业园区和周边生态环境。</w:t>
      </w:r>
    </w:p>
    <w:p>
      <w:pPr>
        <w:spacing w:line="240" w:lineRule="auto" w:before="10"/>
        <w:rPr>
          <w:rFonts w:ascii="宋体" w:hAnsi="宋体" w:cs="宋体" w:eastAsia="宋体" w:hint="default"/>
          <w:sz w:val="17"/>
          <w:szCs w:val="17"/>
        </w:rPr>
      </w:pPr>
    </w:p>
    <w:p>
      <w:pPr>
        <w:pStyle w:val="BodyText"/>
        <w:spacing w:line="451" w:lineRule="auto"/>
        <w:ind w:left="513" w:right="1129"/>
        <w:jc w:val="left"/>
      </w:pPr>
      <w:r>
        <w:rPr/>
        <w:t>（</w:t>
      </w:r>
      <w:r>
        <w:rPr>
          <w:rFonts w:ascii="Times New Roman" w:hAnsi="Times New Roman" w:cs="Times New Roman" w:eastAsia="Times New Roman" w:hint="default"/>
        </w:rPr>
        <w:t>6</w:t>
      </w:r>
      <w:r>
        <w:rPr/>
        <w:t>）公共事业 </w:t>
      </w:r>
      <w:r>
        <w:rPr>
          <w:spacing w:val="-2"/>
        </w:rPr>
        <w:t>公司积极关注国家和地方政府各项政策，积极支持国家和地方财政税收和经济建设，依法缴纳各项税费。报告期内，公</w:t>
      </w:r>
    </w:p>
    <w:p>
      <w:pPr>
        <w:pStyle w:val="BodyText"/>
        <w:spacing w:line="477" w:lineRule="auto" w:before="74"/>
        <w:ind w:right="1129"/>
        <w:jc w:val="both"/>
      </w:pPr>
      <w:r>
        <w:rPr>
          <w:spacing w:val="-2"/>
        </w:rPr>
        <w:t>司在宏观经济压力较大的情况下，依然向社会提供包含高端人才、专业技术人才、大学毕业生等众多就业岗位，并积极参加</w:t>
      </w:r>
      <w:r>
        <w:rPr>
          <w:spacing w:val="-64"/>
        </w:rPr>
        <w:t> </w:t>
      </w:r>
      <w:r>
        <w:rPr>
          <w:spacing w:val="-64"/>
        </w:rPr>
      </w:r>
      <w:r>
        <w:rPr>
          <w:spacing w:val="-2"/>
        </w:rPr>
        <w:t>区政府组织的现场招聘活动，为缓解社会就业压力、带动地方经济的发展贡献一份力量。公司取得经营业绩的同时，还注重</w:t>
      </w:r>
      <w:r>
        <w:rPr>
          <w:spacing w:val="-64"/>
        </w:rPr>
        <w:t> </w:t>
      </w:r>
      <w:r>
        <w:rPr>
          <w:spacing w:val="-64"/>
        </w:rPr>
      </w:r>
      <w:r>
        <w:rPr>
          <w:spacing w:val="-2"/>
        </w:rPr>
        <w:t>带动和支持当地经济的发展，报告期内，公司的智慧光明各项目取得重大突破，多个项目的按期保质交付受到客户好评，公</w:t>
      </w:r>
      <w:r>
        <w:rPr>
          <w:spacing w:val="-64"/>
        </w:rPr>
        <w:t> </w:t>
      </w:r>
      <w:r>
        <w:rPr>
          <w:spacing w:val="-64"/>
        </w:rPr>
      </w:r>
      <w:r>
        <w:rPr/>
        <w:t>司从基础设施到软硬件及平台建设多方面为市区的发展提供了有效助力。</w:t>
      </w:r>
    </w:p>
    <w:p>
      <w:pPr>
        <w:pStyle w:val="BodyText"/>
        <w:spacing w:line="451" w:lineRule="auto" w:before="55"/>
        <w:ind w:left="513" w:right="1129"/>
        <w:jc w:val="left"/>
      </w:pPr>
      <w:r>
        <w:rPr/>
        <w:t>（</w:t>
      </w:r>
      <w:r>
        <w:rPr>
          <w:rFonts w:ascii="Times New Roman" w:hAnsi="Times New Roman" w:cs="Times New Roman" w:eastAsia="Times New Roman" w:hint="default"/>
        </w:rPr>
        <w:t>7</w:t>
      </w:r>
      <w:r>
        <w:rPr/>
        <w:t>）积极参与社会公益事业 </w:t>
      </w:r>
      <w:r>
        <w:rPr>
          <w:spacing w:val="-2"/>
        </w:rPr>
        <w:t>公司注重企业价值回馈社会，自觉履行社会责任，关爱社会弱势群体，积极投身社会公益慈善事业，公司成立了爱心互</w:t>
      </w:r>
    </w:p>
    <w:p>
      <w:pPr>
        <w:pStyle w:val="BodyText"/>
        <w:spacing w:line="451" w:lineRule="auto" w:before="74"/>
        <w:ind w:right="1130"/>
        <w:jc w:val="both"/>
      </w:pPr>
      <w:r>
        <w:rPr>
          <w:spacing w:val="-2"/>
        </w:rPr>
        <w:t>助基金会，以</w:t>
      </w:r>
      <w:r>
        <w:rPr>
          <w:rFonts w:ascii="Times New Roman" w:hAnsi="Times New Roman" w:cs="Times New Roman" w:eastAsia="Times New Roman" w:hint="default"/>
          <w:spacing w:val="-2"/>
        </w:rPr>
        <w:t>“</w:t>
      </w:r>
      <w:r>
        <w:rPr>
          <w:spacing w:val="-2"/>
        </w:rPr>
        <w:t>奉献爱心、传播友爱、扶危帮困，共创和谐社会</w:t>
      </w:r>
      <w:r>
        <w:rPr>
          <w:rFonts w:ascii="Times New Roman" w:hAnsi="Times New Roman" w:cs="Times New Roman" w:eastAsia="Times New Roman" w:hint="default"/>
          <w:spacing w:val="-2"/>
        </w:rPr>
        <w:t>”</w:t>
      </w:r>
      <w:r>
        <w:rPr>
          <w:spacing w:val="-2"/>
        </w:rPr>
        <w:t>为宗旨，对重大疾病和突发事故、重大自然灾害、贫困山区</w:t>
      </w:r>
      <w:r>
        <w:rPr>
          <w:spacing w:val="-44"/>
        </w:rPr>
        <w:t> </w:t>
      </w:r>
      <w:r>
        <w:rPr>
          <w:spacing w:val="-44"/>
        </w:rPr>
      </w:r>
      <w:r>
        <w:rPr>
          <w:spacing w:val="-2"/>
        </w:rPr>
        <w:t>助学等提供关爱与支援，爱心互助基金会自成立以来为员工及其亲属提供救助累计达</w:t>
      </w:r>
      <w:r>
        <w:rPr>
          <w:rFonts w:ascii="Times New Roman" w:hAnsi="Times New Roman" w:cs="Times New Roman" w:eastAsia="Times New Roman" w:hint="default"/>
          <w:spacing w:val="-2"/>
        </w:rPr>
        <w:t>42</w:t>
      </w:r>
      <w:r>
        <w:rPr>
          <w:spacing w:val="-2"/>
        </w:rPr>
        <w:t>次。报告期内，为员工及家属患重大</w:t>
      </w:r>
      <w:r>
        <w:rPr>
          <w:spacing w:val="-64"/>
        </w:rPr>
        <w:t> </w:t>
      </w:r>
      <w:r>
        <w:rPr>
          <w:spacing w:val="-64"/>
        </w:rPr>
      </w:r>
      <w:r>
        <w:rPr/>
        <w:t>疾病或意外灾害情况的捐助累计达</w:t>
      </w:r>
      <w:r>
        <w:rPr>
          <w:rFonts w:ascii="Times New Roman" w:hAnsi="Times New Roman" w:cs="Times New Roman" w:eastAsia="Times New Roman" w:hint="default"/>
        </w:rPr>
        <w:t>6</w:t>
      </w:r>
      <w:r>
        <w:rPr/>
        <w:t>次，其中员工家属重疾及意外慰问</w:t>
      </w:r>
      <w:r>
        <w:rPr>
          <w:rFonts w:ascii="Times New Roman" w:hAnsi="Times New Roman" w:cs="Times New Roman" w:eastAsia="Times New Roman" w:hint="default"/>
        </w:rPr>
        <w:t>4</w:t>
      </w:r>
      <w:r>
        <w:rPr/>
        <w:t>次，贫困学子捐助</w:t>
      </w:r>
      <w:r>
        <w:rPr>
          <w:rFonts w:ascii="Times New Roman" w:hAnsi="Times New Roman" w:cs="Times New Roman" w:eastAsia="Times New Roman" w:hint="default"/>
        </w:rPr>
        <w:t>2</w:t>
      </w:r>
      <w:r>
        <w:rPr/>
        <w:t>批次，资助贫困学子</w:t>
      </w:r>
      <w:r>
        <w:rPr>
          <w:rFonts w:ascii="Times New Roman" w:hAnsi="Times New Roman" w:cs="Times New Roman" w:eastAsia="Times New Roman" w:hint="default"/>
        </w:rPr>
        <w:t>14</w:t>
      </w:r>
      <w:r>
        <w:rPr/>
        <w:t>人。</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5"/>
        <w:ind w:right="1133"/>
        <w:jc w:val="left"/>
      </w:pPr>
      <w:r>
        <w:rPr/>
        <w:t>公司及公司子公司不属于环境保护部门公布的重点排污单位。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4"/>
          <w:szCs w:val="14"/>
        </w:rPr>
      </w:pPr>
    </w:p>
    <w:p>
      <w:pPr>
        <w:pStyle w:val="BodyText"/>
        <w:spacing w:line="458" w:lineRule="auto"/>
        <w:ind w:right="1078"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日，公司召开的第四届董事会第二十七次会议，审议通过了《关于公司及子公司开展融资租赁业务及提</w:t>
      </w:r>
      <w:r>
        <w:rPr/>
        <w:t> </w:t>
      </w:r>
      <w:r>
        <w:rPr>
          <w:spacing w:val="-2"/>
        </w:rPr>
        <w:t>供担保额度的议案》，公司及全资子公司长沙证通云计算、控股子公司云硕科技、宏达通信拟与不存在关联关系的融资租赁</w:t>
      </w:r>
      <w:r>
        <w:rPr>
          <w:spacing w:val="-64"/>
        </w:rPr>
        <w:t> </w:t>
      </w:r>
      <w:r>
        <w:rPr>
          <w:spacing w:val="-64"/>
        </w:rPr>
      </w:r>
      <w:r>
        <w:rPr/>
        <w:t>公司或银行开展累计总金额不超过人民币</w:t>
      </w:r>
      <w:r>
        <w:rPr>
          <w:spacing w:val="10"/>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spacing w:val="-3"/>
        </w:rPr>
        <w:t>亿元的融资租赁业务。相关事项详见于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11</w:t>
      </w:r>
      <w:r>
        <w:rPr>
          <w:spacing w:val="-3"/>
        </w:rPr>
        <w:t>日披露于巨潮资讯网及《证</w:t>
      </w:r>
      <w:r>
        <w:rPr>
          <w:spacing w:val="-84"/>
        </w:rPr>
        <w:t> </w:t>
      </w:r>
      <w:r>
        <w:rPr>
          <w:spacing w:val="-84"/>
        </w:rPr>
      </w:r>
      <w:r>
        <w:rPr/>
        <w:t>券时报》上的《公司关于公司及子公司开展融资租赁业务及提供担保额度的公告》（编号：</w:t>
      </w:r>
      <w:r>
        <w:rPr>
          <w:rFonts w:ascii="Times New Roman" w:hAnsi="Times New Roman" w:cs="Times New Roman" w:eastAsia="Times New Roman" w:hint="default"/>
        </w:rPr>
        <w:t>2018-084</w:t>
      </w:r>
      <w:r>
        <w:rPr/>
        <w:t>号）。截止报告期末， 该融资租赁业务尚未开展。</w:t>
      </w:r>
    </w:p>
    <w:p>
      <w:pPr>
        <w:pStyle w:val="BodyText"/>
        <w:spacing w:line="456" w:lineRule="auto" w:before="68"/>
        <w:ind w:right="1132"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日，公司召开的第四届董事会第三十四次（临时）会议，审议通过了《关于公司受让内蒙古呼和浩特 金谷农村商业银行股份有限公司股权的议案》，公司拟受让中科恒源持有的部分金谷农商行股份，以抵消中科恒源对公司 </w:t>
      </w:r>
      <w:r>
        <w:rPr>
          <w:rFonts w:ascii="Times New Roman" w:hAnsi="Times New Roman" w:cs="Times New Roman" w:eastAsia="Times New Roman" w:hint="default"/>
        </w:rPr>
        <w:t>7,100</w:t>
      </w:r>
      <w:r>
        <w:rPr/>
        <w:t>万元的债务。双方于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日签署了《内蒙古呼和浩特金谷农村商业银行股份有限公司股权转让协议》，相关 </w:t>
      </w:r>
      <w:r>
        <w:rPr>
          <w:spacing w:val="-2"/>
        </w:rPr>
        <w:t>事项详见于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日披露于巨潮资讯网及《证券时报》上的《公司关于受让内蒙古呼和浩特金谷农村商业银行股份有限</w:t>
      </w:r>
      <w:r>
        <w:rPr>
          <w:spacing w:val="-62"/>
        </w:rPr>
        <w:t> </w:t>
      </w:r>
      <w:r>
        <w:rPr>
          <w:spacing w:val="-62"/>
        </w:rPr>
      </w:r>
      <w:r>
        <w:rPr>
          <w:spacing w:val="-1"/>
        </w:rPr>
        <w:t>公司股权的公告》（编号：</w:t>
      </w:r>
      <w:r>
        <w:rPr>
          <w:rFonts w:ascii="Times New Roman" w:hAnsi="Times New Roman" w:cs="Times New Roman" w:eastAsia="Times New Roman" w:hint="default"/>
          <w:spacing w:val="-1"/>
        </w:rPr>
        <w:t>2019-003</w:t>
      </w:r>
      <w:r>
        <w:rPr>
          <w:spacing w:val="-1"/>
        </w:rPr>
        <w:t>号）。截止报告期末，公司已完成金谷农商行股权的确权登记，公司通过全资子公司长</w:t>
      </w:r>
      <w:r>
        <w:rPr/>
        <w:t> 沙证通云计算持有金谷农商行</w:t>
      </w:r>
      <w:r>
        <w:rPr>
          <w:rFonts w:ascii="Times New Roman" w:hAnsi="Times New Roman" w:cs="Times New Roman" w:eastAsia="Times New Roman" w:hint="default"/>
        </w:rPr>
        <w:t>1,775</w:t>
      </w:r>
      <w:r>
        <w:rPr/>
        <w:t>万股股份。</w:t>
      </w:r>
    </w:p>
    <w:p>
      <w:pPr>
        <w:pStyle w:val="BodyText"/>
        <w:spacing w:line="460" w:lineRule="auto" w:before="39"/>
        <w:ind w:right="1043"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日，公司召开第五届董事会第四次（临时）会议、</w:t>
      </w:r>
      <w:r>
        <w:rPr>
          <w:rFonts w:ascii="Times New Roman" w:hAnsi="Times New Roman" w:cs="Times New Roman" w:eastAsia="Times New Roman" w:hint="default"/>
          <w:spacing w:val="-2"/>
        </w:rPr>
        <w:t>2019</w:t>
      </w:r>
      <w:r>
        <w:rPr>
          <w:spacing w:val="-2"/>
        </w:rPr>
        <w:t>年第六次临时股东大会，审议</w:t>
      </w:r>
      <w:r>
        <w:rPr/>
        <w:t> </w:t>
      </w:r>
      <w:r>
        <w:rPr>
          <w:spacing w:val="-2"/>
        </w:rPr>
        <w:t>通过了《关于公司符合非公开发行公司债券条件的议案》、《关于公司非公开发行公司债券方案的议案》等相关议案，公司</w:t>
      </w:r>
      <w:r>
        <w:rPr>
          <w:spacing w:val="-67"/>
        </w:rPr>
        <w:t> </w:t>
      </w:r>
      <w:r>
        <w:rPr>
          <w:spacing w:val="-67"/>
        </w:rPr>
      </w:r>
      <w:r>
        <w:rPr>
          <w:spacing w:val="-5"/>
        </w:rPr>
        <w:t>拟申请非公开发行不超过人民币</w:t>
      </w:r>
      <w:r>
        <w:rPr>
          <w:rFonts w:ascii="Times New Roman" w:hAnsi="Times New Roman" w:cs="Times New Roman" w:eastAsia="Times New Roman" w:hint="default"/>
          <w:spacing w:val="-5"/>
        </w:rPr>
        <w:t>4</w:t>
      </w:r>
      <w:r>
        <w:rPr>
          <w:spacing w:val="-5"/>
        </w:rPr>
        <w:t>亿元（含</w:t>
      </w:r>
      <w:r>
        <w:rPr>
          <w:rFonts w:ascii="Times New Roman" w:hAnsi="Times New Roman" w:cs="Times New Roman" w:eastAsia="Times New Roman" w:hint="default"/>
          <w:spacing w:val="-5"/>
        </w:rPr>
        <w:t>4</w:t>
      </w:r>
      <w:r>
        <w:rPr>
          <w:spacing w:val="-5"/>
        </w:rPr>
        <w:t>亿元）公司债券。</w:t>
      </w:r>
      <w:r>
        <w:rPr>
          <w:spacing w:val="-60"/>
        </w:rPr>
        <w:t> </w:t>
      </w:r>
      <w:r>
        <w:rPr>
          <w:spacing w:val="-3"/>
        </w:rPr>
        <w:t>相关事项详见公司于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日披露于巨潮资讯网上的《公</w:t>
      </w:r>
      <w:r>
        <w:rPr>
          <w:spacing w:val="-60"/>
        </w:rPr>
        <w:t> </w:t>
      </w:r>
      <w:r>
        <w:rPr>
          <w:spacing w:val="-60"/>
        </w:rPr>
      </w:r>
      <w:r>
        <w:rPr>
          <w:spacing w:val="-3"/>
        </w:rPr>
        <w:t>司</w:t>
      </w:r>
      <w:r>
        <w:rPr>
          <w:rFonts w:ascii="Times New Roman" w:hAnsi="Times New Roman" w:cs="Times New Roman" w:eastAsia="Times New Roman" w:hint="default"/>
          <w:spacing w:val="-3"/>
        </w:rPr>
        <w:t>2019</w:t>
      </w:r>
      <w:r>
        <w:rPr>
          <w:spacing w:val="-3"/>
        </w:rPr>
        <w:t>年非公开发行公司债券发行预案》（编号：</w:t>
      </w:r>
      <w:r>
        <w:rPr>
          <w:rFonts w:ascii="Times New Roman" w:hAnsi="Times New Roman" w:cs="Times New Roman" w:eastAsia="Times New Roman" w:hint="default"/>
          <w:spacing w:val="-3"/>
        </w:rPr>
        <w:t>2019-111</w:t>
      </w:r>
      <w:r>
        <w:rPr>
          <w:spacing w:val="-3"/>
        </w:rPr>
        <w:t>号），公司将根据市场环境和实际情况，择机推进公司债的发行。</w:t>
      </w:r>
    </w:p>
    <w:p>
      <w:pPr>
        <w:pStyle w:val="BodyText"/>
        <w:spacing w:line="458" w:lineRule="auto" w:before="35"/>
        <w:ind w:right="1129"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日，公司与深圳市永联科技股份有限公司（以下简称</w:t>
      </w:r>
      <w:r>
        <w:rPr>
          <w:rFonts w:ascii="Times New Roman" w:hAnsi="Times New Roman" w:cs="Times New Roman" w:eastAsia="Times New Roman" w:hint="default"/>
          <w:spacing w:val="-2"/>
        </w:rPr>
        <w:t>“</w:t>
      </w:r>
      <w:r>
        <w:rPr>
          <w:spacing w:val="-2"/>
        </w:rPr>
        <w:t>永联科技</w:t>
      </w:r>
      <w:r>
        <w:rPr>
          <w:rFonts w:ascii="Times New Roman" w:hAnsi="Times New Roman" w:cs="Times New Roman" w:eastAsia="Times New Roman" w:hint="default"/>
          <w:spacing w:val="-2"/>
        </w:rPr>
        <w:t>”</w:t>
      </w:r>
      <w:r>
        <w:rPr>
          <w:spacing w:val="-2"/>
        </w:rPr>
        <w:t>）签订了《关于充电桩业务战略合作框</w:t>
      </w:r>
      <w:r>
        <w:rPr/>
        <w:t> 架协议》，双方约定在</w:t>
      </w:r>
      <w:r>
        <w:rPr>
          <w:rFonts w:ascii="Times New Roman" w:hAnsi="Times New Roman" w:cs="Times New Roman" w:eastAsia="Times New Roman" w:hint="default"/>
        </w:rPr>
        <w:t>2018-2020</w:t>
      </w:r>
      <w:r>
        <w:rPr/>
        <w:t>年度期间：永联科技将充电桩整机生产环节委托给公司，永联科技负责研发及生产充电模 </w:t>
      </w:r>
      <w:r>
        <w:rPr>
          <w:spacing w:val="-2"/>
        </w:rPr>
        <w:t>块；以永联科技或双方组建成联合体方式向外投标，参与充电站建设工作，后续具体项目的推进和执行均在此战略合作框架</w:t>
      </w:r>
      <w:r>
        <w:rPr>
          <w:spacing w:val="-63"/>
        </w:rPr>
        <w:t> </w:t>
      </w:r>
      <w:r>
        <w:rPr>
          <w:spacing w:val="-63"/>
        </w:rPr>
      </w:r>
      <w:r>
        <w:rPr/>
        <w:t>协议下展开，报告期内，公司该项目实现收入</w:t>
      </w:r>
      <w:r>
        <w:rPr>
          <w:rFonts w:ascii="Times New Roman" w:hAnsi="Times New Roman" w:cs="Times New Roman" w:eastAsia="Times New Roman" w:hint="default"/>
        </w:rPr>
        <w:t>1,960.50</w:t>
      </w:r>
      <w:r>
        <w:rPr/>
        <w:t>万元，相关事项详见于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日披露于《证券时报》</w:t>
      </w:r>
      <w:r>
        <w:rPr>
          <w:spacing w:val="-3"/>
        </w:rPr>
        <w:t> </w:t>
      </w:r>
      <w:r>
        <w:rPr/>
        <w:t>及巨潮资</w:t>
      </w:r>
      <w:r>
        <w:rPr/>
        <w:t> 讯网上的《公司关于签订框架协议的公告》（编号：</w:t>
      </w:r>
      <w:r>
        <w:rPr>
          <w:rFonts w:ascii="Times New Roman" w:hAnsi="Times New Roman" w:cs="Times New Roman" w:eastAsia="Times New Roman" w:hint="default"/>
        </w:rPr>
        <w:t>2018-127</w:t>
      </w:r>
      <w:r>
        <w:rPr/>
        <w:t>号）。</w:t>
      </w:r>
    </w:p>
    <w:p>
      <w:pPr>
        <w:pStyle w:val="BodyText"/>
        <w:spacing w:line="451" w:lineRule="auto" w:before="37"/>
        <w:ind w:right="1132"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 </w:t>
      </w:r>
      <w:r>
        <w:rPr/>
        <w:t>日，公司与中国南方航空股份有限公司（以下简称</w:t>
      </w:r>
      <w:r>
        <w:rPr>
          <w:rFonts w:ascii="Times New Roman" w:hAnsi="Times New Roman" w:cs="Times New Roman" w:eastAsia="Times New Roman" w:hint="default"/>
        </w:rPr>
        <w:t>“</w:t>
      </w:r>
      <w:r>
        <w:rPr/>
        <w:t>南方航空</w:t>
      </w:r>
      <w:r>
        <w:rPr>
          <w:rFonts w:ascii="Times New Roman" w:hAnsi="Times New Roman" w:cs="Times New Roman" w:eastAsia="Times New Roman" w:hint="default"/>
        </w:rPr>
        <w:t>”</w:t>
      </w:r>
      <w:r>
        <w:rPr/>
        <w:t>）签署了《</w:t>
      </w:r>
      <w:r>
        <w:rPr>
          <w:rFonts w:ascii="Times New Roman" w:hAnsi="Times New Roman" w:cs="Times New Roman" w:eastAsia="Times New Roman" w:hint="default"/>
        </w:rPr>
        <w:t>2019-2020</w:t>
      </w:r>
      <w:r>
        <w:rPr>
          <w:rFonts w:ascii="Times New Roman" w:hAnsi="Times New Roman" w:cs="Times New Roman" w:eastAsia="Times New Roman" w:hint="default"/>
          <w:spacing w:val="43"/>
        </w:rPr>
        <w:t> </w:t>
      </w:r>
      <w:r>
        <w:rPr/>
        <w:t>年度开发测试外 </w:t>
      </w:r>
      <w:r>
        <w:rPr>
          <w:spacing w:val="-2"/>
        </w:rPr>
        <w:t>包入围供应商采购项目合同》（以下简称</w:t>
      </w:r>
      <w:r>
        <w:rPr>
          <w:rFonts w:ascii="Times New Roman" w:hAnsi="Times New Roman" w:cs="Times New Roman" w:eastAsia="Times New Roman" w:hint="default"/>
          <w:spacing w:val="-2"/>
        </w:rPr>
        <w:t>“</w:t>
      </w:r>
      <w:r>
        <w:rPr>
          <w:spacing w:val="-2"/>
        </w:rPr>
        <w:t>合同</w:t>
      </w:r>
      <w:r>
        <w:rPr>
          <w:rFonts w:ascii="Times New Roman" w:hAnsi="Times New Roman" w:cs="Times New Roman" w:eastAsia="Times New Roman" w:hint="default"/>
          <w:spacing w:val="-2"/>
        </w:rPr>
        <w:t>”</w:t>
      </w:r>
      <w:r>
        <w:rPr>
          <w:spacing w:val="-2"/>
        </w:rPr>
        <w:t>），合同确认公司获得南方航空外包服务项目的入围资格，自合同生效之日</w:t>
      </w:r>
    </w:p>
    <w:p>
      <w:pPr>
        <w:spacing w:after="0" w:line="451"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042"/>
        <w:jc w:val="left"/>
      </w:pPr>
      <w:r>
        <w:rPr/>
        <w:t>起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年内，报告期内，公司积极参与南方航空该项目项下已发出标段的开发测试外包投标工作，实现销售收入</w:t>
      </w:r>
      <w:r>
        <w:rPr>
          <w:rFonts w:ascii="Times New Roman" w:hAnsi="Times New Roman" w:cs="Times New Roman" w:eastAsia="Times New Roman" w:hint="default"/>
        </w:rPr>
        <w:t>219.17</w:t>
      </w:r>
      <w:r>
        <w:rPr/>
        <w:t>万元， 相关事项详见于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日披露于巨潮资讯网上的《公司关于签订日常经营合同的公告》（编号：</w:t>
      </w:r>
      <w:r>
        <w:rPr>
          <w:rFonts w:ascii="Times New Roman" w:hAnsi="Times New Roman" w:cs="Times New Roman" w:eastAsia="Times New Roman" w:hint="default"/>
        </w:rPr>
        <w:t>2019-067</w:t>
      </w:r>
      <w:r>
        <w:rPr/>
        <w:t>）。</w:t>
      </w:r>
    </w:p>
    <w:p>
      <w:pPr>
        <w:pStyle w:val="BodyText"/>
        <w:spacing w:line="451" w:lineRule="auto" w:before="43"/>
        <w:ind w:right="1040" w:firstLine="360"/>
        <w:jc w:val="left"/>
      </w:pP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25</w:t>
      </w:r>
      <w:r>
        <w:rPr>
          <w:spacing w:val="-3"/>
        </w:rPr>
        <w:t>日，公司召开第五届董事会第四次（临时）会议及于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11</w:t>
      </w:r>
      <w:r>
        <w:rPr>
          <w:spacing w:val="-3"/>
        </w:rPr>
        <w:t>日召开的</w:t>
      </w:r>
      <w:r>
        <w:rPr>
          <w:rFonts w:ascii="Times New Roman" w:hAnsi="Times New Roman" w:cs="Times New Roman" w:eastAsia="Times New Roman" w:hint="default"/>
          <w:spacing w:val="-3"/>
        </w:rPr>
        <w:t>2019</w:t>
      </w:r>
      <w:r>
        <w:rPr>
          <w:spacing w:val="-3"/>
        </w:rPr>
        <w:t>年第六次临时股东大会，</w:t>
      </w:r>
      <w:r>
        <w:rPr/>
        <w:t> 审议通过了《关于公司运用闲置自有资金投资低风险理财产品的议案》，公司及子公司拟使用任一时点合计不超过</w:t>
      </w:r>
      <w:r>
        <w:rPr>
          <w:rFonts w:ascii="Times New Roman" w:hAnsi="Times New Roman" w:cs="Times New Roman" w:eastAsia="Times New Roman" w:hint="default"/>
        </w:rPr>
        <w:t>3</w:t>
      </w:r>
      <w:r>
        <w:rPr/>
        <w:t>亿元人</w:t>
      </w:r>
      <w:r>
        <w:rPr>
          <w:spacing w:val="-87"/>
        </w:rPr>
        <w:t> </w:t>
      </w:r>
      <w:r>
        <w:rPr/>
        <w:t>民币的自有闲置资金额度进行投资理财，使用期限自股东大会决议通过之日起一年内有效。相关事项详见于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 披露于巨潮资讯网及《证券时报》上的《关于公司运用闲置自有资金投资低风险理财产品的公告》（编号：</w:t>
      </w:r>
      <w:r>
        <w:rPr>
          <w:rFonts w:ascii="Times New Roman" w:hAnsi="Times New Roman" w:cs="Times New Roman" w:eastAsia="Times New Roman" w:hint="default"/>
        </w:rPr>
        <w:t>2019-113</w:t>
      </w:r>
      <w:r>
        <w:rPr/>
        <w:t>号）。 报告期内，公司及子公司暂未使用自有资金投资低风险理财产品</w:t>
      </w:r>
      <w:r>
        <w:rPr>
          <w:spacing w:val="2"/>
        </w:rPr>
        <w:t> </w:t>
      </w:r>
      <w:r>
        <w:rPr/>
        <w:t>。</w:t>
      </w:r>
    </w:p>
    <w:p>
      <w:pPr>
        <w:spacing w:line="240" w:lineRule="auto" w:before="1"/>
        <w:rPr>
          <w:rFonts w:ascii="宋体" w:hAnsi="宋体" w:cs="宋体" w:eastAsia="宋体" w:hint="default"/>
          <w:sz w:val="19"/>
          <w:szCs w:val="19"/>
        </w:rPr>
      </w:pPr>
    </w:p>
    <w:p>
      <w:pPr>
        <w:pStyle w:val="Heading2"/>
        <w:spacing w:line="240" w:lineRule="auto"/>
        <w:ind w:right="1133"/>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1132"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日，公司与证通网络、纳鑫控股签署了《股权转让协议》，公司拟以人民币</w:t>
      </w:r>
      <w:r>
        <w:rPr>
          <w:rFonts w:ascii="Times New Roman" w:hAnsi="Times New Roman" w:cs="Times New Roman" w:eastAsia="Times New Roman" w:hint="default"/>
        </w:rPr>
        <w:t>2,000</w:t>
      </w:r>
      <w:r>
        <w:rPr/>
        <w:t>万元向纳鑫控股出售 所持有的证通网络</w:t>
      </w:r>
      <w:r>
        <w:rPr>
          <w:rFonts w:ascii="Times New Roman" w:hAnsi="Times New Roman" w:cs="Times New Roman" w:eastAsia="Times New Roman" w:hint="default"/>
        </w:rPr>
        <w:t>20%</w:t>
      </w:r>
      <w:r>
        <w:rPr/>
        <w:t>股权，相关事项详见于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日披露于巨潮资讯网及《证券时报》上的《关于出售全资子公司 </w:t>
      </w:r>
      <w:r>
        <w:rPr>
          <w:spacing w:val="-1"/>
        </w:rPr>
        <w:t>部分股权的公告》（编号：</w:t>
      </w:r>
      <w:r>
        <w:rPr>
          <w:rFonts w:ascii="Times New Roman" w:hAnsi="Times New Roman" w:cs="Times New Roman" w:eastAsia="Times New Roman" w:hint="default"/>
          <w:spacing w:val="-1"/>
        </w:rPr>
        <w:t>2018-027</w:t>
      </w:r>
      <w:r>
        <w:rPr>
          <w:spacing w:val="-1"/>
        </w:rPr>
        <w:t>号），截至本报告期末，公司尚未收到本次股权转让相关款项，尚未完成股权转让工商</w:t>
      </w:r>
      <w:r>
        <w:rPr/>
        <w:t> 登记手续，证通网络仍为公司的全资子公司。</w:t>
      </w:r>
    </w:p>
    <w:p>
      <w:pPr>
        <w:pStyle w:val="BodyText"/>
        <w:spacing w:line="458" w:lineRule="auto" w:before="74"/>
        <w:ind w:right="1129"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14</w:t>
      </w:r>
      <w:r>
        <w:rPr>
          <w:spacing w:val="-2"/>
        </w:rPr>
        <w:t>日，公司披露了《公司关于全资子公司获得国家高新技术企业证书的公告》。公司全资子公司长沙证通</w:t>
      </w:r>
      <w:r>
        <w:rPr/>
        <w:t> </w:t>
      </w:r>
      <w:r>
        <w:rPr>
          <w:spacing w:val="-2"/>
        </w:rPr>
        <w:t>云计算收到了由湖南省科学技术厅、湖南省财政厅、国家税务总局湖南省税务局联合颁发的《高新技术企业证书》，证书编</w:t>
      </w:r>
      <w:r>
        <w:rPr>
          <w:spacing w:val="-65"/>
        </w:rPr>
        <w:t> </w:t>
      </w:r>
      <w:r>
        <w:rPr>
          <w:spacing w:val="-65"/>
        </w:rPr>
      </w:r>
      <w:r>
        <w:rPr>
          <w:spacing w:val="-2"/>
        </w:rPr>
        <w:t>号为：</w:t>
      </w:r>
      <w:r>
        <w:rPr>
          <w:rFonts w:ascii="Times New Roman" w:hAnsi="Times New Roman" w:cs="Times New Roman" w:eastAsia="Times New Roman" w:hint="default"/>
          <w:spacing w:val="-2"/>
        </w:rPr>
        <w:t>GR201843001660</w:t>
      </w:r>
      <w:r>
        <w:rPr>
          <w:spacing w:val="-2"/>
        </w:rPr>
        <w:t>，发证时间：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日，有效期为三年。根据国家对高新技术企业的相关税收优惠政策，长沙</w:t>
      </w:r>
      <w:r>
        <w:rPr>
          <w:spacing w:val="-33"/>
        </w:rPr>
        <w:t> </w:t>
      </w:r>
      <w:r>
        <w:rPr>
          <w:spacing w:val="-33"/>
        </w:rPr>
      </w:r>
      <w:r>
        <w:rPr/>
        <w:t>证通云计算在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年连续三年可享受高新技术企业所得税优惠政策，按</w:t>
      </w:r>
      <w:r>
        <w:rPr>
          <w:rFonts w:ascii="Times New Roman" w:hAnsi="Times New Roman" w:cs="Times New Roman" w:eastAsia="Times New Roman" w:hint="default"/>
        </w:rPr>
        <w:t>15%</w:t>
      </w:r>
      <w:r>
        <w:rPr/>
        <w:t>的税率缴纳企业所得税。</w:t>
      </w:r>
    </w:p>
    <w:p>
      <w:pPr>
        <w:pStyle w:val="BodyText"/>
        <w:spacing w:line="451" w:lineRule="auto" w:before="37"/>
        <w:ind w:right="1139" w:firstLine="360"/>
        <w:jc w:val="both"/>
      </w:pPr>
      <w:r>
        <w:rPr>
          <w:rFonts w:ascii="Times New Roman" w:hAnsi="Times New Roman" w:cs="Times New Roman" w:eastAsia="Times New Roman" w:hint="default"/>
        </w:rPr>
        <w:t>3</w:t>
      </w:r>
      <w:r>
        <w:rPr/>
        <w:t>、报告期内，公司子公司云硕科技取得广东省科学技术厅、广东省财政厅、广东省国家税务局、广东省地方税务局联 合颁发的《高新技术企业证书》，证书编号：</w:t>
      </w:r>
      <w:r>
        <w:rPr>
          <w:rFonts w:ascii="Times New Roman" w:hAnsi="Times New Roman" w:cs="Times New Roman" w:eastAsia="Times New Roman" w:hint="default"/>
        </w:rPr>
        <w:t>GR201944006892</w:t>
      </w:r>
      <w:r>
        <w:rPr/>
        <w:t>，该高新技术企业资格有效期为三年。根据《中华人民共和 国企业所得税法》的规定，本公司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年和</w:t>
      </w:r>
      <w:r>
        <w:rPr>
          <w:rFonts w:ascii="Times New Roman" w:hAnsi="Times New Roman" w:cs="Times New Roman" w:eastAsia="Times New Roman" w:hint="default"/>
        </w:rPr>
        <w:t>2021</w:t>
      </w:r>
      <w:r>
        <w:rPr/>
        <w:t>年按照</w:t>
      </w:r>
      <w:r>
        <w:rPr>
          <w:rFonts w:ascii="Times New Roman" w:hAnsi="Times New Roman" w:cs="Times New Roman" w:eastAsia="Times New Roman" w:hint="default"/>
        </w:rPr>
        <w:t>15.00%</w:t>
      </w:r>
      <w:r>
        <w:rPr/>
        <w:t>的税率缴纳企业所得税。</w:t>
      </w:r>
    </w:p>
    <w:p>
      <w:pPr>
        <w:pStyle w:val="BodyText"/>
        <w:spacing w:line="451" w:lineRule="auto" w:before="43"/>
        <w:ind w:right="1114" w:firstLine="36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16</w:t>
      </w:r>
      <w:r>
        <w:rPr>
          <w:spacing w:val="-1"/>
        </w:rPr>
        <w:t>日，公司召开第五届董事会第二次</w:t>
      </w:r>
      <w:r>
        <w:rPr>
          <w:rFonts w:ascii="Times New Roman" w:hAnsi="Times New Roman" w:cs="Times New Roman" w:eastAsia="Times New Roman" w:hint="default"/>
          <w:spacing w:val="-1"/>
        </w:rPr>
        <w:t>(</w:t>
      </w:r>
      <w:r>
        <w:rPr>
          <w:spacing w:val="-1"/>
        </w:rPr>
        <w:t>临时</w:t>
      </w:r>
      <w:r>
        <w:rPr>
          <w:rFonts w:ascii="Times New Roman" w:hAnsi="Times New Roman" w:cs="Times New Roman" w:eastAsia="Times New Roman" w:hint="default"/>
          <w:spacing w:val="-1"/>
        </w:rPr>
        <w:t>)</w:t>
      </w:r>
      <w:r>
        <w:rPr>
          <w:spacing w:val="-1"/>
        </w:rPr>
        <w:t>会议审议通过《公司关于追加投资长沙云谷数据中心项目的议</w:t>
      </w:r>
      <w:r>
        <w:rPr/>
        <w:t> 案》，公司以全资子公司长沙云计算作为实施主体，使用不超过</w:t>
      </w:r>
      <w:r>
        <w:rPr>
          <w:rFonts w:ascii="Times New Roman" w:hAnsi="Times New Roman" w:cs="Times New Roman" w:eastAsia="Times New Roman" w:hint="default"/>
        </w:rPr>
        <w:t>3.16</w:t>
      </w:r>
      <w:r>
        <w:rPr/>
        <w:t>亿元人民币对</w:t>
      </w:r>
      <w:r>
        <w:rPr>
          <w:rFonts w:ascii="Times New Roman" w:hAnsi="Times New Roman" w:cs="Times New Roman" w:eastAsia="Times New Roman" w:hint="default"/>
        </w:rPr>
        <w:t>“</w:t>
      </w:r>
      <w:r>
        <w:rPr/>
        <w:t>长沙云谷数据中心项目</w:t>
      </w:r>
      <w:r>
        <w:rPr>
          <w:rFonts w:ascii="Times New Roman" w:hAnsi="Times New Roman" w:cs="Times New Roman" w:eastAsia="Times New Roman" w:hint="default"/>
        </w:rPr>
        <w:t>”</w:t>
      </w:r>
      <w:r>
        <w:rPr/>
        <w:t>进行追加投资， 报告期内该项目投入金额</w:t>
      </w:r>
      <w:r>
        <w:rPr>
          <w:rFonts w:ascii="Times New Roman" w:hAnsi="Times New Roman" w:cs="Times New Roman" w:eastAsia="Times New Roman" w:hint="default"/>
        </w:rPr>
        <w:t>18,838.14</w:t>
      </w:r>
      <w:r>
        <w:rPr/>
        <w:t>万元。相关事项详见于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日披露于巨潮资讯网上的《公司关于追加投资长沙云 谷数据中心项目的公告》（编号：</w:t>
      </w:r>
      <w:r>
        <w:rPr>
          <w:rFonts w:ascii="Times New Roman" w:hAnsi="Times New Roman" w:cs="Times New Roman" w:eastAsia="Times New Roman" w:hint="default"/>
        </w:rPr>
        <w:t>2019-089</w:t>
      </w:r>
      <w:r>
        <w:rPr/>
        <w:t>）。</w:t>
      </w:r>
    </w:p>
    <w:p>
      <w:pPr>
        <w:pStyle w:val="BodyText"/>
        <w:spacing w:line="451" w:lineRule="auto" w:before="43"/>
        <w:ind w:right="1050"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日，公司第五届董事会第三次会议审议通过《关于公司以债转股方式向子公司增资的议案》。公司将对 云硕科技</w:t>
      </w:r>
      <w:r>
        <w:rPr>
          <w:rFonts w:ascii="Times New Roman" w:hAnsi="Times New Roman" w:cs="Times New Roman" w:eastAsia="Times New Roman" w:hint="default"/>
        </w:rPr>
        <w:t>30,000</w:t>
      </w:r>
      <w:r>
        <w:rPr/>
        <w:t>万元债权以人民币</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注册资本的价格转为对云硕科技的长期股权投资资本金，增资后云硕科技注册资本将 </w:t>
      </w:r>
      <w:r>
        <w:rPr>
          <w:spacing w:val="-2"/>
        </w:rPr>
        <w:t>由人民币</w:t>
      </w:r>
      <w:r>
        <w:rPr>
          <w:rFonts w:ascii="Times New Roman" w:hAnsi="Times New Roman" w:cs="Times New Roman" w:eastAsia="Times New Roman" w:hint="default"/>
          <w:spacing w:val="-2"/>
        </w:rPr>
        <w:t>9,080</w:t>
      </w:r>
      <w:r>
        <w:rPr>
          <w:spacing w:val="-2"/>
        </w:rPr>
        <w:t>万元增加至人民币</w:t>
      </w:r>
      <w:r>
        <w:rPr>
          <w:rFonts w:ascii="Times New Roman" w:hAnsi="Times New Roman" w:cs="Times New Roman" w:eastAsia="Times New Roman" w:hint="default"/>
          <w:spacing w:val="-2"/>
        </w:rPr>
        <w:t>39,080</w:t>
      </w:r>
      <w:r>
        <w:rPr>
          <w:spacing w:val="-2"/>
        </w:rPr>
        <w:t>万元，截至本报告披露日，该增资事宜已办理完毕，云硕科技已完成工商变更登记手</w:t>
      </w:r>
      <w:r>
        <w:rPr>
          <w:spacing w:val="-58"/>
        </w:rPr>
        <w:t> </w:t>
      </w:r>
      <w:r>
        <w:rPr>
          <w:spacing w:val="-58"/>
        </w:rPr>
      </w:r>
      <w:r>
        <w:rPr/>
        <w:t>续并领取了新的《营业执照》，相关事项详见于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日披露于巨潮资讯网上的《公司关于对子公司增资的进展公告》</w:t>
      </w:r>
    </w:p>
    <w:p>
      <w:pPr>
        <w:pStyle w:val="BodyText"/>
        <w:spacing w:line="240" w:lineRule="auto" w:before="44"/>
        <w:ind w:right="1133"/>
        <w:jc w:val="left"/>
      </w:pPr>
      <w:r>
        <w:rPr/>
        <w:t>（编号：</w:t>
      </w:r>
      <w:r>
        <w:rPr>
          <w:rFonts w:ascii="Times New Roman" w:hAnsi="Times New Roman" w:cs="Times New Roman" w:eastAsia="Times New Roman" w:hint="default"/>
        </w:rPr>
        <w:t>2020-003</w:t>
      </w:r>
      <w:r>
        <w:rPr/>
        <w:t>）。</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064" w:firstLine="36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月，公司参股设立深圳海红智能制造有限公司，公司出资</w:t>
      </w:r>
      <w:r>
        <w:rPr>
          <w:rFonts w:ascii="Times New Roman" w:hAnsi="Times New Roman" w:cs="Times New Roman" w:eastAsia="Times New Roman" w:hint="default"/>
        </w:rPr>
        <w:t>75</w:t>
      </w:r>
      <w:r>
        <w:rPr/>
        <w:t>万元持有海红智能</w:t>
      </w:r>
      <w:r>
        <w:rPr>
          <w:rFonts w:ascii="Times New Roman" w:hAnsi="Times New Roman" w:cs="Times New Roman" w:eastAsia="Times New Roman" w:hint="default"/>
        </w:rPr>
        <w:t>15%</w:t>
      </w:r>
      <w:r>
        <w:rPr/>
        <w:t>股份，</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 公司已完成对海红智能的实缴出资。</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05"/>
        <w:gridCol w:w="1046"/>
        <w:gridCol w:w="708"/>
        <w:gridCol w:w="850"/>
        <w:gridCol w:w="569"/>
        <w:gridCol w:w="991"/>
        <w:gridCol w:w="708"/>
        <w:gridCol w:w="711"/>
        <w:gridCol w:w="991"/>
        <w:gridCol w:w="782"/>
      </w:tblGrid>
      <w:tr>
        <w:trPr>
          <w:trHeight w:val="206" w:hRule="exact"/>
        </w:trPr>
        <w:tc>
          <w:tcPr>
            <w:tcW w:w="2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754"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5"/>
            <w:vMerge/>
            <w:tcBorders>
              <w:left w:val="single" w:sz="4" w:space="0" w:color="000000"/>
              <w:bottom w:val="single" w:sz="4" w:space="0" w:color="000000"/>
              <w:right w:val="single" w:sz="4" w:space="0" w:color="000000"/>
            </w:tcBorders>
            <w:shd w:val="clear" w:color="auto" w:fill="D2D2D2"/>
          </w:tcPr>
          <w:p>
            <w:pPr/>
          </w:p>
        </w:tc>
        <w:tc>
          <w:tcPr>
            <w:tcW w:w="1774"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205"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2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80,578,634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-491,268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-491,268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80,087,366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15.55%</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80,578,634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15.64%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-491,268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-491,268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80,087,366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15.55%</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80,578,634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-491,268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-491,268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80,087,366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15.55%</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434,578,314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84.36%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491,268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491,268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435,069,582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84.45%</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434,578,314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84.36%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491,268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491,268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435,069,582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84.45%</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515,156,948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515,156,948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股份变动的原因</w:t>
      </w:r>
    </w:p>
    <w:p>
      <w:pPr>
        <w:pStyle w:val="BodyText"/>
        <w:spacing w:line="415" w:lineRule="auto" w:before="115"/>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根据《上市公司董事、监事和高级管理人员所持本公司股份及其变动管理规则》和《深圳证券交易所上市公司股东及董</w:t>
      </w:r>
    </w:p>
    <w:p>
      <w:pPr>
        <w:pStyle w:val="BodyText"/>
        <w:spacing w:line="477" w:lineRule="auto" w:before="101"/>
        <w:ind w:right="1027"/>
        <w:jc w:val="left"/>
      </w:pPr>
      <w:r>
        <w:rPr>
          <w:spacing w:val="-3"/>
        </w:rPr>
        <w:t>事、监事、高级管理人员减持股份实施细则》的相关规定</w:t>
      </w:r>
      <w:r>
        <w:rPr>
          <w:spacing w:val="-8"/>
        </w:rPr>
        <w:t> </w:t>
      </w:r>
      <w:r>
        <w:rPr/>
        <w:t>，报告期内因公司第四届董事会任期届满进行换届选举及原董事、</w:t>
      </w:r>
      <w:r>
        <w:rPr/>
        <w:t> </w:t>
      </w:r>
      <w:r>
        <w:rPr>
          <w:spacing w:val="-2"/>
        </w:rPr>
        <w:t>高管可转让股份额度发生变化，公司原董事方进、原高管周青伟、李国政在报告期内持有的股份性质调整及原高管周青伟在</w:t>
      </w:r>
    </w:p>
    <w:p>
      <w:pPr>
        <w:pStyle w:val="BodyText"/>
        <w:spacing w:line="412" w:lineRule="auto" w:before="54"/>
        <w:ind w:right="2024"/>
        <w:jc w:val="left"/>
      </w:pPr>
      <w:r>
        <w:rPr/>
        <w:t>报告期内减持公司股份的原因，导致报告期内公司合计减少限售流通股</w:t>
      </w:r>
      <w:r>
        <w:rPr>
          <w:rFonts w:ascii="Times New Roman" w:hAnsi="Times New Roman" w:cs="Times New Roman" w:eastAsia="Times New Roman" w:hint="default"/>
        </w:rPr>
        <w:t>491,268</w:t>
      </w:r>
      <w:r>
        <w:rPr/>
        <w:t>股，增加无限售流通</w:t>
      </w:r>
      <w:r>
        <w:rPr>
          <w:rFonts w:ascii="Times New Roman" w:hAnsi="Times New Roman" w:cs="Times New Roman" w:eastAsia="Times New Roman" w:hint="default"/>
        </w:rPr>
        <w:t>491,268</w:t>
      </w:r>
      <w:r>
        <w:rPr/>
        <w:t>股。 股份变动的批准情况</w:t>
      </w:r>
    </w:p>
    <w:p>
      <w:pPr>
        <w:pStyle w:val="BodyText"/>
        <w:spacing w:line="234" w:lineRule="exact"/>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3"/>
        <w:jc w:val="left"/>
      </w:pPr>
      <w:r>
        <w:rPr/>
        <w:t>股份变动的过户情况</w:t>
      </w:r>
    </w:p>
    <w:p>
      <w:pPr>
        <w:pStyle w:val="BodyText"/>
        <w:spacing w:line="338" w:lineRule="auto" w:before="118"/>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415" w:lineRule="auto" w:before="43"/>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日，公司已在股份回购实施期限内完成回购股份，公司通过回购专用证券账户以集中竞价交易方式累</w:t>
      </w:r>
    </w:p>
    <w:p>
      <w:pPr>
        <w:pStyle w:val="BodyText"/>
        <w:spacing w:line="451" w:lineRule="auto" w:before="73"/>
        <w:ind w:right="1132"/>
        <w:jc w:val="both"/>
      </w:pPr>
      <w:r>
        <w:rPr>
          <w:spacing w:val="-1"/>
        </w:rPr>
        <w:t>计回购股份</w:t>
      </w:r>
      <w:r>
        <w:rPr>
          <w:rFonts w:ascii="Times New Roman" w:hAnsi="Times New Roman" w:cs="Times New Roman" w:eastAsia="Times New Roman" w:hint="default"/>
          <w:spacing w:val="-1"/>
        </w:rPr>
        <w:t>7,802,746</w:t>
      </w:r>
      <w:r>
        <w:rPr>
          <w:spacing w:val="-1"/>
        </w:rPr>
        <w:t>股，占公司总股本的</w:t>
      </w:r>
      <w:r>
        <w:rPr>
          <w:rFonts w:ascii="Times New Roman" w:hAnsi="Times New Roman" w:cs="Times New Roman" w:eastAsia="Times New Roman" w:hint="default"/>
          <w:spacing w:val="-1"/>
        </w:rPr>
        <w:t>1.51%</w:t>
      </w:r>
      <w:r>
        <w:rPr>
          <w:spacing w:val="-1"/>
        </w:rPr>
        <w:t>，其中最高成交价为</w:t>
      </w:r>
      <w:r>
        <w:rPr>
          <w:rFonts w:ascii="Times New Roman" w:hAnsi="Times New Roman" w:cs="Times New Roman" w:eastAsia="Times New Roman" w:hint="default"/>
          <w:spacing w:val="-1"/>
        </w:rPr>
        <w:t>8.34</w:t>
      </w:r>
      <w:r>
        <w:rPr>
          <w:spacing w:val="-1"/>
        </w:rPr>
        <w:t>元</w:t>
      </w:r>
      <w:r>
        <w:rPr>
          <w:rFonts w:ascii="Times New Roman" w:hAnsi="Times New Roman" w:cs="Times New Roman" w:eastAsia="Times New Roman" w:hint="default"/>
          <w:spacing w:val="-1"/>
        </w:rPr>
        <w:t>/</w:t>
      </w:r>
      <w:r>
        <w:rPr>
          <w:spacing w:val="-1"/>
        </w:rPr>
        <w:t>股，最低成交价为</w:t>
      </w:r>
      <w:r>
        <w:rPr>
          <w:rFonts w:ascii="Times New Roman" w:hAnsi="Times New Roman" w:cs="Times New Roman" w:eastAsia="Times New Roman" w:hint="default"/>
          <w:spacing w:val="-1"/>
        </w:rPr>
        <w:t>7.22</w:t>
      </w:r>
      <w:r>
        <w:rPr>
          <w:spacing w:val="-1"/>
        </w:rPr>
        <w:t>元</w:t>
      </w:r>
      <w:r>
        <w:rPr>
          <w:rFonts w:ascii="Times New Roman" w:hAnsi="Times New Roman" w:cs="Times New Roman" w:eastAsia="Times New Roman" w:hint="default"/>
          <w:spacing w:val="-1"/>
        </w:rPr>
        <w:t>/</w:t>
      </w:r>
      <w:r>
        <w:rPr>
          <w:spacing w:val="-1"/>
        </w:rPr>
        <w:t>股，合计支付的总金额</w:t>
      </w:r>
      <w:r>
        <w:rPr>
          <w:spacing w:val="-53"/>
        </w:rPr>
        <w:t> </w:t>
      </w:r>
      <w:r>
        <w:rPr>
          <w:spacing w:val="-53"/>
        </w:rPr>
      </w:r>
      <w:r>
        <w:rPr/>
        <w:t>为</w:t>
      </w:r>
      <w:r>
        <w:rPr>
          <w:spacing w:val="25"/>
        </w:rPr>
        <w:t> </w:t>
      </w:r>
      <w:r>
        <w:rPr>
          <w:rFonts w:ascii="Times New Roman" w:hAnsi="Times New Roman" w:cs="Times New Roman" w:eastAsia="Times New Roman" w:hint="default"/>
          <w:spacing w:val="-2"/>
        </w:rPr>
        <w:t>6,109.21</w:t>
      </w:r>
      <w:r>
        <w:rPr>
          <w:spacing w:val="-2"/>
        </w:rPr>
        <w:t>万元。具体内容详见于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日披露于巨潮资讯网及《证券时报》上的《公司关于回购股份进展暨股份回购</w:t>
      </w:r>
      <w:r>
        <w:rPr>
          <w:spacing w:val="-86"/>
        </w:rPr>
        <w:t> </w:t>
      </w:r>
      <w:r>
        <w:rPr>
          <w:spacing w:val="-86"/>
        </w:rPr>
      </w:r>
      <w:r>
        <w:rPr/>
        <w:t>完成的公告》。</w:t>
      </w:r>
    </w:p>
    <w:p>
      <w:pPr>
        <w:pStyle w:val="BodyText"/>
        <w:spacing w:line="240" w:lineRule="auto" w:before="35"/>
        <w:ind w:right="1133"/>
        <w:jc w:val="left"/>
      </w:pPr>
      <w:r>
        <w:rPr/>
        <w:t>采用集中竞价方式减持回购股份的实施进展情况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1553"/>
        <w:gridCol w:w="1568"/>
        <w:gridCol w:w="1166"/>
        <w:gridCol w:w="1244"/>
        <w:gridCol w:w="1490"/>
      </w:tblGrid>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5"/>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78,507,878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78,507,878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9"/>
              <w:jc w:val="left"/>
              <w:rPr>
                <w:rFonts w:ascii="宋体" w:hAnsi="宋体" w:cs="宋体" w:eastAsia="宋体" w:hint="default"/>
                <w:sz w:val="18"/>
                <w:szCs w:val="18"/>
              </w:rPr>
            </w:pPr>
            <w:r>
              <w:rPr>
                <w:rFonts w:ascii="宋体" w:hAnsi="宋体" w:cs="宋体" w:eastAsia="宋体" w:hint="default"/>
                <w:sz w:val="18"/>
                <w:szCs w:val="18"/>
              </w:rPr>
              <w:t>每年首个交易日 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1,543,488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1,543,488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9"/>
              <w:jc w:val="left"/>
              <w:rPr>
                <w:rFonts w:ascii="宋体" w:hAnsi="宋体" w:cs="宋体" w:eastAsia="宋体" w:hint="default"/>
                <w:sz w:val="18"/>
                <w:szCs w:val="18"/>
              </w:rPr>
            </w:pPr>
            <w:r>
              <w:rPr>
                <w:rFonts w:ascii="宋体" w:hAnsi="宋体" w:cs="宋体" w:eastAsia="宋体" w:hint="default"/>
                <w:sz w:val="18"/>
                <w:szCs w:val="18"/>
              </w:rPr>
              <w:t>每年首个交易日 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312,168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312,168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9"/>
              <w:jc w:val="left"/>
              <w:rPr>
                <w:rFonts w:ascii="宋体" w:hAnsi="宋体" w:cs="宋体" w:eastAsia="宋体" w:hint="default"/>
                <w:sz w:val="18"/>
                <w:szCs w:val="18"/>
              </w:rPr>
            </w:pPr>
            <w:r>
              <w:rPr>
                <w:rFonts w:ascii="宋体" w:hAnsi="宋体" w:cs="宋体" w:eastAsia="宋体" w:hint="default"/>
                <w:sz w:val="18"/>
                <w:szCs w:val="18"/>
              </w:rPr>
              <w:t>每年首个交易日 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80,578,634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509,268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80,087,366</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86"/>
        <w:gridCol w:w="1218"/>
        <w:gridCol w:w="1184"/>
        <w:gridCol w:w="1210"/>
        <w:gridCol w:w="1173"/>
        <w:gridCol w:w="120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62,066</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2" w:right="71"/>
              <w:jc w:val="left"/>
              <w:rPr>
                <w:rFonts w:ascii="宋体" w:hAnsi="宋体" w:cs="宋体" w:eastAsia="宋体" w:hint="default"/>
                <w:sz w:val="18"/>
                <w:szCs w:val="18"/>
              </w:rPr>
            </w:pPr>
            <w:r>
              <w:rPr>
                <w:rFonts w:ascii="宋体" w:hAnsi="宋体" w:cs="宋体" w:eastAsia="宋体" w:hint="default"/>
                <w:sz w:val="18"/>
                <w:szCs w:val="18"/>
              </w:rPr>
              <w:t>年度报告披露 日前上一月末</w:t>
            </w:r>
          </w:p>
        </w:tc>
        <w:tc>
          <w:tcPr>
            <w:tcW w:w="1218"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64,010</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1" w:right="81"/>
              <w:jc w:val="left"/>
              <w:rPr>
                <w:rFonts w:ascii="宋体" w:hAnsi="宋体" w:cs="宋体" w:eastAsia="宋体" w:hint="default"/>
                <w:sz w:val="18"/>
                <w:szCs w:val="18"/>
              </w:rPr>
            </w:pPr>
            <w:r>
              <w:rPr>
                <w:rFonts w:ascii="宋体" w:hAnsi="宋体" w:cs="宋体" w:eastAsia="宋体" w:hint="default"/>
                <w:sz w:val="18"/>
                <w:szCs w:val="18"/>
              </w:rPr>
              <w:t>报告期末表决 权恢复的优先</w:t>
            </w:r>
          </w:p>
        </w:tc>
        <w:tc>
          <w:tcPr>
            <w:tcW w:w="121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1" w:right="69"/>
              <w:jc w:val="left"/>
              <w:rPr>
                <w:rFonts w:ascii="宋体" w:hAnsi="宋体" w:cs="宋体" w:eastAsia="宋体" w:hint="default"/>
                <w:sz w:val="18"/>
                <w:szCs w:val="18"/>
              </w:rPr>
            </w:pPr>
            <w:r>
              <w:rPr>
                <w:rFonts w:ascii="宋体" w:hAnsi="宋体" w:cs="宋体" w:eastAsia="宋体" w:hint="default"/>
                <w:sz w:val="18"/>
                <w:szCs w:val="18"/>
              </w:rPr>
              <w:t>年度报告披露 日前上一月末</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22"/>
        <w:gridCol w:w="490"/>
        <w:gridCol w:w="749"/>
        <w:gridCol w:w="826"/>
        <w:gridCol w:w="341"/>
        <w:gridCol w:w="449"/>
        <w:gridCol w:w="755"/>
        <w:gridCol w:w="872"/>
        <w:gridCol w:w="317"/>
        <w:gridCol w:w="1033"/>
        <w:gridCol w:w="140"/>
        <w:gridCol w:w="1208"/>
      </w:tblGrid>
      <w:tr>
        <w:trPr>
          <w:trHeight w:val="670"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gridSpan w:val="2"/>
            <w:vMerge w:val="restart"/>
            <w:tcBorders>
              <w:top w:val="single" w:sz="4" w:space="0" w:color="000000"/>
              <w:left w:val="single" w:sz="4" w:space="0" w:color="000000"/>
              <w:right w:val="single" w:sz="9" w:space="0" w:color="D2D2D2"/>
            </w:tcBorders>
          </w:tcPr>
          <w:p>
            <w:pPr/>
          </w:p>
        </w:tc>
        <w:tc>
          <w:tcPr>
            <w:tcW w:w="1239"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316" w:lineRule="auto" w:before="8"/>
              <w:ind w:left="23" w:right="123"/>
              <w:jc w:val="left"/>
              <w:rPr>
                <w:rFonts w:ascii="宋体" w:hAnsi="宋体" w:cs="宋体" w:eastAsia="宋体" w:hint="default"/>
                <w:sz w:val="18"/>
                <w:szCs w:val="18"/>
              </w:rPr>
            </w:pPr>
            <w:r>
              <w:rPr>
                <w:rFonts w:ascii="宋体" w:hAnsi="宋体" w:cs="宋体" w:eastAsia="宋体" w:hint="default"/>
                <w:sz w:val="18"/>
                <w:szCs w:val="18"/>
              </w:rPr>
              <w:t>普通股股东总 数</w:t>
            </w:r>
          </w:p>
        </w:tc>
        <w:tc>
          <w:tcPr>
            <w:tcW w:w="1166" w:type="dxa"/>
            <w:gridSpan w:val="2"/>
            <w:vMerge w:val="restart"/>
            <w:tcBorders>
              <w:top w:val="single" w:sz="4" w:space="0" w:color="000000"/>
              <w:left w:val="single" w:sz="9" w:space="0" w:color="D2D2D2"/>
              <w:right w:val="single" w:sz="10" w:space="0" w:color="D2D2D2"/>
            </w:tcBorders>
          </w:tcPr>
          <w:p>
            <w:pPr/>
          </w:p>
        </w:tc>
        <w:tc>
          <w:tcPr>
            <w:tcW w:w="12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股股东总数</w:t>
            </w:r>
          </w:p>
          <w:p>
            <w:pPr>
              <w:pStyle w:val="TableParagraph"/>
              <w:spacing w:line="316" w:lineRule="auto" w:before="76"/>
              <w:ind w:left="11" w:right="43"/>
              <w:jc w:val="left"/>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val="restart"/>
            <w:tcBorders>
              <w:top w:val="single" w:sz="4" w:space="0" w:color="000000"/>
              <w:left w:val="single" w:sz="10" w:space="0" w:color="D2D2D2"/>
              <w:right w:val="single" w:sz="13" w:space="0" w:color="D2D2D2"/>
            </w:tcBorders>
          </w:tcPr>
          <w:p>
            <w:pP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11" w:right="9"/>
              <w:jc w:val="left"/>
              <w:rPr>
                <w:rFonts w:ascii="宋体" w:hAnsi="宋体" w:cs="宋体" w:eastAsia="宋体" w:hint="default"/>
                <w:sz w:val="18"/>
                <w:szCs w:val="18"/>
              </w:rPr>
            </w:pPr>
            <w:r>
              <w:rPr>
                <w:rFonts w:ascii="宋体" w:hAnsi="宋体" w:cs="宋体" w:eastAsia="宋体" w:hint="default"/>
                <w:sz w:val="18"/>
                <w:szCs w:val="18"/>
              </w:rPr>
              <w:t>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
        </w:tc>
      </w:tr>
      <w:tr>
        <w:trPr>
          <w:trHeight w:val="312" w:hRule="exact"/>
        </w:trPr>
        <w:tc>
          <w:tcPr>
            <w:tcW w:w="1196" w:type="dxa"/>
            <w:vMerge/>
            <w:tcBorders>
              <w:left w:val="single" w:sz="4" w:space="0" w:color="000000"/>
              <w:right w:val="single" w:sz="4" w:space="0" w:color="000000"/>
            </w:tcBorders>
            <w:shd w:val="clear" w:color="auto" w:fill="D2D2D2"/>
          </w:tcPr>
          <w:p>
            <w:pPr/>
          </w:p>
        </w:tc>
        <w:tc>
          <w:tcPr>
            <w:tcW w:w="1195" w:type="dxa"/>
            <w:gridSpan w:val="2"/>
            <w:vMerge/>
            <w:tcBorders>
              <w:left w:val="single" w:sz="4" w:space="0" w:color="000000"/>
              <w:right w:val="single" w:sz="9" w:space="0" w:color="D2D2D2"/>
            </w:tcBorders>
          </w:tcPr>
          <w:p>
            <w:pPr/>
          </w:p>
        </w:tc>
        <w:tc>
          <w:tcPr>
            <w:tcW w:w="1239" w:type="dxa"/>
            <w:gridSpan w:val="2"/>
            <w:vMerge w:val="restart"/>
            <w:tcBorders>
              <w:top w:val="nil" w:sz="6" w:space="0" w:color="auto"/>
              <w:left w:val="single" w:sz="4" w:space="0" w:color="000000"/>
              <w:right w:val="single" w:sz="4" w:space="0" w:color="000000"/>
            </w:tcBorders>
            <w:shd w:val="clear" w:color="auto" w:fill="D2D2D2"/>
          </w:tcPr>
          <w:p>
            <w:pPr/>
          </w:p>
        </w:tc>
        <w:tc>
          <w:tcPr>
            <w:tcW w:w="1166" w:type="dxa"/>
            <w:gridSpan w:val="2"/>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gridSpan w:val="2"/>
            <w:vMerge/>
            <w:tcBorders>
              <w:left w:val="single" w:sz="4" w:space="0" w:color="000000"/>
              <w:bottom w:val="single" w:sz="4" w:space="0" w:color="000000"/>
              <w:right w:val="single" w:sz="9" w:space="0" w:color="D2D2D2"/>
            </w:tcBorders>
          </w:tcPr>
          <w:p>
            <w:pPr/>
          </w:p>
        </w:tc>
        <w:tc>
          <w:tcPr>
            <w:tcW w:w="1239" w:type="dxa"/>
            <w:gridSpan w:val="2"/>
            <w:vMerge/>
            <w:tcBorders>
              <w:left w:val="single" w:sz="4" w:space="0" w:color="000000"/>
              <w:bottom w:val="single" w:sz="4" w:space="0" w:color="000000"/>
              <w:right w:val="single" w:sz="4" w:space="0" w:color="000000"/>
            </w:tcBorders>
            <w:shd w:val="clear" w:color="auto" w:fill="D2D2D2"/>
          </w:tcPr>
          <w:p>
            <w:pPr/>
          </w:p>
        </w:tc>
        <w:tc>
          <w:tcPr>
            <w:tcW w:w="1166" w:type="dxa"/>
            <w:gridSpan w:val="2"/>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9" w:type="dxa"/>
            <w:vMerge w:val="restart"/>
            <w:tcBorders>
              <w:top w:val="single" w:sz="4" w:space="0" w:color="000000"/>
              <w:left w:val="single" w:sz="4" w:space="0" w:color="000000"/>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1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9" w:type="dxa"/>
            <w:vMerge w:val="restart"/>
            <w:tcBorders>
              <w:top w:val="nil" w:sz="6" w:space="0" w:color="auto"/>
              <w:left w:val="single" w:sz="4" w:space="0" w:color="000000"/>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20.32%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104,677,1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78,507,87</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26,169,29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48,990,000</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-5151540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15,000,097</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林启生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-95900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2,786,735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460456</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2,786,735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2,057,984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1,543,488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514,496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张忠华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1,719,400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1719400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1"/>
              <w:jc w:val="left"/>
              <w:rPr>
                <w:rFonts w:ascii="Times New Roman" w:hAnsi="Times New Roman" w:cs="Times New Roman" w:eastAsia="Times New Roman" w:hint="default"/>
                <w:sz w:val="18"/>
                <w:szCs w:val="18"/>
              </w:rPr>
            </w:pPr>
            <w:r>
              <w:rPr>
                <w:rFonts w:ascii="Times New Roman"/>
                <w:sz w:val="18"/>
              </w:rPr>
              <w:t>JPMORGAN</w:t>
            </w:r>
            <w:r>
              <w:rPr>
                <w:rFonts w:ascii="Times New Roman"/>
                <w:w w:val="99"/>
                <w:sz w:val="18"/>
              </w:rPr>
              <w:t> </w:t>
            </w:r>
            <w:r>
              <w:rPr>
                <w:rFonts w:ascii="Times New Roman"/>
                <w:sz w:val="18"/>
              </w:rPr>
              <w:t>CHASE</w:t>
            </w:r>
            <w:r>
              <w:rPr>
                <w:rFonts w:ascii="Times New Roman"/>
                <w:sz w:val="18"/>
              </w:rPr>
              <w:t> </w:t>
            </w:r>
            <w:r>
              <w:rPr>
                <w:rFonts w:ascii="Times New Roman"/>
                <w:spacing w:val="-2"/>
                <w:sz w:val="18"/>
              </w:rPr>
              <w:t>BANK,NATIONA</w:t>
            </w:r>
            <w:r>
              <w:rPr>
                <w:rFonts w:ascii="Times New Roman"/>
                <w:w w:val="99"/>
                <w:sz w:val="18"/>
              </w:rPr>
              <w:t> </w:t>
            </w:r>
            <w:r>
              <w:rPr>
                <w:rFonts w:ascii="Times New Roman"/>
                <w:sz w:val="18"/>
              </w:rPr>
              <w:t>L</w:t>
            </w:r>
            <w:r>
              <w:rPr>
                <w:rFonts w:ascii="Times New Roman"/>
                <w:spacing w:val="-9"/>
                <w:sz w:val="18"/>
              </w:rPr>
              <w:t> </w:t>
            </w:r>
            <w:r>
              <w:rPr>
                <w:rFonts w:ascii="Times New Roman"/>
                <w:spacing w:val="-3"/>
                <w:sz w:val="18"/>
              </w:rPr>
              <w:t>ASSOCIATION</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0.30%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1,553,161</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1553091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1,553,161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应关兴</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1,462,085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1,462,085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李杜娟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1,140,300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820300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1,140,300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19" w:right="20"/>
              <w:jc w:val="both"/>
              <w:rPr>
                <w:rFonts w:ascii="宋体" w:hAnsi="宋体" w:cs="宋体" w:eastAsia="宋体" w:hint="default"/>
                <w:sz w:val="18"/>
                <w:szCs w:val="18"/>
              </w:rPr>
            </w:pPr>
            <w:r>
              <w:rPr>
                <w:rFonts w:ascii="宋体" w:hAnsi="宋体" w:cs="宋体" w:eastAsia="宋体" w:hint="default"/>
                <w:spacing w:val="-1"/>
                <w:sz w:val="18"/>
                <w:szCs w:val="18"/>
              </w:rPr>
              <w:t>上述股东中，曾胜强与许忠桂是配偶关系，曾胜强和曾胜辉为兄弟关系，许忠慈和许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忠桂为兄妹关系，前述股东为一致行动人；其余股东未知其关联关系或是否为一致行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动人。</w:t>
            </w:r>
          </w:p>
        </w:tc>
      </w:tr>
      <w:tr>
        <w:trPr>
          <w:trHeight w:val="706" w:hRule="exact"/>
        </w:trPr>
        <w:tc>
          <w:tcPr>
            <w:tcW w:w="28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10"/>
            <w:vMerge/>
            <w:tcBorders>
              <w:left w:val="single" w:sz="10" w:space="0" w:color="D2D2D2"/>
              <w:right w:val="single" w:sz="4" w:space="0" w:color="000000"/>
            </w:tcBorders>
          </w:tcPr>
          <w:p>
            <w:pPr/>
          </w:p>
        </w:tc>
      </w:tr>
      <w:tr>
        <w:trPr>
          <w:trHeight w:val="161"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10"/>
            <w:vMerge/>
            <w:tcBorders>
              <w:left w:val="single" w:sz="10" w:space="0" w:color="D2D2D2"/>
              <w:bottom w:val="single" w:sz="4" w:space="0" w:color="000000"/>
              <w:right w:val="single" w:sz="4" w:space="0" w:color="000000"/>
            </w:tcBorders>
          </w:tcPr>
          <w:p>
            <w:pPr/>
          </w:p>
        </w:tc>
      </w:tr>
      <w:tr>
        <w:trPr>
          <w:trHeight w:val="401"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4"/>
            <w:vMerge/>
            <w:tcBorders>
              <w:left w:val="single" w:sz="4" w:space="0" w:color="000000"/>
              <w:bottom w:val="nil" w:sz="6" w:space="0" w:color="auto"/>
              <w:right w:val="single" w:sz="4" w:space="0" w:color="000000"/>
            </w:tcBorders>
            <w:shd w:val="clear" w:color="auto" w:fill="D2D2D2"/>
          </w:tcPr>
          <w:p>
            <w:pPr/>
          </w:p>
        </w:tc>
        <w:tc>
          <w:tcPr>
            <w:tcW w:w="3992" w:type="dxa"/>
            <w:gridSpan w:val="6"/>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30,020,698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30,020,698</w:t>
            </w: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26,169,293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26,169,293</w:t>
            </w:r>
          </w:p>
        </w:tc>
      </w:tr>
      <w:tr>
        <w:trPr>
          <w:trHeight w:val="404"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24,880,863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24,880,863</w:t>
            </w: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林启生</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17,202,209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17,202,209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肖军</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2,786,735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2,786,735</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张忠华</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1,719,400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1,719,400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2"/>
              <w:jc w:val="left"/>
              <w:rPr>
                <w:rFonts w:ascii="Times New Roman" w:hAnsi="Times New Roman" w:cs="Times New Roman" w:eastAsia="Times New Roman" w:hint="default"/>
                <w:sz w:val="18"/>
                <w:szCs w:val="18"/>
              </w:rPr>
            </w:pPr>
            <w:r>
              <w:rPr>
                <w:rFonts w:ascii="Times New Roman"/>
                <w:sz w:val="18"/>
              </w:rPr>
              <w:t>JPMORGAN</w:t>
            </w:r>
            <w:r>
              <w:rPr>
                <w:rFonts w:ascii="Times New Roman"/>
                <w:spacing w:val="-1"/>
                <w:sz w:val="18"/>
              </w:rPr>
              <w:t> </w:t>
            </w:r>
            <w:r>
              <w:rPr>
                <w:rFonts w:ascii="Times New Roman"/>
                <w:sz w:val="18"/>
              </w:rPr>
              <w:t>CHASE</w:t>
            </w:r>
            <w:r>
              <w:rPr>
                <w:rFonts w:ascii="Times New Roman"/>
                <w:sz w:val="18"/>
              </w:rPr>
              <w:t> </w:t>
            </w:r>
            <w:r>
              <w:rPr>
                <w:rFonts w:ascii="Times New Roman"/>
                <w:spacing w:val="-2"/>
                <w:sz w:val="18"/>
              </w:rPr>
              <w:t>BANK,NATIONAL</w:t>
            </w:r>
            <w:r>
              <w:rPr>
                <w:rFonts w:ascii="Times New Roman"/>
                <w:spacing w:val="-15"/>
                <w:sz w:val="18"/>
              </w:rPr>
              <w:t> </w:t>
            </w:r>
            <w:r>
              <w:rPr>
                <w:rFonts w:ascii="Times New Roman"/>
                <w:spacing w:val="-2"/>
                <w:sz w:val="18"/>
              </w:rPr>
              <w:t>ASSOCIATION</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1,553,161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1,553,161</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应关兴</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1,462,085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1,462,085</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李杜娟</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1,140,300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谢立民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1,049,800</w:t>
            </w:r>
          </w:p>
        </w:tc>
      </w:tr>
      <w:tr>
        <w:trPr>
          <w:trHeight w:val="133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6" w:right="20"/>
              <w:jc w:val="both"/>
              <w:rPr>
                <w:rFonts w:ascii="宋体" w:hAnsi="宋体" w:cs="宋体" w:eastAsia="宋体" w:hint="default"/>
                <w:sz w:val="18"/>
                <w:szCs w:val="18"/>
              </w:rPr>
            </w:pPr>
            <w:r>
              <w:rPr>
                <w:rFonts w:ascii="宋体" w:hAnsi="宋体" w:cs="宋体" w:eastAsia="宋体" w:hint="default"/>
                <w:spacing w:val="-1"/>
                <w:sz w:val="18"/>
                <w:szCs w:val="18"/>
              </w:rPr>
              <w:t>上述股东中，曾胜强与许忠桂是配偶关系，曾胜强和曾胜辉为兄弟关系，许忠慈和许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忠桂为兄妹关系，前述股东为一致行动人；其余股东未知其关联关系或是否为一致行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动人。</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74"/>
              <w:jc w:val="left"/>
              <w:rPr>
                <w:rFonts w:ascii="宋体" w:hAnsi="宋体" w:cs="宋体" w:eastAsia="宋体" w:hint="default"/>
                <w:sz w:val="18"/>
                <w:szCs w:val="18"/>
              </w:rPr>
            </w:pPr>
            <w:r>
              <w:rPr>
                <w:rFonts w:ascii="宋体" w:hAnsi="宋体" w:cs="宋体" w:eastAsia="宋体" w:hint="default"/>
                <w:sz w:val="18"/>
                <w:szCs w:val="18"/>
              </w:rPr>
              <w:t>公司股东林启生所持有的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17,202,209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股股份和股东应关兴所持有的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1,462,085 </w:t>
            </w:r>
            <w:r>
              <w:rPr>
                <w:rFonts w:ascii="宋体" w:hAnsi="宋体" w:cs="宋体" w:eastAsia="宋体" w:hint="default"/>
                <w:sz w:val="18"/>
                <w:szCs w:val="18"/>
              </w:rPr>
              <w:t>股股份 均为通过信用账户持有，其余股东没有参与融资融券业务的情况。</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年起在本公司任职，现担任公司董事长、总裁职务。</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曾胜强先生除本公司外，过去十年未控股其他境内外上市公司。</w:t>
            </w:r>
          </w:p>
        </w:tc>
      </w:tr>
    </w:tbl>
    <w:p>
      <w:pPr>
        <w:pStyle w:val="BodyText"/>
        <w:spacing w:line="240" w:lineRule="auto" w:before="70"/>
        <w:ind w:right="1133"/>
        <w:jc w:val="left"/>
      </w:pPr>
      <w:r>
        <w:rPr/>
        <w:t>控股股东报告期内变更</w:t>
      </w:r>
    </w:p>
    <w:p>
      <w:pPr>
        <w:pStyle w:val="BodyText"/>
        <w:spacing w:line="338" w:lineRule="auto" w:before="118"/>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3421"/>
        <w:gridCol w:w="136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6"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3421"/>
        <w:gridCol w:w="136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0"/>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年起在本公司任职，现担任公司董事长、总裁职务；许忠慈先生现任公 司董事、副董事长；许忠桂女士和曾胜辉先生目前未在公司任职。</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pacing w:val="-3"/>
                <w:sz w:val="18"/>
                <w:szCs w:val="18"/>
              </w:rPr>
              <w:t>曾胜强先生和许忠桂女士除本公司外，过去十年未控股其他境内外上市公司，许忠慈先生和</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曾胜辉先生过去十年未控股其他境内外上市公司。</w:t>
            </w:r>
          </w:p>
        </w:tc>
      </w:tr>
    </w:tbl>
    <w:p>
      <w:pPr>
        <w:pStyle w:val="BodyText"/>
        <w:spacing w:line="240" w:lineRule="auto" w:before="49"/>
        <w:ind w:right="1133"/>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25"/>
          <w:szCs w:val="25"/>
        </w:rPr>
      </w:pPr>
    </w:p>
    <w:p>
      <w:pPr>
        <w:spacing w:line="3765" w:lineRule="exact"/>
        <w:ind w:left="1355"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591685" cy="23907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591685" cy="239077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10"/>
        <w:rPr>
          <w:rFonts w:ascii="宋体" w:hAnsi="宋体" w:cs="宋体" w:eastAsia="宋体" w:hint="default"/>
          <w:sz w:val="23"/>
          <w:szCs w:val="23"/>
        </w:rPr>
      </w:pPr>
    </w:p>
    <w:p>
      <w:pPr>
        <w:pStyle w:val="BodyText"/>
        <w:spacing w:line="240" w:lineRule="auto" w:before="44"/>
        <w:ind w:right="1133"/>
        <w:jc w:val="left"/>
      </w:pPr>
      <w:r>
        <w:rPr/>
        <w:t>实际控制人通过信托或其他资产管理方式控制公司</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902"/>
        <w:gridCol w:w="850"/>
        <w:gridCol w:w="711"/>
        <w:gridCol w:w="725"/>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曾胜强</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1"/>
                <w:sz w:val="18"/>
                <w:szCs w:val="18"/>
              </w:rPr>
              <w:t>董事长、总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104,677,1</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104,677,1</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71</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许忠慈</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1"/>
                <w:sz w:val="18"/>
                <w:szCs w:val="18"/>
              </w:rPr>
              <w:t>董事、副董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2,057,984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2,057,984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杨义仁</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程胜春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张公俊</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陈兵</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周英顶</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薛宁</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46"/>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朱纯霞</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宋根全</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傅德亮</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11"/>
                <w:sz w:val="18"/>
                <w:szCs w:val="18"/>
              </w:rPr>
              <w:t>副总裁、董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902"/>
        <w:gridCol w:w="850"/>
        <w:gridCol w:w="711"/>
        <w:gridCol w:w="725"/>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张锦鸿</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黄毅</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张跃华</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方进</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马映冰</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孙海法</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邓鸿</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钟艳</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黄洪</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张忠</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169"/>
        <w:gridCol w:w="1493"/>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许忠慈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6"/>
              <w:jc w:val="center"/>
              <w:rPr>
                <w:rFonts w:ascii="宋体" w:hAnsi="宋体" w:cs="宋体" w:eastAsia="宋体" w:hint="default"/>
                <w:sz w:val="18"/>
                <w:szCs w:val="18"/>
              </w:rPr>
            </w:pPr>
            <w:r>
              <w:rPr>
                <w:rFonts w:ascii="宋体" w:hAnsi="宋体" w:cs="宋体" w:eastAsia="宋体" w:hint="default"/>
                <w:sz w:val="18"/>
                <w:szCs w:val="18"/>
              </w:rPr>
              <w:t>换届选举，已经公司第五届一次董事会审议通过选举</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169"/>
        <w:gridCol w:w="1493"/>
        <w:gridCol w:w="4246"/>
      </w:tblGrid>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为副董事长</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杨义仁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换届选举，已经公司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年第三次临时股东大会审议 通过选举为董事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程胜春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换届选举，已经公司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年第三次临时股东大会审议 通过选举为董事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张公俊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换届选举，已经公司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年第三次临时股东大会审议 通过选举为独立董事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换届选举，已经公司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年第三次临时股东大会审议 通过选举为独立董事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周英顶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换届选举，已经公司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年第三次临时股东大会审议 通过选举为独立董事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朱纯霞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换届选举，已经公司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年第三次临时股东大会审议 通过选举为监事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宋根全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已经公司第四届职工代表大会第三次会议审议通过选 举为职工监事</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张跃华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任期满离任，不再担任公司董事</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方进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任期满离任，不再担任公司董事</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马映冰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任期满离任，不再担任公司独立董事</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孙海法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任期满离任，不再担任公司独立董事</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邓鸿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任期满离任，不再担任公司独立董事</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钟艳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任期满离任，不再担任公司监事</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黄洪</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任期满离任，不再担任职工监事</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任期满离任，不再担任副总裁</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spacing w:line="240" w:lineRule="auto" w:before="1"/>
        <w:rPr>
          <w:rFonts w:ascii="宋体" w:hAnsi="宋体" w:cs="宋体" w:eastAsia="宋体" w:hint="default"/>
          <w:sz w:val="15"/>
          <w:szCs w:val="15"/>
        </w:rPr>
      </w:pPr>
    </w:p>
    <w:p>
      <w:pPr>
        <w:pStyle w:val="BodyText"/>
        <w:spacing w:line="477" w:lineRule="auto"/>
        <w:ind w:left="513" w:right="5173"/>
        <w:jc w:val="left"/>
      </w:pPr>
      <w:r>
        <w:rPr/>
        <w:t>（一）现任董事简介 公司现有董事</w:t>
      </w:r>
      <w:r>
        <w:rPr>
          <w:rFonts w:ascii="Times New Roman" w:hAnsi="Times New Roman" w:cs="Times New Roman" w:eastAsia="Times New Roman" w:hint="default"/>
        </w:rPr>
        <w:t>7</w:t>
      </w:r>
      <w:r>
        <w:rPr/>
        <w:t>名，任期至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日，各位董事的简介如下：</w:t>
      </w:r>
    </w:p>
    <w:p>
      <w:pPr>
        <w:pStyle w:val="BodyText"/>
        <w:spacing w:line="451" w:lineRule="auto" w:before="21"/>
        <w:ind w:right="1135" w:firstLine="360"/>
        <w:jc w:val="both"/>
      </w:pPr>
      <w:r>
        <w:rPr>
          <w:spacing w:val="-2"/>
        </w:rPr>
        <w:t>曾胜强：男，</w:t>
      </w:r>
      <w:r>
        <w:rPr>
          <w:rFonts w:ascii="Times New Roman" w:hAnsi="Times New Roman" w:cs="Times New Roman" w:eastAsia="Times New Roman" w:hint="default"/>
          <w:spacing w:val="-2"/>
        </w:rPr>
        <w:t>57</w:t>
      </w:r>
      <w:r>
        <w:rPr>
          <w:spacing w:val="-2"/>
        </w:rPr>
        <w:t>岁，研究生学历，中国国籍，无境外永久居留权。曾任湖南省建南机器厂研发部经理、深圳市建博公司</w:t>
      </w:r>
      <w:r>
        <w:rPr/>
        <w:t> 总经理，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月创建深圳市证通电子有限公司。现任公司董事长兼总裁，主持公司全面工作。</w:t>
      </w:r>
    </w:p>
    <w:p>
      <w:pPr>
        <w:pStyle w:val="BodyText"/>
        <w:spacing w:line="451" w:lineRule="auto" w:before="43"/>
        <w:ind w:right="1129" w:firstLine="360"/>
        <w:jc w:val="both"/>
      </w:pPr>
      <w:r>
        <w:rPr>
          <w:spacing w:val="-2"/>
        </w:rPr>
        <w:t>许忠慈：男，</w:t>
      </w:r>
      <w:r>
        <w:rPr>
          <w:rFonts w:ascii="Times New Roman" w:hAnsi="Times New Roman" w:cs="Times New Roman" w:eastAsia="Times New Roman" w:hint="default"/>
          <w:spacing w:val="-2"/>
        </w:rPr>
        <w:t>63</w:t>
      </w:r>
      <w:r>
        <w:rPr>
          <w:spacing w:val="-2"/>
        </w:rPr>
        <w:t>岁，本科学历，中国国籍，无境外永久居留权。高级工程师。曾任湖南省古丈县邮电局局长，广东省东</w:t>
      </w:r>
      <w:r>
        <w:rPr/>
        <w:t> 莞市市内电话局局长，广东省电信实业集团东莞市有限公司总经理。现任公司董事、副董事长。</w:t>
      </w:r>
    </w:p>
    <w:p>
      <w:pPr>
        <w:pStyle w:val="BodyText"/>
        <w:spacing w:line="463" w:lineRule="auto" w:before="74"/>
        <w:ind w:right="1131" w:firstLine="360"/>
        <w:jc w:val="both"/>
      </w:pPr>
      <w:r>
        <w:rPr>
          <w:spacing w:val="-2"/>
        </w:rPr>
        <w:t>杨义仁：男，</w:t>
      </w:r>
      <w:r>
        <w:rPr>
          <w:rFonts w:ascii="Times New Roman" w:hAnsi="Times New Roman" w:cs="Times New Roman" w:eastAsia="Times New Roman" w:hint="default"/>
          <w:spacing w:val="-2"/>
        </w:rPr>
        <w:t>49</w:t>
      </w:r>
      <w:r>
        <w:rPr>
          <w:spacing w:val="-2"/>
        </w:rPr>
        <w:t>岁，硕士研究生学历，高级工程师，中国国籍，无境外永久居留权。曾任中通服软件科技有限公司总经</w:t>
      </w:r>
      <w:r>
        <w:rPr/>
        <w:t> </w:t>
      </w:r>
      <w:r>
        <w:rPr>
          <w:spacing w:val="-2"/>
        </w:rPr>
        <w:t>理、广东省通信产业服务有限公司信息中心主任，主管中国通信服务广东公司全省的信息化建设和运营。现任公司董事、副</w:t>
      </w:r>
      <w:r>
        <w:rPr>
          <w:spacing w:val="-64"/>
        </w:rPr>
        <w:t> </w:t>
      </w:r>
      <w:r>
        <w:rPr>
          <w:spacing w:val="-64"/>
        </w:rPr>
      </w:r>
      <w:r>
        <w:rPr/>
        <w:t>总裁，分管</w:t>
      </w:r>
      <w:r>
        <w:rPr>
          <w:rFonts w:ascii="Times New Roman" w:hAnsi="Times New Roman" w:cs="Times New Roman" w:eastAsia="Times New Roman" w:hint="default"/>
        </w:rPr>
        <w:t>IDC</w:t>
      </w:r>
      <w:r>
        <w:rPr/>
        <w:t>及云计算事业部。</w:t>
      </w:r>
    </w:p>
    <w:p>
      <w:pPr>
        <w:spacing w:after="0" w:line="46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35" w:firstLine="360"/>
        <w:jc w:val="both"/>
      </w:pPr>
      <w:r>
        <w:rPr>
          <w:spacing w:val="-2"/>
        </w:rPr>
        <w:t>程胜春：男，</w:t>
      </w:r>
      <w:r>
        <w:rPr>
          <w:rFonts w:ascii="Times New Roman" w:hAnsi="Times New Roman" w:cs="Times New Roman" w:eastAsia="Times New Roman" w:hint="default"/>
          <w:spacing w:val="-2"/>
        </w:rPr>
        <w:t>45</w:t>
      </w:r>
      <w:r>
        <w:rPr>
          <w:spacing w:val="-2"/>
        </w:rPr>
        <w:t>岁，研究生学历，中国国籍，无境外永久居留权，毕业于安徽大学计算机软件专业；曾任广州中睿信息</w:t>
      </w:r>
      <w:r>
        <w:rPr/>
        <w:t> 技术有限公司副总经理、广州证通网络科技有限公司研发部经理。现任公司董事、安全支付事业部副总经理。</w:t>
      </w:r>
    </w:p>
    <w:p>
      <w:pPr>
        <w:pStyle w:val="BodyText"/>
        <w:spacing w:line="451" w:lineRule="auto" w:before="74"/>
        <w:ind w:right="1133" w:firstLine="360"/>
        <w:jc w:val="left"/>
      </w:pPr>
      <w:r>
        <w:rPr>
          <w:spacing w:val="-2"/>
        </w:rPr>
        <w:t>张公俊：男，</w:t>
      </w:r>
      <w:r>
        <w:rPr>
          <w:rFonts w:ascii="Times New Roman" w:hAnsi="Times New Roman" w:cs="Times New Roman" w:eastAsia="Times New Roman" w:hint="default"/>
          <w:spacing w:val="-2"/>
        </w:rPr>
        <w:t>54</w:t>
      </w:r>
      <w:r>
        <w:rPr>
          <w:spacing w:val="-2"/>
        </w:rPr>
        <w:t>岁，硕士学历，中国国籍，无境外永久居留权。曾任深圳中新投资顾问公司副总经理，汇联金融服务有</w:t>
      </w:r>
      <w:r>
        <w:rPr/>
        <w:t> 限公司独立董事、</w:t>
      </w:r>
      <w:r>
        <w:rPr>
          <w:rFonts w:ascii="Times New Roman" w:hAnsi="Times New Roman" w:cs="Times New Roman" w:eastAsia="Times New Roman" w:hint="default"/>
        </w:rPr>
        <w:t>Sino Grandness food</w:t>
      </w:r>
      <w:r>
        <w:rPr>
          <w:rFonts w:ascii="Times New Roman" w:hAnsi="Times New Roman" w:cs="Times New Roman" w:eastAsia="Times New Roman" w:hint="default"/>
          <w:spacing w:val="-3"/>
        </w:rPr>
        <w:t> </w:t>
      </w:r>
      <w:r>
        <w:rPr>
          <w:rFonts w:ascii="Times New Roman" w:hAnsi="Times New Roman" w:cs="Times New Roman" w:eastAsia="Times New Roman" w:hint="default"/>
        </w:rPr>
        <w:t>co.,ltd</w:t>
      </w:r>
      <w:r>
        <w:rPr/>
        <w:t>（新加坡上市公司）独立董事。现任汇联金融服务有限公司执行董事、深圳大 华投资管理公司总经理，本公司独立董事。</w:t>
      </w:r>
    </w:p>
    <w:p>
      <w:pPr>
        <w:pStyle w:val="BodyText"/>
        <w:spacing w:line="468" w:lineRule="auto" w:before="74"/>
        <w:ind w:right="1128" w:firstLine="360"/>
        <w:jc w:val="both"/>
      </w:pPr>
      <w:r>
        <w:rPr>
          <w:spacing w:val="-2"/>
        </w:rPr>
        <w:t>陈兵：男，</w:t>
      </w:r>
      <w:r>
        <w:rPr>
          <w:rFonts w:ascii="Times New Roman" w:hAnsi="Times New Roman" w:cs="Times New Roman" w:eastAsia="Times New Roman" w:hint="default"/>
          <w:spacing w:val="-2"/>
        </w:rPr>
        <w:t>57</w:t>
      </w:r>
      <w:r>
        <w:rPr>
          <w:spacing w:val="-2"/>
        </w:rPr>
        <w:t>岁，本科学历，高级工程师职称，中国国籍，拥有澳门永久居留权。毕业于西安工业大学电子计算机及其</w:t>
      </w:r>
      <w:r>
        <w:rPr/>
        <w:t> </w:t>
      </w:r>
      <w:r>
        <w:rPr>
          <w:spacing w:val="-2"/>
        </w:rPr>
        <w:t>应用专业，曾任中国银行珠海市分行计算机高级工程师、历任北京高阳金信信息技术有限公司项目总监、公司副总裁；现任</w:t>
      </w:r>
      <w:r>
        <w:rPr>
          <w:spacing w:val="-62"/>
        </w:rPr>
        <w:t> </w:t>
      </w:r>
      <w:r>
        <w:rPr>
          <w:spacing w:val="-62"/>
        </w:rPr>
      </w:r>
      <w:r>
        <w:rPr>
          <w:spacing w:val="-2"/>
        </w:rPr>
        <w:t>维恩贝特科技有限公司、澳门维唯资讯科技有限公司董事长，深圳天源迪科信息技术股份有限公司和北京江融信科技有限公</w:t>
      </w:r>
      <w:r>
        <w:rPr>
          <w:spacing w:val="-64"/>
        </w:rPr>
        <w:t> </w:t>
      </w:r>
      <w:r>
        <w:rPr>
          <w:spacing w:val="-64"/>
        </w:rPr>
      </w:r>
      <w:r>
        <w:rPr/>
        <w:t>司董事，本公司独立董事。</w:t>
      </w:r>
    </w:p>
    <w:p>
      <w:pPr>
        <w:pStyle w:val="BodyText"/>
        <w:spacing w:line="463" w:lineRule="auto" w:before="61"/>
        <w:ind w:right="1133" w:firstLine="360"/>
        <w:jc w:val="both"/>
      </w:pPr>
      <w:r>
        <w:rPr>
          <w:spacing w:val="-2"/>
        </w:rPr>
        <w:t>周英顶：男，</w:t>
      </w:r>
      <w:r>
        <w:rPr>
          <w:rFonts w:ascii="Times New Roman" w:hAnsi="Times New Roman" w:cs="Times New Roman" w:eastAsia="Times New Roman" w:hint="default"/>
          <w:spacing w:val="-2"/>
        </w:rPr>
        <w:t>54</w:t>
      </w:r>
      <w:r>
        <w:rPr>
          <w:spacing w:val="-2"/>
        </w:rPr>
        <w:t>岁，研究生学历，中国国籍，无境外永久居留权。曾任广州东华实业股份有限公司财务总监，广东诚安</w:t>
      </w:r>
      <w:r>
        <w:rPr/>
        <w:t> </w:t>
      </w:r>
      <w:r>
        <w:rPr>
          <w:spacing w:val="-2"/>
        </w:rPr>
        <w:t>信会计师事务所有限公司副总经理、合伙人，中勤万信会计师事务所广东分所注册会计师。现任广东诚安信会计师事务所有</w:t>
      </w:r>
      <w:r>
        <w:rPr>
          <w:spacing w:val="-66"/>
        </w:rPr>
        <w:t> </w:t>
      </w:r>
      <w:r>
        <w:rPr>
          <w:spacing w:val="-66"/>
        </w:rPr>
      </w:r>
      <w:r>
        <w:rPr/>
        <w:t>限公司注册会计师，本公司独立董事。</w:t>
      </w:r>
    </w:p>
    <w:p>
      <w:pPr>
        <w:pStyle w:val="BodyText"/>
        <w:spacing w:line="477" w:lineRule="auto" w:before="65"/>
        <w:ind w:left="513" w:right="5173"/>
        <w:jc w:val="left"/>
      </w:pPr>
      <w:r>
        <w:rPr/>
        <w:t>（二）监事简介 公司现有监事</w:t>
      </w:r>
      <w:r>
        <w:rPr>
          <w:rFonts w:ascii="Times New Roman" w:hAnsi="Times New Roman" w:cs="Times New Roman" w:eastAsia="Times New Roman" w:hint="default"/>
        </w:rPr>
        <w:t>3</w:t>
      </w:r>
      <w:r>
        <w:rPr/>
        <w:t>名，任期至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日，各位监事的简介如下：</w:t>
      </w:r>
    </w:p>
    <w:p>
      <w:pPr>
        <w:pStyle w:val="BodyText"/>
        <w:spacing w:line="451" w:lineRule="auto" w:before="22"/>
        <w:ind w:right="1131" w:firstLine="360"/>
        <w:jc w:val="both"/>
      </w:pPr>
      <w:r>
        <w:rPr>
          <w:spacing w:val="-2"/>
        </w:rPr>
        <w:t>薛宁：男，</w:t>
      </w:r>
      <w:r>
        <w:rPr>
          <w:rFonts w:ascii="Times New Roman" w:hAnsi="Times New Roman" w:cs="Times New Roman" w:eastAsia="Times New Roman" w:hint="default"/>
          <w:spacing w:val="-2"/>
        </w:rPr>
        <w:t>41</w:t>
      </w:r>
      <w:r>
        <w:rPr>
          <w:spacing w:val="-2"/>
        </w:rPr>
        <w:t>岁，研究生学历，中国国籍，无境外永久居留权。曾任深圳市证通电子股份有限公司自助产品线总监、华</w:t>
      </w:r>
      <w:r>
        <w:rPr/>
        <w:t> </w:t>
      </w:r>
      <w:r>
        <w:rPr>
          <w:spacing w:val="-1"/>
        </w:rPr>
        <w:t>北分公司总经理、大客户部总经理、市场总监、营销总监。现任公司监事会主席、</w:t>
      </w:r>
      <w:r>
        <w:rPr>
          <w:rFonts w:ascii="Times New Roman" w:hAnsi="Times New Roman" w:cs="Times New Roman" w:eastAsia="Times New Roman" w:hint="default"/>
          <w:spacing w:val="-1"/>
        </w:rPr>
        <w:t>IDC</w:t>
      </w:r>
      <w:r>
        <w:rPr>
          <w:spacing w:val="-1"/>
        </w:rPr>
        <w:t>及云计算事业部副总经理、全资子公</w:t>
      </w:r>
      <w:r>
        <w:rPr>
          <w:spacing w:val="-68"/>
        </w:rPr>
        <w:t> </w:t>
      </w:r>
      <w:r>
        <w:rPr>
          <w:spacing w:val="-68"/>
        </w:rPr>
      </w:r>
      <w:r>
        <w:rPr/>
        <w:t>司深圳市证通云计算有限公司总经理。</w:t>
      </w:r>
    </w:p>
    <w:p>
      <w:pPr>
        <w:pStyle w:val="BodyText"/>
        <w:spacing w:line="451" w:lineRule="auto" w:before="74"/>
        <w:ind w:right="1134" w:firstLine="360"/>
        <w:jc w:val="both"/>
      </w:pPr>
      <w:r>
        <w:rPr>
          <w:spacing w:val="-2"/>
        </w:rPr>
        <w:t>朱纯霞：女，</w:t>
      </w:r>
      <w:r>
        <w:rPr>
          <w:rFonts w:ascii="Times New Roman" w:hAnsi="Times New Roman" w:cs="Times New Roman" w:eastAsia="Times New Roman" w:hint="default"/>
          <w:spacing w:val="-2"/>
        </w:rPr>
        <w:t>35</w:t>
      </w:r>
      <w:r>
        <w:rPr>
          <w:spacing w:val="-2"/>
        </w:rPr>
        <w:t>岁，本科学历，中国国籍，无境外永久居留权，曾任公司办公室主任、总裁秘书。现任公司监事、行政</w:t>
      </w:r>
      <w:r>
        <w:rPr/>
        <w:t> 管理部副经理。</w:t>
      </w:r>
    </w:p>
    <w:p>
      <w:pPr>
        <w:pStyle w:val="BodyText"/>
        <w:spacing w:line="463" w:lineRule="auto" w:before="74"/>
        <w:ind w:right="1129" w:firstLine="360"/>
        <w:jc w:val="both"/>
      </w:pPr>
      <w:r>
        <w:rPr>
          <w:spacing w:val="-2"/>
        </w:rPr>
        <w:t>宋根全：男，</w:t>
      </w:r>
      <w:r>
        <w:rPr>
          <w:rFonts w:ascii="Times New Roman" w:hAnsi="Times New Roman" w:cs="Times New Roman" w:eastAsia="Times New Roman" w:hint="default"/>
          <w:spacing w:val="-2"/>
        </w:rPr>
        <w:t>51</w:t>
      </w:r>
      <w:r>
        <w:rPr>
          <w:spacing w:val="-2"/>
        </w:rPr>
        <w:t>岁，大专学历，中国国籍，无境外永久居留权。中级会计师。曾任国家二级企业河南省临颍县机械厂主</w:t>
      </w:r>
      <w:r>
        <w:rPr/>
        <w:t> </w:t>
      </w:r>
      <w:r>
        <w:rPr>
          <w:spacing w:val="-2"/>
        </w:rPr>
        <w:t>管会计及财务部经理、深圳中胜会计师事务所审计项目经理、深圳市科陆电子科技股份有限公司审计部高级审计专员。现任</w:t>
      </w:r>
      <w:r>
        <w:rPr>
          <w:spacing w:val="-62"/>
        </w:rPr>
        <w:t> </w:t>
      </w:r>
      <w:r>
        <w:rPr>
          <w:spacing w:val="-62"/>
        </w:rPr>
      </w:r>
      <w:r>
        <w:rPr/>
        <w:t>公司职工代表监事、审计部经理，主要负责公司审计工作。</w:t>
      </w:r>
    </w:p>
    <w:p>
      <w:pPr>
        <w:pStyle w:val="BodyText"/>
        <w:spacing w:line="463" w:lineRule="auto" w:before="65"/>
        <w:ind w:left="513" w:right="3733"/>
        <w:jc w:val="left"/>
      </w:pPr>
      <w:r>
        <w:rPr/>
        <w:t>（三）高级管理人员简介 公司现有高级管理人员</w:t>
      </w:r>
      <w:r>
        <w:rPr>
          <w:rFonts w:ascii="Times New Roman" w:hAnsi="Times New Roman" w:cs="Times New Roman" w:eastAsia="Times New Roman" w:hint="default"/>
        </w:rPr>
        <w:t>5</w:t>
      </w:r>
      <w:r>
        <w:rPr/>
        <w:t>名，任期至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日，各位高级管理人员的简介如下： 曾胜强：总裁，简历参见现任董事简介中介绍。</w:t>
      </w:r>
    </w:p>
    <w:p>
      <w:pPr>
        <w:pStyle w:val="BodyText"/>
        <w:spacing w:line="451" w:lineRule="auto" w:before="65"/>
        <w:ind w:right="1128" w:firstLine="360"/>
        <w:jc w:val="both"/>
      </w:pPr>
      <w:r>
        <w:rPr>
          <w:spacing w:val="-2"/>
        </w:rPr>
        <w:t>张锦鸿：男，</w:t>
      </w:r>
      <w:r>
        <w:rPr>
          <w:rFonts w:ascii="Times New Roman" w:hAnsi="Times New Roman" w:cs="Times New Roman" w:eastAsia="Times New Roman" w:hint="default"/>
          <w:spacing w:val="-2"/>
        </w:rPr>
        <w:t>51</w:t>
      </w:r>
      <w:r>
        <w:rPr>
          <w:spacing w:val="-2"/>
        </w:rPr>
        <w:t>岁，本科学历，中国国籍，无境外永久居留权。工程师，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5</w:t>
      </w:r>
      <w:r>
        <w:rPr>
          <w:spacing w:val="-2"/>
        </w:rPr>
        <w:t>月后至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月在云南南天电子信息</w:t>
      </w:r>
      <w:r>
        <w:rPr/>
        <w:t> 产业股份有限公司任职，历任董事，副总裁，总裁，副董事长。现任公司副总裁兼自助事业部总经理。</w:t>
      </w:r>
    </w:p>
    <w:p>
      <w:pPr>
        <w:pStyle w:val="BodyText"/>
        <w:spacing w:line="477" w:lineRule="auto" w:before="74"/>
        <w:ind w:left="513" w:right="1213"/>
        <w:jc w:val="left"/>
        <w:rPr>
          <w:rFonts w:ascii="Times New Roman" w:hAnsi="Times New Roman" w:cs="Times New Roman" w:eastAsia="Times New Roman" w:hint="default"/>
        </w:rPr>
      </w:pPr>
      <w:r>
        <w:rPr/>
        <w:t>杨义仁：副总裁，简历参见现任董事简介中介绍。 傅德亮：男，</w:t>
      </w:r>
      <w:r>
        <w:rPr>
          <w:rFonts w:ascii="Times New Roman" w:hAnsi="Times New Roman" w:cs="Times New Roman" w:eastAsia="Times New Roman" w:hint="default"/>
        </w:rPr>
        <w:t>57</w:t>
      </w:r>
      <w:r>
        <w:rPr/>
        <w:t>岁，硕士研究生学历，中国国籍，无永久境外居留权。</w:t>
      </w:r>
      <w:r>
        <w:rPr>
          <w:rFonts w:ascii="Times New Roman" w:hAnsi="Times New Roman" w:cs="Times New Roman" w:eastAsia="Times New Roman" w:hint="default"/>
        </w:rPr>
        <w:t>1989</w:t>
      </w:r>
      <w:r>
        <w:rPr/>
        <w:t>年毕业于湖南大学计算机应用专业。</w:t>
      </w:r>
      <w:r>
        <w:rPr>
          <w:rFonts w:ascii="Times New Roman" w:hAnsi="Times New Roman" w:cs="Times New Roman" w:eastAsia="Times New Roman" w:hint="default"/>
        </w:rPr>
        <w:t>2007</w:t>
      </w:r>
    </w:p>
    <w:p>
      <w:pPr>
        <w:pStyle w:val="BodyText"/>
        <w:spacing w:line="240" w:lineRule="auto" w:before="21"/>
        <w:ind w:right="0"/>
        <w:jc w:val="left"/>
      </w:pP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月，就职于云南南天信息产业股份有限公司，任总裁特别助理；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月，就职公司全资子公</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518" w:lineRule="auto"/>
        <w:ind w:left="513" w:right="1129" w:hanging="361"/>
        <w:jc w:val="left"/>
        <w:rPr>
          <w:rFonts w:ascii="Times New Roman" w:hAnsi="Times New Roman" w:cs="Times New Roman" w:eastAsia="Times New Roman" w:hint="default"/>
        </w:rPr>
      </w:pPr>
      <w:r>
        <w:rPr/>
        <w:t>司广州证通网络科技有限公司，任总经理。现任公司副总裁、董事会秘书。 </w:t>
      </w:r>
      <w:r>
        <w:rPr>
          <w:spacing w:val="-5"/>
        </w:rPr>
        <w:t>黄毅：男，</w:t>
      </w:r>
      <w:r>
        <w:rPr>
          <w:rFonts w:ascii="Times New Roman" w:hAnsi="Times New Roman" w:cs="Times New Roman" w:eastAsia="Times New Roman" w:hint="default"/>
          <w:spacing w:val="-5"/>
        </w:rPr>
        <w:t>44</w:t>
      </w:r>
      <w:r>
        <w:rPr>
          <w:spacing w:val="-5"/>
        </w:rPr>
        <w:t>岁，硕士研究生学历，中国大陆国籍，无永久境外居留权。</w:t>
      </w:r>
      <w:r>
        <w:rPr>
          <w:rFonts w:ascii="Times New Roman" w:hAnsi="Times New Roman" w:cs="Times New Roman" w:eastAsia="Times New Roman" w:hint="default"/>
          <w:spacing w:val="-5"/>
        </w:rPr>
        <w:t>1998</w:t>
      </w:r>
      <w:r>
        <w:rPr>
          <w:spacing w:val="-5"/>
        </w:rPr>
        <w:t>年毕业于湖南财经学院财务管理专业，</w:t>
      </w:r>
      <w:r>
        <w:rPr>
          <w:rFonts w:ascii="Times New Roman" w:hAnsi="Times New Roman" w:cs="Times New Roman" w:eastAsia="Times New Roman" w:hint="default"/>
          <w:spacing w:val="-5"/>
        </w:rPr>
        <w:t>2015</w:t>
      </w:r>
    </w:p>
    <w:p>
      <w:pPr>
        <w:pStyle w:val="BodyText"/>
        <w:spacing w:line="223" w:lineRule="exact"/>
        <w:ind w:right="0"/>
        <w:jc w:val="left"/>
      </w:pPr>
      <w:r>
        <w:rPr>
          <w:spacing w:val="-4"/>
        </w:rPr>
        <w:t>年毕业于上海财经大学工商管理专业，获硕士研究生学历，拥有中国注册会计师。曾任彩乐糖果（东莞）有限公司副总经理、</w:t>
      </w:r>
    </w:p>
    <w:p>
      <w:pPr>
        <w:spacing w:line="240" w:lineRule="auto" w:before="10"/>
        <w:rPr>
          <w:rFonts w:ascii="宋体" w:hAnsi="宋体" w:cs="宋体" w:eastAsia="宋体" w:hint="default"/>
          <w:sz w:val="17"/>
          <w:szCs w:val="17"/>
        </w:rPr>
      </w:pPr>
    </w:p>
    <w:p>
      <w:pPr>
        <w:pStyle w:val="BodyText"/>
        <w:spacing w:line="434" w:lineRule="auto"/>
        <w:ind w:right="1034"/>
        <w:jc w:val="left"/>
      </w:pPr>
      <w:r>
        <w:rPr/>
        <w:t>深圳左右家私有限公司、深圳市讯方技术股份有限公司、深圳市桑格尔科技股份有限公司财务总监。现任本公司财务总监。 在股东单位任职情况</w:t>
      </w:r>
    </w:p>
    <w:p>
      <w:pPr>
        <w:pStyle w:val="BodyText"/>
        <w:spacing w:line="221" w:lineRule="exact"/>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161"/>
        <w:gridCol w:w="1560"/>
        <w:gridCol w:w="1558"/>
        <w:gridCol w:w="680"/>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执行（常务）董事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执行（常务）董事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曾胜强</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许忠慈</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许忠慈</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许忠慈</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许忠慈</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许忠慈</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许忠慈</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许忠慈</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程胜春</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杨义仁</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杨义仁</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薛宁</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宋根全</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宋根全</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宋根全</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宋根全</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宋根全</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宋根全</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161"/>
        <w:gridCol w:w="1560"/>
        <w:gridCol w:w="1558"/>
        <w:gridCol w:w="680"/>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宋根全</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贵州证通光电有限公司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张锦鸿</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张锦鸿</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张锦鸿</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广州水晶智联科技有限公司（原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证通邦</w:t>
            </w:r>
            <w:r>
              <w:rPr>
                <w:rFonts w:ascii="宋体" w:hAnsi="宋体" w:cs="宋体" w:eastAsia="宋体" w:hint="default"/>
                <w:spacing w:val="-84"/>
                <w:sz w:val="18"/>
                <w:szCs w:val="18"/>
              </w:rPr>
              <w:t> </w:t>
            </w:r>
            <w:r>
              <w:rPr>
                <w:rFonts w:ascii="宋体" w:hAnsi="宋体" w:cs="宋体" w:eastAsia="宋体" w:hint="default"/>
                <w:sz w:val="18"/>
                <w:szCs w:val="18"/>
              </w:rPr>
              <w:t>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傅德亮</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傅德亮</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杭州益趣科技有限公司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傅德亮</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傅德亮</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深圳领头羊投资合伙企业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傅德亮</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惠州启航壹号股权投资合伙企业（有限 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张公俊</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深圳大华投资管理有限公司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张公俊</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上海创影艺术制作有限公司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陈兵</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陈兵</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陈兵</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北京江融信科技有限公司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陈兵</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安徽迪科数金科技有限公司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陈兵</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澳门维唯资讯科技有限公司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周英顶</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广东诚安信会计师事务所有限公司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周英顶</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广州市湘道餐饮服务有限公司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340" w:lineRule="auto" w:before="115"/>
        <w:ind w:right="29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公司董事长曾胜强先生、财务总监黄毅先生曾于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日受到深圳证券交易所通报批评处分。</w:t>
      </w:r>
    </w:p>
    <w:p>
      <w:pPr>
        <w:spacing w:line="240" w:lineRule="auto" w:before="11"/>
        <w:rPr>
          <w:rFonts w:ascii="宋体" w:hAnsi="宋体" w:cs="宋体" w:eastAsia="宋体" w:hint="default"/>
          <w:sz w:val="17"/>
          <w:szCs w:val="17"/>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436" w:lineRule="auto"/>
        <w:ind w:left="513" w:right="1129" w:hanging="361"/>
        <w:jc w:val="left"/>
      </w:pPr>
      <w:r>
        <w:rPr/>
        <w:t>董事、监事、高级管理人员报酬的决策程序、确定依据、实际支付情况 </w:t>
      </w:r>
      <w:r>
        <w:rPr>
          <w:spacing w:val="-2"/>
        </w:rPr>
        <w:t>董事会薪酬与考核委员会在董事会的授权下，负责拟订董事及高级管理人员的薪酬标准，负责审查董事、高级管理人员</w:t>
      </w:r>
    </w:p>
    <w:p>
      <w:pPr>
        <w:pStyle w:val="BodyText"/>
        <w:spacing w:line="477" w:lineRule="auto" w:before="85"/>
        <w:ind w:right="1034"/>
        <w:jc w:val="left"/>
      </w:pPr>
      <w:r>
        <w:rPr>
          <w:spacing w:val="-2"/>
        </w:rPr>
        <w:t>的年度薪酬方案。公司内部高级管理人员的绩效薪酬经董事会审议通过后才可发放，公司董事、兼任董事的高级管理人员的</w:t>
      </w:r>
      <w:r>
        <w:rPr>
          <w:spacing w:val="-63"/>
        </w:rPr>
        <w:t> </w:t>
      </w:r>
      <w:r>
        <w:rPr>
          <w:spacing w:val="-63"/>
        </w:rPr>
      </w:r>
      <w:r>
        <w:rPr>
          <w:spacing w:val="-4"/>
        </w:rPr>
        <w:t>绩效薪酬经董事会、股东大会审议通过后才可发放、公司监事的薪酬经监事会、股东大会审议通过后方可发放。董事、监事、</w:t>
      </w:r>
      <w:r>
        <w:rPr>
          <w:spacing w:val="-41"/>
        </w:rPr>
        <w:t> </w:t>
      </w:r>
      <w:r>
        <w:rPr>
          <w:spacing w:val="-41"/>
        </w:rPr>
      </w:r>
      <w:r>
        <w:rPr>
          <w:spacing w:val="-2"/>
        </w:rPr>
        <w:t>高级管理人员的薪酬按其在公司担任的最高职务，以公司规模和绩效为基础，根据公司经营计划和分管工作的职责、目标进</w:t>
      </w:r>
      <w:r>
        <w:rPr>
          <w:spacing w:val="-63"/>
        </w:rPr>
        <w:t> </w:t>
      </w:r>
      <w:r>
        <w:rPr>
          <w:spacing w:val="-63"/>
        </w:rPr>
      </w:r>
      <w:r>
        <w:rPr>
          <w:spacing w:val="-2"/>
        </w:rPr>
        <w:t>行综合考量，根据公司《董事、监事、高级管理人员薪酬管理制度》及《高管绩效管理制度》确定，在公司任职且直接参与</w:t>
      </w:r>
      <w:r>
        <w:rPr>
          <w:spacing w:val="-65"/>
        </w:rPr>
        <w:t> </w:t>
      </w:r>
      <w:r>
        <w:rPr>
          <w:spacing w:val="-65"/>
        </w:rPr>
      </w:r>
      <w:r>
        <w:rPr>
          <w:spacing w:val="-2"/>
        </w:rPr>
        <w:t>公司经营管理但不担任子公司负责人职务的董事、监事、高级管理人员的薪酬由岗位工资、绩效工资、年终奖金组成。考核</w:t>
      </w:r>
      <w:r>
        <w:rPr>
          <w:spacing w:val="-65"/>
        </w:rPr>
        <w:t> </w:t>
      </w:r>
      <w:r>
        <w:rPr>
          <w:spacing w:val="-65"/>
        </w:rPr>
      </w:r>
      <w:r>
        <w:rPr/>
        <w:t>方式分为季度考核与年度考核，担任子公司负责人的董事、监事、高级管理人员的薪酬分为固定工资和经营责任状两部分， </w:t>
      </w:r>
      <w:r>
        <w:rPr>
          <w:spacing w:val="-2"/>
        </w:rPr>
        <w:t>董事、监事、高级管理人员的岗位工资按月发放，在公司任职的董事、监事、高级管理人员的绩效工资、担任子公司负责人</w:t>
      </w:r>
    </w:p>
    <w:p>
      <w:pPr>
        <w:spacing w:after="0" w:line="47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职务的董事、监事、高级管理人员的经营责任奖在会计年度结束后，根据经营业绩等进行考核后发放。</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日，公司召开第四届董事会第三十五次会议、第四届监事会第二十九次会议，审议通过了《关于公司修订</w:t>
      </w:r>
    </w:p>
    <w:p>
      <w:pPr>
        <w:spacing w:line="240" w:lineRule="auto" w:before="9"/>
        <w:rPr>
          <w:rFonts w:ascii="宋体" w:hAnsi="宋体" w:cs="宋体" w:eastAsia="宋体" w:hint="default"/>
          <w:sz w:val="16"/>
          <w:szCs w:val="16"/>
        </w:rPr>
      </w:pPr>
    </w:p>
    <w:p>
      <w:pPr>
        <w:pStyle w:val="BodyText"/>
        <w:spacing w:line="458" w:lineRule="auto"/>
        <w:ind w:right="1129"/>
        <w:jc w:val="both"/>
      </w:pPr>
      <w:r>
        <w:rPr>
          <w:spacing w:val="-2"/>
        </w:rPr>
        <w:t>〈董事、监事、高级管理人员薪酬管理制度〉的议案》，公司根据《中华人民共和国公司法（</w:t>
      </w:r>
      <w:r>
        <w:rPr>
          <w:rFonts w:ascii="Times New Roman" w:hAnsi="Times New Roman" w:cs="Times New Roman" w:eastAsia="Times New Roman" w:hint="default"/>
          <w:spacing w:val="-2"/>
        </w:rPr>
        <w:t>2018</w:t>
      </w:r>
      <w:r>
        <w:rPr>
          <w:spacing w:val="-2"/>
        </w:rPr>
        <w:t>年修正）》、《中华人民</w:t>
      </w:r>
      <w:r>
        <w:rPr>
          <w:spacing w:val="-66"/>
        </w:rPr>
        <w:t> </w:t>
      </w:r>
      <w:r>
        <w:rPr>
          <w:spacing w:val="-66"/>
        </w:rPr>
      </w:r>
      <w:r>
        <w:rPr>
          <w:spacing w:val="-2"/>
        </w:rPr>
        <w:t>共和国证券法（</w:t>
      </w:r>
      <w:r>
        <w:rPr>
          <w:rFonts w:ascii="Times New Roman" w:hAnsi="Times New Roman" w:cs="Times New Roman" w:eastAsia="Times New Roman" w:hint="default"/>
          <w:spacing w:val="-2"/>
        </w:rPr>
        <w:t>2014</w:t>
      </w:r>
      <w:r>
        <w:rPr>
          <w:spacing w:val="-2"/>
        </w:rPr>
        <w:t>年修正）》等相关法律、法规、规章，在满足公司未来经营发展的基础上，拟在《公司章程》中增加与</w:t>
      </w:r>
      <w:r>
        <w:rPr>
          <w:spacing w:val="-66"/>
        </w:rPr>
        <w:t> </w:t>
      </w:r>
      <w:r>
        <w:rPr>
          <w:spacing w:val="-66"/>
        </w:rPr>
      </w:r>
      <w:r>
        <w:rPr>
          <w:spacing w:val="-2"/>
        </w:rPr>
        <w:t>董事、监事、高级管理人员薪酬相关的反收购条款，对《公司章程》中的条款相应在公司《董事、监事、高级管理人员薪酬</w:t>
      </w:r>
      <w:r>
        <w:rPr>
          <w:spacing w:val="-65"/>
        </w:rPr>
        <w:t> </w:t>
      </w:r>
      <w:r>
        <w:rPr>
          <w:spacing w:val="-65"/>
        </w:rPr>
      </w:r>
      <w:r>
        <w:rPr/>
        <w:t>管理制度》进行同步修订，同时结合公司薪酬制度修订的内容对《董事、监事、高级管理人员薪酬管理制度》进行修订。</w:t>
      </w:r>
    </w:p>
    <w:p>
      <w:pPr>
        <w:pStyle w:val="BodyText"/>
        <w:spacing w:line="456" w:lineRule="auto" w:before="68"/>
        <w:ind w:right="1112" w:firstLine="451"/>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日，公司召开第五届董事会第三次会议、第五届监事会第三次，审议通过了《关于公司调整董事津贴并修 </w:t>
      </w:r>
      <w:r>
        <w:rPr>
          <w:spacing w:val="-1"/>
        </w:rPr>
        <w:t>订</w:t>
      </w:r>
      <w:r>
        <w:rPr>
          <w:rFonts w:ascii="Times New Roman" w:hAnsi="Times New Roman" w:cs="Times New Roman" w:eastAsia="Times New Roman" w:hint="default"/>
          <w:spacing w:val="-1"/>
        </w:rPr>
        <w:t>&lt;</w:t>
      </w:r>
      <w:r>
        <w:rPr>
          <w:spacing w:val="-1"/>
        </w:rPr>
        <w:t>董事、监事、高级管理人员薪酬管理制度</w:t>
      </w:r>
      <w:r>
        <w:rPr>
          <w:rFonts w:ascii="Times New Roman" w:hAnsi="Times New Roman" w:cs="Times New Roman" w:eastAsia="Times New Roman" w:hint="default"/>
          <w:spacing w:val="-1"/>
        </w:rPr>
        <w:t>&gt;</w:t>
      </w:r>
      <w:r>
        <w:rPr>
          <w:spacing w:val="-1"/>
        </w:rPr>
        <w:t>的议案》、《关于公司调整监事津贴并修订</w:t>
      </w:r>
      <w:r>
        <w:rPr>
          <w:rFonts w:ascii="Times New Roman" w:hAnsi="Times New Roman" w:cs="Times New Roman" w:eastAsia="Times New Roman" w:hint="default"/>
          <w:spacing w:val="-1"/>
        </w:rPr>
        <w:t>&lt;</w:t>
      </w:r>
      <w:r>
        <w:rPr>
          <w:spacing w:val="-1"/>
        </w:rPr>
        <w:t>董事、监事、高级管理人员薪酬</w:t>
      </w:r>
      <w:r>
        <w:rPr>
          <w:spacing w:val="-67"/>
        </w:rPr>
        <w:t> </w:t>
      </w:r>
      <w:r>
        <w:rPr>
          <w:spacing w:val="-67"/>
        </w:rPr>
      </w:r>
      <w:r>
        <w:rPr/>
        <w:t>管理制度</w:t>
      </w:r>
      <w:r>
        <w:rPr>
          <w:rFonts w:ascii="Times New Roman" w:hAnsi="Times New Roman" w:cs="Times New Roman" w:eastAsia="Times New Roman" w:hint="default"/>
        </w:rPr>
        <w:t>&gt;</w:t>
      </w:r>
      <w:r>
        <w:rPr/>
        <w:t>的议案》，公司根据《关于在上市公司建立独立董事制度的指导意见》、《公司章程》和公司内部相关制度的规 </w:t>
      </w:r>
      <w:r>
        <w:rPr>
          <w:spacing w:val="-2"/>
        </w:rPr>
        <w:t>定，并结合实际情况及行业、地区经济发展水平，并综合参考同行业上市公司董事薪酬水平，将独立董事固定津贴调整为每</w:t>
      </w:r>
      <w:r>
        <w:rPr>
          <w:spacing w:val="-64"/>
        </w:rPr>
        <w:t> </w:t>
      </w:r>
      <w:r>
        <w:rPr>
          <w:spacing w:val="-64"/>
        </w:rPr>
      </w:r>
      <w:r>
        <w:rPr/>
        <w:t>人</w:t>
      </w:r>
      <w:r>
        <w:rPr>
          <w:rFonts w:ascii="Times New Roman" w:hAnsi="Times New Roman" w:cs="Times New Roman" w:eastAsia="Times New Roman" w:hint="default"/>
        </w:rPr>
        <w:t>8</w:t>
      </w:r>
      <w:r>
        <w:rPr/>
        <w:t>万元</w:t>
      </w:r>
      <w:r>
        <w:rPr>
          <w:rFonts w:ascii="Times New Roman" w:hAnsi="Times New Roman" w:cs="Times New Roman" w:eastAsia="Times New Roman" w:hint="default"/>
        </w:rPr>
        <w:t>/</w:t>
      </w:r>
      <w:r>
        <w:rPr/>
        <w:t>年（税前），将非公司任职且不直接参与经营管理的董事固定津贴调整为每人</w:t>
      </w:r>
      <w:r>
        <w:rPr>
          <w:rFonts w:ascii="Times New Roman" w:hAnsi="Times New Roman" w:cs="Times New Roman" w:eastAsia="Times New Roman" w:hint="default"/>
        </w:rPr>
        <w:t>5</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年（税前），将非公司任职 </w:t>
      </w:r>
      <w:r>
        <w:rPr>
          <w:spacing w:val="-1"/>
        </w:rPr>
        <w:t>且不直接参与经营管理的监事固定津贴调整为每人</w:t>
      </w:r>
      <w:r>
        <w:rPr>
          <w:rFonts w:ascii="Times New Roman" w:hAnsi="Times New Roman" w:cs="Times New Roman" w:eastAsia="Times New Roman" w:hint="default"/>
          <w:spacing w:val="-1"/>
        </w:rPr>
        <w:t>5</w:t>
      </w:r>
      <w:r>
        <w:rPr>
          <w:spacing w:val="-1"/>
        </w:rPr>
        <w:t>万元</w:t>
      </w:r>
      <w:r>
        <w:rPr>
          <w:rFonts w:ascii="Times New Roman" w:hAnsi="Times New Roman" w:cs="Times New Roman" w:eastAsia="Times New Roman" w:hint="default"/>
          <w:spacing w:val="-1"/>
        </w:rPr>
        <w:t>/</w:t>
      </w:r>
      <w:r>
        <w:rPr>
          <w:spacing w:val="-1"/>
        </w:rPr>
        <w:t>年（税前），并对《董事、监事、高级管理人员薪酬管理制度》相</w:t>
      </w:r>
      <w:r>
        <w:rPr>
          <w:spacing w:val="-82"/>
        </w:rPr>
        <w:t> </w:t>
      </w:r>
      <w:r>
        <w:rPr>
          <w:spacing w:val="-82"/>
        </w:rPr>
      </w:r>
      <w:r>
        <w:rPr/>
        <w:t>应进行修订。</w:t>
      </w:r>
    </w:p>
    <w:p>
      <w:pPr>
        <w:pStyle w:val="BodyText"/>
        <w:spacing w:line="477" w:lineRule="auto" w:before="70"/>
        <w:ind w:right="1133" w:firstLine="360"/>
        <w:jc w:val="left"/>
      </w:pPr>
      <w:r>
        <w:rPr>
          <w:spacing w:val="-2"/>
        </w:rPr>
        <w:t>上述人员按《公司法》和《公司章程》相关规定行使其他职责或出席公司董事会、监事会、股东大会等所需的合理费用</w:t>
      </w:r>
      <w:r>
        <w:rPr/>
        <w:t> 由公司承担。</w:t>
      </w:r>
    </w:p>
    <w:p>
      <w:pPr>
        <w:pStyle w:val="BodyText"/>
        <w:spacing w:line="240" w:lineRule="auto" w:before="54"/>
        <w:ind w:left="513" w:right="1133"/>
        <w:jc w:val="left"/>
      </w:pPr>
      <w:r>
        <w:rPr>
          <w:rFonts w:ascii="Times New Roman" w:hAnsi="Times New Roman" w:cs="Times New Roman" w:eastAsia="Times New Roman" w:hint="default"/>
        </w:rPr>
        <w:t>2019</w:t>
      </w:r>
      <w:r>
        <w:rPr/>
        <w:t>年公司董事、监事和高级管理人员报酬合计为</w:t>
      </w:r>
      <w:r>
        <w:rPr>
          <w:rFonts w:ascii="Times New Roman" w:hAnsi="Times New Roman" w:cs="Times New Roman" w:eastAsia="Times New Roman" w:hint="default"/>
        </w:rPr>
        <w:t>637.32</w:t>
      </w:r>
      <w:r>
        <w:rPr/>
        <w:t>万元。</w:t>
      </w:r>
    </w:p>
    <w:p>
      <w:pPr>
        <w:spacing w:line="240" w:lineRule="auto" w:before="5"/>
        <w:rPr>
          <w:rFonts w:ascii="宋体" w:hAnsi="宋体" w:cs="宋体" w:eastAsia="宋体" w:hint="default"/>
          <w:sz w:val="10"/>
          <w:szCs w:val="10"/>
        </w:rPr>
      </w:pPr>
    </w:p>
    <w:p>
      <w:pPr>
        <w:pStyle w:val="BodyText"/>
        <w:spacing w:line="240" w:lineRule="auto" w:before="44"/>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744"/>
        <w:gridCol w:w="708"/>
        <w:gridCol w:w="651"/>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曾胜强</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许忠慈</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杨义仁</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程胜春</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张公俊</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陈兵</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周英顶</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薛宁</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朱纯霞</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宋根全</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傅德亮</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张锦鸿</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2744"/>
        <w:gridCol w:w="708"/>
        <w:gridCol w:w="651"/>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黄毅</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张跃华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方进</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马映冰</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孙海法</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邓鸿</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钟艳</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黄洪</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张忠</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637.32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32"/>
          <w:szCs w:val="32"/>
        </w:rPr>
      </w:pPr>
    </w:p>
    <w:p>
      <w:pPr>
        <w:pStyle w:val="BodyText"/>
        <w:spacing w:line="463" w:lineRule="auto"/>
        <w:ind w:right="1131" w:firstLine="360"/>
        <w:jc w:val="both"/>
      </w:pPr>
      <w:r>
        <w:rPr>
          <w:rFonts w:ascii="Times New Roman" w:hAnsi="Times New Roman" w:cs="Times New Roman" w:eastAsia="Times New Roman" w:hint="default"/>
          <w:spacing w:val="-2"/>
        </w:rPr>
        <w:t>2019</w:t>
      </w:r>
      <w:r>
        <w:rPr>
          <w:spacing w:val="-2"/>
        </w:rPr>
        <w:t>年公司在贯彻</w:t>
      </w:r>
      <w:r>
        <w:rPr>
          <w:rFonts w:ascii="Times New Roman" w:hAnsi="Times New Roman" w:cs="Times New Roman" w:eastAsia="Times New Roman" w:hint="default"/>
          <w:spacing w:val="-2"/>
        </w:rPr>
        <w:t>“</w:t>
      </w:r>
      <w:r>
        <w:rPr>
          <w:spacing w:val="-2"/>
        </w:rPr>
        <w:t>聚焦主业、控制风险、稳健经营、提升效益、构建能力</w:t>
      </w:r>
      <w:r>
        <w:rPr>
          <w:rFonts w:ascii="Times New Roman" w:hAnsi="Times New Roman" w:cs="Times New Roman" w:eastAsia="Times New Roman" w:hint="default"/>
          <w:spacing w:val="-2"/>
        </w:rPr>
        <w:t>”</w:t>
      </w:r>
      <w:r>
        <w:rPr>
          <w:spacing w:val="-2"/>
        </w:rPr>
        <w:t>的经营指导思想中，持续探索激励机制的创</w:t>
      </w:r>
      <w:r>
        <w:rPr/>
        <w:t> </w:t>
      </w:r>
      <w:r>
        <w:rPr>
          <w:spacing w:val="-2"/>
        </w:rPr>
        <w:t>新，优化事业部制支撑体系，对绩效管理从绩效计划、指导、评估、反馈全流程优化，设计绩效指标库，增加绩效阶段沟通</w:t>
      </w:r>
      <w:r>
        <w:rPr>
          <w:spacing w:val="-72"/>
        </w:rPr>
        <w:t> </w:t>
      </w:r>
      <w:r>
        <w:rPr>
          <w:spacing w:val="-72"/>
        </w:rPr>
      </w:r>
      <w:r>
        <w:rPr/>
        <w:t>反馈环节，为年度绩效指标的实现提供过程保障。</w:t>
      </w:r>
    </w:p>
    <w:p>
      <w:pPr>
        <w:pStyle w:val="BodyText"/>
        <w:spacing w:line="463" w:lineRule="auto" w:before="65"/>
        <w:ind w:right="0" w:firstLine="360"/>
        <w:jc w:val="left"/>
      </w:pPr>
      <w:r>
        <w:rPr/>
        <w:t>公司进一步强化</w:t>
      </w:r>
      <w:r>
        <w:rPr>
          <w:rFonts w:ascii="Times New Roman" w:hAnsi="Times New Roman" w:cs="Times New Roman" w:eastAsia="Times New Roman" w:hint="default"/>
        </w:rPr>
        <w:t>“</w:t>
      </w:r>
      <w:r>
        <w:rPr/>
        <w:t>管理总部以效益为导向，向事业部下达经营指标，事业部向下将指标层层分解</w:t>
      </w:r>
      <w:r>
        <w:rPr>
          <w:rFonts w:ascii="Times New Roman" w:hAnsi="Times New Roman" w:cs="Times New Roman" w:eastAsia="Times New Roman" w:hint="default"/>
        </w:rPr>
        <w:t>”</w:t>
      </w:r>
      <w:r>
        <w:rPr/>
        <w:t>的绩效管理体系，遵行 </w:t>
      </w:r>
      <w:r>
        <w:rPr>
          <w:rFonts w:ascii="Times New Roman" w:hAnsi="Times New Roman" w:cs="Times New Roman" w:eastAsia="Times New Roman" w:hint="default"/>
        </w:rPr>
        <w:t>“</w:t>
      </w:r>
      <w:r>
        <w:rPr/>
        <w:t>以岗定薪、以能配岗、按绩取酬</w:t>
      </w:r>
      <w:r>
        <w:rPr>
          <w:rFonts w:ascii="Times New Roman" w:hAnsi="Times New Roman" w:cs="Times New Roman" w:eastAsia="Times New Roman" w:hint="default"/>
        </w:rPr>
        <w:t>”</w:t>
      </w:r>
      <w:r>
        <w:rPr/>
        <w:t>的分配理念，考核对象从组织到个人，考核周期从年度到日常（月度、季度），以绩效、 </w:t>
      </w:r>
      <w:r>
        <w:rPr>
          <w:spacing w:val="-2"/>
        </w:rPr>
        <w:t>贡献为依据，员工绩效指标与效益、成本、回款等指标挂钩，实现员工收入与公司的经济效益挂钩，又与所在经营单位的工</w:t>
      </w:r>
      <w:r>
        <w:rPr>
          <w:spacing w:val="-67"/>
        </w:rPr>
        <w:t> </w:t>
      </w:r>
      <w:r>
        <w:rPr>
          <w:spacing w:val="-67"/>
        </w:rPr>
      </w:r>
      <w:r>
        <w:rPr>
          <w:spacing w:val="-4"/>
        </w:rPr>
        <w:t>作绩效和个人的工作质量挂钩，整个公司的薪酬体系更加的立体及丰富，更好的调动每一位员工的工作积极性和主观能动性，</w:t>
      </w:r>
      <w:r>
        <w:rPr>
          <w:spacing w:val="-43"/>
        </w:rPr>
        <w:t> </w:t>
      </w:r>
      <w:r>
        <w:rPr>
          <w:spacing w:val="-43"/>
        </w:rPr>
      </w:r>
      <w:r>
        <w:rPr/>
        <w:t>传导员工与企业风险共担、利益共享的思想，强化员工主人翁的危机意识、责任意识，共同致力公司经营目标的实现。</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32"/>
          <w:szCs w:val="32"/>
        </w:rPr>
      </w:pPr>
    </w:p>
    <w:p>
      <w:pPr>
        <w:pStyle w:val="BodyText"/>
        <w:spacing w:line="463" w:lineRule="auto"/>
        <w:ind w:right="1131" w:firstLine="360"/>
        <w:jc w:val="both"/>
      </w:pPr>
      <w:r>
        <w:rPr>
          <w:rFonts w:ascii="Times New Roman" w:hAnsi="Times New Roman" w:cs="Times New Roman" w:eastAsia="Times New Roman" w:hint="default"/>
          <w:spacing w:val="-2"/>
        </w:rPr>
        <w:t>2019</w:t>
      </w:r>
      <w:r>
        <w:rPr>
          <w:spacing w:val="-2"/>
        </w:rPr>
        <w:t>年，公司着力提升在人才、产品、营销、管理等多个维度的能力建设工作，将员工的能力建设贯彻在公司的经营指</w:t>
      </w:r>
      <w:r>
        <w:rPr/>
        <w:t> </w:t>
      </w:r>
      <w:r>
        <w:rPr>
          <w:spacing w:val="-2"/>
        </w:rPr>
        <w:t>导思想中，注重员工职业生涯发展和职业能力的提高，以员工整体发展为导向，为员工设置了管理和技能两个晋升通道，针</w:t>
      </w:r>
      <w:r>
        <w:rPr>
          <w:spacing w:val="-64"/>
        </w:rPr>
        <w:t> </w:t>
      </w:r>
      <w:r>
        <w:rPr>
          <w:spacing w:val="-64"/>
        </w:rPr>
      </w:r>
      <w:r>
        <w:rPr/>
        <w:t>对不同的岗位序列建立了任职资格标准，结合绩效表现给予员工晋升、调岗、轮岗的机会，实现员工和公司的双重发展。</w:t>
      </w:r>
    </w:p>
    <w:p>
      <w:pPr>
        <w:pStyle w:val="BodyText"/>
        <w:spacing w:line="477" w:lineRule="auto" w:before="65"/>
        <w:ind w:right="0" w:firstLine="360"/>
        <w:jc w:val="left"/>
      </w:pPr>
      <w:r>
        <w:rPr>
          <w:spacing w:val="-2"/>
        </w:rPr>
        <w:t>公司继续坚持和强化内、外培训相结合的培训理念，由总部职能部分和人力资源部作为主要支撑，制定员工年度培训计</w:t>
      </w:r>
      <w:r>
        <w:rPr/>
        <w:t> </w:t>
      </w:r>
      <w:r>
        <w:rPr>
          <w:spacing w:val="-2"/>
        </w:rPr>
        <w:t>划，建立涵盖管理、技术、销售、合同风险管理等方面的完善的培训体系，指导公司的人才发展计划和人才队伍建设的重点</w:t>
      </w:r>
      <w:r>
        <w:rPr>
          <w:spacing w:val="-65"/>
        </w:rPr>
        <w:t> </w:t>
      </w:r>
      <w:r>
        <w:rPr>
          <w:spacing w:val="-65"/>
        </w:rPr>
      </w:r>
      <w:r>
        <w:rPr>
          <w:spacing w:val="-2"/>
        </w:rPr>
        <w:t>工作。内训方面，除公司统一组织如管理、销售、财务等通用课程和专项课程外，各个事业部根据各自的业务体系为员工进</w:t>
      </w:r>
      <w:r>
        <w:rPr>
          <w:spacing w:val="-67"/>
        </w:rPr>
        <w:t> </w:t>
      </w:r>
      <w:r>
        <w:rPr>
          <w:spacing w:val="-67"/>
        </w:rPr>
      </w:r>
      <w:r>
        <w:rPr>
          <w:spacing w:val="-2"/>
        </w:rPr>
        <w:t>行相关的专业技能培训，同时通过定期举办证通大讲堂、读书分享会等创新的培训学习活动拓宽员工的学习渠道，并不断补</w:t>
      </w:r>
      <w:r>
        <w:rPr>
          <w:spacing w:val="-63"/>
        </w:rPr>
        <w:t> </w:t>
      </w:r>
      <w:r>
        <w:rPr>
          <w:spacing w:val="-63"/>
        </w:rPr>
      </w:r>
      <w:r>
        <w:rPr>
          <w:spacing w:val="-2"/>
        </w:rPr>
        <w:t>充和丰富公司内训队伍。外部培训方面，公司不定期邀请行业专家、供应商及专业人士、资深经理人、学者通过讲座及专题</w:t>
      </w:r>
      <w:r>
        <w:rPr>
          <w:spacing w:val="-67"/>
        </w:rPr>
        <w:t> </w:t>
      </w:r>
      <w:r>
        <w:rPr>
          <w:spacing w:val="-67"/>
        </w:rPr>
      </w:r>
      <w:r>
        <w:rPr>
          <w:spacing w:val="-2"/>
        </w:rPr>
        <w:t>培训等形式，为员工普及先进的管理模式和技术发展趋势等，全面提升员工的个人能力。此外，公司积极引导员工特别是中</w:t>
      </w:r>
      <w:r>
        <w:rPr>
          <w:spacing w:val="-64"/>
        </w:rPr>
        <w:t> </w:t>
      </w:r>
      <w:r>
        <w:rPr>
          <w:spacing w:val="-64"/>
        </w:rPr>
      </w:r>
      <w:r>
        <w:rPr>
          <w:spacing w:val="-2"/>
        </w:rPr>
        <w:t>高层管理人员注重在实践中提高工作胜任力，针对中高层管理人员制定个人发展计划和学习改进计划，并对每一位参与对象</w:t>
      </w:r>
      <w:r>
        <w:rPr>
          <w:spacing w:val="-64"/>
        </w:rPr>
        <w:t> </w:t>
      </w:r>
      <w:r>
        <w:rPr>
          <w:spacing w:val="-64"/>
        </w:rPr>
      </w:r>
      <w:r>
        <w:rPr>
          <w:spacing w:val="-4"/>
        </w:rPr>
        <w:t>的提升情况进行跟踪记录以及提供必要的学习支持，促进管理干部能力提升，以此带动和激发基层员工的学习热情和积极性，</w:t>
      </w:r>
      <w:r>
        <w:rPr>
          <w:spacing w:val="-44"/>
        </w:rPr>
        <w:t> </w:t>
      </w:r>
      <w:r>
        <w:rPr>
          <w:spacing w:val="-44"/>
        </w:rPr>
      </w:r>
      <w:r>
        <w:rPr/>
        <w:t>并在面对面的培训交流中进一步完善公司的工作沟通机制及通畅的信息流通管道，助力公司战略的有效执行和实现。</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1"/>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131" w:firstLine="360"/>
        <w:jc w:val="both"/>
      </w:pPr>
      <w:r>
        <w:rPr>
          <w:spacing w:val="-2"/>
        </w:rPr>
        <w:t>报告期内，公司严格按照《公司法》、《证券法》、《上市公司治理准则》、《深圳证券交易所股票上市规则》和《深</w:t>
      </w:r>
      <w:r>
        <w:rPr/>
        <w:t> </w:t>
      </w:r>
      <w:r>
        <w:rPr>
          <w:spacing w:val="-2"/>
        </w:rPr>
        <w:t>圳证券交易所中小板上市公司规范运作指引》等相关法律、法规的规定，不断完善公司法人治理结构，进一步提高公司治理</w:t>
      </w:r>
      <w:r>
        <w:rPr>
          <w:spacing w:val="-64"/>
        </w:rPr>
        <w:t> </w:t>
      </w:r>
      <w:r>
        <w:rPr>
          <w:spacing w:val="-64"/>
        </w:rPr>
      </w:r>
      <w:r>
        <w:rPr/>
        <w:t>水平。</w:t>
      </w:r>
    </w:p>
    <w:p>
      <w:pPr>
        <w:pStyle w:val="BodyText"/>
        <w:spacing w:line="451" w:lineRule="auto" w:before="55"/>
        <w:ind w:left="513" w:right="0"/>
        <w:jc w:val="left"/>
      </w:pPr>
      <w:r>
        <w:rPr>
          <w:rFonts w:ascii="Times New Roman" w:hAnsi="Times New Roman" w:cs="Times New Roman" w:eastAsia="Times New Roman" w:hint="default"/>
        </w:rPr>
        <w:t>1</w:t>
      </w:r>
      <w:r>
        <w:rPr/>
        <w:t>、关于股东与股东大会 </w:t>
      </w:r>
      <w:r>
        <w:rPr>
          <w:spacing w:val="-4"/>
        </w:rPr>
        <w:t>公司严格按照《上市公司股东大会规则》、《公司章程》及《股东大会议事规则》等相关法律规定及公司的规定和要求，</w:t>
      </w:r>
    </w:p>
    <w:p>
      <w:pPr>
        <w:pStyle w:val="BodyText"/>
        <w:spacing w:line="463" w:lineRule="auto" w:before="74"/>
        <w:ind w:right="1135"/>
        <w:jc w:val="both"/>
      </w:pPr>
      <w:r>
        <w:rPr>
          <w:spacing w:val="-2"/>
        </w:rPr>
        <w:t>召集召开股东大会，公平、公正地对待每一位股东，确保所有股东享有平等地位，能充分行使其权利，不存在任何损害股东</w:t>
      </w:r>
      <w:r>
        <w:rPr>
          <w:spacing w:val="-67"/>
        </w:rPr>
        <w:t> </w:t>
      </w:r>
      <w:r>
        <w:rPr>
          <w:spacing w:val="-67"/>
        </w:rPr>
      </w:r>
      <w:r>
        <w:rPr/>
        <w:t>利益的情形。同时聘请律师进行见证，保证会议召集、召开和表决程序的合法性。报告期内，公司共召开</w:t>
      </w:r>
      <w:r>
        <w:rPr>
          <w:rFonts w:ascii="Times New Roman" w:hAnsi="Times New Roman" w:cs="Times New Roman" w:eastAsia="Times New Roman" w:hint="default"/>
        </w:rPr>
        <w:t>7</w:t>
      </w:r>
      <w:r>
        <w:rPr/>
        <w:t>次股东大会，各</w:t>
      </w:r>
      <w:r>
        <w:rPr>
          <w:spacing w:val="-87"/>
        </w:rPr>
        <w:t> </w:t>
      </w:r>
      <w:r>
        <w:rPr/>
        <w:t>股东通过公司股东大会行使权力，保障公司的规范运作。</w:t>
      </w:r>
    </w:p>
    <w:p>
      <w:pPr>
        <w:pStyle w:val="BodyText"/>
        <w:spacing w:line="451" w:lineRule="auto" w:before="65"/>
        <w:ind w:left="513" w:right="1133"/>
        <w:jc w:val="left"/>
      </w:pPr>
      <w:r>
        <w:rPr>
          <w:rFonts w:ascii="Times New Roman" w:hAnsi="Times New Roman" w:cs="Times New Roman" w:eastAsia="Times New Roman" w:hint="default"/>
        </w:rPr>
        <w:t>2</w:t>
      </w:r>
      <w:r>
        <w:rPr/>
        <w:t>、关于董事与董事会 </w:t>
      </w:r>
      <w:r>
        <w:rPr>
          <w:spacing w:val="-2"/>
        </w:rPr>
        <w:t>报告期内，经公司</w:t>
      </w:r>
      <w:r>
        <w:rPr>
          <w:rFonts w:ascii="Times New Roman" w:hAnsi="Times New Roman" w:cs="Times New Roman" w:eastAsia="Times New Roman" w:hint="default"/>
          <w:spacing w:val="-2"/>
        </w:rPr>
        <w:t>2019</w:t>
      </w:r>
      <w:r>
        <w:rPr>
          <w:spacing w:val="-2"/>
        </w:rPr>
        <w:t>年第三次临时股东大会审议通过完成董事会换届选举工作，公司严格按照《公司法》、《公司章</w:t>
      </w:r>
    </w:p>
    <w:p>
      <w:pPr>
        <w:pStyle w:val="BodyText"/>
        <w:spacing w:line="451" w:lineRule="auto" w:before="44"/>
        <w:ind w:right="1129"/>
        <w:jc w:val="left"/>
      </w:pPr>
      <w:r>
        <w:rPr>
          <w:spacing w:val="-2"/>
        </w:rPr>
        <w:t>程》规定的选聘程序选举董事，公司董事会由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名，董事会的人数和人员结构符合法律法规和公</w:t>
      </w:r>
      <w:r>
        <w:rPr>
          <w:spacing w:val="-63"/>
        </w:rPr>
        <w:t> </w:t>
      </w:r>
      <w:r>
        <w:rPr>
          <w:spacing w:val="-63"/>
        </w:rPr>
      </w:r>
      <w:r>
        <w:rPr>
          <w:spacing w:val="-2"/>
        </w:rPr>
        <w:t>司制度的要求。报告期内，公司共召开</w:t>
      </w:r>
      <w:r>
        <w:rPr>
          <w:rFonts w:ascii="Times New Roman" w:hAnsi="Times New Roman" w:cs="Times New Roman" w:eastAsia="Times New Roman" w:hint="default"/>
          <w:spacing w:val="-2"/>
        </w:rPr>
        <w:t>13</w:t>
      </w:r>
      <w:r>
        <w:rPr>
          <w:spacing w:val="-2"/>
        </w:rPr>
        <w:t>次董事会。公司董事会的召集、召开程序，议案的审议程序和决策程序等严格按照</w:t>
      </w:r>
    </w:p>
    <w:p>
      <w:pPr>
        <w:pStyle w:val="BodyText"/>
        <w:spacing w:line="477" w:lineRule="auto" w:before="43"/>
        <w:ind w:right="1129"/>
        <w:jc w:val="left"/>
      </w:pPr>
      <w:r>
        <w:rPr>
          <w:spacing w:val="-2"/>
        </w:rPr>
        <w:t>《公司章程》、《董事会议事规则》的规定运行。公司董事出席董事会，认真审议各项议案，履行董事职责。公司聘请的独</w:t>
      </w:r>
      <w:r>
        <w:rPr>
          <w:spacing w:val="-65"/>
        </w:rPr>
        <w:t> </w:t>
      </w:r>
      <w:r>
        <w:rPr>
          <w:spacing w:val="-65"/>
        </w:rPr>
      </w:r>
      <w:r>
        <w:rPr/>
        <w:t>立董事享有《公司法》、《公司章程》和《独立董事制度》中赋予的职权，能够独立公正地履行职责。</w:t>
      </w:r>
    </w:p>
    <w:p>
      <w:pPr>
        <w:pStyle w:val="BodyText"/>
        <w:spacing w:line="477" w:lineRule="auto" w:before="54"/>
        <w:ind w:right="1133" w:firstLine="360"/>
        <w:jc w:val="both"/>
      </w:pPr>
      <w:r>
        <w:rPr>
          <w:spacing w:val="-2"/>
        </w:rPr>
        <w:t>报告期内，公司为进一步提高公司治理水平，完善公司制度，在结合现阶段公司实际情况及未来战略规划的基础上，提</w:t>
      </w:r>
      <w:r>
        <w:rPr/>
        <w:t> </w:t>
      </w:r>
      <w:r>
        <w:rPr>
          <w:spacing w:val="-2"/>
        </w:rPr>
        <w:t>议对相关制度内容进行修订，包括《公司章程》、《股东大会议事规则》、《董事会议事规则》、《董事、监事、高级管理</w:t>
      </w:r>
      <w:r>
        <w:rPr>
          <w:spacing w:val="-73"/>
        </w:rPr>
        <w:t> </w:t>
      </w:r>
      <w:r>
        <w:rPr>
          <w:spacing w:val="-73"/>
        </w:rPr>
      </w:r>
      <w:r>
        <w:rPr/>
        <w:t>人员薪酬管理制度》，前述制度也已经公司董事会和股东大会审议通过并实施。</w:t>
      </w:r>
    </w:p>
    <w:p>
      <w:pPr>
        <w:pStyle w:val="BodyText"/>
        <w:spacing w:line="451" w:lineRule="auto" w:before="55"/>
        <w:ind w:left="513" w:right="1133"/>
        <w:jc w:val="left"/>
      </w:pPr>
      <w:r>
        <w:rPr>
          <w:rFonts w:ascii="Times New Roman" w:hAnsi="Times New Roman" w:cs="Times New Roman" w:eastAsia="Times New Roman" w:hint="default"/>
        </w:rPr>
        <w:t>3</w:t>
      </w:r>
      <w:r>
        <w:rPr/>
        <w:t>、关于监事与监事会 </w:t>
      </w:r>
      <w:r>
        <w:rPr>
          <w:spacing w:val="-2"/>
        </w:rPr>
        <w:t>报告期内，经公司</w:t>
      </w:r>
      <w:r>
        <w:rPr>
          <w:rFonts w:ascii="Times New Roman" w:hAnsi="Times New Roman" w:cs="Times New Roman" w:eastAsia="Times New Roman" w:hint="default"/>
          <w:spacing w:val="-2"/>
        </w:rPr>
        <w:t>2019</w:t>
      </w:r>
      <w:r>
        <w:rPr>
          <w:spacing w:val="-2"/>
        </w:rPr>
        <w:t>年第三次临时股东大会审议通过完成监事会换届选举工作，公司严格按照《公司法》、《公司章</w:t>
      </w:r>
    </w:p>
    <w:p>
      <w:pPr>
        <w:pStyle w:val="BodyText"/>
        <w:spacing w:line="458" w:lineRule="auto" w:before="43"/>
        <w:ind w:right="1034"/>
        <w:jc w:val="left"/>
      </w:pPr>
      <w:r>
        <w:rPr/>
        <w:t>程》规定的选聘程序选举监事，规范监事会的召集、召开和表决程序。公司监事会由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w:t>
      </w:r>
      <w:r>
        <w:rPr>
          <w:spacing w:val="-87"/>
        </w:rPr>
        <w:t> </w:t>
      </w:r>
      <w:r>
        <w:rPr>
          <w:spacing w:val="-2"/>
        </w:rPr>
        <w:t>监事会的人数、构成及选聘程序均符合法律、法规和《公司章程》的规定。报告期内，公司共召开</w:t>
      </w:r>
      <w:r>
        <w:rPr>
          <w:rFonts w:ascii="Times New Roman" w:hAnsi="Times New Roman" w:cs="Times New Roman" w:eastAsia="Times New Roman" w:hint="default"/>
          <w:spacing w:val="-2"/>
        </w:rPr>
        <w:t>13</w:t>
      </w:r>
      <w:r>
        <w:rPr>
          <w:spacing w:val="-2"/>
        </w:rPr>
        <w:t>次监事会，公司监事按</w:t>
      </w:r>
      <w:r>
        <w:rPr>
          <w:spacing w:val="-71"/>
        </w:rPr>
        <w:t> </w:t>
      </w:r>
      <w:r>
        <w:rPr>
          <w:spacing w:val="-71"/>
        </w:rPr>
      </w:r>
      <w:r>
        <w:rPr>
          <w:spacing w:val="-2"/>
        </w:rPr>
        <w:t>照《监事会议事规则》的要求，认真履行自己的职责，对公司重大事项、关联交易以及董事、高级管理人员等事项履行职责</w:t>
      </w:r>
      <w:r>
        <w:rPr>
          <w:spacing w:val="-68"/>
        </w:rPr>
        <w:t> </w:t>
      </w:r>
      <w:r>
        <w:rPr>
          <w:spacing w:val="-68"/>
        </w:rPr>
      </w:r>
      <w:r>
        <w:rPr/>
        <w:t>的合法合规性进行监督。</w:t>
      </w:r>
    </w:p>
    <w:p>
      <w:pPr>
        <w:pStyle w:val="BodyText"/>
        <w:spacing w:line="451" w:lineRule="auto" w:before="68"/>
        <w:ind w:left="513" w:right="1129"/>
        <w:jc w:val="left"/>
      </w:pPr>
      <w:r>
        <w:rPr>
          <w:rFonts w:ascii="Times New Roman" w:hAnsi="Times New Roman" w:cs="Times New Roman" w:eastAsia="Times New Roman" w:hint="default"/>
        </w:rPr>
        <w:t>4</w:t>
      </w:r>
      <w:r>
        <w:rPr/>
        <w:t>、关于公司与控股股东 </w:t>
      </w:r>
      <w:r>
        <w:rPr>
          <w:spacing w:val="-2"/>
        </w:rPr>
        <w:t>公司拥有独立的、完整的业务和自主经营能力。公司董事会、监事会和内部机构独立运作。公司控股股东能严格规范自</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0"/>
        <w:jc w:val="both"/>
      </w:pPr>
      <w:r>
        <w:rPr>
          <w:spacing w:val="-2"/>
        </w:rPr>
        <w:t>己的行为，通过股东大会行使股东权利，没有超越股东大会直接或间接干预公司的决策和经营活动。公司控股股东不存在占</w:t>
      </w:r>
      <w:r>
        <w:rPr>
          <w:spacing w:val="-63"/>
        </w:rPr>
        <w:t> </w:t>
      </w:r>
      <w:r>
        <w:rPr>
          <w:spacing w:val="-63"/>
        </w:rPr>
      </w:r>
      <w:r>
        <w:rPr/>
        <w:t>用公司资金的情况，公司也没有为控股股东提供担保的情况。</w:t>
      </w:r>
    </w:p>
    <w:p>
      <w:pPr>
        <w:pStyle w:val="BodyText"/>
        <w:spacing w:line="451" w:lineRule="auto" w:before="54"/>
        <w:ind w:left="513" w:right="1133"/>
        <w:jc w:val="left"/>
      </w:pPr>
      <w:r>
        <w:rPr>
          <w:rFonts w:ascii="Times New Roman" w:hAnsi="Times New Roman" w:cs="Times New Roman" w:eastAsia="Times New Roman" w:hint="default"/>
        </w:rPr>
        <w:t>5</w:t>
      </w:r>
      <w:r>
        <w:rPr/>
        <w:t>、公司与投资者 </w:t>
      </w:r>
      <w:r>
        <w:rPr>
          <w:spacing w:val="-2"/>
        </w:rPr>
        <w:t>公司开展了投资者保护</w:t>
      </w:r>
      <w:r>
        <w:rPr>
          <w:rFonts w:ascii="Times New Roman" w:hAnsi="Times New Roman" w:cs="Times New Roman" w:eastAsia="Times New Roman" w:hint="default"/>
          <w:spacing w:val="-2"/>
        </w:rPr>
        <w:t>“</w:t>
      </w:r>
      <w:r>
        <w:rPr>
          <w:spacing w:val="-2"/>
        </w:rPr>
        <w:t>蓝天行动</w:t>
      </w:r>
      <w:r>
        <w:rPr>
          <w:rFonts w:ascii="Times New Roman" w:hAnsi="Times New Roman" w:cs="Times New Roman" w:eastAsia="Times New Roman" w:hint="default"/>
          <w:spacing w:val="-2"/>
        </w:rPr>
        <w:t>”</w:t>
      </w:r>
      <w:r>
        <w:rPr>
          <w:spacing w:val="-2"/>
        </w:rPr>
        <w:t>专项工作，在符合信息披露相关法律、法规的基础上，积极回复、响应投资者在互动</w:t>
      </w:r>
    </w:p>
    <w:p>
      <w:pPr>
        <w:pStyle w:val="BodyText"/>
        <w:spacing w:line="472" w:lineRule="auto" w:before="43"/>
        <w:ind w:right="1130"/>
        <w:jc w:val="both"/>
      </w:pPr>
      <w:r>
        <w:rPr/>
        <w:t>易上日常对公司提出的问询，报告期内累计回复</w:t>
      </w:r>
      <w:r>
        <w:rPr>
          <w:rFonts w:ascii="Times New Roman" w:hAnsi="Times New Roman" w:cs="Times New Roman" w:eastAsia="Times New Roman" w:hint="default"/>
        </w:rPr>
        <w:t>120</w:t>
      </w:r>
      <w:r>
        <w:rPr/>
        <w:t>条互动易问题；加大拓宽了沟通渠道，通过公司网站等手段，对投资者 </w:t>
      </w:r>
      <w:r>
        <w:rPr>
          <w:spacing w:val="-2"/>
        </w:rPr>
        <w:t>发布合规的公司日常经营管理、产品技术、新闻资讯等信息；并指派专人接听投资者服务电话，提高投资者服务意识，确保</w:t>
      </w:r>
      <w:r>
        <w:rPr>
          <w:spacing w:val="-67"/>
        </w:rPr>
        <w:t> </w:t>
      </w:r>
      <w:r>
        <w:rPr>
          <w:spacing w:val="-67"/>
        </w:rPr>
      </w:r>
      <w:r>
        <w:rPr>
          <w:spacing w:val="-2"/>
        </w:rPr>
        <w:t>投资者服务电话和公司网站投资者关系栏目等投资者服务渠道畅通；不定期接待投资者，在符合信息披露等相关法律、法规</w:t>
      </w:r>
      <w:r>
        <w:rPr>
          <w:spacing w:val="-65"/>
        </w:rPr>
        <w:t> </w:t>
      </w:r>
      <w:r>
        <w:rPr>
          <w:spacing w:val="-65"/>
        </w:rPr>
      </w:r>
      <w:r>
        <w:rPr>
          <w:spacing w:val="-2"/>
        </w:rPr>
        <w:t>的原则基础上，接待前来公司调研的投资者，积极回复投资者疑问。公司持续加强和提升信息披露质量，进一步完善投资者</w:t>
      </w:r>
      <w:r>
        <w:rPr>
          <w:spacing w:val="-65"/>
        </w:rPr>
        <w:t> </w:t>
      </w:r>
      <w:r>
        <w:rPr>
          <w:spacing w:val="-65"/>
        </w:rPr>
      </w:r>
      <w:r>
        <w:rPr>
          <w:spacing w:val="-2"/>
        </w:rPr>
        <w:t>关系管理工作，多渠道多方式搭建投资者沟通交流平台；引导投资者树立长期投资和理性投资的理念，切实保护广大投资者</w:t>
      </w:r>
      <w:r>
        <w:rPr>
          <w:spacing w:val="-63"/>
        </w:rPr>
        <w:t> </w:t>
      </w:r>
      <w:r>
        <w:rPr>
          <w:spacing w:val="-63"/>
        </w:rPr>
      </w:r>
      <w:r>
        <w:rPr/>
        <w:t>特别是中小投资者的合法权益。</w:t>
      </w:r>
    </w:p>
    <w:p>
      <w:pPr>
        <w:pStyle w:val="BodyText"/>
        <w:spacing w:line="463" w:lineRule="auto" w:before="58"/>
        <w:ind w:right="1132" w:firstLine="360"/>
        <w:jc w:val="both"/>
      </w:pPr>
      <w:r>
        <w:rPr>
          <w:rFonts w:ascii="Times New Roman" w:hAnsi="Times New Roman" w:cs="Times New Roman" w:eastAsia="Times New Roman" w:hint="default"/>
          <w:spacing w:val="-2"/>
        </w:rPr>
        <w:t>2019</w:t>
      </w:r>
      <w:r>
        <w:rPr>
          <w:spacing w:val="-2"/>
        </w:rPr>
        <w:t>年度公司董事会办公室部门会定期向公司董事、监事及高级管理人员发送监管部门公布的违规操作案例，及时整理</w:t>
      </w:r>
      <w:r>
        <w:rPr/>
        <w:t> </w:t>
      </w:r>
      <w:r>
        <w:rPr>
          <w:spacing w:val="-2"/>
        </w:rPr>
        <w:t>提醒董监高人员需关注新的法律、法规和政策文件；同时积极安排公司董事、监事及高级管理人员参与上市公司协会等单位</w:t>
      </w:r>
      <w:r>
        <w:rPr>
          <w:spacing w:val="-66"/>
        </w:rPr>
        <w:t> </w:t>
      </w:r>
      <w:r>
        <w:rPr>
          <w:spacing w:val="-66"/>
        </w:rPr>
      </w:r>
      <w:r>
        <w:rPr/>
        <w:t>组织的培训及活动，以此督促公司高层人员，加强公司治理合法合规意识。</w:t>
      </w:r>
    </w:p>
    <w:p>
      <w:pPr>
        <w:pStyle w:val="BodyText"/>
        <w:spacing w:line="489" w:lineRule="auto" w:before="65"/>
        <w:ind w:left="513" w:right="1129"/>
        <w:jc w:val="left"/>
      </w:pPr>
      <w:r>
        <w:rPr>
          <w:rFonts w:ascii="Times New Roman" w:hAnsi="Times New Roman" w:cs="Times New Roman" w:eastAsia="Times New Roman" w:hint="default"/>
        </w:rPr>
        <w:t>6</w:t>
      </w:r>
      <w:r>
        <w:rPr/>
        <w:t>、关于相关利益者 </w:t>
      </w:r>
      <w:r>
        <w:rPr>
          <w:spacing w:val="-2"/>
        </w:rPr>
        <w:t>公司在保持稳健发展、实现股东利益最大化的同时，充分尊重和维护相关利益者的合法权益，公司在全国各大中城市设</w:t>
      </w:r>
    </w:p>
    <w:p>
      <w:pPr>
        <w:pStyle w:val="BodyText"/>
        <w:spacing w:line="477" w:lineRule="auto" w:before="45"/>
        <w:ind w:right="1130"/>
        <w:jc w:val="both"/>
      </w:pPr>
      <w:r>
        <w:rPr>
          <w:spacing w:val="-2"/>
        </w:rPr>
        <w:t>立客服中心，随时为客户提供售后服务，与客户进行良性互动，并逐步优化采购物料交互信息平台，实现计划、采购、供应</w:t>
      </w:r>
      <w:r>
        <w:rPr>
          <w:spacing w:val="-70"/>
        </w:rPr>
        <w:t> </w:t>
      </w:r>
      <w:r>
        <w:rPr>
          <w:spacing w:val="-70"/>
        </w:rPr>
      </w:r>
      <w:r>
        <w:rPr>
          <w:spacing w:val="-2"/>
        </w:rPr>
        <w:t>商三者物料信息共享与快速传递，诚信对待供应商和客户；还通过举办生日会、大讲堂、读书分享会、网上教学等活动认真</w:t>
      </w:r>
      <w:r>
        <w:rPr>
          <w:spacing w:val="-67"/>
        </w:rPr>
        <w:t> </w:t>
      </w:r>
      <w:r>
        <w:rPr>
          <w:spacing w:val="-67"/>
        </w:rPr>
      </w:r>
      <w:r>
        <w:rPr>
          <w:spacing w:val="-2"/>
        </w:rPr>
        <w:t>对待、培养每一位员工，加强各方的沟通和交流，在企业创造利润最大化的同时，实现股东、客户、供应商、员工、公共利</w:t>
      </w:r>
      <w:r>
        <w:rPr>
          <w:spacing w:val="-65"/>
        </w:rPr>
        <w:t> </w:t>
      </w:r>
      <w:r>
        <w:rPr>
          <w:spacing w:val="-65"/>
        </w:rPr>
      </w:r>
      <w:r>
        <w:rPr/>
        <w:t>益群体等相关利益者的共赢，共同推动公司持续、稳健发展。</w:t>
      </w:r>
    </w:p>
    <w:p>
      <w:pPr>
        <w:pStyle w:val="BodyText"/>
        <w:spacing w:line="489" w:lineRule="auto" w:before="92"/>
        <w:ind w:left="513" w:right="1133"/>
        <w:jc w:val="left"/>
      </w:pPr>
      <w:r>
        <w:rPr>
          <w:rFonts w:ascii="Times New Roman" w:hAnsi="Times New Roman" w:cs="Times New Roman" w:eastAsia="Times New Roman" w:hint="default"/>
        </w:rPr>
        <w:t>7</w:t>
      </w:r>
      <w:r>
        <w:rPr/>
        <w:t>、关于信息披露与透明度 </w:t>
      </w:r>
      <w:r>
        <w:rPr>
          <w:spacing w:val="-2"/>
        </w:rPr>
        <w:t>公司严格按照《深圳证券交易所中小板上市公司规范运作指引》、《上市公司信息披露管理办法》、公司《信息披露管</w:t>
      </w:r>
    </w:p>
    <w:p>
      <w:pPr>
        <w:pStyle w:val="BodyText"/>
        <w:spacing w:line="472" w:lineRule="auto" w:before="46"/>
        <w:ind w:right="1034"/>
        <w:jc w:val="left"/>
      </w:pPr>
      <w:r>
        <w:rPr>
          <w:spacing w:val="-2"/>
        </w:rPr>
        <w:t>理制度》和公司《投资者关系管理办法》等相关法规、制度的规定和要求，认真履行信息披露义务。公司指定董事会秘书负</w:t>
      </w:r>
      <w:r>
        <w:rPr>
          <w:spacing w:val="-68"/>
        </w:rPr>
        <w:t> </w:t>
      </w:r>
      <w:r>
        <w:rPr>
          <w:spacing w:val="-68"/>
        </w:rPr>
      </w:r>
      <w:r>
        <w:rPr/>
        <w:t>责信息披露工作、接待投资者的来访和咨询，建立投资者专线电话、电子邮箱，设立专门机构并配备了相应的人员，真实、 准确、完整、及时地披露信息。并指定《证券时报》、巨潮资讯网（</w:t>
      </w:r>
      <w:hyperlink r:id="rId13">
        <w:r>
          <w:rPr>
            <w:rFonts w:ascii="Times New Roman" w:hAnsi="Times New Roman" w:cs="Times New Roman" w:eastAsia="Times New Roman" w:hint="default"/>
          </w:rPr>
          <w:t>www.cninfo.com.cn</w:t>
        </w:r>
      </w:hyperlink>
      <w:r>
        <w:rPr/>
        <w:t>）为公司信息披露媒体，还通过深 </w:t>
      </w:r>
      <w:r>
        <w:rPr>
          <w:spacing w:val="-2"/>
        </w:rPr>
        <w:t>圳证券交易所互动易平台和接待来访等方式加强与投资者的沟通与交流，确保公司所有股东能够以平等的机会获知公司重要</w:t>
      </w:r>
      <w:r>
        <w:rPr>
          <w:spacing w:val="-64"/>
        </w:rPr>
        <w:t> </w:t>
      </w:r>
      <w:r>
        <w:rPr>
          <w:spacing w:val="-64"/>
        </w:rPr>
      </w:r>
      <w:r>
        <w:rPr>
          <w:spacing w:val="-2"/>
        </w:rPr>
        <w:t>信息。同时，公司进一步加强了与监管机构的经常性联系和主动沟通，积极向监管机构报告和报备公司相关事项，确保公司</w:t>
      </w:r>
      <w:r>
        <w:rPr>
          <w:spacing w:val="-64"/>
        </w:rPr>
        <w:t> </w:t>
      </w:r>
      <w:r>
        <w:rPr>
          <w:spacing w:val="-64"/>
        </w:rPr>
      </w:r>
      <w:r>
        <w:rPr/>
        <w:t>信息披露更加规范。</w:t>
      </w:r>
    </w:p>
    <w:p>
      <w:pPr>
        <w:pStyle w:val="BodyText"/>
        <w:spacing w:line="489" w:lineRule="auto" w:before="58"/>
        <w:ind w:left="513" w:right="1033"/>
        <w:jc w:val="left"/>
      </w:pPr>
      <w:r>
        <w:rPr>
          <w:rFonts w:ascii="Times New Roman" w:hAnsi="Times New Roman" w:cs="Times New Roman" w:eastAsia="Times New Roman" w:hint="default"/>
        </w:rPr>
        <w:t>8</w:t>
      </w:r>
      <w:r>
        <w:rPr/>
        <w:t>、关于绩效评价与考核 报告期内，公司更新修订了《公司董事、监事、高级管理人员薪酬管理制度》，以《公司薪酬管理制度》为基础依据，</w:t>
      </w:r>
    </w:p>
    <w:p>
      <w:pPr>
        <w:spacing w:after="0" w:line="489"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34"/>
        <w:jc w:val="left"/>
      </w:pPr>
      <w:r>
        <w:rPr>
          <w:spacing w:val="-2"/>
        </w:rPr>
        <w:t>明确规范绩效考核工作，坚持客观公正、规范透明、绩效导向原则。为适应本年组织架构调整，公司进行了相关人事任免和</w:t>
      </w:r>
      <w:r>
        <w:rPr>
          <w:spacing w:val="-67"/>
        </w:rPr>
        <w:t> </w:t>
      </w:r>
      <w:r>
        <w:rPr>
          <w:spacing w:val="-67"/>
        </w:rPr>
      </w:r>
      <w:r>
        <w:rPr/>
        <w:t>领导分工。对人力资源规划、定岗定编、引进与培训、使用与考核、奖惩与退出等进行了规范，建立了良好的选人、用人、 </w:t>
      </w:r>
      <w:r>
        <w:rPr>
          <w:spacing w:val="-2"/>
        </w:rPr>
        <w:t>育人、留人机制，形成了一套适合公司实际情况的人力资源管理体系。同时，进一步加强和改进公司人力队伍建设，重视引</w:t>
      </w:r>
      <w:r>
        <w:rPr>
          <w:spacing w:val="-67"/>
        </w:rPr>
        <w:t> </w:t>
      </w:r>
      <w:r>
        <w:rPr>
          <w:spacing w:val="-67"/>
        </w:rPr>
      </w:r>
      <w:r>
        <w:rPr>
          <w:spacing w:val="-2"/>
        </w:rPr>
        <w:t>进满足公司新业务、新岗位所需要的技术人才和特殊人才，以适应公司的发展需要。报告期内，公司完成股份回购，拟计划</w:t>
      </w:r>
    </w:p>
    <w:p>
      <w:pPr>
        <w:pStyle w:val="BodyText"/>
        <w:spacing w:line="436" w:lineRule="auto" w:before="54"/>
        <w:ind w:right="3554"/>
        <w:jc w:val="left"/>
      </w:pPr>
      <w:r>
        <w:rPr/>
        <w:t>未来用于实施股权激励计划或员工持股计划，以进一步调动和激发员工积极性。 公司治理的实际状况与中国证监会发布的有关上市公司治理的规范性文件是否存在重大差异</w:t>
      </w:r>
    </w:p>
    <w:p>
      <w:pPr>
        <w:pStyle w:val="BodyText"/>
        <w:spacing w:line="216" w:lineRule="exact"/>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公司治理的实际状况与中国证监会发布的有关上市公司治理的规范性文件不存在重大差异。</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3" w:firstLine="360"/>
        <w:jc w:val="left"/>
      </w:pPr>
      <w:r>
        <w:rPr>
          <w:spacing w:val="-2"/>
        </w:rPr>
        <w:t>公司与控股股东在业务、资产、人员、机构、财务等方面完全分开。公司建立了独立完整的经营体系，具有独立完整的</w:t>
      </w:r>
      <w:r>
        <w:rPr/>
        <w:t> 业务自主经营能力。具体情况如下：</w:t>
      </w:r>
    </w:p>
    <w:p>
      <w:pPr>
        <w:pStyle w:val="BodyText"/>
        <w:spacing w:line="451" w:lineRule="auto" w:before="54"/>
        <w:ind w:left="513" w:right="1129"/>
        <w:jc w:val="left"/>
      </w:pPr>
      <w:r>
        <w:rPr>
          <w:rFonts w:ascii="Times New Roman" w:hAnsi="Times New Roman" w:cs="Times New Roman" w:eastAsia="Times New Roman" w:hint="default"/>
        </w:rPr>
        <w:t>1</w:t>
      </w:r>
      <w:r>
        <w:rPr/>
        <w:t>、业务独立 </w:t>
      </w:r>
      <w:r>
        <w:rPr>
          <w:spacing w:val="-2"/>
        </w:rPr>
        <w:t>公司拥有完整的业务流程和独立经营场所和配套设施，拥有独立的采购和销售系统，，具备完整的业务体系及面向市场</w:t>
      </w:r>
    </w:p>
    <w:p>
      <w:pPr>
        <w:pStyle w:val="BodyText"/>
        <w:spacing w:line="463" w:lineRule="auto" w:before="74"/>
        <w:ind w:left="513" w:right="1033" w:hanging="361"/>
        <w:jc w:val="left"/>
      </w:pPr>
      <w:r>
        <w:rPr/>
        <w:t>自主经营的能力。在业务上与控股股东、实际控制人及其控制的其他企业不存在同业竞争及依赖于控股股东的问题。 </w:t>
      </w:r>
      <w:r>
        <w:rPr>
          <w:rFonts w:ascii="Times New Roman" w:hAnsi="Times New Roman" w:cs="Times New Roman" w:eastAsia="Times New Roman" w:hint="default"/>
        </w:rPr>
        <w:t>2</w:t>
      </w:r>
      <w:r>
        <w:rPr/>
        <w:t>、资产独立 公司经营所需的厂房建筑物、机器设备、交通工具等固定资产和土地使用权、专利权、商标权等无形资产的权属清晰，</w:t>
      </w:r>
    </w:p>
    <w:p>
      <w:pPr>
        <w:pStyle w:val="BodyText"/>
        <w:spacing w:line="475" w:lineRule="auto" w:before="65"/>
        <w:ind w:right="1129"/>
        <w:jc w:val="left"/>
      </w:pPr>
      <w:r>
        <w:rPr>
          <w:spacing w:val="-2"/>
        </w:rPr>
        <w:t>不存在重大法律纠纷或潜在纠纷，不存在股东单位违规占用上市公司资金、资产及其他资源的情况；公司对所拥有的资产拥</w:t>
      </w:r>
      <w:r>
        <w:rPr>
          <w:spacing w:val="-63"/>
        </w:rPr>
        <w:t> </w:t>
      </w:r>
      <w:r>
        <w:rPr>
          <w:spacing w:val="-63"/>
        </w:rPr>
      </w:r>
      <w:r>
        <w:rPr/>
        <w:t>有完全的控制权和支配权，不存在以承包、委托经营、租赁或其它类似方式依赖控股股东及其它关联方开展经营的情况。</w:t>
      </w:r>
    </w:p>
    <w:p>
      <w:pPr>
        <w:pStyle w:val="BodyText"/>
        <w:spacing w:line="240" w:lineRule="auto" w:before="56"/>
        <w:ind w:left="604" w:right="1133"/>
        <w:jc w:val="left"/>
      </w:pPr>
      <w:r>
        <w:rPr>
          <w:rFonts w:ascii="Times New Roman" w:hAnsi="Times New Roman" w:cs="Times New Roman" w:eastAsia="Times New Roman" w:hint="default"/>
        </w:rPr>
        <w:t>3</w:t>
      </w:r>
      <w:r>
        <w:rPr/>
        <w:t>、人员独立</w:t>
      </w:r>
    </w:p>
    <w:p>
      <w:pPr>
        <w:spacing w:line="240" w:lineRule="auto" w:before="9"/>
        <w:rPr>
          <w:rFonts w:ascii="宋体" w:hAnsi="宋体" w:cs="宋体" w:eastAsia="宋体" w:hint="default"/>
          <w:sz w:val="16"/>
          <w:szCs w:val="16"/>
        </w:rPr>
      </w:pPr>
    </w:p>
    <w:p>
      <w:pPr>
        <w:pStyle w:val="BodyText"/>
        <w:spacing w:line="451" w:lineRule="auto"/>
        <w:ind w:right="1124" w:firstLine="360"/>
        <w:jc w:val="left"/>
      </w:pPr>
      <w:r>
        <w:rPr/>
        <w:t>（</w:t>
      </w:r>
      <w:r>
        <w:rPr>
          <w:rFonts w:ascii="Times New Roman" w:hAnsi="Times New Roman" w:cs="Times New Roman" w:eastAsia="Times New Roman" w:hint="default"/>
        </w:rPr>
        <w:t>1</w:t>
      </w:r>
      <w:r>
        <w:rPr/>
        <w:t>）公司的高级管理人员在公司或子公司担任行政管理职务，在公司或子公司领取薪酬，不存在控股股东、实际控制 人及其控制的其他企业担任除董事、监事以外的其他职务或领薪的情形。</w:t>
      </w:r>
    </w:p>
    <w:p>
      <w:pPr>
        <w:pStyle w:val="BodyText"/>
        <w:spacing w:line="451" w:lineRule="auto" w:before="74"/>
        <w:ind w:right="1124" w:firstLine="360"/>
        <w:jc w:val="left"/>
      </w:pPr>
      <w:r>
        <w:rPr/>
        <w:t>（</w:t>
      </w:r>
      <w:r>
        <w:rPr>
          <w:rFonts w:ascii="Times New Roman" w:hAnsi="Times New Roman" w:cs="Times New Roman" w:eastAsia="Times New Roman" w:hint="default"/>
        </w:rPr>
        <w:t>2</w:t>
      </w:r>
      <w:r>
        <w:rPr/>
        <w:t>）公司主要股东推荐董事、监事以及由董事会聘请高级管理人员等行为均按照《公司章程》有关规定通过合法程序 进行，公司主要股东不存在干预董事会和股东大会已经作出的人事任免决定的情况。</w:t>
      </w:r>
    </w:p>
    <w:p>
      <w:pPr>
        <w:pStyle w:val="BodyText"/>
        <w:spacing w:line="451" w:lineRule="auto" w:before="74"/>
        <w:ind w:left="513" w:right="1129"/>
        <w:jc w:val="left"/>
      </w:pPr>
      <w:r>
        <w:rPr/>
        <w:t>（</w:t>
      </w:r>
      <w:r>
        <w:rPr>
          <w:rFonts w:ascii="Times New Roman" w:hAnsi="Times New Roman" w:cs="Times New Roman" w:eastAsia="Times New Roman" w:hint="default"/>
        </w:rPr>
        <w:t>3</w:t>
      </w:r>
      <w:r>
        <w:rPr/>
        <w:t>）公司财务人员不存在控股股东、实际控制人及其控制的其他企业兼职的情况。 </w:t>
      </w:r>
      <w:r>
        <w:rPr>
          <w:spacing w:val="-2"/>
        </w:rPr>
        <w:t>公司员工的劳动、人事、工资薪酬以及相应的社会保障均独立管理；公司高级管理人员未在控股股东、实际控制人及其</w:t>
      </w:r>
    </w:p>
    <w:p>
      <w:pPr>
        <w:pStyle w:val="BodyText"/>
        <w:spacing w:line="477" w:lineRule="auto" w:before="74"/>
        <w:ind w:right="1129"/>
        <w:jc w:val="left"/>
      </w:pPr>
      <w:r>
        <w:rPr>
          <w:spacing w:val="-2"/>
        </w:rPr>
        <w:t>控制的其他企业中担任除董事、监事以外的其他职务，并未在控股股东、实际控制人及其控制的其他企业领取薪酬；公司财</w:t>
      </w:r>
      <w:r>
        <w:rPr>
          <w:spacing w:val="-64"/>
        </w:rPr>
        <w:t> </w:t>
      </w:r>
      <w:r>
        <w:rPr>
          <w:spacing w:val="-64"/>
        </w:rPr>
      </w:r>
      <w:r>
        <w:rPr/>
        <w:t>务人员不存在控股股东、实际控制人及其控制的其他企业兼职的情况。</w:t>
      </w:r>
    </w:p>
    <w:p>
      <w:pPr>
        <w:pStyle w:val="BodyText"/>
        <w:spacing w:line="451" w:lineRule="auto" w:before="54"/>
        <w:ind w:left="513" w:right="1034"/>
        <w:jc w:val="left"/>
      </w:pPr>
      <w:r>
        <w:rPr>
          <w:rFonts w:ascii="Times New Roman" w:hAnsi="Times New Roman" w:cs="Times New Roman" w:eastAsia="Times New Roman" w:hint="default"/>
        </w:rPr>
        <w:t>4</w:t>
      </w:r>
      <w:r>
        <w:rPr/>
        <w:t>、机构独立 </w:t>
      </w:r>
      <w:r>
        <w:rPr>
          <w:spacing w:val="-4"/>
        </w:rPr>
        <w:t>公司通过股东大会、董事会、监事会、独立董事及各专门委员会制度，强化权力制衡机制，形成了有效的法人治理结构。</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34"/>
        <w:jc w:val="left"/>
      </w:pPr>
      <w:r>
        <w:rPr>
          <w:spacing w:val="-2"/>
        </w:rPr>
        <w:t>在内部机构设置上，公司建立了适应自身发展需要的组织机构，明确了各机构职能，定员定岗，并制定了相应的内部管理与</w:t>
      </w:r>
      <w:r>
        <w:rPr>
          <w:spacing w:val="-64"/>
        </w:rPr>
        <w:t> </w:t>
      </w:r>
      <w:r>
        <w:rPr>
          <w:spacing w:val="-64"/>
        </w:rPr>
      </w:r>
      <w:r>
        <w:rPr/>
        <w:t>控制制度。公司各职能部门均独立履行其职能，独立开展生产经营活动，不存在受实际控制人、股东或关联方干预之情形。</w:t>
      </w:r>
    </w:p>
    <w:p>
      <w:pPr>
        <w:pStyle w:val="BodyText"/>
        <w:spacing w:line="489" w:lineRule="auto" w:before="54"/>
        <w:ind w:left="513" w:right="1129" w:firstLine="91"/>
        <w:jc w:val="left"/>
      </w:pPr>
      <w:r>
        <w:rPr>
          <w:rFonts w:ascii="Times New Roman" w:hAnsi="Times New Roman" w:cs="Times New Roman" w:eastAsia="Times New Roman" w:hint="default"/>
        </w:rPr>
        <w:t>5</w:t>
      </w:r>
      <w:r>
        <w:rPr/>
        <w:t>、财务独立 </w:t>
      </w:r>
      <w:r>
        <w:rPr>
          <w:spacing w:val="-2"/>
        </w:rPr>
        <w:t>公司设有独立的财务部门，配置有独立的财务人员，并建立了独立的会计核算体系和财务管理制度，独立管理公司财务</w:t>
      </w:r>
    </w:p>
    <w:p>
      <w:pPr>
        <w:pStyle w:val="BodyText"/>
        <w:spacing w:line="240" w:lineRule="auto" w:before="45"/>
        <w:ind w:right="1133"/>
        <w:jc w:val="left"/>
      </w:pPr>
      <w:r>
        <w:rPr/>
        <w:t>档案，能够根据《公司章程》规定的程序和权限，独立做出财务决策。</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1133"/>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:2019-012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名称：公司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第一次临时股东大 会决议公告</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:2019-023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名称：公司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第二次临时股东大 会决议公告</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:2019-066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名称：公司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年度股东大会决议 公告</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:2019-078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名称：公司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第三次临时股东大 会决议公告</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
              <w:jc w:val="center"/>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2"/>
                <w:sz w:val="18"/>
                <w:szCs w:val="18"/>
              </w:rPr>
              <w:t>：</w:t>
            </w:r>
            <w:r>
              <w:rPr>
                <w:rFonts w:ascii="宋体" w:hAnsi="宋体" w:cs="宋体" w:eastAsia="宋体" w:hint="default"/>
                <w:sz w:val="18"/>
                <w:szCs w:val="18"/>
              </w:rPr>
              <w:t>《证券时</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9"/>
              <w:jc w:val="left"/>
              <w:rPr>
                <w:rFonts w:ascii="宋体" w:hAnsi="宋体" w:cs="宋体" w:eastAsia="宋体" w:hint="default"/>
                <w:sz w:val="18"/>
                <w:szCs w:val="18"/>
              </w:rPr>
            </w:pP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:2019-090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名称：公司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第四次临时股东大 会决议公告</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:2019-105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名称：公司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第五次临时股东大 会决议公告</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披露媒体：《证券时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报》和巨潮资讯网公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:2019-117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公告 名称：公司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第六次临时股东大 会决议公告</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张公俊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周英顶</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49"/>
        <w:ind w:left="426" w:right="4360" w:hanging="275"/>
        <w:jc w:val="left"/>
      </w:pPr>
      <w:r>
        <w:rPr/>
        <w:t>连续两次未亲自出席董事会的说明 在报告期内，公司独立董事不存在连续两次未亲自出席参加董事会会议情况。</w:t>
      </w:r>
    </w:p>
    <w:p>
      <w:pPr>
        <w:spacing w:after="0" w:line="357"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477" w:lineRule="auto" w:before="118"/>
        <w:ind w:right="1131" w:firstLine="360"/>
        <w:jc w:val="both"/>
      </w:pPr>
      <w:r>
        <w:rPr>
          <w:spacing w:val="-2"/>
        </w:rPr>
        <w:t>报告期内，公司完成董事会换届选举工作，新聘任来自财务管理、战略投资管理、企业经营管理三个方面的专业人士为</w:t>
      </w:r>
      <w:r>
        <w:rPr/>
        <w:t> </w:t>
      </w:r>
      <w:r>
        <w:rPr>
          <w:spacing w:val="-2"/>
        </w:rPr>
        <w:t>独立董事。各位独立董事按照《公司法》、《证券法》、《深圳证券交易所股票上市规则》、《公司章程》以及公司《独立</w:t>
      </w:r>
      <w:r>
        <w:rPr>
          <w:spacing w:val="-71"/>
        </w:rPr>
        <w:t> </w:t>
      </w:r>
      <w:r>
        <w:rPr>
          <w:spacing w:val="-71"/>
        </w:rPr>
      </w:r>
      <w:r>
        <w:rPr>
          <w:spacing w:val="-2"/>
        </w:rPr>
        <w:t>董事制度》的规定，勤勉尽职、主动、积极的出席相关会议，认真审议各项议案，独立客观地发表自己的看法和观点，积极</w:t>
      </w:r>
      <w:r>
        <w:rPr>
          <w:spacing w:val="-73"/>
        </w:rPr>
        <w:t> </w:t>
      </w:r>
      <w:r>
        <w:rPr>
          <w:spacing w:val="-73"/>
        </w:rPr>
      </w:r>
      <w:r>
        <w:rPr>
          <w:spacing w:val="-2"/>
        </w:rPr>
        <w:t>参与公司治理和决策活动，结合自身的专业优势或管理经验，对公司的制度完善和经营发展决策等方面提出了许多宝贵的专</w:t>
      </w:r>
      <w:r>
        <w:rPr>
          <w:spacing w:val="-64"/>
        </w:rPr>
        <w:t> </w:t>
      </w:r>
      <w:r>
        <w:rPr>
          <w:spacing w:val="-64"/>
        </w:rPr>
      </w:r>
      <w:r>
        <w:rPr>
          <w:spacing w:val="-2"/>
        </w:rPr>
        <w:t>业性意见，同时，通过多次对公司及子公司现场的实地考察、审阅资料等方式，充分了解了公司生产经营情况、财务管理和</w:t>
      </w:r>
      <w:r>
        <w:rPr>
          <w:spacing w:val="-67"/>
        </w:rPr>
        <w:t> </w:t>
      </w:r>
      <w:r>
        <w:rPr>
          <w:spacing w:val="-67"/>
        </w:rPr>
      </w:r>
      <w:r>
        <w:rPr>
          <w:spacing w:val="-2"/>
        </w:rPr>
        <w:t>内部控制的执行情况、董事会决议执行情况及信息披露情况等，并对董事、高管履职情况、关联交易情况等进行了监督和核</w:t>
      </w:r>
      <w:r>
        <w:rPr>
          <w:spacing w:val="-64"/>
        </w:rPr>
        <w:t> </w:t>
      </w:r>
      <w:r>
        <w:rPr>
          <w:spacing w:val="-64"/>
        </w:rPr>
      </w:r>
      <w:r>
        <w:rPr>
          <w:spacing w:val="-2"/>
        </w:rPr>
        <w:t>查。独立董事还通过邮件、电话、会议等途径与公司其他董事、管理层及相关工作人员交流与沟通，重点关注了公司运行状</w:t>
      </w:r>
      <w:r>
        <w:rPr>
          <w:spacing w:val="-66"/>
        </w:rPr>
        <w:t> </w:t>
      </w:r>
      <w:r>
        <w:rPr>
          <w:spacing w:val="-66"/>
        </w:rPr>
      </w:r>
      <w:r>
        <w:rPr>
          <w:spacing w:val="-2"/>
        </w:rPr>
        <w:t>态、所处行业动态、有关公司的舆情报道及对外投资等重大事项，积极有效地履行了独立董事的职责，较好地维护了公司整</w:t>
      </w:r>
      <w:r>
        <w:rPr>
          <w:spacing w:val="-64"/>
        </w:rPr>
        <w:t> </w:t>
      </w:r>
      <w:r>
        <w:rPr>
          <w:spacing w:val="-64"/>
        </w:rPr>
      </w:r>
      <w:r>
        <w:rPr>
          <w:spacing w:val="-2"/>
        </w:rPr>
        <w:t>体利益以及全体股东特别是中小股东的合法权益，对公司规范、稳定、健康地发展起到了积极推动的作用，维护了公司和全</w:t>
      </w:r>
      <w:r>
        <w:rPr>
          <w:spacing w:val="-64"/>
        </w:rPr>
        <w:t> </w:t>
      </w:r>
      <w:r>
        <w:rPr>
          <w:spacing w:val="-64"/>
        </w:rPr>
      </w:r>
      <w:r>
        <w:rPr/>
        <w:t>体股东的合法权益。</w:t>
      </w:r>
    </w:p>
    <w:p>
      <w:pPr>
        <w:spacing w:line="240" w:lineRule="auto" w:before="7"/>
        <w:rPr>
          <w:rFonts w:ascii="宋体" w:hAnsi="宋体" w:cs="宋体" w:eastAsia="宋体" w:hint="default"/>
          <w:sz w:val="17"/>
          <w:szCs w:val="17"/>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513" w:right="1129"/>
        <w:jc w:val="left"/>
      </w:pPr>
      <w:r>
        <w:rPr>
          <w:rFonts w:ascii="Times New Roman" w:hAnsi="Times New Roman" w:cs="Times New Roman" w:eastAsia="Times New Roman" w:hint="default"/>
        </w:rPr>
        <w:t>1</w:t>
      </w:r>
      <w:r>
        <w:rPr/>
        <w:t>、审计委员会 </w:t>
      </w:r>
      <w:r>
        <w:rPr>
          <w:spacing w:val="-2"/>
        </w:rPr>
        <w:t>报告期内，公司第四届董事会审计委员会已顺利完成换届工作。公司董事会审计委员会由三名董事组成，其中独立董事</w:t>
      </w:r>
    </w:p>
    <w:p>
      <w:pPr>
        <w:pStyle w:val="BodyText"/>
        <w:spacing w:line="477" w:lineRule="auto" w:before="74"/>
        <w:ind w:right="0"/>
        <w:jc w:val="left"/>
      </w:pPr>
      <w:r>
        <w:rPr>
          <w:spacing w:val="-2"/>
        </w:rPr>
        <w:t>两名，主任委员由独立董事中专业会计人士担任。报告期内董事会审计委员会按照公司有关规定履行职责，并召开了七次会</w:t>
      </w:r>
      <w:r>
        <w:rPr>
          <w:spacing w:val="-62"/>
        </w:rPr>
        <w:t> </w:t>
      </w:r>
      <w:r>
        <w:rPr>
          <w:spacing w:val="-62"/>
        </w:rPr>
      </w:r>
      <w:r>
        <w:rPr>
          <w:spacing w:val="-2"/>
        </w:rPr>
        <w:t>议。在年报审计工作中，审计委员会与审计机构协商确定年度财务报告审计工作时间安排，与公司管理层、审计机构对计提</w:t>
      </w:r>
      <w:r>
        <w:rPr>
          <w:spacing w:val="-66"/>
        </w:rPr>
        <w:t> </w:t>
      </w:r>
      <w:r>
        <w:rPr>
          <w:spacing w:val="-66"/>
        </w:rPr>
      </w:r>
      <w:r>
        <w:rPr>
          <w:spacing w:val="-2"/>
        </w:rPr>
        <w:t>资产减值的事项进行了详细的了解和沟通，督促审计机构、财务部门做好计提资产减值准备测试和中间沟通工作，对于审计</w:t>
      </w:r>
      <w:r>
        <w:rPr>
          <w:spacing w:val="-65"/>
        </w:rPr>
        <w:t> </w:t>
      </w:r>
      <w:r>
        <w:rPr>
          <w:spacing w:val="-65"/>
        </w:rPr>
      </w:r>
      <w:r>
        <w:rPr>
          <w:spacing w:val="-4"/>
        </w:rPr>
        <w:t>过程中发现的内部控制、会计核算、应收管理、存货管理出现的问题，公司及时出具整改方案，明确整改责任人和整改期限，</w:t>
      </w:r>
      <w:r>
        <w:rPr>
          <w:spacing w:val="-43"/>
        </w:rPr>
        <w:t> </w:t>
      </w:r>
      <w:r>
        <w:rPr>
          <w:spacing w:val="-43"/>
        </w:rPr>
      </w:r>
      <w:r>
        <w:rPr>
          <w:spacing w:val="-2"/>
        </w:rPr>
        <w:t>加强相关人员对涉及的法律法规、会计制度培训和学习，并建立健全相关的财务制度、内部控制制度，对每一项问题逐一进</w:t>
      </w:r>
      <w:r>
        <w:rPr>
          <w:spacing w:val="-64"/>
        </w:rPr>
        <w:t> </w:t>
      </w:r>
      <w:r>
        <w:rPr>
          <w:spacing w:val="-64"/>
        </w:rPr>
      </w:r>
      <w:r>
        <w:rPr>
          <w:spacing w:val="-2"/>
        </w:rPr>
        <w:t>行了落实整改，以《企业会计准则》、《会计法》为基础，确保审计报告真实、准确反映企业经营状况。会议对公司定期报</w:t>
      </w:r>
      <w:r>
        <w:rPr>
          <w:spacing w:val="-69"/>
        </w:rPr>
        <w:t> </w:t>
      </w:r>
      <w:r>
        <w:rPr>
          <w:spacing w:val="-69"/>
        </w:rPr>
      </w:r>
      <w:r>
        <w:rPr>
          <w:spacing w:val="-2"/>
        </w:rPr>
        <w:t>告、内部审计工作、募集资金存放与使用、公司年度财务决算报告、会计师事务所聘请等重大事项实施情况进行了审议，对</w:t>
      </w:r>
      <w:r>
        <w:rPr>
          <w:spacing w:val="-67"/>
        </w:rPr>
        <w:t> </w:t>
      </w:r>
      <w:r>
        <w:rPr>
          <w:spacing w:val="-67"/>
        </w:rPr>
      </w:r>
      <w:r>
        <w:rPr/>
        <w:t>相关事项进行讨论后形成决议，相关需提交董事会审议的事项提交董事会审议。</w:t>
      </w:r>
    </w:p>
    <w:p>
      <w:pPr>
        <w:spacing w:after="0" w:line="47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513" w:right="1033"/>
        <w:jc w:val="left"/>
      </w:pPr>
      <w:r>
        <w:rPr>
          <w:rFonts w:ascii="Times New Roman" w:hAnsi="Times New Roman" w:cs="Times New Roman" w:eastAsia="Times New Roman" w:hint="default"/>
        </w:rPr>
        <w:t>2</w:t>
      </w:r>
      <w:r>
        <w:rPr/>
        <w:t>、薪酬与考核委员会 报告期内，公司第四届董事会薪酬与考核委员会已顺利完成换届工作。公司董事会薪酬与考核委员会由三名董事组成，</w:t>
      </w:r>
    </w:p>
    <w:p>
      <w:pPr>
        <w:pStyle w:val="BodyText"/>
        <w:spacing w:line="468" w:lineRule="auto" w:before="74"/>
        <w:ind w:right="1128"/>
        <w:jc w:val="both"/>
      </w:pPr>
      <w:r>
        <w:rPr>
          <w:spacing w:val="-2"/>
        </w:rPr>
        <w:t>其中独立董事两名。报告期公司董事会薪酬与考核委员会按照公司有关规定履行职责，召开了三次会议。薪酬与考核委员会</w:t>
      </w:r>
      <w:r>
        <w:rPr>
          <w:spacing w:val="-63"/>
        </w:rPr>
        <w:t> </w:t>
      </w:r>
      <w:r>
        <w:rPr>
          <w:spacing w:val="-63"/>
        </w:rPr>
      </w:r>
      <w:r>
        <w:rPr>
          <w:spacing w:val="-2"/>
        </w:rPr>
        <w:t>根据《公司董事、监事、高级管理人员薪酬管理制度》，将公司</w:t>
      </w:r>
      <w:r>
        <w:rPr>
          <w:rFonts w:ascii="Times New Roman" w:hAnsi="Times New Roman" w:cs="Times New Roman" w:eastAsia="Times New Roman" w:hint="default"/>
          <w:spacing w:val="-2"/>
        </w:rPr>
        <w:t>2018</w:t>
      </w:r>
      <w:r>
        <w:rPr>
          <w:spacing w:val="-2"/>
        </w:rPr>
        <w:t>年度经营目标与董事会成员及高级管理人员的工作业绩</w:t>
      </w:r>
      <w:r>
        <w:rPr>
          <w:spacing w:val="-63"/>
        </w:rPr>
        <w:t> </w:t>
      </w:r>
      <w:r>
        <w:rPr>
          <w:spacing w:val="-63"/>
        </w:rPr>
      </w:r>
      <w:r>
        <w:rPr>
          <w:spacing w:val="-2"/>
        </w:rPr>
        <w:t>相结合，采用了有效的考核管理办法，对相关人员工作计划完成情况实施有效量化的考核标准，对公司董事、监事、高级管</w:t>
      </w:r>
      <w:r>
        <w:rPr>
          <w:spacing w:val="-65"/>
        </w:rPr>
        <w:t> </w:t>
      </w:r>
      <w:r>
        <w:rPr>
          <w:spacing w:val="-65"/>
        </w:rPr>
      </w:r>
      <w:r>
        <w:rPr>
          <w:spacing w:val="-2"/>
        </w:rPr>
        <w:t>理人员报酬决策程序合规有效，发放标准合理，激励机制到位，有效的推动了公司的发展。会议对公司</w:t>
      </w:r>
      <w:r>
        <w:rPr>
          <w:rFonts w:ascii="Times New Roman" w:hAnsi="Times New Roman" w:cs="Times New Roman" w:eastAsia="Times New Roman" w:hint="default"/>
          <w:spacing w:val="-2"/>
        </w:rPr>
        <w:t>2018</w:t>
      </w:r>
      <w:r>
        <w:rPr>
          <w:spacing w:val="-2"/>
        </w:rPr>
        <w:t>年度董事、高管</w:t>
      </w:r>
      <w:r>
        <w:rPr>
          <w:spacing w:val="-64"/>
        </w:rPr>
        <w:t> </w:t>
      </w:r>
      <w:r>
        <w:rPr>
          <w:spacing w:val="-64"/>
        </w:rPr>
      </w:r>
      <w:r>
        <w:rPr>
          <w:spacing w:val="-2"/>
        </w:rPr>
        <w:t>薪酬方案、修订《董事、监事、高级管理人员薪酬管理制度》等相关事项进行了审议，对相关事项进行讨论后形成决议，并</w:t>
      </w:r>
      <w:r>
        <w:rPr>
          <w:spacing w:val="-73"/>
        </w:rPr>
        <w:t> </w:t>
      </w:r>
      <w:r>
        <w:rPr>
          <w:spacing w:val="-73"/>
        </w:rPr>
      </w:r>
      <w:r>
        <w:rPr>
          <w:spacing w:val="-2"/>
        </w:rPr>
        <w:t>提交董事会审议。同时公司还完成了股份回购，为将来健全公司长效激励约束机制，提升公司管理团队的凝聚力和公司竞争</w:t>
      </w:r>
      <w:r>
        <w:rPr>
          <w:spacing w:val="-61"/>
        </w:rPr>
        <w:t> </w:t>
      </w:r>
      <w:r>
        <w:rPr>
          <w:spacing w:val="-61"/>
        </w:rPr>
      </w:r>
      <w:r>
        <w:rPr/>
        <w:t>力做好了储备。</w:t>
      </w:r>
    </w:p>
    <w:p>
      <w:pPr>
        <w:pStyle w:val="BodyText"/>
        <w:spacing w:line="451" w:lineRule="auto" w:before="61"/>
        <w:ind w:left="513" w:right="1129"/>
        <w:jc w:val="left"/>
      </w:pPr>
      <w:r>
        <w:rPr>
          <w:rFonts w:ascii="Times New Roman" w:hAnsi="Times New Roman" w:cs="Times New Roman" w:eastAsia="Times New Roman" w:hint="default"/>
        </w:rPr>
        <w:t>3</w:t>
      </w:r>
      <w:r>
        <w:rPr/>
        <w:t>、战略委员会 </w:t>
      </w:r>
      <w:r>
        <w:rPr>
          <w:spacing w:val="-2"/>
        </w:rPr>
        <w:t>报告期内，公司第四届董事会战略委员会已顺利完成换届工作。公司董事会战略委员会由五名董事组成，其中独立董事</w:t>
      </w:r>
    </w:p>
    <w:p>
      <w:pPr>
        <w:pStyle w:val="BodyText"/>
        <w:spacing w:line="460" w:lineRule="auto" w:before="74"/>
        <w:ind w:right="1129"/>
        <w:jc w:val="both"/>
      </w:pPr>
      <w:r>
        <w:rPr>
          <w:spacing w:val="-2"/>
        </w:rPr>
        <w:t>两名。报告期内董事会战略委员会按照公司有关规定履行职责，召开了一次会议，对关于公司</w:t>
      </w:r>
      <w:r>
        <w:rPr>
          <w:rFonts w:ascii="Times New Roman" w:hAnsi="Times New Roman" w:cs="Times New Roman" w:eastAsia="Times New Roman" w:hint="default"/>
          <w:spacing w:val="-2"/>
        </w:rPr>
        <w:t>2020</w:t>
      </w:r>
      <w:r>
        <w:rPr>
          <w:spacing w:val="-2"/>
        </w:rPr>
        <w:t>年发展策略、发展目标的</w:t>
      </w:r>
      <w:r>
        <w:rPr>
          <w:spacing w:val="-60"/>
        </w:rPr>
        <w:t> </w:t>
      </w:r>
      <w:r>
        <w:rPr>
          <w:spacing w:val="-60"/>
        </w:rPr>
      </w:r>
      <w:r>
        <w:rPr/>
        <w:t>议案进行了审议，对相关事项进行讨论后形成决议；在</w:t>
      </w:r>
      <w:r>
        <w:rPr>
          <w:rFonts w:ascii="Times New Roman" w:hAnsi="Times New Roman" w:cs="Times New Roman" w:eastAsia="Times New Roman" w:hint="default"/>
        </w:rPr>
        <w:t>“</w:t>
      </w:r>
      <w:r>
        <w:rPr/>
        <w:t>做优主业、提升效益、稳健经营、控制风险、构建能力</w:t>
      </w:r>
      <w:r>
        <w:rPr>
          <w:rFonts w:ascii="Times New Roman" w:hAnsi="Times New Roman" w:cs="Times New Roman" w:eastAsia="Times New Roman" w:hint="default"/>
        </w:rPr>
        <w:t>” </w:t>
      </w:r>
      <w:r>
        <w:rPr/>
        <w:t>经营指导 </w:t>
      </w:r>
      <w:r>
        <w:rPr>
          <w:spacing w:val="-2"/>
        </w:rPr>
        <w:t>思想下，董事会战略委员会各位委员站在业务协同及整合角度，通过深入分析公司当下国内经济形势、市场及竞争环境、公</w:t>
      </w:r>
      <w:r>
        <w:rPr>
          <w:spacing w:val="-64"/>
        </w:rPr>
        <w:t> </w:t>
      </w:r>
      <w:r>
        <w:rPr>
          <w:spacing w:val="-64"/>
        </w:rPr>
      </w:r>
      <w:r>
        <w:rPr/>
        <w:t>司各业务的经营情况制定了公司</w:t>
      </w:r>
      <w:r>
        <w:rPr>
          <w:rFonts w:ascii="Times New Roman" w:hAnsi="Times New Roman" w:cs="Times New Roman" w:eastAsia="Times New Roman" w:hint="default"/>
        </w:rPr>
        <w:t>2020</w:t>
      </w:r>
      <w:r>
        <w:rPr/>
        <w:t>年发展策略、发展目标。</w:t>
      </w:r>
    </w:p>
    <w:p>
      <w:pPr>
        <w:spacing w:line="240" w:lineRule="auto" w:before="1"/>
        <w:rPr>
          <w:rFonts w:ascii="宋体" w:hAnsi="宋体" w:cs="宋体" w:eastAsia="宋体" w:hint="default"/>
          <w:sz w:val="16"/>
          <w:szCs w:val="16"/>
        </w:rPr>
      </w:pPr>
    </w:p>
    <w:p>
      <w:pPr>
        <w:pStyle w:val="Heading2"/>
        <w:spacing w:line="240" w:lineRule="auto"/>
        <w:ind w:right="0"/>
        <w:jc w:val="both"/>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0" w:firstLine="360"/>
        <w:jc w:val="both"/>
      </w:pPr>
      <w:r>
        <w:rPr>
          <w:spacing w:val="-2"/>
        </w:rPr>
        <w:t>公司高管人员绩效考核以企业经济效益为出发点，根据公司年度经营情况和高管人员分管工作的目标完成情况进行综合</w:t>
      </w:r>
      <w:r>
        <w:rPr/>
        <w:t> </w:t>
      </w:r>
      <w:r>
        <w:rPr>
          <w:spacing w:val="-2"/>
        </w:rPr>
        <w:t>考核。报告期内，公司结合市场和公司的实际情况，修订了《公司董事、监事、高级管理人员薪酬管理制度》，对公司高管</w:t>
      </w:r>
      <w:r>
        <w:rPr>
          <w:spacing w:val="-65"/>
        </w:rPr>
        <w:t> </w:t>
      </w:r>
      <w:r>
        <w:rPr>
          <w:spacing w:val="-65"/>
        </w:rPr>
      </w:r>
      <w:r>
        <w:rPr>
          <w:spacing w:val="-2"/>
        </w:rPr>
        <w:t>的决策程序、确定原则和依据进行了规定，此外，公司还建立了针对包含高级管理人员在内的绩效考评制度《高层绩效管理</w:t>
      </w:r>
      <w:r>
        <w:rPr>
          <w:spacing w:val="-64"/>
        </w:rPr>
        <w:t> </w:t>
      </w:r>
      <w:r>
        <w:rPr>
          <w:spacing w:val="-64"/>
        </w:rPr>
      </w:r>
      <w:r>
        <w:rPr/>
        <w:t>制度》。</w:t>
      </w:r>
    </w:p>
    <w:p>
      <w:pPr>
        <w:pStyle w:val="BodyText"/>
        <w:spacing w:line="451" w:lineRule="auto" w:before="54"/>
        <w:ind w:right="1035" w:firstLine="360"/>
        <w:jc w:val="left"/>
      </w:pPr>
      <w:r>
        <w:rPr/>
        <w:t>为建立长效的激励机制，有效调动管理人员的积极性，促进公司持续健康发展，公司于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日召开第四届董事 会第十五次会议及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日召开</w:t>
      </w:r>
      <w:r>
        <w:rPr>
          <w:rFonts w:ascii="Times New Roman" w:hAnsi="Times New Roman" w:cs="Times New Roman" w:eastAsia="Times New Roman" w:hint="default"/>
        </w:rPr>
        <w:t>2017</w:t>
      </w:r>
      <w:r>
        <w:rPr/>
        <w:t>年第四次临时股东大会审议通过了《关于</w:t>
      </w:r>
      <w:r>
        <w:rPr>
          <w:rFonts w:ascii="Times New Roman" w:hAnsi="Times New Roman" w:cs="Times New Roman" w:eastAsia="Times New Roman" w:hint="default"/>
        </w:rPr>
        <w:t>&lt;</w:t>
      </w:r>
      <w:r>
        <w:rPr/>
        <w:t>公司第一期员工持股计划（草案）</w:t>
      </w:r>
      <w:r>
        <w:rPr>
          <w:rFonts w:ascii="Times New Roman" w:hAnsi="Times New Roman" w:cs="Times New Roman" w:eastAsia="Times New Roman" w:hint="default"/>
        </w:rPr>
        <w:t>&gt;</w:t>
      </w:r>
      <w:r>
        <w:rPr/>
        <w:t>及 </w:t>
      </w:r>
      <w:r>
        <w:rPr>
          <w:spacing w:val="-2"/>
        </w:rPr>
        <w:t>其摘要的议案》及相关议案，同意公司实施第一期员工持股计划的激励机制，涉及核心管理和技术人员总计不超过</w:t>
      </w:r>
      <w:r>
        <w:rPr>
          <w:rFonts w:ascii="Times New Roman" w:hAnsi="Times New Roman" w:cs="Times New Roman" w:eastAsia="Times New Roman" w:hint="default"/>
          <w:spacing w:val="-2"/>
        </w:rPr>
        <w:t>54</w:t>
      </w:r>
      <w:r>
        <w:rPr>
          <w:spacing w:val="-2"/>
        </w:rPr>
        <w:t>人，公</w:t>
      </w:r>
      <w:r>
        <w:rPr>
          <w:spacing w:val="-63"/>
        </w:rPr>
        <w:t> </w:t>
      </w:r>
      <w:r>
        <w:rPr>
          <w:spacing w:val="-63"/>
        </w:rPr>
      </w:r>
      <w:r>
        <w:rPr/>
        <w:t>司第一期员工持股计划已于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日已通过二级市场集中竞价交易方式完成公司股票购买合计</w:t>
      </w:r>
      <w:r>
        <w:rPr>
          <w:rFonts w:ascii="Times New Roman" w:hAnsi="Times New Roman" w:cs="Times New Roman" w:eastAsia="Times New Roman" w:hint="default"/>
        </w:rPr>
        <w:t>23,121,021</w:t>
      </w:r>
      <w:r>
        <w:rPr/>
        <w:t>股。截止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日，公司第一期员工持股计划持有的</w:t>
      </w:r>
      <w:r>
        <w:rPr>
          <w:spacing w:val="-46"/>
        </w:rPr>
        <w:t> </w:t>
      </w:r>
      <w:r>
        <w:rPr>
          <w:rFonts w:ascii="Times New Roman" w:hAnsi="Times New Roman" w:cs="Times New Roman" w:eastAsia="Times New Roman" w:hint="default"/>
        </w:rPr>
        <w:t>23,121,021 </w:t>
      </w:r>
      <w:r>
        <w:rPr/>
        <w:t>股公司股票已出售完毕，本期员工持股计划实施完毕并终止，</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133"/>
        <w:jc w:val="left"/>
      </w:pPr>
      <w:r>
        <w:rPr/>
        <w:t>相关财产清算和分配工作已完成。</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pStyle w:val="BodyText"/>
        <w:spacing w:line="240" w:lineRule="auto" w:before="8"/>
        <w:ind w:left="0" w:right="1138"/>
        <w:jc w:val="right"/>
      </w:pPr>
      <w:r>
        <w:rPr/>
        <w:pict>
          <v:shape style="position:absolute;margin-left:56.400002pt;margin-top:-389.368286pt;width:479.3pt;height:531.2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35"/>
                    <w:gridCol w:w="304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9" w:space="0" w:color="D2D2D2"/>
                          <w:right w:val="single" w:sz="4" w:space="0" w:color="000000"/>
                        </w:tcBorders>
                      </w:tcPr>
                      <w:p>
                        <w:pPr>
                          <w:pStyle w:val="TableParagraph"/>
                          <w:spacing w:line="300" w:lineRule="auto" w:before="49"/>
                          <w:ind w:left="18" w:right="59"/>
                          <w:jc w:val="left"/>
                          <w:rPr>
                            <w:rFonts w:ascii="宋体" w:hAnsi="宋体" w:cs="宋体" w:eastAsia="宋体" w:hint="default"/>
                            <w:sz w:val="18"/>
                            <w:szCs w:val="18"/>
                          </w:rPr>
                        </w:pPr>
                        <w:r>
                          <w:rPr>
                            <w:rFonts w:ascii="宋体" w:hAnsi="宋体" w:cs="宋体" w:eastAsia="宋体" w:hint="default"/>
                            <w:sz w:val="18"/>
                            <w:szCs w:val="18"/>
                          </w:rPr>
                          <w:t>详见刊登于巨潮资讯网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上的《公司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年度内部控制 自我评价报告》</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9" w:space="0" w:color="D2D2D2"/>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38"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14" w:space="0" w:color="FFFFFF"/>
                        </w:tcBorders>
                      </w:tcPr>
                      <w:p>
                        <w:pPr>
                          <w:pStyle w:val="TableParagraph"/>
                          <w:spacing w:line="304" w:lineRule="auto" w:before="49"/>
                          <w:ind w:left="18" w:right="-43"/>
                          <w:jc w:val="both"/>
                          <w:rPr>
                            <w:rFonts w:ascii="宋体" w:hAnsi="宋体" w:cs="宋体" w:eastAsia="宋体" w:hint="default"/>
                            <w:sz w:val="18"/>
                            <w:szCs w:val="18"/>
                          </w:rPr>
                        </w:pPr>
                        <w:r>
                          <w:rPr>
                            <w:rFonts w:ascii="宋体" w:hAnsi="宋体" w:cs="宋体" w:eastAsia="宋体" w:hint="default"/>
                            <w:spacing w:val="-5"/>
                            <w:sz w:val="18"/>
                            <w:szCs w:val="18"/>
                          </w:rPr>
                          <w:t>（一）视为重大缺陷的情况：（</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）公司内</w:t>
                        </w:r>
                        <w:r>
                          <w:rPr>
                            <w:rFonts w:ascii="宋体" w:hAnsi="宋体" w:cs="宋体" w:eastAsia="宋体" w:hint="default"/>
                            <w:spacing w:val="-84"/>
                            <w:sz w:val="18"/>
                            <w:szCs w:val="18"/>
                          </w:rPr>
                          <w:t> </w:t>
                        </w:r>
                        <w:r>
                          <w:rPr>
                            <w:rFonts w:ascii="宋体" w:hAnsi="宋体" w:cs="宋体" w:eastAsia="宋体" w:hint="default"/>
                            <w:spacing w:val="-5"/>
                            <w:sz w:val="18"/>
                            <w:szCs w:val="18"/>
                          </w:rPr>
                          <w:t>部控制环境无效；（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）董事、监事和高级</w:t>
                        </w:r>
                        <w:r>
                          <w:rPr>
                            <w:rFonts w:ascii="宋体" w:hAnsi="宋体" w:cs="宋体" w:eastAsia="宋体" w:hint="default"/>
                            <w:spacing w:val="-86"/>
                            <w:sz w:val="18"/>
                            <w:szCs w:val="18"/>
                          </w:rPr>
                          <w:t> </w:t>
                        </w:r>
                        <w:r>
                          <w:rPr>
                            <w:rFonts w:ascii="宋体" w:hAnsi="宋体" w:cs="宋体" w:eastAsia="宋体" w:hint="default"/>
                            <w:spacing w:val="-5"/>
                            <w:sz w:val="18"/>
                            <w:szCs w:val="18"/>
                          </w:rPr>
                          <w:t>管理人员舞弊；（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）违反国家法律法规并</w:t>
                        </w:r>
                        <w:r>
                          <w:rPr>
                            <w:rFonts w:ascii="宋体" w:hAnsi="宋体" w:cs="宋体" w:eastAsia="宋体" w:hint="default"/>
                            <w:spacing w:val="-86"/>
                            <w:sz w:val="18"/>
                            <w:szCs w:val="18"/>
                          </w:rPr>
                          <w:t> </w:t>
                        </w:r>
                        <w:r>
                          <w:rPr>
                            <w:rFonts w:ascii="宋体" w:hAnsi="宋体" w:cs="宋体" w:eastAsia="宋体" w:hint="default"/>
                            <w:spacing w:val="-5"/>
                            <w:sz w:val="18"/>
                            <w:szCs w:val="18"/>
                          </w:rPr>
                          <w:t>受到处罚；（</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）当期财务报表存在重大错</w:t>
                        </w:r>
                        <w:r>
                          <w:rPr>
                            <w:rFonts w:ascii="宋体" w:hAnsi="宋体" w:cs="宋体" w:eastAsia="宋体" w:hint="default"/>
                            <w:spacing w:val="-86"/>
                            <w:sz w:val="18"/>
                            <w:szCs w:val="18"/>
                          </w:rPr>
                          <w:t> </w:t>
                        </w:r>
                        <w:r>
                          <w:rPr>
                            <w:rFonts w:ascii="宋体" w:hAnsi="宋体" w:cs="宋体" w:eastAsia="宋体" w:hint="default"/>
                            <w:sz w:val="18"/>
                            <w:szCs w:val="18"/>
                          </w:rPr>
                          <w:t>报，而内部控制运行过程中未能发现该错 </w:t>
                        </w:r>
                        <w:r>
                          <w:rPr>
                            <w:rFonts w:ascii="宋体" w:hAnsi="宋体" w:cs="宋体" w:eastAsia="宋体" w:hint="default"/>
                            <w:spacing w:val="-5"/>
                            <w:sz w:val="18"/>
                            <w:szCs w:val="18"/>
                          </w:rPr>
                          <w:t>报；（</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）与公司治理及日常运营相关的关</w:t>
                        </w:r>
                        <w:r>
                          <w:rPr>
                            <w:rFonts w:ascii="宋体" w:hAnsi="宋体" w:cs="宋体" w:eastAsia="宋体" w:hint="default"/>
                            <w:spacing w:val="-86"/>
                            <w:sz w:val="18"/>
                            <w:szCs w:val="18"/>
                          </w:rPr>
                          <w:t> </w:t>
                        </w:r>
                        <w:r>
                          <w:rPr>
                            <w:rFonts w:ascii="宋体" w:hAnsi="宋体" w:cs="宋体" w:eastAsia="宋体" w:hint="default"/>
                            <w:sz w:val="18"/>
                            <w:szCs w:val="18"/>
                          </w:rPr>
                          <w:t>键制度或机制均缺失，导致全局性系统性 </w:t>
                        </w:r>
                        <w:r>
                          <w:rPr>
                            <w:rFonts w:ascii="宋体" w:hAnsi="宋体" w:cs="宋体" w:eastAsia="宋体" w:hint="default"/>
                            <w:spacing w:val="-5"/>
                            <w:sz w:val="18"/>
                            <w:szCs w:val="18"/>
                          </w:rPr>
                          <w:t>管理实效；（</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）业务流程的一般控制与关</w:t>
                        </w:r>
                        <w:r>
                          <w:rPr>
                            <w:rFonts w:ascii="宋体" w:hAnsi="宋体" w:cs="宋体" w:eastAsia="宋体" w:hint="default"/>
                            <w:spacing w:val="-86"/>
                            <w:sz w:val="18"/>
                            <w:szCs w:val="18"/>
                          </w:rPr>
                          <w:t> </w:t>
                        </w:r>
                        <w:r>
                          <w:rPr>
                            <w:rFonts w:ascii="宋体" w:hAnsi="宋体" w:cs="宋体" w:eastAsia="宋体" w:hint="default"/>
                            <w:spacing w:val="-5"/>
                            <w:sz w:val="18"/>
                            <w:szCs w:val="18"/>
                          </w:rPr>
                          <w:t>键控制组合缺失；（</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）已经发现并报告给</w:t>
                        </w:r>
                        <w:r>
                          <w:rPr>
                            <w:rFonts w:ascii="宋体" w:hAnsi="宋体" w:cs="宋体" w:eastAsia="宋体" w:hint="default"/>
                            <w:spacing w:val="-86"/>
                            <w:sz w:val="18"/>
                            <w:szCs w:val="18"/>
                          </w:rPr>
                          <w:t> </w:t>
                        </w:r>
                        <w:r>
                          <w:rPr>
                            <w:rFonts w:ascii="宋体" w:hAnsi="宋体" w:cs="宋体" w:eastAsia="宋体" w:hint="default"/>
                            <w:sz w:val="18"/>
                            <w:szCs w:val="18"/>
                          </w:rPr>
                          <w:t>管理层的重大缺陷在合理的时间内未加以 </w:t>
                        </w:r>
                        <w:r>
                          <w:rPr>
                            <w:rFonts w:ascii="宋体" w:hAnsi="宋体" w:cs="宋体" w:eastAsia="宋体" w:hint="default"/>
                            <w:spacing w:val="-5"/>
                            <w:sz w:val="18"/>
                            <w:szCs w:val="18"/>
                          </w:rPr>
                          <w:t>改正；（</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）其他可能影响报表使用者正确</w:t>
                        </w:r>
                        <w:r>
                          <w:rPr>
                            <w:rFonts w:ascii="宋体" w:hAnsi="宋体" w:cs="宋体" w:eastAsia="宋体" w:hint="default"/>
                            <w:spacing w:val="-86"/>
                            <w:sz w:val="18"/>
                            <w:szCs w:val="18"/>
                          </w:rPr>
                          <w:t> </w:t>
                        </w:r>
                        <w:r>
                          <w:rPr>
                            <w:rFonts w:ascii="宋体" w:hAnsi="宋体" w:cs="宋体" w:eastAsia="宋体" w:hint="default"/>
                            <w:spacing w:val="-5"/>
                            <w:sz w:val="18"/>
                            <w:szCs w:val="18"/>
                          </w:rPr>
                          <w:t>判断的缺陷。（二）视为重要缺陷的情况：</w:t>
                        </w:r>
                      </w:p>
                      <w:p>
                        <w:pPr>
                          <w:pStyle w:val="TableParagraph"/>
                          <w:spacing w:line="300" w:lineRule="auto" w:before="28"/>
                          <w:ind w:left="18" w:right="-3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）未依照公认会计准则选择和应用会计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0"/>
                            <w:sz w:val="18"/>
                            <w:szCs w:val="18"/>
                          </w:rPr>
                          <w:t>政策；（</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）未建立反舞弊程序和控制措施；</w:t>
                        </w:r>
                        <w:r>
                          <w:rPr>
                            <w:rFonts w:ascii="宋体" w:hAnsi="宋体" w:cs="宋体" w:eastAsia="宋体" w:hint="default"/>
                            <w:sz w:val="18"/>
                            <w:szCs w:val="18"/>
                          </w:rPr>
                        </w:r>
                      </w:p>
                      <w:p>
                        <w:pPr>
                          <w:pStyle w:val="TableParagraph"/>
                          <w:spacing w:line="312" w:lineRule="auto" w:before="13"/>
                          <w:ind w:left="18"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有建立相应的控制机制，或未实施相应的 </w:t>
                        </w:r>
                        <w:r>
                          <w:rPr>
                            <w:rFonts w:ascii="宋体" w:hAnsi="宋体" w:cs="宋体" w:eastAsia="宋体" w:hint="default"/>
                            <w:spacing w:val="-5"/>
                            <w:sz w:val="18"/>
                            <w:szCs w:val="18"/>
                          </w:rPr>
                          <w:t>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w:t>
                        </w:r>
                        <w:r>
                          <w:rPr>
                            <w:rFonts w:ascii="宋体" w:hAnsi="宋体" w:cs="宋体" w:eastAsia="宋体" w:hint="default"/>
                            <w:spacing w:val="-86"/>
                            <w:sz w:val="18"/>
                            <w:szCs w:val="18"/>
                          </w:rPr>
                          <w:t> </w:t>
                        </w:r>
                        <w:r>
                          <w:rPr>
                            <w:rFonts w:ascii="宋体" w:hAnsi="宋体" w:cs="宋体" w:eastAsia="宋体" w:hint="default"/>
                            <w:sz w:val="18"/>
                            <w:szCs w:val="18"/>
                          </w:rPr>
                          <w:t>的控制存在一项或者多项缺陷且不能合理 保证编制的财务报表达到真实、完整的目 </w:t>
                        </w:r>
                        <w:r>
                          <w:rPr>
                            <w:rFonts w:ascii="宋体" w:hAnsi="宋体" w:cs="宋体" w:eastAsia="宋体" w:hint="default"/>
                            <w:spacing w:val="-5"/>
                            <w:sz w:val="18"/>
                            <w:szCs w:val="18"/>
                          </w:rPr>
                          <w:t>标；（</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）内部控制重要缺陷或一般缺陷未</w:t>
                        </w:r>
                        <w:r>
                          <w:rPr>
                            <w:rFonts w:ascii="宋体" w:hAnsi="宋体" w:cs="宋体" w:eastAsia="宋体" w:hint="default"/>
                            <w:spacing w:val="-86"/>
                            <w:sz w:val="18"/>
                            <w:szCs w:val="18"/>
                          </w:rPr>
                          <w:t> </w:t>
                        </w:r>
                        <w:r>
                          <w:rPr>
                            <w:rFonts w:ascii="宋体" w:hAnsi="宋体" w:cs="宋体" w:eastAsia="宋体" w:hint="default"/>
                            <w:spacing w:val="-9"/>
                            <w:sz w:val="18"/>
                            <w:szCs w:val="18"/>
                          </w:rPr>
                          <w:t>得到整改。（三）视为一般缺陷的情况：未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构成重大缺陷、重要缺陷标准的其他内部 控制缺陷。</w:t>
                        </w:r>
                      </w:p>
                    </w:tc>
                    <w:tc>
                      <w:tcPr>
                        <w:tcW w:w="3040" w:type="dxa"/>
                        <w:vMerge w:val="restart"/>
                        <w:tcBorders>
                          <w:top w:val="single" w:sz="4" w:space="0" w:color="000000"/>
                          <w:left w:val="single" w:sz="14" w:space="0" w:color="FFFFFF"/>
                          <w:right w:val="single" w:sz="4" w:space="0" w:color="000000"/>
                        </w:tcBorders>
                      </w:tcPr>
                      <w:p>
                        <w:pPr>
                          <w:pStyle w:val="TableParagraph"/>
                          <w:spacing w:line="307" w:lineRule="auto" w:before="68"/>
                          <w:ind w:left="-1" w:right="-44"/>
                          <w:jc w:val="left"/>
                          <w:rPr>
                            <w:rFonts w:ascii="宋体" w:hAnsi="宋体" w:cs="宋体" w:eastAsia="宋体" w:hint="default"/>
                            <w:sz w:val="18"/>
                            <w:szCs w:val="18"/>
                          </w:rPr>
                        </w:pPr>
                        <w:r>
                          <w:rPr>
                            <w:rFonts w:ascii="宋体" w:hAnsi="宋体" w:cs="宋体" w:eastAsia="宋体" w:hint="default"/>
                            <w:spacing w:val="-9"/>
                            <w:sz w:val="18"/>
                            <w:szCs w:val="18"/>
                          </w:rPr>
                          <w:t>（一）视为重大缺陷的情况：（</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）缺乏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长远发展战略规划，没有切实可行的战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略目标；（</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）公司决策程序不科学，未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有效执行“三重一大”决策程序，导致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决策失误，造成损失；（</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）违反国家法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律、法规，并受到处罚；（</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）中高级管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理人员和高级技术人员流失严重；（</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重要业务缺乏制度控制或制度系统性 </w:t>
                        </w:r>
                        <w:r>
                          <w:rPr>
                            <w:rFonts w:ascii="宋体" w:hAnsi="宋体" w:cs="宋体" w:eastAsia="宋体" w:hint="default"/>
                            <w:spacing w:val="-9"/>
                            <w:sz w:val="18"/>
                            <w:szCs w:val="18"/>
                          </w:rPr>
                          <w:t>失效；（</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）内部控制评价的结果特别是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重大或者重要缺陷未得到整改。（二）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视为重要缺陷的情况：（</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）战略的制定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较为简单、粗略；制定的公司总体战略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目标不明确；（</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）未有效执行“三重一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大”决策程序，导致决策失误，但尚未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造成重大损失；（</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）违反企业内部规章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形成损失；（</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）关键岗位业务人员流失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严重；（</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）重要业务制度或系统存在缺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陷。（三）视为一般缺陷的情况：（</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宋体" w:hAnsi="宋体" w:cs="宋体" w:eastAsia="宋体" w:hint="default"/>
                            <w:spacing w:val="-73"/>
                            <w:sz w:val="18"/>
                            <w:szCs w:val="18"/>
                          </w:rPr>
                          <w:t> </w:t>
                        </w:r>
                        <w:r>
                          <w:rPr>
                            <w:rFonts w:ascii="宋体" w:hAnsi="宋体" w:cs="宋体" w:eastAsia="宋体" w:hint="default"/>
                            <w:spacing w:val="-4"/>
                            <w:sz w:val="18"/>
                            <w:szCs w:val="18"/>
                          </w:rPr>
                          <w:t>战略分析、战略制定及战略实施方面存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在其他的影响实现战略目标的缺陷；</w:t>
                        </w:r>
                      </w:p>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）决策程序不规范，决策效率较低</w:t>
                        </w:r>
                      </w:p>
                      <w:p>
                        <w:pPr>
                          <w:pStyle w:val="TableParagraph"/>
                          <w:spacing w:line="300" w:lineRule="auto" w:before="63"/>
                          <w:ind w:left="-1"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）违反公司内部规章，但未形成损 </w:t>
                        </w:r>
                        <w:r>
                          <w:rPr>
                            <w:rFonts w:ascii="宋体" w:hAnsi="宋体" w:cs="宋体" w:eastAsia="宋体" w:hint="default"/>
                            <w:spacing w:val="-6"/>
                            <w:sz w:val="18"/>
                            <w:szCs w:val="18"/>
                          </w:rPr>
                          <w:t>失；（</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）一般岗位业务人员流失严重；</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343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66"/>
        <w:ind w:left="0" w:right="1139"/>
        <w:jc w:val="right"/>
      </w:pP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98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）一般业务制度或系统存在缺陷；</w:t>
            </w:r>
          </w:p>
          <w:p>
            <w:pPr>
              <w:pStyle w:val="TableParagraph"/>
              <w:spacing w:line="300" w:lineRule="auto" w:before="63"/>
              <w:ind w:left="26" w:right="43"/>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）一般缺陷未得到整改；（</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）存在</w:t>
            </w:r>
            <w:r>
              <w:rPr>
                <w:rFonts w:ascii="宋体" w:hAnsi="宋体" w:cs="宋体" w:eastAsia="宋体" w:hint="default"/>
                <w:sz w:val="18"/>
                <w:szCs w:val="18"/>
              </w:rPr>
              <w:t> 的其他缺陷。</w:t>
            </w:r>
          </w:p>
        </w:tc>
      </w:tr>
      <w:tr>
        <w:trPr>
          <w:trHeight w:val="258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（一）视为重大缺陷的情况：潜在错报金 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合并财务报表营业收入总额的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309" w:lineRule="auto"/>
              <w:ind w:left="24" w:right="19"/>
              <w:jc w:val="both"/>
              <w:rPr>
                <w:rFonts w:ascii="宋体" w:hAnsi="宋体" w:cs="宋体" w:eastAsia="宋体" w:hint="default"/>
                <w:sz w:val="18"/>
                <w:szCs w:val="18"/>
              </w:rPr>
            </w:pPr>
            <w:r>
              <w:rPr>
                <w:rFonts w:ascii="宋体" w:hAnsi="宋体" w:cs="宋体" w:eastAsia="宋体" w:hint="default"/>
                <w:sz w:val="18"/>
                <w:szCs w:val="18"/>
              </w:rPr>
              <w:t>（二）视为重要缺陷的情况：合并财务报 表营业收入总额的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0.5%*50%</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潜在错报金 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合并财务报表营业收入总额的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309" w:lineRule="auto" w:before="5"/>
              <w:ind w:left="24" w:right="46"/>
              <w:jc w:val="left"/>
              <w:rPr>
                <w:rFonts w:ascii="宋体" w:hAnsi="宋体" w:cs="宋体" w:eastAsia="宋体" w:hint="default"/>
                <w:sz w:val="18"/>
                <w:szCs w:val="18"/>
              </w:rPr>
            </w:pPr>
            <w:r>
              <w:rPr>
                <w:rFonts w:ascii="宋体" w:hAnsi="宋体" w:cs="宋体" w:eastAsia="宋体" w:hint="default"/>
                <w:sz w:val="18"/>
                <w:szCs w:val="18"/>
              </w:rPr>
              <w:t>（三）视为一般缺陷的情况：潜在错报金 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合并财务报表营业收入总额的 </w:t>
            </w:r>
            <w:r>
              <w:rPr>
                <w:rFonts w:ascii="Times New Roman" w:hAnsi="Times New Roman" w:cs="Times New Roman" w:eastAsia="Times New Roman" w:hint="default"/>
                <w:sz w:val="18"/>
                <w:szCs w:val="18"/>
              </w:rPr>
              <w:t>0.5%*50%</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6" w:right="20"/>
              <w:jc w:val="left"/>
              <w:rPr>
                <w:rFonts w:ascii="宋体" w:hAnsi="宋体" w:cs="宋体" w:eastAsia="宋体" w:hint="default"/>
                <w:sz w:val="18"/>
                <w:szCs w:val="18"/>
              </w:rPr>
            </w:pPr>
            <w:r>
              <w:rPr>
                <w:rFonts w:ascii="宋体" w:hAnsi="宋体" w:cs="宋体" w:eastAsia="宋体" w:hint="default"/>
                <w:spacing w:val="-4"/>
                <w:sz w:val="18"/>
                <w:szCs w:val="18"/>
              </w:rPr>
              <w:t>（一）视为重大缺陷的情况：直接财产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合并财务报表资产总额的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；（二）视为重要缺陷的情况：合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并财务报表资产总额的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0.1%&lt;</w:t>
            </w:r>
            <w:r>
              <w:rPr>
                <w:rFonts w:ascii="宋体" w:hAnsi="宋体" w:cs="宋体" w:eastAsia="宋体" w:hint="default"/>
                <w:sz w:val="18"/>
                <w:szCs w:val="18"/>
              </w:rPr>
              <w:t>直接财 产损失金额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合并财务报表资产总额的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；（三）视为一般缺陷的情况：直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接财产损失金额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合并财务报表资产总 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74.639999pt;margin-top:314.809998pt;width:101.45pt;height:39pt;mso-position-horizontal-relative:page;mso-position-vertical-relative:page;z-index:-132092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5"/>
                      <w:szCs w:val="15"/>
                    </w:rPr>
                  </w:pPr>
                </w:p>
                <w:p>
                  <w:pPr>
                    <w:pStyle w:val="BodyText"/>
                    <w:spacing w:line="240" w:lineRule="auto"/>
                    <w:ind w:left="0" w:right="0"/>
                    <w:jc w:val="left"/>
                  </w:pPr>
                  <w:r>
                    <w:rPr/>
                    <w:t>（第一期）</w:t>
                  </w:r>
                </w:p>
              </w:txbxContent>
            </v:textbox>
            <w10:wrap type="none"/>
          </v:shape>
        </w:pict>
      </w:r>
      <w:r>
        <w:rPr/>
        <w:pict>
          <v:shape style="position:absolute;margin-left:74.639999pt;margin-top:412.869995pt;width:101.45pt;height:39pt;mso-position-horizontal-relative:page;mso-position-vertical-relative:page;z-index:-132090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5"/>
                      <w:szCs w:val="15"/>
                    </w:rPr>
                  </w:pPr>
                </w:p>
                <w:p>
                  <w:pPr>
                    <w:pStyle w:val="BodyText"/>
                    <w:spacing w:line="240" w:lineRule="auto"/>
                    <w:ind w:left="0" w:right="0"/>
                    <w:jc w:val="left"/>
                  </w:pPr>
                  <w:r>
                    <w:rPr/>
                    <w:t>（第二期）</w:t>
                  </w:r>
                </w:p>
              </w:txbxContent>
            </v:textbox>
            <w10:wrap type="none"/>
          </v:shape>
        </w:pict>
      </w:r>
      <w:r>
        <w:rPr/>
        <w:pict>
          <v:group style="position:absolute;margin-left:116.779999pt;margin-top:314.809998pt;width:59.3pt;height:39pt;mso-position-horizontal-relative:page;mso-position-vertical-relative:page;z-index:-1320880" coordorigin="2336,6296" coordsize="1186,780">
            <v:shape style="position:absolute;left:2336;top:6296;width:1186;height:780" coordorigin="2336,6296" coordsize="1186,780" path="m2336,7076l3521,7076,3521,6296,2336,6296,2336,7076xe" filled="true" fillcolor="#ffffff" stroked="false">
              <v:path arrowok="t"/>
              <v:fill type="solid"/>
            </v:shape>
            <w10:wrap type="none"/>
          </v:group>
        </w:pict>
      </w:r>
      <w:r>
        <w:rPr/>
        <w:pict>
          <v:group style="position:absolute;margin-left:116.779999pt;margin-top:412.869995pt;width:59.3pt;height:39pt;mso-position-horizontal-relative:page;mso-position-vertical-relative:page;z-index:-1320856" coordorigin="2336,8257" coordsize="1186,780">
            <v:shape style="position:absolute;left:2336;top:8257;width:1186;height:780" coordorigin="2336,8257" coordsize="1186,780" path="m2336,9037l3521,9037,3521,8257,2336,8257,2336,903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1133"/>
        <w:jc w:val="left"/>
        <w:rPr>
          <w:b w:val="0"/>
          <w:bCs w:val="0"/>
        </w:rPr>
      </w:pP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011"/>
        <w:gridCol w:w="1380"/>
        <w:gridCol w:w="1198"/>
        <w:gridCol w:w="1195"/>
        <w:gridCol w:w="764"/>
        <w:gridCol w:w="1630"/>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深圳市证通电 子股份有限公 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 向合格投资者 公开发行公司 债券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112288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5"/>
              <w:jc w:val="both"/>
              <w:rPr>
                <w:rFonts w:ascii="宋体" w:hAnsi="宋体" w:cs="宋体" w:eastAsia="宋体" w:hint="default"/>
                <w:sz w:val="18"/>
                <w:szCs w:val="18"/>
              </w:rPr>
            </w:pPr>
            <w:r>
              <w:rPr>
                <w:rFonts w:ascii="宋体" w:hAnsi="宋体" w:cs="宋体" w:eastAsia="宋体" w:hint="default"/>
                <w:spacing w:val="-6"/>
                <w:sz w:val="18"/>
                <w:szCs w:val="18"/>
              </w:rPr>
              <w:t>按年付息、到期一次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还本。</w:t>
            </w:r>
            <w:r>
              <w:rPr>
                <w:rFonts w:ascii="宋体" w:hAnsi="宋体" w:cs="宋体" w:eastAsia="宋体" w:hint="default"/>
                <w:spacing w:val="1"/>
                <w:sz w:val="18"/>
                <w:szCs w:val="18"/>
              </w:rPr>
              <w:t> </w:t>
            </w:r>
            <w:r>
              <w:rPr>
                <w:rFonts w:ascii="宋体" w:hAnsi="宋体" w:cs="宋体" w:eastAsia="宋体" w:hint="default"/>
                <w:sz w:val="18"/>
                <w:szCs w:val="18"/>
              </w:rPr>
              <w:t>利息每年支</w:t>
            </w:r>
            <w:r>
              <w:rPr>
                <w:rFonts w:ascii="宋体" w:hAnsi="宋体" w:cs="宋体" w:eastAsia="宋体" w:hint="default"/>
                <w:sz w:val="18"/>
                <w:szCs w:val="18"/>
              </w:rPr>
              <w:t> </w:t>
            </w:r>
            <w:r>
              <w:rPr>
                <w:rFonts w:ascii="宋体" w:hAnsi="宋体" w:cs="宋体" w:eastAsia="宋体" w:hint="default"/>
                <w:spacing w:val="-6"/>
                <w:sz w:val="18"/>
                <w:szCs w:val="18"/>
              </w:rPr>
              <w:t>付一次，最后一期利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息随本金一起支付。</w:t>
            </w:r>
          </w:p>
        </w:tc>
      </w:tr>
      <w:tr>
        <w:trPr>
          <w:trHeight w:val="196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深圳市证通电 子股份有限公 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 向合格投资者 公开发行公司 债券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112290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3" w:right="-25"/>
              <w:jc w:val="both"/>
              <w:rPr>
                <w:rFonts w:ascii="宋体" w:hAnsi="宋体" w:cs="宋体" w:eastAsia="宋体" w:hint="default"/>
                <w:sz w:val="18"/>
                <w:szCs w:val="18"/>
              </w:rPr>
            </w:pPr>
            <w:r>
              <w:rPr>
                <w:rFonts w:ascii="宋体" w:hAnsi="宋体" w:cs="宋体" w:eastAsia="宋体" w:hint="default"/>
                <w:spacing w:val="-6"/>
                <w:sz w:val="18"/>
                <w:szCs w:val="18"/>
              </w:rPr>
              <w:t>按年付息、到期一次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还本。</w:t>
            </w:r>
            <w:r>
              <w:rPr>
                <w:rFonts w:ascii="宋体" w:hAnsi="宋体" w:cs="宋体" w:eastAsia="宋体" w:hint="default"/>
                <w:spacing w:val="1"/>
                <w:sz w:val="18"/>
                <w:szCs w:val="18"/>
              </w:rPr>
              <w:t> </w:t>
            </w:r>
            <w:r>
              <w:rPr>
                <w:rFonts w:ascii="宋体" w:hAnsi="宋体" w:cs="宋体" w:eastAsia="宋体" w:hint="default"/>
                <w:sz w:val="18"/>
                <w:szCs w:val="18"/>
              </w:rPr>
              <w:t>利息每年支</w:t>
            </w:r>
            <w:r>
              <w:rPr>
                <w:rFonts w:ascii="宋体" w:hAnsi="宋体" w:cs="宋体" w:eastAsia="宋体" w:hint="default"/>
                <w:sz w:val="18"/>
                <w:szCs w:val="18"/>
              </w:rPr>
              <w:t> </w:t>
            </w:r>
            <w:r>
              <w:rPr>
                <w:rFonts w:ascii="宋体" w:hAnsi="宋体" w:cs="宋体" w:eastAsia="宋体" w:hint="default"/>
                <w:spacing w:val="-6"/>
                <w:sz w:val="18"/>
                <w:szCs w:val="18"/>
              </w:rPr>
              <w:t>付一次，最后一期利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息随本金一起支付。</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337"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both"/>
              <w:rPr>
                <w:rFonts w:ascii="宋体" w:hAnsi="宋体" w:cs="宋体" w:eastAsia="宋体" w:hint="default"/>
                <w:sz w:val="18"/>
                <w:szCs w:val="18"/>
              </w:rPr>
            </w:pPr>
            <w:r>
              <w:rPr>
                <w:rFonts w:ascii="宋体" w:hAnsi="宋体" w:cs="宋体" w:eastAsia="宋体" w:hint="default"/>
                <w:spacing w:val="-7"/>
                <w:sz w:val="18"/>
                <w:szCs w:val="18"/>
              </w:rPr>
              <w:t>根据《深圳证券交易所公司债券上市规则》、《深圳证券交易所债券市场投资者适当性管理办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1"/>
                <w:sz w:val="18"/>
                <w:szCs w:val="18"/>
              </w:rPr>
              <w:t>法》等相关规定及要求，深圳证券交易所</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pacing w:val="-1"/>
                <w:w w:val="100"/>
                <w:sz w:val="18"/>
                <w:szCs w:val="18"/>
              </w:rPr>
              <w:t>日起对公司债券</w:t>
            </w:r>
            <w:r>
              <w:rPr>
                <w:rFonts w:ascii="Times New Roman" w:hAnsi="Times New Roman" w:cs="Times New Roman" w:eastAsia="Times New Roman" w:hint="default"/>
                <w:spacing w:val="-1"/>
                <w:w w:val="100"/>
                <w:sz w:val="18"/>
                <w:szCs w:val="18"/>
              </w:rPr>
              <w:t>“15</w:t>
            </w:r>
            <w:r>
              <w:rPr>
                <w:rFonts w:ascii="Times New Roman" w:hAnsi="Times New Roman" w:cs="Times New Roman" w:eastAsia="Times New Roman" w:hint="default"/>
                <w:spacing w:val="7"/>
                <w:w w:val="100"/>
                <w:sz w:val="18"/>
                <w:szCs w:val="18"/>
              </w:rPr>
              <w:t> </w:t>
            </w:r>
            <w:r>
              <w:rPr>
                <w:rFonts w:ascii="宋体" w:hAnsi="宋体" w:cs="宋体" w:eastAsia="宋体" w:hint="default"/>
                <w:sz w:val="18"/>
                <w:szCs w:val="18"/>
              </w:rPr>
              <w:t>证通</w:t>
            </w:r>
            <w:r>
              <w:rPr>
                <w:rFonts w:ascii="宋体" w:hAnsi="宋体" w:cs="宋体" w:eastAsia="宋体" w:hint="default"/>
                <w:spacing w:val="2"/>
                <w:sz w:val="18"/>
                <w:szCs w:val="18"/>
              </w:rPr>
              <w:t> </w:t>
            </w:r>
            <w:r>
              <w:rPr>
                <w:rFonts w:ascii="Times New Roman" w:hAnsi="Times New Roman" w:cs="Times New Roman" w:eastAsia="Times New Roman" w:hint="default"/>
                <w:spacing w:val="-1"/>
                <w:w w:val="100"/>
                <w:sz w:val="18"/>
                <w:szCs w:val="18"/>
              </w:rPr>
              <w:t>01”</w:t>
            </w:r>
            <w:r>
              <w:rPr>
                <w:rFonts w:ascii="宋体" w:hAnsi="宋体" w:cs="宋体" w:eastAsia="宋体" w:hint="default"/>
                <w:spacing w:val="-1"/>
                <w:w w:val="100"/>
                <w:sz w:val="18"/>
                <w:szCs w:val="18"/>
              </w:rPr>
              <w:t>和</w:t>
            </w:r>
            <w:r>
              <w:rPr>
                <w:rFonts w:ascii="宋体" w:hAnsi="宋体" w:cs="宋体" w:eastAsia="宋体" w:hint="default"/>
                <w:spacing w:val="5"/>
                <w:w w:val="100"/>
                <w:sz w:val="18"/>
                <w:szCs w:val="18"/>
              </w:rPr>
              <w:t> </w:t>
            </w:r>
            <w:r>
              <w:rPr>
                <w:rFonts w:ascii="Times New Roman" w:hAnsi="Times New Roman" w:cs="Times New Roman" w:eastAsia="Times New Roman" w:hint="default"/>
                <w:spacing w:val="-1"/>
                <w:w w:val="100"/>
                <w:sz w:val="18"/>
                <w:szCs w:val="18"/>
              </w:rPr>
              <w:t>“15</w:t>
            </w:r>
            <w:r>
              <w:rPr>
                <w:rFonts w:ascii="Times New Roman" w:hAnsi="Times New Roman" w:cs="Times New Roman" w:eastAsia="Times New Roman" w:hint="default"/>
                <w:sz w:val="18"/>
                <w:szCs w:val="18"/>
              </w:rPr>
              <w:t> </w:t>
            </w:r>
            <w:r>
              <w:rPr>
                <w:rFonts w:ascii="宋体" w:hAnsi="宋体" w:cs="宋体" w:eastAsia="宋体" w:hint="default"/>
                <w:sz w:val="18"/>
                <w:szCs w:val="18"/>
              </w:rPr>
              <w:t>证通</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实施投资者适当性管理，由原</w:t>
            </w:r>
            <w:r>
              <w:rPr>
                <w:rFonts w:ascii="Times New Roman" w:hAnsi="Times New Roman" w:cs="Times New Roman" w:eastAsia="Times New Roman" w:hint="default"/>
                <w:sz w:val="18"/>
                <w:szCs w:val="18"/>
              </w:rPr>
              <w:t>“</w:t>
            </w:r>
            <w:r>
              <w:rPr>
                <w:rFonts w:ascii="宋体" w:hAnsi="宋体" w:cs="宋体" w:eastAsia="宋体" w:hint="default"/>
                <w:sz w:val="18"/>
                <w:szCs w:val="18"/>
              </w:rPr>
              <w:t>仅限合格投资者参与交易</w:t>
            </w:r>
            <w:r>
              <w:rPr>
                <w:rFonts w:ascii="Times New Roman" w:hAnsi="Times New Roman" w:cs="Times New Roman" w:eastAsia="Times New Roman" w:hint="default"/>
                <w:sz w:val="18"/>
                <w:szCs w:val="18"/>
              </w:rPr>
              <w:t>”</w:t>
            </w:r>
            <w:r>
              <w:rPr>
                <w:rFonts w:ascii="宋体" w:hAnsi="宋体" w:cs="宋体" w:eastAsia="宋体" w:hint="default"/>
                <w:sz w:val="18"/>
                <w:szCs w:val="18"/>
              </w:rPr>
              <w:t>调整为</w:t>
            </w:r>
            <w:r>
              <w:rPr>
                <w:rFonts w:ascii="Times New Roman" w:hAnsi="Times New Roman" w:cs="Times New Roman" w:eastAsia="Times New Roman" w:hint="default"/>
                <w:sz w:val="18"/>
                <w:szCs w:val="18"/>
              </w:rPr>
              <w:t>“</w:t>
            </w:r>
            <w:r>
              <w:rPr>
                <w:rFonts w:ascii="宋体" w:hAnsi="宋体" w:cs="宋体" w:eastAsia="宋体" w:hint="default"/>
                <w:sz w:val="18"/>
                <w:szCs w:val="18"/>
              </w:rPr>
              <w:t>仅限合格机构投 资者参与交易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340"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4"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日，发布了</w:t>
            </w: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年付息公告，并于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日，完成本期剩余托管数量为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张债券的利息支付人民币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1,350 </w:t>
            </w:r>
            <w:r>
              <w:rPr>
                <w:rFonts w:ascii="宋体" w:hAnsi="宋体" w:cs="宋体" w:eastAsia="宋体" w:hint="default"/>
                <w:sz w:val="18"/>
                <w:szCs w:val="18"/>
              </w:rPr>
              <w:t>万元。</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证通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02"2019 </w:t>
            </w:r>
            <w:r>
              <w:rPr>
                <w:rFonts w:ascii="宋体" w:hAnsi="宋体" w:cs="宋体" w:eastAsia="宋体" w:hint="default"/>
                <w:sz w:val="18"/>
                <w:szCs w:val="18"/>
              </w:rPr>
              <w:t>年付息公告，并于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本期剩余托管数量为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张债券的利息支付人民币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337"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二、债券受托管理人和资信评级机构信息</w:t>
      </w:r>
      <w:r>
        <w:rPr>
          <w:b w:val="0"/>
          <w:bCs w:val="0"/>
        </w:rPr>
      </w:r>
    </w:p>
    <w:p>
      <w:pPr>
        <w:spacing w:line="240" w:lineRule="auto" w:before="6"/>
        <w:rPr>
          <w:rFonts w:ascii="宋体" w:hAnsi="宋体" w:cs="宋体" w:eastAsia="宋体" w:hint="default"/>
          <w:b/>
          <w:bCs/>
          <w:sz w:val="25"/>
          <w:szCs w:val="25"/>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1.15pt;mso-position-horizontal-relative:char;mso-position-vertical-relative:line" coordorigin="0,0" coordsize="9586,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9565;top:14;width:2;height:392" coordorigin="9565,14" coordsize="2,392">
              <v:shape style="position:absolute;left:9565;top:14;width:2;height:392" coordorigin="9565,14" coordsize="0,392" path="m9565,14l9565,406e" filled="false" stroked="true" strokeweight="1.08pt" strokecolor="#d2d2d2">
                <v:path arrowok="t"/>
              </v:shape>
            </v:group>
            <v:group style="position:absolute;left:34;top:14;width:9521;height:392" coordorigin="34,14" coordsize="9521,392">
              <v:shape style="position:absolute;left:34;top:14;width:9521;height:392" coordorigin="34,14" coordsize="9521,392" path="m34,406l9554,406,9554,14,34,14,34,406xe" filled="true" fillcolor="#d2d2d2" stroked="false">
                <v:path arrowok="t"/>
                <v:fill type="solid"/>
              </v:shape>
            </v:group>
            <v:group style="position:absolute;left:10;top:10;width:9566;height:2" coordorigin="10,10" coordsize="9566,2">
              <v:shape style="position:absolute;left:10;top:10;width:9566;height:2" coordorigin="10,10" coordsize="9566,0" path="m10,10l9576,10e" filled="false" stroked="true" strokeweight=".4799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9566;height:2" coordorigin="10,413" coordsize="9566,2">
              <v:shape style="position:absolute;left:10;top:413;width:9566;height:2" coordorigin="10,413" coordsize="9566,0" path="m10,413l9576,413e" filled="false" stroked="true" strokeweight=".48004pt" strokecolor="#000000">
                <v:path arrowok="t"/>
              </v:shape>
            </v:group>
            <v:group style="position:absolute;left:9580;top:5;width:2;height:414" coordorigin="9580,5" coordsize="2,414">
              <v:shape style="position:absolute;left:9580;top:5;width:2;height:414" coordorigin="9580,5" coordsize="0,414" path="m9580,5l9580,418e" filled="false" stroked="true" strokeweight=".47998pt" strokecolor="#000000">
                <v:path arrowok="t"/>
              </v:shape>
              <v:shape style="position:absolute;left:6;top:10;width:9564;height:403"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债券受托管理人：</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1185"/>
        <w:gridCol w:w="1201"/>
        <w:gridCol w:w="787"/>
        <w:gridCol w:w="412"/>
        <w:gridCol w:w="1201"/>
        <w:gridCol w:w="1184"/>
        <w:gridCol w:w="1201"/>
        <w:gridCol w:w="1196"/>
        <w:gridCol w:w="1198"/>
      </w:tblGrid>
      <w:tr>
        <w:trPr>
          <w:trHeight w:val="317" w:hRule="exact"/>
        </w:trPr>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9" w:space="0" w:color="D2D2D2"/>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3"/>
              <w:jc w:val="left"/>
              <w:rPr>
                <w:rFonts w:ascii="宋体" w:hAnsi="宋体" w:cs="宋体" w:eastAsia="宋体" w:hint="default"/>
                <w:sz w:val="18"/>
                <w:szCs w:val="18"/>
              </w:rPr>
            </w:pPr>
            <w:r>
              <w:rPr>
                <w:rFonts w:ascii="宋体" w:hAnsi="宋体" w:cs="宋体" w:eastAsia="宋体" w:hint="default"/>
                <w:sz w:val="18"/>
                <w:szCs w:val="18"/>
              </w:rPr>
              <w:t>中信建投证券 股份有限公司</w:t>
            </w:r>
          </w:p>
        </w:tc>
        <w:tc>
          <w:tcPr>
            <w:tcW w:w="11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309" w:lineRule="auto" w:before="49"/>
              <w:ind w:left="16" w:right="31"/>
              <w:jc w:val="both"/>
              <w:rPr>
                <w:rFonts w:ascii="宋体" w:hAnsi="宋体" w:cs="宋体" w:eastAsia="宋体" w:hint="default"/>
                <w:sz w:val="18"/>
                <w:szCs w:val="18"/>
              </w:rPr>
            </w:pPr>
            <w:r>
              <w:rPr>
                <w:rFonts w:ascii="宋体" w:hAnsi="宋体" w:cs="宋体" w:eastAsia="宋体" w:hint="default"/>
                <w:sz w:val="18"/>
                <w:szCs w:val="18"/>
              </w:rPr>
              <w:t>北京市朝阳区 安立路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邱荣辉</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0755-2395394</w:t>
            </w:r>
          </w:p>
        </w:tc>
      </w:tr>
      <w:tr>
        <w:trPr>
          <w:trHeight w:val="391" w:hRule="exact"/>
        </w:trPr>
        <w:tc>
          <w:tcPr>
            <w:tcW w:w="1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1" w:type="dxa"/>
            <w:vMerge/>
            <w:tcBorders>
              <w:left w:val="single" w:sz="9" w:space="0" w:color="D2D2D2"/>
              <w:right w:val="single" w:sz="9" w:space="0" w:color="D2D2D2"/>
            </w:tcBorders>
          </w:tcPr>
          <w:p>
            <w:pPr/>
          </w:p>
        </w:tc>
        <w:tc>
          <w:tcPr>
            <w:tcW w:w="11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1" w:type="dxa"/>
            <w:vMerge/>
            <w:tcBorders>
              <w:left w:val="single" w:sz="10" w:space="0" w:color="D2D2D2"/>
              <w:right w:val="single" w:sz="10" w:space="0" w:color="D2D2D2"/>
            </w:tcBorders>
          </w:tcPr>
          <w:p>
            <w:pPr/>
          </w:p>
        </w:tc>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01"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vMerge/>
            <w:tcBorders>
              <w:left w:val="single" w:sz="10" w:space="0" w:color="D2D2D2"/>
              <w:right w:val="single" w:sz="4" w:space="0" w:color="000000"/>
            </w:tcBorders>
          </w:tcPr>
          <w:p>
            <w:pPr/>
          </w:p>
        </w:tc>
      </w:tr>
      <w:tr>
        <w:trPr>
          <w:trHeight w:val="324" w:hRule="exact"/>
        </w:trPr>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9" w:space="0" w:color="D2D2D2"/>
              <w:bottom w:val="single" w:sz="4" w:space="0" w:color="000000"/>
              <w:right w:val="single" w:sz="9" w:space="0" w:color="D2D2D2"/>
            </w:tcBorders>
          </w:tcPr>
          <w:p>
            <w:pPr/>
          </w:p>
        </w:tc>
        <w:tc>
          <w:tcPr>
            <w:tcW w:w="11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r>
      <w:tr>
        <w:trPr>
          <w:trHeight w:val="39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中证鹏元资信评估股份有限公司</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深圳市深南大道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7008 </w:t>
            </w:r>
            <w:r>
              <w:rPr>
                <w:rFonts w:ascii="宋体" w:hAnsi="宋体" w:cs="宋体" w:eastAsia="宋体" w:hint="default"/>
                <w:sz w:val="18"/>
                <w:szCs w:val="18"/>
              </w:rPr>
              <w:t>号阳光高尔夫大厦三楼</w:t>
            </w:r>
          </w:p>
        </w:tc>
      </w:tr>
      <w:tr>
        <w:trPr>
          <w:trHeight w:val="1338" w:hRule="exact"/>
        </w:trPr>
        <w:tc>
          <w:tcPr>
            <w:tcW w:w="31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9"/>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适用）</w:t>
            </w:r>
          </w:p>
        </w:tc>
        <w:tc>
          <w:tcPr>
            <w:tcW w:w="1613"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7" w:lineRule="exact" w:before="124"/>
              <w:ind w:left="-11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left="28"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84" w:type="dxa"/>
            <w:tcBorders>
              <w:top w:val="single" w:sz="4" w:space="0" w:color="000000"/>
              <w:left w:val="nil" w:sz="6" w:space="0" w:color="auto"/>
              <w:bottom w:val="single" w:sz="4" w:space="0" w:color="000000"/>
              <w:right w:val="nil" w:sz="6" w:space="0" w:color="auto"/>
            </w:tcBorders>
          </w:tcPr>
          <w:p>
            <w:pPr/>
          </w:p>
        </w:tc>
        <w:tc>
          <w:tcPr>
            <w:tcW w:w="1201"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8" w:type="dxa"/>
            <w:tcBorders>
              <w:top w:val="single" w:sz="4" w:space="0" w:color="000000"/>
              <w:left w:val="nil" w:sz="6" w:space="0" w:color="auto"/>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pict>
          <v:group style="position:absolute;margin-left:216.649994pt;margin-top:-78.674377pt;width:318.55pt;height:43.6pt;mso-position-horizontal-relative:page;mso-position-vertical-relative:paragraph;z-index:-1320832" coordorigin="4333,-1573" coordsize="6371,872">
            <v:group style="position:absolute;left:4333;top:-1573;width:6371;height:468" coordorigin="4333,-1573" coordsize="6371,468">
              <v:shape style="position:absolute;left:4333;top:-1573;width:6371;height:468" coordorigin="4333,-1573" coordsize="6371,468" path="m4333,-1105l10704,-1105,10704,-1573,4333,-1573,4333,-1105xe" filled="true" fillcolor="#ffffff" stroked="false">
                <v:path arrowok="t"/>
                <v:fill type="solid"/>
              </v:shape>
            </v:group>
            <v:group style="position:absolute;left:4345;top:-1105;width:2;height:392" coordorigin="4345,-1105" coordsize="2,392">
              <v:shape style="position:absolute;left:4345;top:-1105;width:2;height:392" coordorigin="4345,-1105" coordsize="0,392" path="m4345,-1105l4345,-714e" filled="false" stroked="true" strokeweight="1.2pt" strokecolor="#ffffff">
                <v:path arrowok="t"/>
              </v:shape>
            </v:group>
            <v:group style="position:absolute;left:4357;top:-1105;width:6325;height:392" coordorigin="4357,-1105" coordsize="6325,392">
              <v:shape style="position:absolute;left:4357;top:-1105;width:6325;height:392" coordorigin="4357,-1105" coordsize="6325,392" path="m4357,-714l10682,-714,10682,-1105,4357,-1105,4357,-714xe" filled="true" fillcolor="#ffffff" stroked="false">
                <v:path arrowok="t"/>
                <v:fill type="solid"/>
              </v:shape>
            </v:group>
            <w10:wrap type="none"/>
          </v:group>
        </w:pict>
      </w:r>
      <w:r>
        <w:rPr/>
        <w:t>三、公司债券募集资金使用情况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133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2" w:right="96"/>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日召开的第三届第二十二次董事会会议、</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年第二次临时股东大会审议通过，同意公司发行不超过人民币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5"/>
                <w:sz w:val="18"/>
                <w:szCs w:val="18"/>
              </w:rPr>
              <w:t>亿元（含 </w:t>
            </w:r>
            <w:r>
              <w:rPr>
                <w:rFonts w:ascii="Times New Roman" w:hAnsi="Times New Roman" w:cs="Times New Roman" w:eastAsia="Times New Roman" w:hint="default"/>
                <w:sz w:val="18"/>
                <w:szCs w:val="18"/>
              </w:rPr>
              <w:t>4 </w:t>
            </w:r>
            <w:r>
              <w:rPr>
                <w:rFonts w:ascii="宋体" w:hAnsi="宋体" w:cs="宋体" w:eastAsia="宋体" w:hint="default"/>
                <w:sz w:val="18"/>
                <w:szCs w:val="18"/>
              </w:rPr>
              <w:t>亿元）的公司债券，募集资金用于偿还银行借款、补充流动资金等用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途。截至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日，公司本次募集资金已使用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39,749.02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w:t>
            </w:r>
          </w:p>
        </w:tc>
      </w:tr>
      <w:tr>
        <w:trPr>
          <w:trHeight w:val="133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年面向合格投资者</w:t>
            </w:r>
            <w:r>
              <w:rPr>
                <w:rFonts w:ascii="宋体" w:hAnsi="宋体" w:cs="宋体" w:eastAsia="宋体" w:hint="default"/>
                <w:spacing w:val="-3"/>
                <w:sz w:val="18"/>
                <w:szCs w:val="18"/>
              </w:rPr>
              <w:t>公</w:t>
            </w:r>
            <w:r>
              <w:rPr>
                <w:rFonts w:ascii="宋体" w:hAnsi="宋体" w:cs="宋体" w:eastAsia="宋体" w:hint="default"/>
                <w:sz w:val="18"/>
                <w:szCs w:val="18"/>
              </w:rPr>
              <w:t>开发行公司债</w:t>
            </w:r>
            <w:r>
              <w:rPr>
                <w:rFonts w:ascii="宋体" w:hAnsi="宋体" w:cs="宋体" w:eastAsia="宋体" w:hint="default"/>
                <w:spacing w:val="-22"/>
                <w:sz w:val="18"/>
                <w:szCs w:val="18"/>
              </w:rPr>
              <w:t>券</w:t>
            </w:r>
            <w:r>
              <w:rPr>
                <w:rFonts w:ascii="宋体" w:hAnsi="宋体" w:cs="宋体" w:eastAsia="宋体" w:hint="default"/>
                <w:sz w:val="18"/>
                <w:szCs w:val="18"/>
              </w:rPr>
              <w:t>（第一期</w:t>
            </w:r>
            <w:r>
              <w:rPr>
                <w:rFonts w:ascii="宋体" w:hAnsi="宋体" w:cs="宋体" w:eastAsia="宋体" w:hint="default"/>
                <w:spacing w:val="-92"/>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（第二期</w:t>
            </w:r>
            <w:r>
              <w:rPr>
                <w:rFonts w:ascii="宋体" w:hAnsi="宋体" w:cs="宋体" w:eastAsia="宋体" w:hint="default"/>
                <w:spacing w:val="-22"/>
                <w:sz w:val="18"/>
                <w:szCs w:val="18"/>
              </w:rPr>
              <w:t>）</w:t>
            </w:r>
            <w:r>
              <w:rPr>
                <w:rFonts w:ascii="宋体" w:hAnsi="宋体" w:cs="宋体" w:eastAsia="宋体" w:hint="default"/>
                <w:sz w:val="18"/>
                <w:szCs w:val="18"/>
              </w:rPr>
              <w:t>合计发行金</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亿元，扣除发行费用之后的募集资金净额已于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日汇入公司指定的募集资金专项账户，并与募集资金开户银行签署了三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方监管协议。</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四、公司债券信息评级情况</w:t>
      </w:r>
      <w:r>
        <w:rPr>
          <w:b w:val="0"/>
          <w:bCs w:val="0"/>
        </w:rPr>
      </w:r>
    </w:p>
    <w:p>
      <w:pPr>
        <w:spacing w:line="240" w:lineRule="auto" w:before="4"/>
        <w:rPr>
          <w:rFonts w:ascii="宋体" w:hAnsi="宋体" w:cs="宋体" w:eastAsia="宋体" w:hint="default"/>
          <w:b/>
          <w:bCs/>
          <w:sz w:val="32"/>
          <w:szCs w:val="32"/>
        </w:rPr>
      </w:pPr>
    </w:p>
    <w:p>
      <w:pPr>
        <w:pStyle w:val="BodyText"/>
        <w:spacing w:line="451" w:lineRule="auto"/>
        <w:ind w:right="1040" w:firstLine="360"/>
        <w:jc w:val="left"/>
      </w:pPr>
      <w:r>
        <w:rPr>
          <w:spacing w:val="-2"/>
        </w:rPr>
        <w:t>（</w:t>
      </w:r>
      <w:r>
        <w:rPr>
          <w:rFonts w:ascii="Times New Roman" w:hAnsi="Times New Roman" w:cs="Times New Roman" w:eastAsia="Times New Roman" w:hint="default"/>
          <w:spacing w:val="-2"/>
        </w:rPr>
        <w:t>1</w:t>
      </w:r>
      <w:r>
        <w:rPr>
          <w:spacing w:val="-2"/>
        </w:rPr>
        <w:t>）中证鹏元资信评估股份有限公司于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日对公司</w:t>
      </w:r>
      <w:r>
        <w:rPr>
          <w:rFonts w:ascii="Times New Roman" w:hAnsi="Times New Roman" w:cs="Times New Roman" w:eastAsia="Times New Roman" w:hint="default"/>
          <w:spacing w:val="-2"/>
        </w:rPr>
        <w:t>2015</w:t>
      </w:r>
      <w:r>
        <w:rPr>
          <w:spacing w:val="-2"/>
        </w:rPr>
        <w:t>年公司债券（第一期、第二期）进行</w:t>
      </w:r>
      <w:r>
        <w:rPr>
          <w:rFonts w:ascii="Times New Roman" w:hAnsi="Times New Roman" w:cs="Times New Roman" w:eastAsia="Times New Roman" w:hint="default"/>
          <w:spacing w:val="-2"/>
        </w:rPr>
        <w:t>2019</w:t>
      </w:r>
      <w:r>
        <w:rPr>
          <w:spacing w:val="-2"/>
        </w:rPr>
        <w:t>年跟踪信用</w:t>
      </w:r>
      <w:r>
        <w:rPr/>
        <w:t> </w:t>
      </w:r>
      <w:r>
        <w:rPr>
          <w:spacing w:val="-3"/>
        </w:rPr>
        <w:t>评级，本次跟踪评级报告评级结果为：</w:t>
      </w:r>
      <w:r>
        <w:rPr>
          <w:rFonts w:ascii="Times New Roman" w:hAnsi="Times New Roman" w:cs="Times New Roman" w:eastAsia="Times New Roman" w:hint="default"/>
          <w:spacing w:val="-3"/>
        </w:rPr>
        <w:t>15</w:t>
      </w:r>
      <w:r>
        <w:rPr>
          <w:spacing w:val="-3"/>
        </w:rPr>
        <w:t>证通</w:t>
      </w:r>
      <w:r>
        <w:rPr>
          <w:rFonts w:ascii="Times New Roman" w:hAnsi="Times New Roman" w:cs="Times New Roman" w:eastAsia="Times New Roman" w:hint="default"/>
          <w:spacing w:val="-3"/>
        </w:rPr>
        <w:t>01</w:t>
      </w:r>
      <w:r>
        <w:rPr>
          <w:spacing w:val="-3"/>
        </w:rPr>
        <w:t>和</w:t>
      </w:r>
      <w:r>
        <w:rPr>
          <w:rFonts w:ascii="Times New Roman" w:hAnsi="Times New Roman" w:cs="Times New Roman" w:eastAsia="Times New Roman" w:hint="default"/>
          <w:spacing w:val="-3"/>
        </w:rPr>
        <w:t>15</w:t>
      </w:r>
      <w:r>
        <w:rPr>
          <w:spacing w:val="-3"/>
        </w:rPr>
        <w:t>证通</w:t>
      </w:r>
      <w:r>
        <w:rPr>
          <w:rFonts w:ascii="Times New Roman" w:hAnsi="Times New Roman" w:cs="Times New Roman" w:eastAsia="Times New Roman" w:hint="default"/>
          <w:spacing w:val="-3"/>
        </w:rPr>
        <w:t>02</w:t>
      </w:r>
      <w:r>
        <w:rPr>
          <w:spacing w:val="-3"/>
        </w:rPr>
        <w:t>的债券信用等级维持为</w:t>
      </w:r>
      <w:r>
        <w:rPr>
          <w:rFonts w:ascii="Times New Roman" w:hAnsi="Times New Roman" w:cs="Times New Roman" w:eastAsia="Times New Roman" w:hint="default"/>
          <w:spacing w:val="-3"/>
        </w:rPr>
        <w:t>AAA</w:t>
      </w:r>
      <w:r>
        <w:rPr>
          <w:spacing w:val="-3"/>
        </w:rPr>
        <w:t>，公司主体长期信用等级维持为</w:t>
      </w:r>
      <w:r>
        <w:rPr>
          <w:rFonts w:ascii="Times New Roman" w:hAnsi="Times New Roman" w:cs="Times New Roman" w:eastAsia="Times New Roman" w:hint="default"/>
          <w:spacing w:val="-3"/>
        </w:rPr>
        <w:t>AA-</w:t>
      </w:r>
      <w:r>
        <w:rPr>
          <w:spacing w:val="-3"/>
        </w:rPr>
        <w:t>，</w:t>
      </w:r>
      <w:r>
        <w:rPr>
          <w:spacing w:val="-75"/>
        </w:rPr>
        <w:t> </w:t>
      </w:r>
      <w:r>
        <w:rPr/>
        <w:t>评级望为稳定。公司债券信用等级为</w:t>
      </w:r>
      <w:r>
        <w:rPr>
          <w:rFonts w:ascii="Times New Roman" w:hAnsi="Times New Roman" w:cs="Times New Roman" w:eastAsia="Times New Roman" w:hint="default"/>
        </w:rPr>
        <w:t>AAA</w:t>
      </w:r>
      <w:r>
        <w:rPr/>
        <w:t>，本级别的定义为本期债券债务安全性极高，违约风险极低。公司主体信用评级 等级为</w:t>
      </w:r>
      <w:r>
        <w:rPr>
          <w:rFonts w:ascii="Times New Roman" w:hAnsi="Times New Roman" w:cs="Times New Roman" w:eastAsia="Times New Roman" w:hint="default"/>
        </w:rPr>
        <w:t>AA-,</w:t>
      </w:r>
      <w:r>
        <w:rPr>
          <w:rFonts w:ascii="Times New Roman" w:hAnsi="Times New Roman" w:cs="Times New Roman" w:eastAsia="Times New Roman" w:hint="default"/>
          <w:spacing w:val="44"/>
        </w:rPr>
        <w:t> </w:t>
      </w:r>
      <w:r>
        <w:rPr/>
        <w:t>本级别的定义为偿还债务的能力很强，受不利经济环境的影响不大，违约风险极低。该跟踪评级报告详见公司</w:t>
      </w:r>
      <w:r>
        <w:rPr>
          <w:w w:val="99"/>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日在巨潮资讯网（</w:t>
      </w:r>
      <w:hyperlink r:id="rId13">
        <w:r>
          <w:rPr>
            <w:rFonts w:ascii="Times New Roman" w:hAnsi="Times New Roman" w:cs="Times New Roman" w:eastAsia="Times New Roman" w:hint="default"/>
          </w:rPr>
          <w:t>www.cninfo.com.cn</w:t>
        </w:r>
      </w:hyperlink>
      <w:r>
        <w:rPr/>
        <w:t>）上披露的《公司</w:t>
      </w:r>
      <w:r>
        <w:rPr>
          <w:rFonts w:ascii="Times New Roman" w:hAnsi="Times New Roman" w:cs="Times New Roman" w:eastAsia="Times New Roman" w:hint="default"/>
        </w:rPr>
        <w:t>2015</w:t>
      </w:r>
      <w:r>
        <w:rPr/>
        <w:t>年公司债券（第一期、第二期）</w:t>
      </w:r>
      <w:r>
        <w:rPr>
          <w:rFonts w:ascii="Times New Roman" w:hAnsi="Times New Roman" w:cs="Times New Roman" w:eastAsia="Times New Roman" w:hint="default"/>
        </w:rPr>
        <w:t>2019</w:t>
      </w:r>
      <w:r>
        <w:rPr/>
        <w:t>年跟踪信用 评级报告》。</w:t>
      </w:r>
    </w:p>
    <w:p>
      <w:pPr>
        <w:pStyle w:val="BodyText"/>
        <w:spacing w:line="451" w:lineRule="auto" w:before="74"/>
        <w:ind w:right="1131" w:firstLine="360"/>
        <w:jc w:val="both"/>
      </w:pPr>
      <w:r>
        <w:rPr/>
        <w:t>（</w:t>
      </w:r>
      <w:r>
        <w:rPr>
          <w:rFonts w:ascii="Times New Roman" w:hAnsi="Times New Roman" w:cs="Times New Roman" w:eastAsia="Times New Roman" w:hint="default"/>
        </w:rPr>
        <w:t>2</w:t>
      </w:r>
      <w:r>
        <w:rPr/>
        <w:t>）中证鹏元资信评估股份有限公司在受评债券存续期间对受评对象开展定期以及不定期跟踪评级，在跟踪评级过程 中，鹏元资信将维持评级标准的一致性。定期跟踪评级每年进行一次</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在受评债券存续期内发行主体发布年度报告后两个月 </w:t>
      </w:r>
      <w:r>
        <w:rPr>
          <w:spacing w:val="-2"/>
        </w:rPr>
        <w:t>内出具一次定期跟踪评级报告。鹏元资信将及时在网站（</w:t>
      </w:r>
      <w:hyperlink r:id="rId16">
        <w:r>
          <w:rPr>
            <w:rFonts w:ascii="Times New Roman" w:hAnsi="Times New Roman" w:cs="Times New Roman" w:eastAsia="Times New Roman" w:hint="default"/>
            <w:spacing w:val="-2"/>
          </w:rPr>
          <w:t>www.pyrating.cn</w:t>
        </w:r>
      </w:hyperlink>
      <w:r>
        <w:rPr>
          <w:spacing w:val="-2"/>
        </w:rPr>
        <w:t>）公布跟踪评级结果与跟踪评级报告。上述跟踪评</w:t>
      </w:r>
      <w:r>
        <w:rPr>
          <w:spacing w:val="-44"/>
        </w:rPr>
        <w:t> </w:t>
      </w:r>
      <w:r>
        <w:rPr>
          <w:spacing w:val="-44"/>
        </w:rPr>
      </w:r>
      <w:r>
        <w:rPr/>
        <w:t>级报告出具后，公司将在巨潮资讯网（</w:t>
      </w:r>
      <w:hyperlink r:id="rId13">
        <w:r>
          <w:rPr>
            <w:rFonts w:ascii="Times New Roman" w:hAnsi="Times New Roman" w:cs="Times New Roman" w:eastAsia="Times New Roman" w:hint="default"/>
          </w:rPr>
          <w:t>www.cninfo.com.cn</w:t>
        </w:r>
      </w:hyperlink>
      <w:r>
        <w:rPr/>
        <w:t>）上予以公告。</w:t>
      </w:r>
    </w:p>
    <w:p>
      <w:pPr>
        <w:spacing w:after="0" w:line="451"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五、公司债券增信机制、偿债计划及其他偿债保障措施</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1129" w:firstLine="360"/>
        <w:jc w:val="left"/>
      </w:pPr>
      <w:r>
        <w:rPr>
          <w:spacing w:val="-5"/>
        </w:rPr>
        <w:t>报告期内，公司债券增信机制、偿债计划及偿债保障措施未发生变更，与《公司公开发行</w:t>
      </w:r>
      <w:r>
        <w:rPr>
          <w:rFonts w:ascii="Times New Roman" w:hAnsi="Times New Roman" w:cs="Times New Roman" w:eastAsia="Times New Roman" w:hint="default"/>
          <w:spacing w:val="-5"/>
        </w:rPr>
        <w:t>2015</w:t>
      </w:r>
      <w:r>
        <w:rPr>
          <w:spacing w:val="-5"/>
        </w:rPr>
        <w:t>年公司债券募集说明书（面</w:t>
      </w:r>
      <w:r>
        <w:rPr/>
        <w:t> 向合格投资者）》</w:t>
      </w:r>
      <w:r>
        <w:rPr>
          <w:rFonts w:ascii="Times New Roman" w:hAnsi="Times New Roman" w:cs="Times New Roman" w:eastAsia="Times New Roman" w:hint="default"/>
        </w:rPr>
        <w:t>(</w:t>
      </w:r>
      <w:r>
        <w:rPr/>
        <w:t>第一期</w:t>
      </w:r>
      <w:r>
        <w:rPr>
          <w:rFonts w:ascii="Times New Roman" w:hAnsi="Times New Roman" w:cs="Times New Roman" w:eastAsia="Times New Roman" w:hint="default"/>
        </w:rPr>
        <w:t>)</w:t>
      </w:r>
      <w:r>
        <w:rPr/>
        <w:t>、（第二期）中约定及承诺内容一致，并严格执行。</w:t>
      </w:r>
    </w:p>
    <w:p>
      <w:pPr>
        <w:pStyle w:val="BodyText"/>
        <w:spacing w:line="477" w:lineRule="auto" w:before="43"/>
        <w:ind w:left="513" w:right="1129"/>
        <w:jc w:val="left"/>
      </w:pPr>
      <w:r>
        <w:rPr/>
        <w:t>一、增信机制 </w:t>
      </w:r>
      <w:r>
        <w:rPr>
          <w:spacing w:val="-2"/>
        </w:rPr>
        <w:t>本期债券由深圳市高新投集团有限公司提供无条件的不可撤销的连带责任保证，担保范围包括本期债券的全部本金及利</w:t>
      </w:r>
    </w:p>
    <w:p>
      <w:pPr>
        <w:pStyle w:val="BodyText"/>
        <w:spacing w:line="451" w:lineRule="auto" w:before="54"/>
        <w:ind w:right="1122"/>
        <w:jc w:val="left"/>
      </w:pPr>
      <w:r>
        <w:rPr/>
        <w:pict>
          <v:shape style="position:absolute;margin-left:55.799999pt;margin-top:45.131729pt;width:484.1pt;height:191.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0"/>
                    <w:gridCol w:w="3202"/>
                    <w:gridCol w:w="2948"/>
                  </w:tblGrid>
                  <w:tr>
                    <w:trPr>
                      <w:trHeight w:val="34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8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总资产（万元）</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3,193,578.17</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2,052,718.02</w:t>
                        </w:r>
                      </w:p>
                    </w:tc>
                  </w:tr>
                  <w:tr>
                    <w:trPr>
                      <w:trHeight w:val="34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归属于母公司所有者权益（万元）</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1,764,115.66</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1,177,908.41</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32.49%</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42.58%</w:t>
                        </w:r>
                      </w:p>
                    </w:tc>
                  </w:tr>
                  <w:tr>
                    <w:trPr>
                      <w:trHeight w:val="34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流动比率（倍）</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6.29</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6.23</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速动比率（倍）</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6.29</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6.23</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营业总收入（万元）</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278,716.28</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208,520.14</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利润总额（万元）</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156,174.40</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152,101.10</w:t>
                        </w:r>
                      </w:p>
                    </w:tc>
                  </w:tr>
                  <w:tr>
                    <w:trPr>
                      <w:trHeight w:val="34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净利润（万元）</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115,294.19</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113,306.69</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5.35</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9.61</w:t>
                        </w:r>
                      </w:p>
                    </w:tc>
                  </w:tr>
                </w:tbl>
                <w:p>
                  <w:pPr/>
                </w:p>
              </w:txbxContent>
            </v:textbox>
            <w10:wrap type="none"/>
          </v:shape>
        </w:pict>
      </w:r>
      <w:r>
        <w:rPr>
          <w:spacing w:val="-4"/>
        </w:rPr>
        <w:t>息、违约金、损害赔偿金和实现债权的全部费用。</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25</w:t>
      </w:r>
      <w:r>
        <w:rPr>
          <w:spacing w:val="-4"/>
        </w:rPr>
        <w:t>日，深圳市高新投集团有限公司为本期债券出具了担保函，</w:t>
      </w:r>
      <w:r>
        <w:rPr>
          <w:spacing w:val="-40"/>
        </w:rPr>
        <w:t> </w:t>
      </w:r>
      <w:r>
        <w:rPr/>
        <w:t>并</w:t>
      </w:r>
      <w:r>
        <w:rPr>
          <w:spacing w:val="-87"/>
        </w:rPr>
        <w:t> </w:t>
      </w:r>
      <w:r>
        <w:rPr>
          <w:spacing w:val="-87"/>
        </w:rPr>
      </w:r>
      <w:r>
        <w:rPr/>
        <w:t>与公司签订了担保合同。其</w:t>
      </w:r>
      <w:r>
        <w:rPr>
          <w:rFonts w:ascii="Times New Roman" w:hAnsi="Times New Roman" w:cs="Times New Roman" w:eastAsia="Times New Roman" w:hint="default"/>
        </w:rPr>
        <w:t>2019</w:t>
      </w:r>
      <w:r>
        <w:rPr/>
        <w:t>年度主要财务数据及财务指标（合并口径）如下表：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451" w:lineRule="auto"/>
        <w:ind w:right="1373" w:firstLine="360"/>
        <w:jc w:val="left"/>
      </w:pPr>
      <w:r>
        <w:rPr/>
        <w:t>鹏元资信于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日将深圳市高新投集团有限公司主体长期信用等级由</w:t>
      </w:r>
      <w:r>
        <w:rPr>
          <w:rFonts w:ascii="Times New Roman" w:hAnsi="Times New Roman" w:cs="Times New Roman" w:eastAsia="Times New Roman" w:hint="default"/>
        </w:rPr>
        <w:t>AA+</w:t>
      </w:r>
      <w:r>
        <w:rPr/>
        <w:t>上调至</w:t>
      </w:r>
      <w:r>
        <w:rPr>
          <w:rFonts w:ascii="Times New Roman" w:hAnsi="Times New Roman" w:cs="Times New Roman" w:eastAsia="Times New Roman" w:hint="default"/>
        </w:rPr>
        <w:t>AAA</w:t>
      </w:r>
      <w:r>
        <w:rPr/>
        <w:t>，评级展望维持为</w:t>
      </w:r>
      <w:r>
        <w:rPr>
          <w:rFonts w:ascii="Times New Roman" w:hAnsi="Times New Roman" w:cs="Times New Roman" w:eastAsia="Times New Roman" w:hint="default"/>
        </w:rPr>
        <w:t>“</w:t>
      </w:r>
      <w:r>
        <w:rPr/>
        <w:t>稳 定</w:t>
      </w:r>
      <w:r>
        <w:rPr>
          <w:rFonts w:ascii="Times New Roman" w:hAnsi="Times New Roman" w:cs="Times New Roman" w:eastAsia="Times New Roman" w:hint="default"/>
        </w:rPr>
        <w:t>”</w:t>
      </w:r>
      <w:r>
        <w:rPr/>
        <w:t>。</w:t>
      </w:r>
    </w:p>
    <w:p>
      <w:pPr>
        <w:pStyle w:val="BodyText"/>
        <w:spacing w:line="451" w:lineRule="auto" w:before="43"/>
        <w:ind w:right="1124" w:firstLine="36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日，深圳市高新投集团有限公司对外担保本金余为</w:t>
      </w:r>
      <w:r>
        <w:rPr>
          <w:rFonts w:ascii="Times New Roman" w:hAnsi="Times New Roman" w:cs="Times New Roman" w:eastAsia="Times New Roman" w:hint="default"/>
        </w:rPr>
        <w:t>19,092,356</w:t>
      </w:r>
      <w:r>
        <w:rPr/>
        <w:t>万元人民币，占其</w:t>
      </w:r>
      <w:r>
        <w:rPr>
          <w:rFonts w:ascii="Times New Roman" w:hAnsi="Times New Roman" w:cs="Times New Roman" w:eastAsia="Times New Roman" w:hint="default"/>
        </w:rPr>
        <w:t>2019</w:t>
      </w:r>
      <w:r>
        <w:rPr/>
        <w:t>年末经审计净资 产比重为</w:t>
      </w:r>
      <w:r>
        <w:rPr>
          <w:rFonts w:ascii="Times New Roman" w:hAnsi="Times New Roman" w:cs="Times New Roman" w:eastAsia="Times New Roman" w:hint="default"/>
        </w:rPr>
        <w:t>885.66%</w:t>
      </w:r>
      <w:r>
        <w:rPr/>
        <w:t>。</w:t>
      </w:r>
    </w:p>
    <w:p>
      <w:pPr>
        <w:pStyle w:val="BodyText"/>
        <w:spacing w:line="240" w:lineRule="auto" w:before="43"/>
        <w:ind w:left="513" w:right="1133"/>
        <w:jc w:val="left"/>
      </w:pPr>
      <w:r>
        <w:rPr/>
        <w:t>二、偿债计划</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t>（一）公司</w:t>
      </w:r>
      <w:r>
        <w:rPr>
          <w:rFonts w:ascii="Times New Roman" w:hAnsi="Times New Roman" w:cs="Times New Roman" w:eastAsia="Times New Roman" w:hint="default"/>
        </w:rPr>
        <w:t>2015</w:t>
      </w:r>
      <w:r>
        <w:rPr/>
        <w:t>年面向合格投资者公开发行公司债券（第一期）</w:t>
      </w:r>
    </w:p>
    <w:p>
      <w:pPr>
        <w:spacing w:line="240" w:lineRule="auto" w:before="10"/>
        <w:rPr>
          <w:rFonts w:ascii="宋体" w:hAnsi="宋体" w:cs="宋体" w:eastAsia="宋体" w:hint="default"/>
          <w:sz w:val="16"/>
          <w:szCs w:val="16"/>
        </w:rPr>
      </w:pPr>
    </w:p>
    <w:p>
      <w:pPr>
        <w:pStyle w:val="BodyText"/>
        <w:spacing w:line="240" w:lineRule="auto"/>
        <w:ind w:left="513" w:right="1133"/>
        <w:jc w:val="left"/>
      </w:pPr>
      <w:r>
        <w:rPr>
          <w:rFonts w:ascii="Times New Roman" w:hAnsi="Times New Roman" w:cs="Times New Roman" w:eastAsia="Times New Roman" w:hint="default"/>
        </w:rPr>
        <w:t>1</w:t>
      </w:r>
      <w:r>
        <w:rPr/>
        <w:t>、本期公司债券的起息日为公司债券的发行起始日，即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w:t>
      </w:r>
    </w:p>
    <w:p>
      <w:pPr>
        <w:spacing w:line="240" w:lineRule="auto" w:before="9"/>
        <w:rPr>
          <w:rFonts w:ascii="宋体" w:hAnsi="宋体" w:cs="宋体" w:eastAsia="宋体" w:hint="default"/>
          <w:sz w:val="16"/>
          <w:szCs w:val="16"/>
        </w:rPr>
      </w:pPr>
    </w:p>
    <w:p>
      <w:pPr>
        <w:pStyle w:val="BodyText"/>
        <w:spacing w:line="451" w:lineRule="auto"/>
        <w:ind w:right="1127" w:firstLine="360"/>
        <w:jc w:val="right"/>
        <w:rPr>
          <w:rFonts w:ascii="Times New Roman" w:hAnsi="Times New Roman" w:cs="Times New Roman" w:eastAsia="Times New Roman" w:hint="default"/>
        </w:rPr>
      </w:pPr>
      <w:r>
        <w:rPr>
          <w:rFonts w:ascii="Times New Roman" w:hAnsi="Times New Roman" w:cs="Times New Roman" w:eastAsia="Times New Roman" w:hint="default"/>
          <w:spacing w:val="-6"/>
        </w:rPr>
        <w:t>2</w:t>
      </w:r>
      <w:r>
        <w:rPr>
          <w:spacing w:val="-6"/>
        </w:rPr>
        <w:t>、本期公司债券的利息自起息日起每年支付一次。最后一期利息随本金的兑付一起支付。本期债券每年的付息日为</w:t>
      </w:r>
      <w:r>
        <w:rPr>
          <w:spacing w:val="45"/>
        </w:rPr>
        <w:t> </w:t>
      </w:r>
      <w:r>
        <w:rPr>
          <w:rFonts w:ascii="Times New Roman" w:hAnsi="Times New Roman" w:cs="Times New Roman" w:eastAsia="Times New Roman" w:hint="default"/>
        </w:rPr>
        <w:t>2016 </w:t>
      </w:r>
      <w:r>
        <w:rPr>
          <w:spacing w:val="-2"/>
        </w:rPr>
        <w:t>年至</w:t>
      </w:r>
      <w:r>
        <w:rPr>
          <w:rFonts w:ascii="Times New Roman" w:hAnsi="Times New Roman" w:cs="Times New Roman" w:eastAsia="Times New Roman" w:hint="default"/>
          <w:spacing w:val="-2"/>
        </w:rPr>
        <w:t>2020</w:t>
      </w:r>
      <w:r>
        <w:rPr>
          <w:spacing w:val="-2"/>
        </w:rPr>
        <w:t>年每年的</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日（如遇法定节假日或休息日，则顺延至其后的第</w:t>
      </w:r>
      <w:r>
        <w:rPr>
          <w:rFonts w:ascii="Times New Roman" w:hAnsi="Times New Roman" w:cs="Times New Roman" w:eastAsia="Times New Roman" w:hint="default"/>
          <w:spacing w:val="-2"/>
        </w:rPr>
        <w:t>1</w:t>
      </w:r>
      <w:r>
        <w:rPr>
          <w:spacing w:val="-2"/>
        </w:rPr>
        <w:t>个交易日）。若投资者行使回售选择权，</w:t>
      </w:r>
      <w:r>
        <w:rPr>
          <w:spacing w:val="24"/>
        </w:rPr>
        <w:t> </w:t>
      </w:r>
      <w:r>
        <w:rPr/>
        <w:t>则回</w:t>
      </w:r>
      <w:r>
        <w:rPr/>
        <w:t> </w:t>
      </w:r>
      <w:r>
        <w:rPr>
          <w:spacing w:val="-1"/>
        </w:rPr>
        <w:t>售部分债券的付息日为自</w:t>
      </w:r>
      <w:r>
        <w:rPr>
          <w:rFonts w:ascii="Times New Roman" w:hAnsi="Times New Roman" w:cs="Times New Roman" w:eastAsia="Times New Roman" w:hint="default"/>
          <w:spacing w:val="-1"/>
        </w:rPr>
        <w:t>2016</w:t>
      </w:r>
      <w:r>
        <w:rPr>
          <w:spacing w:val="-1"/>
        </w:rPr>
        <w:t>年至</w:t>
      </w:r>
      <w:r>
        <w:rPr>
          <w:rFonts w:ascii="Times New Roman" w:hAnsi="Times New Roman" w:cs="Times New Roman" w:eastAsia="Times New Roman" w:hint="default"/>
          <w:spacing w:val="-1"/>
        </w:rPr>
        <w:t>2018</w:t>
      </w:r>
      <w:r>
        <w:rPr>
          <w:spacing w:val="-1"/>
        </w:rPr>
        <w:t>年间每年的</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21</w:t>
      </w:r>
      <w:r>
        <w:rPr>
          <w:spacing w:val="-1"/>
        </w:rPr>
        <w:t>日（如遇法定节假日或休息日，则顺延至其后的第</w:t>
      </w:r>
      <w:r>
        <w:rPr>
          <w:rFonts w:ascii="Times New Roman" w:hAnsi="Times New Roman" w:cs="Times New Roman" w:eastAsia="Times New Roman" w:hint="default"/>
          <w:spacing w:val="-1"/>
        </w:rPr>
        <w:t>1</w:t>
      </w:r>
      <w:r>
        <w:rPr>
          <w:spacing w:val="-1"/>
        </w:rPr>
        <w:t>个交易日）。</w:t>
      </w:r>
      <w:r>
        <w:rPr>
          <w:spacing w:val="-59"/>
        </w:rPr>
        <w:t> </w:t>
      </w:r>
      <w:r>
        <w:rPr>
          <w:rFonts w:ascii="Times New Roman" w:hAnsi="Times New Roman" w:cs="Times New Roman" w:eastAsia="Times New Roman" w:hint="default"/>
          <w:spacing w:val="-2"/>
        </w:rPr>
        <w:t>3</w:t>
      </w:r>
      <w:r>
        <w:rPr>
          <w:spacing w:val="-2"/>
        </w:rPr>
        <w:t>、本期债券到期一次还本。本期债券的本金支付日为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日（如遇法定节假日或休息日，则顺延至其后的第</w:t>
      </w:r>
      <w:r>
        <w:rPr>
          <w:rFonts w:ascii="Times New Roman" w:hAnsi="Times New Roman" w:cs="Times New Roman" w:eastAsia="Times New Roman" w:hint="default"/>
          <w:spacing w:val="-2"/>
        </w:rPr>
        <w:t>1</w:t>
      </w:r>
    </w:p>
    <w:p>
      <w:pPr>
        <w:pStyle w:val="BodyText"/>
        <w:spacing w:line="240" w:lineRule="auto" w:before="43"/>
        <w:ind w:right="1133"/>
        <w:jc w:val="left"/>
      </w:pPr>
      <w:r>
        <w:rPr/>
        <w:t>个交易日）。若投资者行使回售选择权，则回售和本金支付工作根据登记公司和有关机构规定办理。</w:t>
      </w:r>
    </w:p>
    <w:p>
      <w:pPr>
        <w:spacing w:line="240" w:lineRule="auto" w:before="10"/>
        <w:rPr>
          <w:rFonts w:ascii="宋体" w:hAnsi="宋体" w:cs="宋体" w:eastAsia="宋体" w:hint="default"/>
          <w:sz w:val="17"/>
          <w:szCs w:val="17"/>
        </w:rPr>
      </w:pPr>
    </w:p>
    <w:p>
      <w:pPr>
        <w:pStyle w:val="BodyText"/>
        <w:spacing w:line="451" w:lineRule="auto"/>
        <w:ind w:right="1119" w:firstLine="360"/>
        <w:jc w:val="left"/>
      </w:pPr>
      <w:r>
        <w:rPr>
          <w:rFonts w:ascii="Times New Roman" w:hAnsi="Times New Roman" w:cs="Times New Roman" w:eastAsia="Times New Roman" w:hint="default"/>
          <w:spacing w:val="-2"/>
        </w:rPr>
        <w:t>4</w:t>
      </w:r>
      <w:r>
        <w:rPr>
          <w:spacing w:val="-2"/>
        </w:rPr>
        <w:t>、本期债券的本金兑付、利息支付将通过登记机构和有关机构办理。本金兑付、利息支付的具体事项将按照国家有</w:t>
      </w:r>
      <w:r>
        <w:rPr>
          <w:spacing w:val="17"/>
        </w:rPr>
        <w:t> </w:t>
      </w:r>
      <w:r>
        <w:rPr/>
        <w:t>关</w:t>
      </w:r>
      <w:r>
        <w:rPr/>
        <w:t> 规定，由公司在中国证监会指定媒体上发布的相关公告中加以说明。</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3" w:right="1133"/>
        <w:jc w:val="left"/>
      </w:pPr>
      <w:r>
        <w:rPr>
          <w:rFonts w:ascii="Times New Roman" w:hAnsi="Times New Roman" w:cs="Times New Roman" w:eastAsia="Times New Roman" w:hint="default"/>
        </w:rPr>
        <w:t>5</w:t>
      </w:r>
      <w:r>
        <w:rPr/>
        <w:t>、根据国家税收法律、法规，投资者投资本期债券应缴纳的有关税金由投资者自行承担。</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（二）公司</w:t>
      </w:r>
      <w:r>
        <w:rPr>
          <w:rFonts w:ascii="Times New Roman" w:hAnsi="Times New Roman" w:cs="Times New Roman" w:eastAsia="Times New Roman" w:hint="default"/>
        </w:rPr>
        <w:t>2015</w:t>
      </w:r>
      <w:r>
        <w:rPr/>
        <w:t>年面向合格投资者公开发行公司债券（第二期）</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rFonts w:ascii="Times New Roman" w:hAnsi="Times New Roman" w:cs="Times New Roman" w:eastAsia="Times New Roman" w:hint="default"/>
        </w:rPr>
        <w:t>1</w:t>
      </w:r>
      <w:r>
        <w:rPr/>
        <w:t>、本期公司债券的起息日为公司债券的发行起始日，即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p>
    <w:p>
      <w:pPr>
        <w:spacing w:line="240" w:lineRule="auto" w:before="9"/>
        <w:rPr>
          <w:rFonts w:ascii="宋体" w:hAnsi="宋体" w:cs="宋体" w:eastAsia="宋体" w:hint="default"/>
          <w:sz w:val="16"/>
          <w:szCs w:val="16"/>
        </w:rPr>
      </w:pPr>
    </w:p>
    <w:p>
      <w:pPr>
        <w:pStyle w:val="BodyText"/>
        <w:spacing w:line="451" w:lineRule="auto"/>
        <w:ind w:right="1130" w:firstLine="360"/>
        <w:jc w:val="right"/>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spacing w:val="-4"/>
        </w:rPr>
        <w:t>、本期公司债券的利息自起息日起每年支付一次。最后一期利息随本金的兑付一起支付。本期债券每年的付息日为</w:t>
      </w:r>
      <w:r>
        <w:rPr>
          <w:rFonts w:ascii="Times New Roman" w:hAnsi="Times New Roman" w:cs="Times New Roman" w:eastAsia="Times New Roman" w:hint="default"/>
          <w:spacing w:val="-4"/>
        </w:rPr>
        <w:t>2016</w:t>
      </w:r>
      <w:r>
        <w:rPr>
          <w:rFonts w:ascii="Times New Roman" w:hAnsi="Times New Roman" w:cs="Times New Roman" w:eastAsia="Times New Roman" w:hint="default"/>
        </w:rPr>
        <w:t> </w:t>
      </w:r>
      <w:r>
        <w:rPr>
          <w:spacing w:val="-2"/>
        </w:rPr>
        <w:t>年至</w:t>
      </w:r>
      <w:r>
        <w:rPr>
          <w:rFonts w:ascii="Times New Roman" w:hAnsi="Times New Roman" w:cs="Times New Roman" w:eastAsia="Times New Roman" w:hint="default"/>
          <w:spacing w:val="-2"/>
        </w:rPr>
        <w:t>2020</w:t>
      </w:r>
      <w:r>
        <w:rPr>
          <w:spacing w:val="-2"/>
        </w:rPr>
        <w:t>年每年的</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日（如遇法定节假日或休息日，则顺延至其后的第</w:t>
      </w:r>
      <w:r>
        <w:rPr>
          <w:rFonts w:ascii="Times New Roman" w:hAnsi="Times New Roman" w:cs="Times New Roman" w:eastAsia="Times New Roman" w:hint="default"/>
          <w:spacing w:val="-2"/>
        </w:rPr>
        <w:t>1</w:t>
      </w:r>
      <w:r>
        <w:rPr>
          <w:spacing w:val="-2"/>
        </w:rPr>
        <w:t>个交易日）。若投资者行使回售选择权，</w:t>
      </w:r>
      <w:r>
        <w:rPr>
          <w:spacing w:val="24"/>
        </w:rPr>
        <w:t> </w:t>
      </w:r>
      <w:r>
        <w:rPr/>
        <w:t>则回</w:t>
      </w:r>
      <w:r>
        <w:rPr/>
        <w:t> </w:t>
      </w:r>
      <w:r>
        <w:rPr>
          <w:spacing w:val="-1"/>
        </w:rPr>
        <w:t>售部分债券的付息日为自</w:t>
      </w:r>
      <w:r>
        <w:rPr>
          <w:rFonts w:ascii="Times New Roman" w:hAnsi="Times New Roman" w:cs="Times New Roman" w:eastAsia="Times New Roman" w:hint="default"/>
          <w:spacing w:val="-1"/>
        </w:rPr>
        <w:t>2016</w:t>
      </w:r>
      <w:r>
        <w:rPr>
          <w:spacing w:val="-1"/>
        </w:rPr>
        <w:t>年至</w:t>
      </w:r>
      <w:r>
        <w:rPr>
          <w:rFonts w:ascii="Times New Roman" w:hAnsi="Times New Roman" w:cs="Times New Roman" w:eastAsia="Times New Roman" w:hint="default"/>
          <w:spacing w:val="-1"/>
        </w:rPr>
        <w:t>2018</w:t>
      </w:r>
      <w:r>
        <w:rPr>
          <w:spacing w:val="-1"/>
        </w:rPr>
        <w:t>年间每年的</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日（如遇法定节假日或休息日，则顺延至其后的第</w:t>
      </w:r>
      <w:r>
        <w:rPr>
          <w:rFonts w:ascii="Times New Roman" w:hAnsi="Times New Roman" w:cs="Times New Roman" w:eastAsia="Times New Roman" w:hint="default"/>
          <w:spacing w:val="-1"/>
        </w:rPr>
        <w:t>1</w:t>
      </w:r>
      <w:r>
        <w:rPr>
          <w:spacing w:val="-1"/>
        </w:rPr>
        <w:t>个交易日）。</w:t>
      </w:r>
      <w:r>
        <w:rPr>
          <w:spacing w:val="-56"/>
        </w:rPr>
        <w:t> </w:t>
      </w:r>
      <w:r>
        <w:rPr>
          <w:rFonts w:ascii="Times New Roman" w:hAnsi="Times New Roman" w:cs="Times New Roman" w:eastAsia="Times New Roman" w:hint="default"/>
          <w:spacing w:val="-2"/>
        </w:rPr>
        <w:t>3</w:t>
      </w:r>
      <w:r>
        <w:rPr>
          <w:spacing w:val="-2"/>
        </w:rPr>
        <w:t>、本期债券到期一次还本。本期债券的本金支付日为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日（如遇法定节假日或休息日，则顺延至其后的第</w:t>
      </w:r>
      <w:r>
        <w:rPr>
          <w:rFonts w:ascii="Times New Roman" w:hAnsi="Times New Roman" w:cs="Times New Roman" w:eastAsia="Times New Roman" w:hint="default"/>
          <w:spacing w:val="-2"/>
        </w:rPr>
        <w:t>1</w:t>
      </w:r>
    </w:p>
    <w:p>
      <w:pPr>
        <w:pStyle w:val="BodyText"/>
        <w:spacing w:line="240" w:lineRule="auto" w:before="44"/>
        <w:ind w:left="133" w:right="2831"/>
        <w:jc w:val="center"/>
      </w:pPr>
      <w:r>
        <w:rPr/>
        <w:t>个交易日）。若投资者行使回售选择权，则回售和本金支付工作根据登记公司和有关机构规定办理。</w:t>
      </w:r>
    </w:p>
    <w:p>
      <w:pPr>
        <w:spacing w:line="240" w:lineRule="auto" w:before="10"/>
        <w:rPr>
          <w:rFonts w:ascii="宋体" w:hAnsi="宋体" w:cs="宋体" w:eastAsia="宋体" w:hint="default"/>
          <w:sz w:val="17"/>
          <w:szCs w:val="17"/>
        </w:rPr>
      </w:pPr>
    </w:p>
    <w:p>
      <w:pPr>
        <w:pStyle w:val="BodyText"/>
        <w:spacing w:line="451" w:lineRule="auto"/>
        <w:ind w:right="1124" w:firstLine="360"/>
        <w:jc w:val="left"/>
      </w:pPr>
      <w:r>
        <w:rPr>
          <w:rFonts w:ascii="Times New Roman" w:hAnsi="Times New Roman" w:cs="Times New Roman" w:eastAsia="Times New Roman" w:hint="default"/>
        </w:rPr>
        <w:t>4</w:t>
      </w:r>
      <w:r>
        <w:rPr/>
        <w:t>、本期债券的本金兑付、利息支付将通过登记机构和有关机构办理。本金兑付、利息支付的具体事项将按照国家有关 规定，由公司在中国证监会指定媒体上发布的相关公告中加以说明。</w:t>
      </w:r>
    </w:p>
    <w:p>
      <w:pPr>
        <w:pStyle w:val="BodyText"/>
        <w:spacing w:line="240" w:lineRule="auto" w:before="74"/>
        <w:ind w:left="513" w:right="1133"/>
        <w:jc w:val="left"/>
      </w:pPr>
      <w:r>
        <w:rPr>
          <w:rFonts w:ascii="Times New Roman" w:hAnsi="Times New Roman" w:cs="Times New Roman" w:eastAsia="Times New Roman" w:hint="default"/>
        </w:rPr>
        <w:t>5</w:t>
      </w:r>
      <w:r>
        <w:rPr/>
        <w:t>、根据国家税收法律、法规，投资者投资本期债券应缴纳的有关税金由投资者自行承担。</w:t>
      </w:r>
    </w:p>
    <w:p>
      <w:pPr>
        <w:spacing w:line="240" w:lineRule="auto" w:before="9"/>
        <w:rPr>
          <w:rFonts w:ascii="宋体" w:hAnsi="宋体" w:cs="宋体" w:eastAsia="宋体" w:hint="default"/>
          <w:sz w:val="16"/>
          <w:szCs w:val="16"/>
        </w:rPr>
      </w:pPr>
    </w:p>
    <w:p>
      <w:pPr>
        <w:pStyle w:val="BodyText"/>
        <w:spacing w:line="477" w:lineRule="auto"/>
        <w:ind w:left="513" w:right="1129"/>
        <w:jc w:val="left"/>
      </w:pPr>
      <w:r>
        <w:rPr/>
        <w:t>（三）偿债保障措施 </w:t>
      </w:r>
      <w:r>
        <w:rPr>
          <w:spacing w:val="-2"/>
        </w:rPr>
        <w:t>为了充分、有效地维护本期债券持有人的合法权益，发行人为本期债券的按时、足额偿付制定了一系列工作计划，努力</w:t>
      </w:r>
    </w:p>
    <w:p>
      <w:pPr>
        <w:pStyle w:val="BodyText"/>
        <w:spacing w:line="240" w:lineRule="auto" w:before="54"/>
        <w:ind w:right="1133"/>
        <w:jc w:val="left"/>
      </w:pPr>
      <w:r>
        <w:rPr/>
        <w:t>形成一套确保债券安全兑付的保障措施。</w:t>
      </w:r>
    </w:p>
    <w:p>
      <w:pPr>
        <w:spacing w:line="240" w:lineRule="auto" w:before="10"/>
        <w:rPr>
          <w:rFonts w:ascii="宋体" w:hAnsi="宋体" w:cs="宋体" w:eastAsia="宋体" w:hint="default"/>
          <w:sz w:val="17"/>
          <w:szCs w:val="17"/>
        </w:rPr>
      </w:pPr>
    </w:p>
    <w:p>
      <w:pPr>
        <w:pStyle w:val="BodyText"/>
        <w:spacing w:line="451" w:lineRule="auto"/>
        <w:ind w:right="1124" w:firstLine="360"/>
        <w:jc w:val="left"/>
      </w:pPr>
      <w:r>
        <w:rPr>
          <w:rFonts w:ascii="Times New Roman" w:hAnsi="Times New Roman" w:cs="Times New Roman" w:eastAsia="Times New Roman" w:hint="default"/>
        </w:rPr>
        <w:t>1</w:t>
      </w:r>
      <w:r>
        <w:rPr/>
        <w:t>、专门部门负责偿付工作发行人指定财务部牵头负责协调本期债券的偿付工作，并协调公司其他相关部门在每年的财 务预算中落实安排本期债券本息的偿付资金，保证本息的如期偿付，保障债券持有人的利益。</w:t>
      </w:r>
    </w:p>
    <w:p>
      <w:pPr>
        <w:pStyle w:val="BodyText"/>
        <w:spacing w:line="463" w:lineRule="auto" w:before="74"/>
        <w:ind w:right="1132" w:firstLine="360"/>
        <w:jc w:val="both"/>
      </w:pPr>
      <w:r>
        <w:rPr>
          <w:rFonts w:ascii="Times New Roman" w:hAnsi="Times New Roman" w:cs="Times New Roman" w:eastAsia="Times New Roman" w:hint="default"/>
        </w:rPr>
        <w:t>2</w:t>
      </w:r>
      <w:r>
        <w:rPr/>
        <w:t>、制定债券持有人会议规则发行人已按照《公司债券发行与交易管理办法》的规定与债券受托管理人为本期债券制定 </w:t>
      </w:r>
      <w:r>
        <w:rPr>
          <w:spacing w:val="-2"/>
        </w:rPr>
        <w:t>了《债券持有人会议规则》，约定债券持有人通过债券持有人会议行使权利的范围、程序和其他重要事项，为保障本期公司</w:t>
      </w:r>
      <w:r>
        <w:rPr>
          <w:spacing w:val="-65"/>
        </w:rPr>
        <w:t> </w:t>
      </w:r>
      <w:r>
        <w:rPr>
          <w:spacing w:val="-65"/>
        </w:rPr>
      </w:r>
      <w:r>
        <w:rPr/>
        <w:t>债券本息及时足额偿付做出了合理的制度安排。</w:t>
      </w:r>
    </w:p>
    <w:p>
      <w:pPr>
        <w:pStyle w:val="BodyText"/>
        <w:spacing w:line="240" w:lineRule="auto" w:before="65"/>
        <w:ind w:left="513" w:right="1133"/>
        <w:jc w:val="left"/>
      </w:pPr>
      <w:r>
        <w:rPr/>
        <w:t>有关债券持有人会议规则的具体内容，详见本募集说明书第八节</w:t>
      </w:r>
      <w:r>
        <w:rPr>
          <w:rFonts w:ascii="Times New Roman" w:hAnsi="Times New Roman" w:cs="Times New Roman" w:eastAsia="Times New Roman" w:hint="default"/>
        </w:rPr>
        <w:t>“</w:t>
      </w:r>
      <w:r>
        <w:rPr/>
        <w:t>债券持有人会议</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463" w:lineRule="auto"/>
        <w:ind w:right="1134" w:firstLine="360"/>
        <w:jc w:val="both"/>
      </w:pPr>
      <w:r>
        <w:rPr>
          <w:rFonts w:ascii="Times New Roman" w:hAnsi="Times New Roman" w:cs="Times New Roman" w:eastAsia="Times New Roman" w:hint="default"/>
        </w:rPr>
        <w:t>3</w:t>
      </w:r>
      <w:r>
        <w:rPr/>
        <w:t>、充分发挥债券受托管理人的作用发行人按照《公司债券发行与交易管理办法》的要求，聘请中信建投证券担任本期 </w:t>
      </w:r>
      <w:r>
        <w:rPr>
          <w:spacing w:val="-2"/>
        </w:rPr>
        <w:t>债券的债券受托管理人，并与中信建投证券订立了《受托管理协议》。在本期债券存续期限内，由债券受托管理人依照协议</w:t>
      </w:r>
      <w:r>
        <w:rPr>
          <w:spacing w:val="-67"/>
        </w:rPr>
        <w:t> </w:t>
      </w:r>
      <w:r>
        <w:rPr>
          <w:spacing w:val="-67"/>
        </w:rPr>
      </w:r>
      <w:r>
        <w:rPr/>
        <w:t>的约定维护债券持有人的利益。</w:t>
      </w:r>
    </w:p>
    <w:p>
      <w:pPr>
        <w:pStyle w:val="BodyText"/>
        <w:spacing w:line="451" w:lineRule="auto" w:before="65"/>
        <w:ind w:right="0" w:firstLine="360"/>
        <w:jc w:val="left"/>
      </w:pPr>
      <w:r>
        <w:rPr>
          <w:rFonts w:ascii="Times New Roman" w:hAnsi="Times New Roman" w:cs="Times New Roman" w:eastAsia="Times New Roman" w:hint="default"/>
        </w:rPr>
        <w:t>4</w:t>
      </w:r>
      <w:r>
        <w:rPr/>
        <w:t>、严格信息披露发行人将遵循真实、准确、完整的信息披露原则，按《受托管理协议》及中国证监会的有关规定进行 </w:t>
      </w:r>
      <w:r>
        <w:rPr>
          <w:spacing w:val="-4"/>
        </w:rPr>
        <w:t>重大事项信息披露，使公司偿债能力、募集资金使用等情况受到债券持有人、债券受托管理人和股东的监督，防范偿债风险。</w:t>
      </w:r>
    </w:p>
    <w:p>
      <w:pPr>
        <w:pStyle w:val="BodyText"/>
        <w:spacing w:line="451" w:lineRule="auto" w:before="74"/>
        <w:ind w:right="1124" w:firstLine="360"/>
        <w:jc w:val="left"/>
      </w:pPr>
      <w:r>
        <w:rPr>
          <w:rFonts w:ascii="Times New Roman" w:hAnsi="Times New Roman" w:cs="Times New Roman" w:eastAsia="Times New Roman" w:hint="default"/>
        </w:rPr>
        <w:t>5</w:t>
      </w:r>
      <w:r>
        <w:rPr/>
        <w:t>、发行人承诺经公司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日第三届董事会第二十二次会议和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2015</w:t>
      </w:r>
      <w:r>
        <w:rPr/>
        <w:t>年第二次临时股东大会审议通 过，发行人承诺在预计不能按期偿付债券本息或者到期未能按期偿付债券本息时，发行人将至少采取如下措施：</w:t>
      </w:r>
    </w:p>
    <w:p>
      <w:pPr>
        <w:pStyle w:val="BodyText"/>
        <w:spacing w:line="240" w:lineRule="auto" w:before="74"/>
        <w:ind w:left="513" w:right="1133"/>
        <w:jc w:val="left"/>
      </w:pPr>
      <w:r>
        <w:rPr/>
        <w:t>（</w:t>
      </w:r>
      <w:r>
        <w:rPr>
          <w:rFonts w:ascii="Times New Roman" w:hAnsi="Times New Roman" w:cs="Times New Roman" w:eastAsia="Times New Roman" w:hint="default"/>
        </w:rPr>
        <w:t>1</w:t>
      </w:r>
      <w:r>
        <w:rPr/>
        <w:t>）不向股东分配利润；</w:t>
      </w:r>
    </w:p>
    <w:p>
      <w:pPr>
        <w:spacing w:line="240" w:lineRule="auto" w:before="10"/>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2</w:t>
      </w:r>
      <w:r>
        <w:rPr/>
        <w:t>）暂缓重大对外投资、收购兼并等资本性支出项目的实施；</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3</w:t>
      </w:r>
      <w:r>
        <w:rPr/>
        <w:t>）调减或停发董事和高级管理人员的工资和奖金；</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3" w:right="1133"/>
        <w:jc w:val="left"/>
      </w:pPr>
      <w:r>
        <w:rPr/>
        <w:t>（</w:t>
      </w:r>
      <w:r>
        <w:rPr>
          <w:rFonts w:ascii="Times New Roman" w:hAnsi="Times New Roman" w:cs="Times New Roman" w:eastAsia="Times New Roman" w:hint="default"/>
        </w:rPr>
        <w:t>4</w:t>
      </w:r>
      <w:r>
        <w:rPr/>
        <w:t>）主要责任人不得调离。</w:t>
      </w: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r>
        <w:rPr/>
        <w:t>六、报告期内债券持有人会议的召开情况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1133"/>
        <w:jc w:val="left"/>
      </w:pPr>
      <w:r>
        <w:rPr/>
        <w:t>报告期内，未召开债券持有人会议。</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33"/>
        <w:jc w:val="left"/>
        <w:rPr>
          <w:b w:val="0"/>
          <w:bCs w:val="0"/>
        </w:rPr>
      </w:pPr>
      <w:r>
        <w:rPr/>
        <w:t>七、报告期内债券受托管理人履行职责的情况</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129" w:firstLine="360"/>
        <w:jc w:val="left"/>
      </w:pPr>
      <w:r>
        <w:rPr>
          <w:spacing w:val="-2"/>
        </w:rPr>
        <w:t>公司债券存续期内，债券受托管理人依据《公司债券受托管理人执业行为准则》行使受托管理人职责，包括监督公司债</w:t>
      </w:r>
      <w:r>
        <w:rPr/>
        <w:t> 券募集资金使用情况、持续关注发行人资信状况以及债券增信机构的资信状况等。</w:t>
      </w:r>
    </w:p>
    <w:p>
      <w:pPr>
        <w:pStyle w:val="BodyText"/>
        <w:spacing w:line="451" w:lineRule="auto" w:before="54"/>
        <w:ind w:right="1124" w:firstLine="360"/>
        <w:jc w:val="left"/>
      </w:pPr>
      <w:r>
        <w:rPr/>
        <w:t>债券受托管理人中信建投证券股份有限公司于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日披露了《公司</w:t>
      </w:r>
      <w:r>
        <w:rPr>
          <w:rFonts w:ascii="Times New Roman" w:hAnsi="Times New Roman" w:cs="Times New Roman" w:eastAsia="Times New Roman" w:hint="default"/>
        </w:rPr>
        <w:t>2018</w:t>
      </w:r>
      <w:r>
        <w:rPr/>
        <w:t>年度债券受托管理事务报告》，并刊登 于巨潮资讯网（</w:t>
      </w:r>
      <w:hyperlink r:id="rId13">
        <w:r>
          <w:rPr>
            <w:rFonts w:ascii="Times New Roman" w:hAnsi="Times New Roman" w:cs="Times New Roman" w:eastAsia="Times New Roman" w:hint="default"/>
          </w:rPr>
          <w:t>www.cninfo.com.cn</w:t>
        </w:r>
      </w:hyperlink>
      <w:r>
        <w:rPr/>
        <w:t>），请各位投资者关注。</w:t>
      </w:r>
    </w:p>
    <w:p>
      <w:pPr>
        <w:spacing w:line="240" w:lineRule="auto" w:before="9"/>
        <w:rPr>
          <w:rFonts w:ascii="宋体" w:hAnsi="宋体" w:cs="宋体" w:eastAsia="宋体" w:hint="default"/>
          <w:sz w:val="16"/>
          <w:szCs w:val="16"/>
        </w:rPr>
      </w:pPr>
    </w:p>
    <w:p>
      <w:pPr>
        <w:pStyle w:val="Heading2"/>
        <w:spacing w:line="240" w:lineRule="auto"/>
        <w:ind w:right="1133"/>
        <w:jc w:val="left"/>
        <w:rPr>
          <w:b w:val="0"/>
          <w:bCs w:val="0"/>
        </w:rPr>
      </w:pP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566.24%</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463.04%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上述会计数据和财务指标同比变动超过</w:t>
      </w:r>
      <w:r>
        <w:rPr>
          <w:spacing w:val="-44"/>
        </w:rPr>
        <w:t> </w:t>
      </w:r>
      <w:r>
        <w:rPr>
          <w:rFonts w:ascii="Times New Roman" w:hAnsi="Times New Roman" w:cs="Times New Roman" w:eastAsia="Times New Roman" w:hint="default"/>
        </w:rPr>
        <w:t>30%</w:t>
      </w:r>
      <w:r>
        <w:rPr/>
        <w:t>的主要原因</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1439" w:firstLine="360"/>
        <w:jc w:val="left"/>
      </w:pPr>
      <w:r>
        <w:rPr>
          <w:rFonts w:ascii="Times New Roman" w:hAnsi="Times New Roman" w:cs="Times New Roman" w:eastAsia="Times New Roman" w:hint="default"/>
        </w:rPr>
        <w:t>2019</w:t>
      </w:r>
      <w:r>
        <w:rPr/>
        <w:t>年公司息税折旧摊销前利润同比回升</w:t>
      </w:r>
      <w:r>
        <w:rPr>
          <w:rFonts w:ascii="Times New Roman" w:hAnsi="Times New Roman" w:cs="Times New Roman" w:eastAsia="Times New Roman" w:hint="default"/>
        </w:rPr>
        <w:t>566.24%</w:t>
      </w:r>
      <w:r>
        <w:rPr/>
        <w:t>、利息保障倍数回升</w:t>
      </w:r>
      <w:r>
        <w:rPr>
          <w:rFonts w:ascii="Times New Roman" w:hAnsi="Times New Roman" w:cs="Times New Roman" w:eastAsia="Times New Roman" w:hint="default"/>
        </w:rPr>
        <w:t>139.08%</w:t>
      </w:r>
      <w:r>
        <w:rPr/>
        <w:t>、现金利息保障倍数上升</w:t>
      </w:r>
      <w:r>
        <w:rPr>
          <w:rFonts w:ascii="Times New Roman" w:hAnsi="Times New Roman" w:cs="Times New Roman" w:eastAsia="Times New Roman" w:hint="default"/>
        </w:rPr>
        <w:t>148.31%</w:t>
      </w:r>
      <w:r>
        <w:rPr/>
        <w:t>、 </w:t>
      </w:r>
      <w:r>
        <w:rPr>
          <w:rFonts w:ascii="Times New Roman" w:hAnsi="Times New Roman" w:cs="Times New Roman" w:eastAsia="Times New Roman" w:hint="default"/>
        </w:rPr>
        <w:t>EBITDA</w:t>
      </w:r>
      <w:r>
        <w:rPr/>
        <w:t>利息保障倍数回升</w:t>
      </w:r>
      <w:r>
        <w:rPr>
          <w:rFonts w:ascii="Times New Roman" w:hAnsi="Times New Roman" w:cs="Times New Roman" w:eastAsia="Times New Roman" w:hint="default"/>
        </w:rPr>
        <w:t>463.04%</w:t>
      </w:r>
      <w:r>
        <w:rPr/>
        <w:t>，主要原因系公司</w:t>
      </w:r>
      <w:r>
        <w:rPr>
          <w:rFonts w:ascii="Times New Roman" w:hAnsi="Times New Roman" w:cs="Times New Roman" w:eastAsia="Times New Roman" w:hint="default"/>
        </w:rPr>
        <w:t>2019</w:t>
      </w:r>
      <w:r>
        <w:rPr/>
        <w:t>年度扭亏为盈，利润总额提升所致。</w:t>
      </w:r>
    </w:p>
    <w:p>
      <w:pPr>
        <w:spacing w:line="240" w:lineRule="auto" w:before="9"/>
        <w:rPr>
          <w:rFonts w:ascii="宋体" w:hAnsi="宋体" w:cs="宋体" w:eastAsia="宋体" w:hint="default"/>
          <w:sz w:val="16"/>
          <w:szCs w:val="16"/>
        </w:rPr>
      </w:pPr>
    </w:p>
    <w:p>
      <w:pPr>
        <w:pStyle w:val="Heading2"/>
        <w:spacing w:line="240" w:lineRule="auto"/>
        <w:ind w:right="1133"/>
        <w:jc w:val="left"/>
        <w:rPr>
          <w:b w:val="0"/>
          <w:bCs w:val="0"/>
        </w:rPr>
      </w:pPr>
      <w:r>
        <w:rPr/>
        <w:t>九、报告期内对其他债券和债务融资工具的付息兑付情况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十、报告期内获得的银行授信情况、使用情况以及偿还银行贷款的情况</w:t>
      </w:r>
      <w:r>
        <w:rPr>
          <w:b w:val="0"/>
          <w:bCs w:val="0"/>
        </w:rPr>
      </w:r>
    </w:p>
    <w:p>
      <w:pPr>
        <w:spacing w:line="240" w:lineRule="auto" w:before="7"/>
        <w:rPr>
          <w:rFonts w:ascii="宋体" w:hAnsi="宋体" w:cs="宋体" w:eastAsia="宋体" w:hint="default"/>
          <w:b/>
          <w:bCs/>
          <w:sz w:val="32"/>
          <w:szCs w:val="32"/>
        </w:rPr>
      </w:pPr>
    </w:p>
    <w:p>
      <w:pPr>
        <w:pStyle w:val="BodyText"/>
        <w:spacing w:line="458" w:lineRule="auto"/>
        <w:ind w:right="1128" w:firstLine="360"/>
        <w:jc w:val="both"/>
      </w:pPr>
      <w:r>
        <w:rPr>
          <w:spacing w:val="-2"/>
        </w:rPr>
        <w:t>公司资信状况良好，与华兴银行、招商银行和建设银行等多家银行均建立了长期稳定的信贷业务关系，具有较强的间接</w:t>
      </w:r>
      <w:r>
        <w:rPr/>
        <w:t> </w:t>
      </w:r>
      <w:r>
        <w:rPr>
          <w:spacing w:val="-2"/>
        </w:rPr>
        <w:t>融资能力。截至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日，发行人获得主要贷款银行的授信额度为</w:t>
      </w:r>
      <w:r>
        <w:rPr>
          <w:rFonts w:ascii="Times New Roman" w:hAnsi="Times New Roman" w:cs="Times New Roman" w:eastAsia="Times New Roman" w:hint="default"/>
          <w:spacing w:val="-2"/>
        </w:rPr>
        <w:t>330,100.00</w:t>
      </w:r>
      <w:r>
        <w:rPr>
          <w:spacing w:val="-2"/>
        </w:rPr>
        <w:t>万元，新增银行借款</w:t>
      </w:r>
      <w:r>
        <w:rPr>
          <w:rFonts w:ascii="Times New Roman" w:hAnsi="Times New Roman" w:cs="Times New Roman" w:eastAsia="Times New Roman" w:hint="default"/>
          <w:spacing w:val="-2"/>
        </w:rPr>
        <w:t>265,509.44</w:t>
      </w:r>
      <w:r>
        <w:rPr>
          <w:spacing w:val="-2"/>
        </w:rPr>
        <w:t>万元，偿</w:t>
      </w:r>
      <w:r>
        <w:rPr>
          <w:spacing w:val="-40"/>
        </w:rPr>
        <w:t> </w:t>
      </w:r>
      <w:r>
        <w:rPr>
          <w:spacing w:val="-40"/>
        </w:rPr>
      </w:r>
      <w:r>
        <w:rPr/>
        <w:t>还银行借款</w:t>
      </w:r>
      <w:r>
        <w:rPr>
          <w:rFonts w:ascii="Times New Roman" w:hAnsi="Times New Roman" w:cs="Times New Roman" w:eastAsia="Times New Roman" w:hint="default"/>
        </w:rPr>
        <w:t>195,758.72</w:t>
      </w:r>
      <w:r>
        <w:rPr/>
        <w:t>万元；累计新增银行借款</w:t>
      </w:r>
      <w:r>
        <w:rPr>
          <w:rFonts w:ascii="Times New Roman" w:hAnsi="Times New Roman" w:cs="Times New Roman" w:eastAsia="Times New Roman" w:hint="default"/>
        </w:rPr>
        <w:t>69,750.71</w:t>
      </w:r>
      <w:r>
        <w:rPr/>
        <w:t>万元，超过上年末净资产的</w:t>
      </w:r>
      <w:r>
        <w:rPr>
          <w:rFonts w:ascii="Times New Roman" w:hAnsi="Times New Roman" w:cs="Times New Roman" w:eastAsia="Times New Roman" w:hint="default"/>
        </w:rPr>
        <w:t>20%</w:t>
      </w:r>
      <w:r>
        <w:rPr/>
        <w:t>。公司遵守银行结算纪律，按时归 还银行贷款本息。公司近三年的贷款偿还率和利息偿付率均为</w:t>
      </w:r>
      <w:r>
        <w:rPr>
          <w:rFonts w:ascii="Times New Roman" w:hAnsi="Times New Roman" w:cs="Times New Roman" w:eastAsia="Times New Roman" w:hint="default"/>
        </w:rPr>
        <w:t>100%</w:t>
      </w:r>
      <w:r>
        <w:rPr/>
        <w:t>，不存在逾期而未偿还的债务。</w:t>
      </w:r>
    </w:p>
    <w:p>
      <w:pPr>
        <w:spacing w:line="240" w:lineRule="auto" w:before="3"/>
        <w:rPr>
          <w:rFonts w:ascii="宋体" w:hAnsi="宋体" w:cs="宋体" w:eastAsia="宋体" w:hint="default"/>
          <w:sz w:val="16"/>
          <w:szCs w:val="16"/>
        </w:rPr>
      </w:pPr>
    </w:p>
    <w:p>
      <w:pPr>
        <w:pStyle w:val="Heading2"/>
        <w:spacing w:line="240" w:lineRule="auto"/>
        <w:ind w:right="1133"/>
        <w:jc w:val="left"/>
        <w:rPr>
          <w:b w:val="0"/>
          <w:bCs w:val="0"/>
        </w:rPr>
      </w:pPr>
      <w:r>
        <w:rPr/>
        <w:t>十一、报告期内执行公司债券募集说明书相关约定或承诺的情况</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1133"/>
        <w:jc w:val="left"/>
      </w:pPr>
      <w:r>
        <w:rPr/>
        <w:t>公司承诺在预计不能按期偿付债券本息或者到期未能按期偿付债券本息时，将至少采取如下措施：</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rFonts w:ascii="Times New Roman" w:hAnsi="Times New Roman" w:cs="Times New Roman" w:eastAsia="Times New Roman" w:hint="default"/>
        </w:rPr>
        <w:t>1</w:t>
      </w:r>
      <w:r>
        <w:rPr/>
        <w:t>、不向股东分配利润；</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rFonts w:ascii="Times New Roman" w:hAnsi="Times New Roman" w:cs="Times New Roman" w:eastAsia="Times New Roman" w:hint="default"/>
        </w:rPr>
        <w:t>2</w:t>
      </w:r>
      <w:r>
        <w:rPr/>
        <w:t>、暂缓重大对外投资、收购兼并等资本性支出项目的实施；</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rFonts w:ascii="Times New Roman" w:hAnsi="Times New Roman" w:cs="Times New Roman" w:eastAsia="Times New Roman" w:hint="default"/>
        </w:rPr>
        <w:t>3</w:t>
      </w:r>
      <w:r>
        <w:rPr/>
        <w:t>、调减或停发董事和高级管理人员的工资和奖金；</w:t>
      </w:r>
    </w:p>
    <w:p>
      <w:pPr>
        <w:spacing w:line="240" w:lineRule="auto" w:before="9"/>
        <w:rPr>
          <w:rFonts w:ascii="宋体" w:hAnsi="宋体" w:cs="宋体" w:eastAsia="宋体" w:hint="default"/>
          <w:sz w:val="16"/>
          <w:szCs w:val="16"/>
        </w:rPr>
      </w:pPr>
    </w:p>
    <w:p>
      <w:pPr>
        <w:pStyle w:val="BodyText"/>
        <w:spacing w:line="451" w:lineRule="auto"/>
        <w:ind w:left="513" w:right="8053"/>
        <w:jc w:val="left"/>
      </w:pPr>
      <w:r>
        <w:rPr>
          <w:rFonts w:ascii="Times New Roman" w:hAnsi="Times New Roman" w:cs="Times New Roman" w:eastAsia="Times New Roman" w:hint="default"/>
        </w:rPr>
        <w:t>4</w:t>
      </w:r>
      <w:r>
        <w:rPr/>
        <w:t>、主要责任人不得调离。 报告期内公司履行相关承诺。</w:t>
      </w:r>
    </w:p>
    <w:p>
      <w:pPr>
        <w:spacing w:line="240" w:lineRule="auto" w:before="1"/>
        <w:rPr>
          <w:rFonts w:ascii="宋体" w:hAnsi="宋体" w:cs="宋体" w:eastAsia="宋体" w:hint="default"/>
          <w:sz w:val="19"/>
          <w:szCs w:val="19"/>
        </w:rPr>
      </w:pPr>
    </w:p>
    <w:p>
      <w:pPr>
        <w:pStyle w:val="Heading2"/>
        <w:spacing w:line="240" w:lineRule="auto"/>
        <w:ind w:right="1133"/>
        <w:jc w:val="left"/>
        <w:rPr>
          <w:b w:val="0"/>
          <w:bCs w:val="0"/>
        </w:rPr>
      </w:pPr>
      <w:r>
        <w:rPr/>
        <w:t>十二、报告期内发生的重大事项</w:t>
      </w:r>
      <w:r>
        <w:rPr>
          <w:b w:val="0"/>
          <w:bCs w:val="0"/>
        </w:rPr>
      </w:r>
    </w:p>
    <w:p>
      <w:pPr>
        <w:spacing w:line="240" w:lineRule="auto" w:before="7"/>
        <w:rPr>
          <w:rFonts w:ascii="宋体" w:hAnsi="宋体" w:cs="宋体" w:eastAsia="宋体" w:hint="default"/>
          <w:b/>
          <w:bCs/>
          <w:sz w:val="32"/>
          <w:szCs w:val="32"/>
        </w:rPr>
      </w:pPr>
    </w:p>
    <w:p>
      <w:pPr>
        <w:pStyle w:val="BodyText"/>
        <w:spacing w:line="456" w:lineRule="auto"/>
        <w:ind w:right="1129" w:firstLine="36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日披露《</w:t>
      </w:r>
      <w:r>
        <w:rPr>
          <w:rFonts w:ascii="Times New Roman" w:hAnsi="Times New Roman" w:cs="Times New Roman" w:eastAsia="Times New Roman" w:hint="default"/>
        </w:rPr>
        <w:t>2018</w:t>
      </w:r>
      <w:r>
        <w:rPr>
          <w:rFonts w:ascii="Times New Roman" w:hAnsi="Times New Roman" w:cs="Times New Roman" w:eastAsia="Times New Roman" w:hint="default"/>
          <w:spacing w:val="39"/>
        </w:rPr>
        <w:t> </w:t>
      </w:r>
      <w:r>
        <w:rPr/>
        <w:t>年年度报告》，公司</w:t>
      </w:r>
      <w:r>
        <w:rPr>
          <w:rFonts w:ascii="Times New Roman" w:hAnsi="Times New Roman" w:cs="Times New Roman" w:eastAsia="Times New Roman" w:hint="default"/>
        </w:rPr>
        <w:t>2018</w:t>
      </w:r>
      <w:r>
        <w:rPr/>
        <w:t>年度归属于母公司所有者的净利润为负值，根据《深圳 </w:t>
      </w:r>
      <w:r>
        <w:rPr>
          <w:spacing w:val="-2"/>
        </w:rPr>
        <w:t>证券交易所公司债券上市规则》、《深圳证券交易所债券市场投资者适当性管理办法》等相关规定及要求，深圳证券交易所</w:t>
      </w:r>
      <w:r>
        <w:rPr>
          <w:spacing w:val="-65"/>
        </w:rPr>
        <w:t> </w:t>
      </w:r>
      <w:r>
        <w:rPr>
          <w:spacing w:val="-65"/>
        </w:rPr>
      </w:r>
      <w:r>
        <w:rPr/>
        <w:t>对公司债券</w:t>
      </w:r>
      <w:r>
        <w:rPr>
          <w:rFonts w:ascii="Times New Roman" w:hAnsi="Times New Roman" w:cs="Times New Roman" w:eastAsia="Times New Roman" w:hint="default"/>
        </w:rPr>
        <w:t>“15 </w:t>
      </w:r>
      <w:r>
        <w:rPr/>
        <w:t>证通 </w:t>
      </w:r>
      <w:r>
        <w:rPr>
          <w:rFonts w:ascii="Times New Roman" w:hAnsi="Times New Roman" w:cs="Times New Roman" w:eastAsia="Times New Roman" w:hint="default"/>
        </w:rPr>
        <w:t>01”</w:t>
      </w:r>
      <w:r>
        <w:rPr/>
        <w:t>和 </w:t>
      </w:r>
      <w:r>
        <w:rPr>
          <w:rFonts w:ascii="Times New Roman" w:hAnsi="Times New Roman" w:cs="Times New Roman" w:eastAsia="Times New Roman" w:hint="default"/>
        </w:rPr>
        <w:t>“15 </w:t>
      </w:r>
      <w:r>
        <w:rPr/>
        <w:t>证通</w:t>
      </w:r>
      <w:r>
        <w:rPr>
          <w:spacing w:val="-16"/>
        </w:rPr>
        <w:t> </w:t>
      </w:r>
      <w:r>
        <w:rPr>
          <w:rFonts w:ascii="Times New Roman" w:hAnsi="Times New Roman" w:cs="Times New Roman" w:eastAsia="Times New Roman" w:hint="default"/>
        </w:rPr>
        <w:t>02”</w:t>
      </w:r>
      <w:r>
        <w:rPr/>
        <w:t>实施投资者适当性管理，由原</w:t>
      </w:r>
      <w:r>
        <w:rPr>
          <w:rFonts w:ascii="Times New Roman" w:hAnsi="Times New Roman" w:cs="Times New Roman" w:eastAsia="Times New Roman" w:hint="default"/>
        </w:rPr>
        <w:t>“</w:t>
      </w:r>
      <w:r>
        <w:rPr/>
        <w:t>仅限合格投资者参与交易</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仅限合格机构投 资者参与交易</w:t>
      </w:r>
      <w:r>
        <w:rPr>
          <w:rFonts w:ascii="Times New Roman" w:hAnsi="Times New Roman" w:cs="Times New Roman" w:eastAsia="Times New Roman" w:hint="default"/>
        </w:rPr>
        <w:t>”</w:t>
      </w:r>
      <w:r>
        <w:rPr/>
        <w:t>，原持有本次债券的个人投资者可以选择持有到期或卖出本次债券。合格机构投资者资质条件应符合《管理 </w:t>
      </w:r>
      <w:r>
        <w:rPr>
          <w:spacing w:val="-2"/>
        </w:rPr>
        <w:t>办法》相关规定。具体内容详见披露于巨潮资讯网（</w:t>
      </w:r>
      <w:hyperlink r:id="rId13">
        <w:r>
          <w:rPr>
            <w:rFonts w:ascii="Times New Roman" w:hAnsi="Times New Roman" w:cs="Times New Roman" w:eastAsia="Times New Roman" w:hint="default"/>
            <w:spacing w:val="-2"/>
          </w:rPr>
          <w:t>www.cninfo.com.cn</w:t>
        </w:r>
      </w:hyperlink>
      <w:r>
        <w:rPr>
          <w:spacing w:val="-2"/>
        </w:rPr>
        <w:t>）上《公司关于</w:t>
      </w:r>
      <w:r>
        <w:rPr>
          <w:rFonts w:ascii="Times New Roman" w:hAnsi="Times New Roman" w:cs="Times New Roman" w:eastAsia="Times New Roman" w:hint="default"/>
          <w:spacing w:val="-2"/>
        </w:rPr>
        <w:t>“15</w:t>
      </w:r>
      <w:r>
        <w:rPr>
          <w:spacing w:val="-2"/>
        </w:rPr>
        <w:t>证通</w:t>
      </w:r>
      <w:r>
        <w:rPr>
          <w:rFonts w:ascii="Times New Roman" w:hAnsi="Times New Roman" w:cs="Times New Roman" w:eastAsia="Times New Roman" w:hint="default"/>
          <w:spacing w:val="-2"/>
        </w:rPr>
        <w:t>01”</w:t>
      </w:r>
      <w:r>
        <w:rPr>
          <w:spacing w:val="-2"/>
        </w:rPr>
        <w:t>和</w:t>
      </w:r>
      <w:r>
        <w:rPr>
          <w:rFonts w:ascii="Times New Roman" w:hAnsi="Times New Roman" w:cs="Times New Roman" w:eastAsia="Times New Roman" w:hint="default"/>
          <w:spacing w:val="-2"/>
        </w:rPr>
        <w:t>“15</w:t>
      </w:r>
      <w:r>
        <w:rPr>
          <w:spacing w:val="-2"/>
        </w:rPr>
        <w:t>证通</w:t>
      </w:r>
      <w:r>
        <w:rPr>
          <w:rFonts w:ascii="Times New Roman" w:hAnsi="Times New Roman" w:cs="Times New Roman" w:eastAsia="Times New Roman" w:hint="default"/>
          <w:spacing w:val="-2"/>
        </w:rPr>
        <w:t>02”</w:t>
      </w:r>
      <w:r>
        <w:rPr>
          <w:spacing w:val="-2"/>
        </w:rPr>
        <w:t>公司债券停</w:t>
      </w:r>
      <w:r>
        <w:rPr>
          <w:spacing w:val="-30"/>
        </w:rPr>
        <w:t> </w:t>
      </w:r>
      <w:r>
        <w:rPr>
          <w:spacing w:val="-30"/>
        </w:rPr>
      </w:r>
      <w:r>
        <w:rPr/>
        <w:t>牌暨实施投资者适当性管理安排的公告》（公告编号：</w:t>
      </w:r>
      <w:r>
        <w:rPr>
          <w:rFonts w:ascii="Times New Roman" w:hAnsi="Times New Roman" w:cs="Times New Roman" w:eastAsia="Times New Roman" w:hint="default"/>
        </w:rPr>
        <w:t>2019-053</w:t>
      </w:r>
      <w:r>
        <w:rPr/>
        <w:t>）。</w:t>
      </w:r>
    </w:p>
    <w:p>
      <w:pPr>
        <w:pStyle w:val="BodyText"/>
        <w:spacing w:line="240" w:lineRule="auto" w:before="40"/>
        <w:ind w:left="513" w:right="1133"/>
        <w:jc w:val="left"/>
      </w:pPr>
      <w:r>
        <w:rPr>
          <w:rFonts w:ascii="Times New Roman" w:hAnsi="Times New Roman" w:cs="Times New Roman" w:eastAsia="Times New Roman" w:hint="default"/>
        </w:rPr>
        <w:t>2</w:t>
      </w:r>
      <w:r>
        <w:rPr/>
        <w:t>、报告期内，公司债券信用评级未发生变化；</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rFonts w:ascii="Times New Roman" w:hAnsi="Times New Roman" w:cs="Times New Roman" w:eastAsia="Times New Roman" w:hint="default"/>
        </w:rPr>
        <w:t>3</w:t>
      </w:r>
      <w:r>
        <w:rPr/>
        <w:t>、报告期末公司受限的资产金额为</w:t>
      </w:r>
      <w:r>
        <w:rPr>
          <w:rFonts w:ascii="Times New Roman" w:hAnsi="Times New Roman" w:cs="Times New Roman" w:eastAsia="Times New Roman" w:hint="default"/>
        </w:rPr>
        <w:t>8.30</w:t>
      </w:r>
      <w:r>
        <w:rPr/>
        <w:t>亿元，详细内容见</w:t>
      </w:r>
      <w:r>
        <w:rPr>
          <w:rFonts w:ascii="Times New Roman" w:hAnsi="Times New Roman" w:cs="Times New Roman" w:eastAsia="Times New Roman" w:hint="default"/>
        </w:rPr>
        <w:t>“</w:t>
      </w:r>
      <w:r>
        <w:rPr/>
        <w:t>第四节、四、</w:t>
      </w:r>
      <w:r>
        <w:rPr>
          <w:rFonts w:ascii="Times New Roman" w:hAnsi="Times New Roman" w:cs="Times New Roman" w:eastAsia="Times New Roman" w:hint="default"/>
        </w:rPr>
        <w:t>3</w:t>
      </w:r>
      <w:r>
        <w:rPr/>
        <w:t>、截止报告期末的资产权利受限情况</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rFonts w:ascii="Times New Roman" w:hAnsi="Times New Roman" w:cs="Times New Roman" w:eastAsia="Times New Roman" w:hint="default"/>
        </w:rPr>
        <w:t>4</w:t>
      </w:r>
      <w:r>
        <w:rPr/>
        <w:t>、公司未发生未能清偿到期债务的违约情况；</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5</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日，公司累计新增借款约为</w:t>
      </w:r>
      <w:r>
        <w:rPr>
          <w:rFonts w:ascii="Times New Roman" w:hAnsi="Times New Roman" w:cs="Times New Roman" w:eastAsia="Times New Roman" w:hint="default"/>
        </w:rPr>
        <w:t>84,408.94</w:t>
      </w:r>
      <w:r>
        <w:rPr/>
        <w:t>万元，占</w:t>
      </w:r>
      <w:r>
        <w:rPr>
          <w:rFonts w:ascii="Times New Roman" w:hAnsi="Times New Roman" w:cs="Times New Roman" w:eastAsia="Times New Roman" w:hint="default"/>
        </w:rPr>
        <w:t>2018</w:t>
      </w:r>
      <w:r>
        <w:rPr/>
        <w:t>年经审计净资产的</w:t>
      </w:r>
      <w:r>
        <w:rPr>
          <w:rFonts w:ascii="Times New Roman" w:hAnsi="Times New Roman" w:cs="Times New Roman" w:eastAsia="Times New Roman" w:hint="default"/>
        </w:rPr>
        <w:t>34.94%</w:t>
      </w:r>
      <w:r>
        <w:rPr/>
        <w:t>，其中银行借款增加</w:t>
      </w:r>
    </w:p>
    <w:p>
      <w:pPr>
        <w:spacing w:line="240" w:lineRule="auto" w:before="9"/>
        <w:rPr>
          <w:rFonts w:ascii="宋体" w:hAnsi="宋体" w:cs="宋体" w:eastAsia="宋体" w:hint="default"/>
          <w:sz w:val="16"/>
          <w:szCs w:val="16"/>
        </w:rPr>
      </w:pPr>
    </w:p>
    <w:p>
      <w:pPr>
        <w:pStyle w:val="BodyText"/>
        <w:spacing w:line="240" w:lineRule="auto"/>
        <w:ind w:right="1133"/>
        <w:jc w:val="left"/>
      </w:pPr>
      <w:r>
        <w:rPr>
          <w:rFonts w:ascii="Times New Roman" w:hAnsi="Times New Roman" w:cs="Times New Roman" w:eastAsia="Times New Roman" w:hint="default"/>
        </w:rPr>
        <w:t>69,750.71</w:t>
      </w:r>
      <w:r>
        <w:rPr/>
        <w:t>万元，委托贷款及其他借款增加</w:t>
      </w:r>
      <w:r>
        <w:rPr>
          <w:rFonts w:ascii="Times New Roman" w:hAnsi="Times New Roman" w:cs="Times New Roman" w:eastAsia="Times New Roman" w:hint="default"/>
        </w:rPr>
        <w:t>20,000.00</w:t>
      </w:r>
      <w:r>
        <w:rPr/>
        <w:t>万元，应付债券及融资租赁借款减少</w:t>
      </w:r>
      <w:r>
        <w:rPr>
          <w:rFonts w:ascii="Times New Roman" w:hAnsi="Times New Roman" w:cs="Times New Roman" w:eastAsia="Times New Roman" w:hint="default"/>
        </w:rPr>
        <w:t>5,341.77</w:t>
      </w:r>
      <w:r>
        <w:rPr/>
        <w:t>万元。</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rFonts w:ascii="Times New Roman" w:hAnsi="Times New Roman" w:cs="Times New Roman" w:eastAsia="Times New Roman" w:hint="default"/>
        </w:rPr>
        <w:t>6</w:t>
      </w:r>
      <w:r>
        <w:rPr/>
        <w:t>、报告期内，公司计提资产减值准备和信用减值准备</w:t>
      </w:r>
      <w:r>
        <w:rPr>
          <w:rFonts w:ascii="Times New Roman" w:hAnsi="Times New Roman" w:cs="Times New Roman" w:eastAsia="Times New Roman" w:hint="default"/>
        </w:rPr>
        <w:t>113,953,153.19</w:t>
      </w:r>
      <w:r>
        <w:rPr/>
        <w:t>元。</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rFonts w:ascii="Times New Roman" w:hAnsi="Times New Roman" w:cs="Times New Roman" w:eastAsia="Times New Roman" w:hint="default"/>
        </w:rPr>
        <w:t>7</w:t>
      </w:r>
      <w:r>
        <w:rPr/>
        <w:t>、公司涉及重大诉讼、仲裁事项或受到重大行政处罚情况的详细内容见</w:t>
      </w:r>
      <w:r>
        <w:rPr>
          <w:rFonts w:ascii="Times New Roman" w:hAnsi="Times New Roman" w:cs="Times New Roman" w:eastAsia="Times New Roman" w:hint="default"/>
        </w:rPr>
        <w:t>“</w:t>
      </w:r>
      <w:r>
        <w:rPr/>
        <w:t>第五节、十二、重大诉讼、仲裁事项</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6"/>
          <w:szCs w:val="16"/>
        </w:rPr>
      </w:pPr>
    </w:p>
    <w:p>
      <w:pPr>
        <w:pStyle w:val="BodyText"/>
        <w:spacing w:line="240" w:lineRule="auto"/>
        <w:ind w:left="513" w:right="1133"/>
        <w:jc w:val="left"/>
      </w:pPr>
      <w:r>
        <w:rPr>
          <w:rFonts w:ascii="Times New Roman" w:hAnsi="Times New Roman" w:cs="Times New Roman" w:eastAsia="Times New Roman" w:hint="default"/>
        </w:rPr>
        <w:t>8</w:t>
      </w:r>
      <w:r>
        <w:rPr/>
        <w:t>、报告期内公司股份回购事项详细内容见</w:t>
      </w:r>
      <w:r>
        <w:rPr>
          <w:rFonts w:ascii="Times New Roman" w:hAnsi="Times New Roman" w:cs="Times New Roman" w:eastAsia="Times New Roman" w:hint="default"/>
        </w:rPr>
        <w:t>“</w:t>
      </w:r>
      <w:r>
        <w:rPr/>
        <w:t>第六节、一、</w:t>
      </w:r>
      <w:r>
        <w:rPr>
          <w:rFonts w:ascii="Times New Roman" w:hAnsi="Times New Roman" w:cs="Times New Roman" w:eastAsia="Times New Roman" w:hint="default"/>
        </w:rPr>
        <w:t>1</w:t>
      </w:r>
      <w:r>
        <w:rPr/>
        <w:t>、股份变动情况</w:t>
      </w:r>
      <w:r>
        <w:rPr>
          <w:rFonts w:ascii="Times New Roman" w:hAnsi="Times New Roman" w:cs="Times New Roman" w:eastAsia="Times New Roman" w:hint="default"/>
        </w:rPr>
        <w:t>”</w:t>
      </w:r>
      <w:r>
        <w:rPr/>
        <w:t>。</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十三、公司债券是否存在保证人</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公司债券的保证人是否为法人或其他组织</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3"/>
        <w:ind w:right="1122"/>
        <w:jc w:val="left"/>
      </w:pPr>
      <w:r>
        <w:rPr/>
        <w:t>是否在每个会计年度结束之日起</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spacing w:val="-3"/>
        </w:rPr>
        <w:t>个月内单独披露保证人报告期财务报表，包括资产负债表、利润表、现金流量表、所有者</w:t>
      </w:r>
      <w:r>
        <w:rPr>
          <w:spacing w:val="-88"/>
        </w:rPr>
        <w:t> </w:t>
      </w:r>
      <w:r>
        <w:rPr>
          <w:spacing w:val="-88"/>
        </w:rPr>
      </w:r>
      <w:r>
        <w:rPr/>
        <w:t>权益（股东权益）变动表和财务报表附注</w:t>
      </w:r>
    </w:p>
    <w:p>
      <w:pPr>
        <w:pStyle w:val="BodyText"/>
        <w:spacing w:line="240" w:lineRule="auto" w:before="7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1" w:id="12"/>
      <w:bookmarkEnd w:id="1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李志光、陈丽敏</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BodyText"/>
        <w:spacing w:line="316" w:lineRule="auto"/>
        <w:ind w:left="513" w:right="-20" w:hanging="361"/>
        <w:jc w:val="left"/>
      </w:pPr>
      <w:r>
        <w:rPr/>
        <w:t>深圳市证通电子股份有限公司全体股东： 一、审计意见</w:t>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393" w:space="887"/>
            <w:col w:w="6650"/>
          </w:cols>
        </w:sectPr>
      </w:pPr>
    </w:p>
    <w:p>
      <w:pPr>
        <w:pStyle w:val="BodyText"/>
        <w:spacing w:line="300" w:lineRule="auto" w:before="19"/>
        <w:ind w:right="1034" w:firstLine="360"/>
        <w:jc w:val="left"/>
      </w:pPr>
      <w:r>
        <w:rPr/>
        <w:t>我们审计了深圳市证通电子股份有限公司</w:t>
      </w:r>
      <w:r>
        <w:rPr>
          <w:rFonts w:ascii="Times New Roman" w:hAnsi="Times New Roman" w:cs="Times New Roman" w:eastAsia="Times New Roman" w:hint="default"/>
        </w:rPr>
        <w:t>(</w:t>
      </w:r>
      <w:r>
        <w:rPr/>
        <w:t>以下简称证通电子公司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 负债表，</w:t>
      </w:r>
      <w:r>
        <w:rPr>
          <w:rFonts w:ascii="Times New Roman" w:hAnsi="Times New Roman" w:cs="Times New Roman" w:eastAsia="Times New Roman" w:hint="default"/>
        </w:rPr>
        <w:t>2019</w:t>
      </w:r>
      <w:r>
        <w:rPr/>
        <w:t>年度的合并及母公司利润表、合并及母公司现金流量表、合并及母公司所有者权益变动表以及财务报表附注。</w:t>
      </w:r>
    </w:p>
    <w:p>
      <w:pPr>
        <w:pStyle w:val="BodyText"/>
        <w:spacing w:line="300" w:lineRule="auto" w:before="13"/>
        <w:ind w:right="0" w:firstLine="360"/>
        <w:jc w:val="left"/>
      </w:pPr>
      <w:r>
        <w:rPr>
          <w:spacing w:val="-2"/>
        </w:rPr>
        <w:t>我们认为，后附的财务报表在所有重大方面按照企业会计准则的规定编制，公允反映了证通电子公司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9" w:lineRule="auto" w:before="13"/>
        <w:ind w:left="513" w:right="1133"/>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129"/>
        <w:jc w:val="left"/>
      </w:pPr>
      <w:r>
        <w:rPr>
          <w:spacing w:val="-2"/>
        </w:rPr>
        <w:t>阐述了我们在这些准则下的责任。按照中国注册会计师职业道德守则，我们独立于证通电子公司，并履行了职业道德方面的</w:t>
      </w:r>
      <w:r>
        <w:rPr>
          <w:spacing w:val="-63"/>
        </w:rPr>
        <w:t> </w:t>
      </w:r>
      <w:r>
        <w:rPr>
          <w:spacing w:val="-63"/>
        </w:rPr>
      </w:r>
      <w:r>
        <w:rPr/>
        <w:t>其他责任。我们相信，我们获取的审计证据是充分、适当的，为发表审计意见提供了基础。</w:t>
      </w:r>
    </w:p>
    <w:p>
      <w:pPr>
        <w:pStyle w:val="BodyText"/>
        <w:spacing w:line="316" w:lineRule="auto" w:before="19"/>
        <w:ind w:left="513" w:right="1129"/>
        <w:jc w:val="left"/>
      </w:pPr>
      <w:r>
        <w:rPr/>
        <w:t>三、关键审计事项 </w:t>
      </w:r>
      <w:r>
        <w:rPr>
          <w:spacing w:val="-2"/>
        </w:rPr>
        <w:t>关键审计事项是根据我们的职业判断，认为对本期财务报表审计最为重要的事项。这些事项的应对以对财务报表整体进</w:t>
      </w:r>
    </w:p>
    <w:p>
      <w:pPr>
        <w:pStyle w:val="BodyText"/>
        <w:spacing w:line="240" w:lineRule="auto" w:before="19"/>
        <w:ind w:right="1133"/>
        <w:jc w:val="left"/>
      </w:pPr>
      <w:r>
        <w:rPr/>
        <w:t>行审计并形成审计意见为背景，我们不对这些事项单独发表意见。</w:t>
      </w:r>
    </w:p>
    <w:p>
      <w:pPr>
        <w:pStyle w:val="BodyText"/>
        <w:spacing w:line="240" w:lineRule="auto" w:before="76"/>
        <w:ind w:left="513" w:right="1133"/>
        <w:jc w:val="left"/>
      </w:pPr>
      <w:r>
        <w:rPr/>
        <w:t>（一）收入确认</w:t>
      </w:r>
    </w:p>
    <w:p>
      <w:pPr>
        <w:pStyle w:val="BodyText"/>
        <w:spacing w:line="300" w:lineRule="auto" w:before="76"/>
        <w:ind w:left="513" w:right="1119"/>
        <w:jc w:val="left"/>
      </w:pPr>
      <w:r>
        <w:rPr>
          <w:rFonts w:ascii="Times New Roman" w:hAnsi="Times New Roman" w:cs="Times New Roman" w:eastAsia="Times New Roman" w:hint="default"/>
        </w:rPr>
        <w:t>1</w:t>
      </w:r>
      <w:r>
        <w:rPr/>
        <w:t>、事项描述 </w:t>
      </w:r>
      <w:r>
        <w:rPr>
          <w:spacing w:val="-1"/>
        </w:rPr>
        <w:t>参见财务报表附注三</w:t>
      </w:r>
      <w:r>
        <w:rPr>
          <w:rFonts w:ascii="Times New Roman" w:hAnsi="Times New Roman" w:cs="Times New Roman" w:eastAsia="Times New Roman" w:hint="default"/>
          <w:spacing w:val="-1"/>
        </w:rPr>
        <w:t>(</w:t>
      </w:r>
      <w:r>
        <w:rPr>
          <w:spacing w:val="-1"/>
        </w:rPr>
        <w:t>二十五</w:t>
      </w:r>
      <w:r>
        <w:rPr>
          <w:rFonts w:ascii="Times New Roman" w:hAnsi="Times New Roman" w:cs="Times New Roman" w:eastAsia="Times New Roman" w:hint="default"/>
          <w:spacing w:val="-1"/>
        </w:rPr>
        <w:t>)</w:t>
      </w:r>
      <w:r>
        <w:rPr>
          <w:spacing w:val="-1"/>
        </w:rPr>
        <w:t>、五</w:t>
      </w:r>
      <w:r>
        <w:rPr>
          <w:rFonts w:ascii="Times New Roman" w:hAnsi="Times New Roman" w:cs="Times New Roman" w:eastAsia="Times New Roman" w:hint="default"/>
          <w:spacing w:val="-1"/>
        </w:rPr>
        <w:t>(</w:t>
      </w:r>
      <w:r>
        <w:rPr>
          <w:spacing w:val="-1"/>
        </w:rPr>
        <w:t>四十一</w:t>
      </w:r>
      <w:r>
        <w:rPr>
          <w:rFonts w:ascii="Times New Roman" w:hAnsi="Times New Roman" w:cs="Times New Roman" w:eastAsia="Times New Roman" w:hint="default"/>
          <w:spacing w:val="-1"/>
        </w:rPr>
        <w:t>)</w:t>
      </w:r>
      <w:r>
        <w:rPr>
          <w:spacing w:val="-1"/>
        </w:rPr>
        <w:t>及十三。</w:t>
      </w:r>
      <w:r>
        <w:rPr>
          <w:rFonts w:ascii="Times New Roman" w:hAnsi="Times New Roman" w:cs="Times New Roman" w:eastAsia="Times New Roman" w:hint="default"/>
          <w:spacing w:val="-1"/>
        </w:rPr>
        <w:t>2019</w:t>
      </w:r>
      <w:r>
        <w:rPr>
          <w:spacing w:val="-1"/>
        </w:rPr>
        <w:t>年度证通电子公司实现营业收入</w:t>
      </w:r>
      <w:r>
        <w:rPr>
          <w:rFonts w:ascii="Times New Roman" w:hAnsi="Times New Roman" w:cs="Times New Roman" w:eastAsia="Times New Roman" w:hint="default"/>
          <w:spacing w:val="-1"/>
        </w:rPr>
        <w:t>133,961.39</w:t>
      </w:r>
      <w:r>
        <w:rPr>
          <w:spacing w:val="-1"/>
        </w:rPr>
        <w:t>万元，与</w:t>
      </w:r>
      <w:r>
        <w:rPr>
          <w:rFonts w:ascii="Times New Roman" w:hAnsi="Times New Roman" w:cs="Times New Roman" w:eastAsia="Times New Roman" w:hint="default"/>
          <w:spacing w:val="-1"/>
        </w:rPr>
        <w:t>2018</w:t>
      </w:r>
      <w:r>
        <w:rPr>
          <w:spacing w:val="-1"/>
        </w:rPr>
        <w:t>年度基</w:t>
      </w:r>
    </w:p>
    <w:p>
      <w:pPr>
        <w:pStyle w:val="BodyText"/>
        <w:spacing w:line="316" w:lineRule="auto" w:before="13"/>
        <w:ind w:right="1129"/>
        <w:jc w:val="left"/>
      </w:pPr>
      <w:r>
        <w:rPr>
          <w:spacing w:val="-2"/>
        </w:rPr>
        <w:t>本持平。营业收入为证通电子公司合并利润表的重要组成项目，且营业收入的真实性及完整性存在潜在错报风险，为此我们</w:t>
      </w:r>
      <w:r>
        <w:rPr>
          <w:spacing w:val="-63"/>
        </w:rPr>
        <w:t> </w:t>
      </w:r>
      <w:r>
        <w:rPr>
          <w:spacing w:val="-63"/>
        </w:rPr>
      </w:r>
      <w:r>
        <w:rPr/>
        <w:t>将营业收入确定为关键审计事项。</w:t>
      </w:r>
    </w:p>
    <w:p>
      <w:pPr>
        <w:pStyle w:val="BodyText"/>
        <w:spacing w:line="300" w:lineRule="auto" w:before="19"/>
        <w:ind w:left="513" w:right="7873"/>
        <w:jc w:val="left"/>
      </w:pPr>
      <w:r>
        <w:rPr>
          <w:rFonts w:ascii="Times New Roman" w:hAnsi="Times New Roman" w:cs="Times New Roman" w:eastAsia="Times New Roman" w:hint="default"/>
        </w:rPr>
        <w:t>2</w:t>
      </w:r>
      <w:r>
        <w:rPr/>
        <w:t>、审计应对 我们执行的主要审计程序如下：</w:t>
      </w:r>
    </w:p>
    <w:p>
      <w:pPr>
        <w:pStyle w:val="BodyText"/>
        <w:spacing w:line="300" w:lineRule="auto" w:before="31"/>
        <w:ind w:right="1124" w:firstLine="360"/>
        <w:jc w:val="left"/>
      </w:pPr>
      <w:r>
        <w:rPr/>
        <w:t>（</w:t>
      </w:r>
      <w:r>
        <w:rPr>
          <w:rFonts w:ascii="Times New Roman" w:hAnsi="Times New Roman" w:cs="Times New Roman" w:eastAsia="Times New Roman" w:hint="default"/>
        </w:rPr>
        <w:t>1</w:t>
      </w:r>
      <w:r>
        <w:rPr/>
        <w:t>）我们通过与管理层访谈和检查销售合同等相关程序文件，了解、评估并测试了与收入确认相关的内部控制设计和 运行的有效性；</w:t>
      </w:r>
    </w:p>
    <w:p>
      <w:pPr>
        <w:pStyle w:val="BodyText"/>
        <w:spacing w:line="240" w:lineRule="auto" w:before="31"/>
        <w:ind w:left="513" w:right="1133"/>
        <w:jc w:val="left"/>
      </w:pPr>
      <w:r>
        <w:rPr/>
        <w:t>（</w:t>
      </w:r>
      <w:r>
        <w:rPr>
          <w:rFonts w:ascii="Times New Roman" w:hAnsi="Times New Roman" w:cs="Times New Roman" w:eastAsia="Times New Roman" w:hint="default"/>
        </w:rPr>
        <w:t>2</w:t>
      </w:r>
      <w:r>
        <w:rPr/>
        <w:t>）结合业务类型我们对收入执行了分析性复核程序，以判断营业收入、毛利及毛利率变动的合理性；</w:t>
      </w:r>
    </w:p>
    <w:p>
      <w:pPr>
        <w:pStyle w:val="BodyText"/>
        <w:spacing w:line="300" w:lineRule="auto" w:before="63"/>
        <w:ind w:right="0" w:firstLine="360"/>
        <w:jc w:val="left"/>
      </w:pPr>
      <w:r>
        <w:rPr/>
        <w:t>（</w:t>
      </w:r>
      <w:r>
        <w:rPr>
          <w:rFonts w:ascii="Times New Roman" w:hAnsi="Times New Roman" w:cs="Times New Roman" w:eastAsia="Times New Roman" w:hint="default"/>
        </w:rPr>
        <w:t>3</w:t>
      </w:r>
      <w:r>
        <w:rPr/>
        <w:t>）我们对重要客户执行了交易测试，境内销售检查了销售订单或合同、出库记录、发运单、签收记录及银行收款记 </w:t>
      </w:r>
      <w:r>
        <w:rPr>
          <w:spacing w:val="-4"/>
        </w:rPr>
        <w:t>录等；境外销售检查了销售订单或合同、出库记录、报关单、提单和回款记录等，且与海关统计查询数据证明书进行了核对；</w:t>
      </w:r>
    </w:p>
    <w:p>
      <w:pPr>
        <w:pStyle w:val="BodyText"/>
        <w:spacing w:line="300" w:lineRule="auto" w:before="31"/>
        <w:ind w:right="1124" w:firstLine="360"/>
        <w:jc w:val="left"/>
      </w:pPr>
      <w:r>
        <w:rPr/>
        <w:t>（</w:t>
      </w:r>
      <w:r>
        <w:rPr>
          <w:rFonts w:ascii="Times New Roman" w:hAnsi="Times New Roman" w:cs="Times New Roman" w:eastAsia="Times New Roman" w:hint="default"/>
        </w:rPr>
        <w:t>4</w:t>
      </w:r>
      <w:r>
        <w:rPr/>
        <w:t>）我们根据客户交易的特点和性质，对重要客户执行了函证程序以确认应收账款余额和销售收入金额；对重要项目 执行了实地走访程序；</w:t>
      </w:r>
    </w:p>
    <w:p>
      <w:pPr>
        <w:pStyle w:val="BodyText"/>
        <w:spacing w:line="240" w:lineRule="auto" w:before="31"/>
        <w:ind w:left="513" w:right="1133"/>
        <w:jc w:val="left"/>
      </w:pPr>
      <w:r>
        <w:rPr/>
        <w:t>（</w:t>
      </w:r>
      <w:r>
        <w:rPr>
          <w:rFonts w:ascii="Times New Roman" w:hAnsi="Times New Roman" w:cs="Times New Roman" w:eastAsia="Times New Roman" w:hint="default"/>
        </w:rPr>
        <w:t>5</w:t>
      </w:r>
      <w:r>
        <w:rPr/>
        <w:t>）结合业务类型我们对收入执行了截止测试程序。</w:t>
      </w:r>
    </w:p>
    <w:p>
      <w:pPr>
        <w:pStyle w:val="BodyText"/>
        <w:spacing w:line="300" w:lineRule="auto" w:before="63"/>
        <w:ind w:left="513" w:right="865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应收账款坏账准备</w:t>
      </w:r>
      <w:r>
        <w:rPr>
          <w:w w:val="99"/>
        </w:rPr>
        <w:t> </w:t>
      </w:r>
      <w:r>
        <w:rPr>
          <w:rFonts w:ascii="Times New Roman" w:hAnsi="Times New Roman" w:cs="Times New Roman" w:eastAsia="Times New Roman" w:hint="default"/>
        </w:rPr>
        <w:t>1</w:t>
      </w:r>
      <w:r>
        <w:rPr/>
        <w:t>、事项描述</w:t>
      </w:r>
    </w:p>
    <w:p>
      <w:pPr>
        <w:spacing w:after="0" w:line="30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8" w:firstLine="360"/>
        <w:jc w:val="both"/>
      </w:pPr>
      <w:r>
        <w:rPr/>
        <w:t>详见财务报表附注三</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及五</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日证通电子公司财务报表所示应收账款账面余额</w:t>
      </w:r>
      <w:r>
        <w:rPr>
          <w:rFonts w:ascii="Times New Roman" w:hAnsi="Times New Roman" w:cs="Times New Roman" w:eastAsia="Times New Roman" w:hint="default"/>
        </w:rPr>
        <w:t>196,233.72</w:t>
      </w:r>
      <w:r>
        <w:rPr/>
        <w:t>万 </w:t>
      </w:r>
      <w:r>
        <w:rPr>
          <w:spacing w:val="-1"/>
        </w:rPr>
        <w:t>元，占证通电子公司资产总额的</w:t>
      </w:r>
      <w:r>
        <w:rPr>
          <w:rFonts w:ascii="Times New Roman" w:hAnsi="Times New Roman" w:cs="Times New Roman" w:eastAsia="Times New Roman" w:hint="default"/>
          <w:spacing w:val="-1"/>
        </w:rPr>
        <w:t>32.76%</w:t>
      </w:r>
      <w:r>
        <w:rPr>
          <w:spacing w:val="-1"/>
        </w:rPr>
        <w:t>，对其计提坏账准备</w:t>
      </w:r>
      <w:r>
        <w:rPr>
          <w:rFonts w:ascii="Times New Roman" w:hAnsi="Times New Roman" w:cs="Times New Roman" w:eastAsia="Times New Roman" w:hint="default"/>
          <w:spacing w:val="-1"/>
        </w:rPr>
        <w:t>34,134.11</w:t>
      </w:r>
      <w:r>
        <w:rPr>
          <w:spacing w:val="-1"/>
        </w:rPr>
        <w:t>万元，账面价值为</w:t>
      </w:r>
      <w:r>
        <w:rPr>
          <w:rFonts w:ascii="Times New Roman" w:hAnsi="Times New Roman" w:cs="Times New Roman" w:eastAsia="Times New Roman" w:hint="default"/>
          <w:spacing w:val="-1"/>
        </w:rPr>
        <w:t>162,099.61</w:t>
      </w:r>
      <w:r>
        <w:rPr>
          <w:spacing w:val="-1"/>
        </w:rPr>
        <w:t>万元。由于应收账款金额</w:t>
      </w:r>
      <w:r>
        <w:rPr>
          <w:spacing w:val="-40"/>
        </w:rPr>
        <w:t> </w:t>
      </w:r>
      <w:r>
        <w:rPr>
          <w:spacing w:val="-40"/>
        </w:rPr>
      </w:r>
      <w:r>
        <w:rPr/>
        <w:t>重大，且应收账款减值测试涉及管理层重大判断，我们将应收账款减值确定为关键审计事项。</w:t>
      </w:r>
    </w:p>
    <w:p>
      <w:pPr>
        <w:pStyle w:val="BodyText"/>
        <w:spacing w:line="300" w:lineRule="auto" w:before="31"/>
        <w:ind w:left="513" w:right="7873"/>
        <w:jc w:val="left"/>
      </w:pPr>
      <w:r>
        <w:rPr>
          <w:rFonts w:ascii="Times New Roman" w:hAnsi="Times New Roman" w:cs="Times New Roman" w:eastAsia="Times New Roman" w:hint="default"/>
        </w:rPr>
        <w:t>2</w:t>
      </w:r>
      <w:r>
        <w:rPr/>
        <w:t>、审计应对 我们执行的主要审计程序如下：</w:t>
      </w:r>
    </w:p>
    <w:p>
      <w:pPr>
        <w:pStyle w:val="BodyText"/>
        <w:spacing w:line="300" w:lineRule="auto" w:before="31"/>
        <w:ind w:right="1139" w:firstLine="360"/>
        <w:jc w:val="both"/>
      </w:pPr>
      <w:r>
        <w:rPr>
          <w:rFonts w:ascii="Times New Roman" w:hAnsi="Times New Roman" w:cs="Times New Roman" w:eastAsia="Times New Roman" w:hint="default"/>
        </w:rPr>
        <w:t>(1)</w:t>
      </w:r>
      <w:r>
        <w:rPr/>
        <w:t>我们通过与管理层访谈和检查销售流程相关程序文件，了解、评估并测试了与应收账款相关的内部控制设计和运行</w:t>
      </w:r>
      <w:r>
        <w:rPr>
          <w:w w:val="99"/>
        </w:rPr>
        <w:t> </w:t>
      </w:r>
      <w:r>
        <w:rPr/>
        <w:t>的有效性；</w:t>
      </w:r>
    </w:p>
    <w:p>
      <w:pPr>
        <w:pStyle w:val="BodyText"/>
        <w:spacing w:line="300" w:lineRule="auto" w:before="31"/>
        <w:ind w:right="1136" w:firstLine="360"/>
        <w:jc w:val="both"/>
      </w:pPr>
      <w:r>
        <w:rPr>
          <w:rFonts w:ascii="Times New Roman" w:hAnsi="Times New Roman" w:cs="Times New Roman" w:eastAsia="Times New Roman" w:hint="default"/>
        </w:rPr>
        <w:t>(2)</w:t>
      </w:r>
      <w:r>
        <w:rPr/>
        <w:t>我们对以前年度已经计提坏账准备的应收账款的后续实际核销或转回情况进行了复核，评价了管理层过往计提坏账</w:t>
      </w:r>
      <w:r>
        <w:rPr>
          <w:w w:val="99"/>
        </w:rPr>
        <w:t> </w:t>
      </w:r>
      <w:r>
        <w:rPr/>
        <w:t>准备的准确性；</w:t>
      </w:r>
    </w:p>
    <w:p>
      <w:pPr>
        <w:pStyle w:val="BodyText"/>
        <w:spacing w:line="300" w:lineRule="auto" w:before="31"/>
        <w:ind w:left="513" w:right="1133"/>
        <w:jc w:val="left"/>
      </w:pPr>
      <w:r>
        <w:rPr>
          <w:rFonts w:ascii="Times New Roman" w:hAnsi="Times New Roman" w:cs="Times New Roman" w:eastAsia="Times New Roman" w:hint="default"/>
        </w:rPr>
        <w:t>(3)</w:t>
      </w:r>
      <w:r>
        <w:rPr/>
        <w:t>我们对管理层编制的应收账款账龄分析表进行了测试；</w:t>
      </w:r>
      <w:r>
        <w:rPr>
          <w:w w:val="99"/>
        </w:rPr>
        <w:t> </w:t>
      </w:r>
      <w:r>
        <w:rPr>
          <w:rFonts w:ascii="Times New Roman" w:hAnsi="Times New Roman" w:cs="Times New Roman" w:eastAsia="Times New Roman" w:hint="default"/>
        </w:rPr>
        <w:t>(4)</w:t>
      </w:r>
      <w:r>
        <w:rPr/>
        <w:t>我们对重要应收账款与管理层讨论了其可收回性，复核了管理层对应收账款进行减值测试的相关考虑和客观证据，</w:t>
      </w:r>
    </w:p>
    <w:p>
      <w:pPr>
        <w:pStyle w:val="BodyText"/>
        <w:spacing w:line="240" w:lineRule="auto" w:before="13"/>
        <w:ind w:right="1133"/>
        <w:jc w:val="left"/>
      </w:pPr>
      <w:r>
        <w:rPr/>
        <w:t>并测试了应收账款计提坏账准备所依据资料的相关性和可靠性；</w:t>
      </w:r>
    </w:p>
    <w:p>
      <w:pPr>
        <w:pStyle w:val="BodyText"/>
        <w:spacing w:line="300" w:lineRule="auto" w:before="76"/>
        <w:ind w:right="1139" w:firstLine="360"/>
        <w:jc w:val="both"/>
      </w:pPr>
      <w:r>
        <w:rPr>
          <w:rFonts w:ascii="Times New Roman" w:hAnsi="Times New Roman" w:cs="Times New Roman" w:eastAsia="Times New Roman" w:hint="default"/>
        </w:rPr>
        <w:t>(5)</w:t>
      </w:r>
      <w:r>
        <w:rPr/>
        <w:t>对于单独进行减值测试的应收账款，获取并检查了管理层计算可收回金额的依据，包括管理层结合市场环境、客户</w:t>
      </w:r>
      <w:r>
        <w:rPr>
          <w:w w:val="99"/>
        </w:rPr>
        <w:t> </w:t>
      </w:r>
      <w:r>
        <w:rPr/>
        <w:t>财务状况、客户经营情况、客户历史还款情况等对客户信用风险作出的评估；</w:t>
      </w:r>
    </w:p>
    <w:p>
      <w:pPr>
        <w:pStyle w:val="BodyText"/>
        <w:spacing w:line="300" w:lineRule="auto" w:before="31"/>
        <w:ind w:left="513" w:right="4423"/>
        <w:jc w:val="left"/>
      </w:pPr>
      <w:r>
        <w:rPr>
          <w:rFonts w:ascii="Times New Roman" w:hAnsi="Times New Roman" w:cs="Times New Roman" w:eastAsia="Times New Roman" w:hint="default"/>
        </w:rPr>
        <w:t>(6)</w:t>
      </w:r>
      <w:r>
        <w:rPr/>
        <w:t>检查应收账款的期后回款情况，评价了应收账款坏账准备计提的合理性。</w:t>
      </w:r>
      <w:r>
        <w:rPr>
          <w:w w:val="99"/>
        </w:rPr>
        <w:t> </w:t>
      </w:r>
      <w:r>
        <w:rPr/>
        <w:t>四、其他信息</w:t>
      </w:r>
    </w:p>
    <w:p>
      <w:pPr>
        <w:pStyle w:val="BodyText"/>
        <w:spacing w:line="300" w:lineRule="auto" w:before="31"/>
        <w:ind w:right="1134" w:firstLine="360"/>
        <w:jc w:val="both"/>
      </w:pPr>
      <w:r>
        <w:rPr>
          <w:spacing w:val="-1"/>
        </w:rPr>
        <w:t>证通电子公司管理层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对其他信息负责。其他信息包括年度报告中涵盖的信息，但不包括财务报表和我</w:t>
      </w:r>
      <w:r>
        <w:rPr/>
        <w:t> 们的审计报告。</w:t>
      </w:r>
    </w:p>
    <w:p>
      <w:pPr>
        <w:pStyle w:val="BodyText"/>
        <w:spacing w:line="316" w:lineRule="auto" w:before="31"/>
        <w:ind w:left="513" w:right="1129"/>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9" w:lineRule="auto" w:before="19"/>
        <w:ind w:left="513" w:right="1129"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7"/>
        <w:ind w:right="1133"/>
        <w:jc w:val="left"/>
      </w:pPr>
      <w:r>
        <w:rPr/>
        <w:t>报告。</w:t>
      </w:r>
    </w:p>
    <w:p>
      <w:pPr>
        <w:pStyle w:val="BodyText"/>
        <w:spacing w:line="316" w:lineRule="auto" w:before="76"/>
        <w:ind w:left="513" w:right="1129"/>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before="19"/>
        <w:ind w:left="513" w:right="1129" w:hanging="361"/>
        <w:jc w:val="left"/>
      </w:pPr>
      <w:r>
        <w:rPr/>
        <w:t>务报表不存在由于舞弊或错误导致的重大错报。 </w:t>
      </w:r>
      <w:r>
        <w:rPr>
          <w:spacing w:val="-1"/>
        </w:rPr>
        <w:t>在编制财务报表时，管理层负责评估证通电子公司的持续经营能力，披露与持续经营相关的事项</w:t>
      </w:r>
      <w:r>
        <w:rPr>
          <w:rFonts w:ascii="Times New Roman" w:hAnsi="Times New Roman" w:cs="Times New Roman" w:eastAsia="Times New Roman" w:hint="default"/>
          <w:spacing w:val="-1"/>
        </w:rPr>
        <w:t>(</w:t>
      </w:r>
      <w:r>
        <w:rPr>
          <w:spacing w:val="-1"/>
        </w:rPr>
        <w:t>如适用</w:t>
      </w:r>
      <w:r>
        <w:rPr>
          <w:rFonts w:ascii="Times New Roman" w:hAnsi="Times New Roman" w:cs="Times New Roman" w:eastAsia="Times New Roman" w:hint="default"/>
          <w:spacing w:val="-1"/>
        </w:rPr>
        <w:t>)</w:t>
      </w:r>
      <w:r>
        <w:rPr>
          <w:spacing w:val="-1"/>
        </w:rPr>
        <w:t>，并运用持续</w:t>
      </w:r>
    </w:p>
    <w:p>
      <w:pPr>
        <w:pStyle w:val="BodyText"/>
        <w:spacing w:line="312" w:lineRule="auto"/>
        <w:ind w:left="513" w:right="1132" w:hanging="361"/>
        <w:jc w:val="left"/>
      </w:pPr>
      <w:r>
        <w:rPr/>
        <w:t>经营假设，除非管理层计划清算、终止运营或别无其他现实的选择。 证通电子公司治理层</w:t>
      </w:r>
      <w:r>
        <w:rPr>
          <w:rFonts w:ascii="Times New Roman" w:hAnsi="Times New Roman" w:cs="Times New Roman" w:eastAsia="Times New Roman" w:hint="default"/>
        </w:rPr>
        <w:t>(</w:t>
      </w:r>
      <w:r>
        <w:rPr/>
        <w:t>以下简称治理层</w:t>
      </w:r>
      <w:r>
        <w:rPr>
          <w:rFonts w:ascii="Times New Roman" w:hAnsi="Times New Roman" w:cs="Times New Roman" w:eastAsia="Times New Roman" w:hint="default"/>
        </w:rPr>
        <w:t>)</w:t>
      </w:r>
      <w:r>
        <w:rPr/>
        <w:t>负责监督证通电子公司的财务报告过程。 六、注册会计师对财务报表审计的责任 </w:t>
      </w:r>
      <w:r>
        <w:rPr>
          <w:spacing w:val="-2"/>
        </w:rPr>
        <w:t>我们的目标是对财务报表整体是否不存在由于舞弊或错误导致的重大错报获取合理保证，并出具包含审计意见的审计报</w:t>
      </w:r>
    </w:p>
    <w:p>
      <w:pPr>
        <w:pStyle w:val="BodyText"/>
        <w:spacing w:line="319" w:lineRule="auto" w:before="22"/>
        <w:ind w:right="1130"/>
        <w:jc w:val="both"/>
      </w:pP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7"/>
        <w:ind w:left="513" w:right="1133"/>
        <w:jc w:val="left"/>
      </w:pPr>
      <w:r>
        <w:rPr/>
        <w:t>在按照审计准则执行审计工作的过程中，我们运用职业判断，并保持职业怀疑。同时，我们也执行以下工作：</w:t>
      </w:r>
    </w:p>
    <w:p>
      <w:pPr>
        <w:pStyle w:val="BodyText"/>
        <w:spacing w:line="309" w:lineRule="auto" w:before="76"/>
        <w:ind w:right="1132" w:firstLine="360"/>
        <w:jc w:val="both"/>
      </w:pP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w:t>
      </w:r>
      <w:r>
        <w:rPr>
          <w:spacing w:val="-1"/>
        </w:rPr>
        <w:t>识别和评估由于舞弊或错误导致的财务报表重大错报风险，设计和实施审计程序以应对这些风险，并获取充分、适</w:t>
      </w:r>
      <w:r>
        <w:rPr>
          <w:w w:val="99"/>
        </w:rPr>
        <w:t> </w:t>
      </w:r>
      <w:r>
        <w:rPr>
          <w:spacing w:val="-2"/>
        </w:rPr>
        <w:t>当的审计证据，作为发表审计意见的基础。由于舞弊可能涉及串通、伪造、故意遗漏、虚假陈述或凌驾于内部控制之上，未</w:t>
      </w:r>
      <w:r>
        <w:rPr>
          <w:spacing w:val="-71"/>
        </w:rPr>
        <w:t> </w:t>
      </w:r>
      <w:r>
        <w:rPr>
          <w:spacing w:val="-71"/>
        </w:rPr>
      </w:r>
      <w:r>
        <w:rPr/>
        <w:t>能发现由于舞弊导致的重大错报的风险高于未能发现由于错误导致的重大错报的风险。</w:t>
      </w:r>
    </w:p>
    <w:p>
      <w:pPr>
        <w:pStyle w:val="BodyText"/>
        <w:spacing w:line="300" w:lineRule="auto" w:before="24"/>
        <w:ind w:left="513" w:right="112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了解与审计相关的内部控制，以设计恰当的审计程序，但目的并非对内部控制的有效性发表意见。</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评价管理层选用会计政策的恰当性和作出会计估计及相关披露的合理性。</w:t>
      </w:r>
      <w:r>
        <w:rPr>
          <w:w w:val="99"/>
        </w:rPr>
        <w:t> </w:t>
      </w:r>
      <w:r>
        <w:rPr>
          <w:rFonts w:ascii="Times New Roman" w:hAnsi="Times New Roman" w:cs="Times New Roman" w:eastAsia="Times New Roman" w:hint="default"/>
          <w:spacing w:val="-1"/>
        </w:rPr>
        <w:t>(</w:t>
      </w:r>
      <w:r>
        <w:rPr>
          <w:spacing w:val="-1"/>
        </w:rPr>
        <w:t>四</w:t>
      </w:r>
      <w:r>
        <w:rPr>
          <w:rFonts w:ascii="Times New Roman" w:hAnsi="Times New Roman" w:cs="Times New Roman" w:eastAsia="Times New Roman" w:hint="default"/>
          <w:spacing w:val="-1"/>
        </w:rPr>
        <w:t>)</w:t>
      </w:r>
      <w:r>
        <w:rPr>
          <w:spacing w:val="-1"/>
        </w:rPr>
        <w:t>对管理层使用持续经营假设的恰当性得出结论。同时，根据获取的审计证据，就可能导致对证通电子公司持续经营</w:t>
      </w:r>
    </w:p>
    <w:p>
      <w:pPr>
        <w:pStyle w:val="BodyText"/>
        <w:spacing w:line="319" w:lineRule="auto" w:before="13"/>
        <w:ind w:right="1132"/>
        <w:jc w:val="both"/>
      </w:pPr>
      <w:r>
        <w:rPr>
          <w:spacing w:val="-2"/>
        </w:rPr>
        <w:t>能力产生重大疑虑的事项或情况是否存在重大不确定性得出结论。如果我们得出结论认为存在重大不确定性，审计准则要求</w:t>
      </w:r>
      <w:r>
        <w:rPr>
          <w:spacing w:val="-63"/>
        </w:rPr>
        <w:t> </w:t>
      </w:r>
      <w:r>
        <w:rPr>
          <w:spacing w:val="-63"/>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基于截至审计报告日可获得的信息。然而，未来的事项或情况可能导致证通电子公司不能持续经营。</w:t>
      </w:r>
    </w:p>
    <w:p>
      <w:pPr>
        <w:spacing w:after="0" w:line="31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513" w:right="112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r>
        <w:rPr>
          <w:w w:val="99"/>
        </w:rPr>
        <w:t> </w:t>
      </w:r>
      <w:r>
        <w:rPr>
          <w:rFonts w:ascii="Times New Roman" w:hAnsi="Times New Roman" w:cs="Times New Roman" w:eastAsia="Times New Roman" w:hint="default"/>
          <w:spacing w:val="-1"/>
        </w:rPr>
        <w:t>(</w:t>
      </w:r>
      <w:r>
        <w:rPr>
          <w:spacing w:val="-1"/>
        </w:rPr>
        <w:t>六</w:t>
      </w:r>
      <w:r>
        <w:rPr>
          <w:rFonts w:ascii="Times New Roman" w:hAnsi="Times New Roman" w:cs="Times New Roman" w:eastAsia="Times New Roman" w:hint="default"/>
          <w:spacing w:val="-1"/>
        </w:rPr>
        <w:t>)</w:t>
      </w:r>
      <w:r>
        <w:rPr>
          <w:spacing w:val="-1"/>
        </w:rPr>
        <w:t>就证通电子公司中实体或业务活动的财务信息获取充分、适当的审计证据，以对财务报表发表审计意见。我们负责</w:t>
      </w:r>
    </w:p>
    <w:p>
      <w:pPr>
        <w:pStyle w:val="BodyText"/>
        <w:spacing w:line="316" w:lineRule="auto" w:before="13"/>
        <w:ind w:left="513" w:right="1129" w:hanging="361"/>
        <w:jc w:val="left"/>
      </w:pPr>
      <w:r>
        <w:rPr/>
        <w:t>指导、监督和执行集团审计，并对审计意见承担全部责任。 </w:t>
      </w:r>
      <w:r>
        <w:rPr>
          <w:spacing w:val="-2"/>
        </w:rPr>
        <w:t>我们与治理层就计划的审计范围、时间安排和重大审计发现等事项进行沟通，包括沟通我们在审计中识别出的值得关注</w:t>
      </w:r>
    </w:p>
    <w:p>
      <w:pPr>
        <w:pStyle w:val="BodyText"/>
        <w:spacing w:line="316" w:lineRule="auto" w:before="19"/>
        <w:ind w:left="513" w:right="1129" w:hanging="361"/>
        <w:jc w:val="left"/>
      </w:pPr>
      <w:r>
        <w:rPr/>
        <w:t>的内部控制缺陷。 </w:t>
      </w:r>
      <w:r>
        <w:rPr>
          <w:spacing w:val="-2"/>
        </w:rPr>
        <w:t>我们还就已遵守与独立性相关的职业道德要求向治理层提供声明，并与治理层沟通可能被合理认为影响我们独立性的所</w:t>
      </w:r>
    </w:p>
    <w:p>
      <w:pPr>
        <w:pStyle w:val="BodyText"/>
        <w:spacing w:line="316" w:lineRule="auto" w:before="19"/>
        <w:ind w:left="513" w:right="1129" w:hanging="361"/>
        <w:jc w:val="left"/>
      </w:pPr>
      <w:r>
        <w:rPr/>
        <w:t>有关系和其他事项，以及相关的防范措施。 </w:t>
      </w:r>
      <w:r>
        <w:rPr>
          <w:spacing w:val="-2"/>
        </w:rPr>
        <w:t>从与治理层沟通过的事项中，我们确定哪些事项对本期财务报表审计最为重要，因而构成关键审计事项。我们在审计报</w:t>
      </w:r>
    </w:p>
    <w:p>
      <w:pPr>
        <w:pStyle w:val="BodyText"/>
        <w:spacing w:line="316" w:lineRule="auto" w:before="19"/>
        <w:ind w:right="1129"/>
        <w:jc w:val="left"/>
      </w:pP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12"/>
        <w:rPr>
          <w:rFonts w:ascii="宋体" w:hAnsi="宋体" w:cs="宋体" w:eastAsia="宋体" w:hint="default"/>
          <w:sz w:val="20"/>
          <w:szCs w:val="20"/>
        </w:rPr>
      </w:pPr>
    </w:p>
    <w:p>
      <w:pPr>
        <w:pStyle w:val="Heading2"/>
        <w:spacing w:line="240" w:lineRule="auto"/>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编制单位：深圳市证通电子股份有限公司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442,143,654.99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397,697,481.18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21,016,000.00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31,243,687.36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47,345,662.53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1,620,996,053.10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1,322,015,249.45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19,689,253.22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38,487,142.75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35,023,029.21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151,523,326.54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211,898,681.18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150,494,038.88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217,870,389.04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89,441,213.70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124,089,020.60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101,125,064.59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185,961,404.20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2,666,159,435.13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2,541,900,917.39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84,795,848.15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352,132,513.52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418,409,643.06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79,464,576.44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79,950,665.12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197,524,901.78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39,371,179.73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42,624,513.81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1,461,086,842.30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1,339,127,830.85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819,647,829.04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370,019,094.58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270,454,198.49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244,548,161.96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1,863,588.67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20,503,662.43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34,658,524.58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81,128,514.76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69,313,480.25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3,323,177,807.16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2,683,447,762.36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5,989,337,242.29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5,225,348,679.75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1,020,632,839.60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1,473,345,712.40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99,260,756.13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45,174,031.80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606,461,574.17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667,564,404.27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30,205,118.51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34,188,943.21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27,222,531.73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26,679,023.08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11,583,030.99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29,215,927.43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40,487,687.78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83,803,047.07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32,329,945.88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432,491,188.44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92,400,000.00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2,268,344,727.35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2,452,371,089.26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1,243,146,306.09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33,333,333.32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199,310,965.21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53,790,893.91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24,158,914.37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23,285,440.34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37,342,762.94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28,847,160.34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5,416,239.09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5,113,958.64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4,980,008.79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4,332,984.48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1,315,044,231.28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348,014,736.24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3,583,388,958.63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2,800,385,825.50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515,156,948.00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515,156,948.00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1,742,174,721.46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1,739,548,384.02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61,073,776.57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27,883,032.00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434,265.93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1,126,935.31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36,442,010.41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160,634,673.22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143,102,629.08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2,393,768,842.45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2,407,493,874.82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12,179,441.21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17,468,979.43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2,405,948,283.66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2,424,962,854.25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5,989,337,242.29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5,225,348,679.75</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566" w:val="left" w:leader="none"/>
        </w:tabs>
        <w:spacing w:line="240" w:lineRule="auto" w:before="44"/>
        <w:ind w:left="0" w:right="1224"/>
        <w:jc w:val="right"/>
      </w:pPr>
      <w:r>
        <w:rPr/>
        <w:t>法定代表人：曾胜强</w:t>
        <w:tab/>
      </w:r>
      <w:r>
        <w:rPr>
          <w:spacing w:val="-1"/>
        </w:rPr>
        <w:t>主管会计工作负责人：黄毅</w:t>
        <w:tab/>
      </w:r>
      <w:r>
        <w:rPr/>
        <w:t>会计机构负责人：谌光荣</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360,062,592.60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292,304,672.81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20,516,000.00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31,243,687.36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43,238,021.39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1,407,218,663.69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1,033,603,191.77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19,672,513.22</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38,381,378.05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18,876,197.84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762,401,030.37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1,447,922,622.10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92,061,438.47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127,339,480.87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66,459,903.71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65,523,778.55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80,013,607.98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2,798,065,410.72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3,108,821,573.31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80,505,848.15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263,481,505.56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315,483,965.15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1,010,006,496.62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710,492,585.30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122,234,901.78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39,371,179.73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42,624,513.81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488,727,545.23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490,955,187.71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315,863,470.69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55,355,569.52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182,215,245.81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147,420,902.20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65,496,453.31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56,894,720.27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2,487,396,798.73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1,899,733,292.11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5,285,462,209.45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5,008,554,865.42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586,197,735.97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482,260,756.13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592,611,481.80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516,407,210.87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460,280,461.64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20,561,993.46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33,046,757.60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15,769,784.61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16,820,107.67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2,064,042.27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15,099,773.96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818,198,770.22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389,171,309.37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288,691,957.52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2,730,152,251.05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2,489,429,892.04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238,102,125.00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199,310,965.21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13,047,119.70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11,955,520.00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33,911,500.06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25,161,833.38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827,037.62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285,887,782.38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236,428,318.59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3,016,040,033.43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2,725,858,210.63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515,156,948.00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515,156,948.00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1,792,765,616.67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1,792,139,279.23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61,073,776.57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27,883,032.00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36,442,010.41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-13,868,622.49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-33,158,550.85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2,269,422,176.02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2,282,696,654.79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5,285,462,209.45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5,008,554,865.42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1,339,613,939.45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1,332,398,508.95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1,339,613,939.45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1,332,398,508.95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1,275,670,058.73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1,425,422,242.15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925,868,784.38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1,032,499,092.44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10,001,319.12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7,352,325.01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104,794,265.79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121,694,738.75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85,044,305.13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99,208,677.11</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76,222,122.66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88,279,549.20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259.549988pt;width:158.9pt;height:20.65pt;mso-position-horizontal-relative:page;mso-position-vertical-relative:page;z-index:-1320784" coordorigin="4220,5191" coordsize="3178,413">
            <v:group style="position:absolute;left:4231;top:5202;width:2;height:392" coordorigin="4231,5202" coordsize="2,392">
              <v:shape style="position:absolute;left:4231;top:5202;width:2;height:392" coordorigin="4231,5202" coordsize="0,392" path="m4231,5202l4231,5593e" filled="false" stroked="true" strokeweight="1.08pt" strokecolor="#ffffff">
                <v:path arrowok="t"/>
              </v:shape>
            </v:group>
            <v:group style="position:absolute;left:4242;top:5202;width:3157;height:392" coordorigin="4242,5202" coordsize="3157,392">
              <v:shape style="position:absolute;left:4242;top:5202;width:3157;height:392" coordorigin="4242,5202" coordsize="3157,392" path="m4242,5593l7398,5593,7398,5202,4242,5202,4242,5593xe" filled="true" fillcolor="#ffffff" stroked="false">
                <v:path arrowok="t"/>
                <v:fill type="solid"/>
              </v:shape>
            </v:group>
            <w10:wrap type="none"/>
          </v:group>
        </w:pict>
      </w:r>
      <w:r>
        <w:rPr/>
        <w:pict>
          <v:group style="position:absolute;margin-left:211.009995pt;margin-top:518.409973pt;width:158.9pt;height:20.65pt;mso-position-horizontal-relative:page;mso-position-vertical-relative:page;z-index:-1320760" coordorigin="4220,10368" coordsize="3178,413">
            <v:group style="position:absolute;left:4231;top:10379;width:2;height:392" coordorigin="4231,10379" coordsize="2,392">
              <v:shape style="position:absolute;left:4231;top:10379;width:2;height:392" coordorigin="4231,10379" coordsize="0,392" path="m4231,10379l4231,10770e" filled="false" stroked="true" strokeweight="1.08pt" strokecolor="#ffffff">
                <v:path arrowok="t"/>
              </v:shape>
            </v:group>
            <v:group style="position:absolute;left:4242;top:10379;width:3157;height:392" coordorigin="4242,10379" coordsize="3157,392">
              <v:shape style="position:absolute;left:4242;top:10379;width:3157;height:392" coordorigin="4242,10379" coordsize="3157,392" path="m4242,10770l7398,10770,7398,10379,4242,10379,4242,1077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162"/>
        <w:gridCol w:w="2061"/>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73,739,261.65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76,387,859.64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89,841,362.42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98,099,766.49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24,905,174.09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42,859,102.36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32,419,655.10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20,737,843.96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-541,230.05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25,434,643.87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-1,112,426.12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36,673.06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2,826,527.12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-104,759,095.53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-9,194,057.66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-225,894,610.76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31,906,233.21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-281,465.09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16,601,912.91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-273,027,321.22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448,838.57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6,374,216.64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10,340,127.43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22,627,005.33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6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86" w:right="0"/>
              <w:jc w:val="left"/>
              <w:rPr>
                <w:rFonts w:ascii="Times New Roman" w:hAnsi="Times New Roman" w:cs="Times New Roman" w:eastAsia="Times New Roman" w:hint="default"/>
                <w:sz w:val="18"/>
                <w:szCs w:val="18"/>
              </w:rPr>
            </w:pPr>
            <w:r>
              <w:rPr>
                <w:rFonts w:ascii="Times New Roman"/>
                <w:sz w:val="18"/>
              </w:rPr>
              <w:t>6,710,624.05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-289,280,109.91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-8,440,801.72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-34,889,113.23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15,151,425.77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-254,390,996.68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15,151,425.77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-254,390,996.68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20,355,219.82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-241,200,992.13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-5,203,794.05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-13,190,004.55</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-692,669.38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1,437,219.99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-692,669.38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1,429,650.75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-692,669.38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1,429,650.75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-692,669.38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1,429,650.75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7,569.24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14,458,756.39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-252,953,776.69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19,662,550.44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-239,771,341.38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-5,203,794.05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-13,182,435.31</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-0.53</w:t>
            </w:r>
          </w:p>
        </w:tc>
      </w:tr>
    </w:tbl>
    <w:p>
      <w:pPr>
        <w:pStyle w:val="BodyText"/>
        <w:tabs>
          <w:tab w:pos="3667" w:val="left" w:leader="none"/>
          <w:tab w:pos="7718" w:val="left" w:leader="none"/>
        </w:tabs>
        <w:spacing w:line="621" w:lineRule="auto" w:before="49"/>
        <w:ind w:right="1224"/>
        <w:jc w:val="left"/>
      </w:pPr>
      <w:r>
        <w:rPr/>
        <w:t>本期发生同一控制下企业合并的，被合并方在合并前实现的净利润为：元，上期被合并方实现的净利润为：元。 法定代表人：曾胜强</w:t>
        <w:tab/>
      </w:r>
      <w:r>
        <w:rPr>
          <w:spacing w:val="-1"/>
        </w:rPr>
        <w:t>主管会计工作负责人：黄毅</w:t>
        <w:tab/>
      </w:r>
      <w:r>
        <w:rPr/>
        <w:t>会计机构负责人：谌光荣</w:t>
      </w:r>
    </w:p>
    <w:p>
      <w:pPr>
        <w:pStyle w:val="Heading3"/>
        <w:spacing w:line="240" w:lineRule="auto" w:before="69"/>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1,072,791,931.07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988,334,456.74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821,278,317.43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784,820,329.31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7,819,455.71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5,736,669.88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78,483,634.33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92,292,518.01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54,934,777.17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59,680,839.75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38,161,908.31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53,152,244.51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23,237,089.66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32,026,557.50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83,730,369.26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87,009,074.83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68,358,664.31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72,726,579.25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24,195,485.83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11,556,508.57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-541,230.05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24,036,673.07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-1,112,426.12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2,826,527.12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-79,657,599.69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-4,606,080.31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-194,885,252.28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30,350,852.91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-84,935.45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21,444,704.27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-198,751,708.31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276,817.89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2,988,665.93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2,995,545.55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749,986.61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18,725,976.61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-196,513,028.99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-2,533,175.99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-28,641,467.01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21,259,152.60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-167,871,561.98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21,259,152.60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-167,871,561.98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79"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21,259,152.60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-167,871,561.98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1,214,836,957.63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1,434,183,895.86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3,343,813.57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19,775,846.06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59,212,121.02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60,311,655.89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1,277,392,892.22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1,514,271,397.81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808,490,233.91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1,037,285,408.34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203,518,303.46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219,750,926.21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26,191,657.72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64,198,484.39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134,346,341.06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169,083,147.34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1,172,546,536.15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1,490,317,966.28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104,846,356.07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23,953,431.53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2,518,530.47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894,209.59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571,196.07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12,431,447.94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2,963,105.59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44,691,190.57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89,521,174.48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418,048,505.75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775,470,968.49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348,047,366.46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64,252,921.23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59,376,539.99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834,720,968.49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546,176,827.68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-745,199,794.01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-128,128,321.93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3,207,097,500.01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2,192,498,035.20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30,924,800.00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21,924,314.26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3,238,022,300.01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2,214,422,349.46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2,301,079,045.72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1,953,327,210.29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155,256,650.94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97,330,227.19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181,618,364.26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251,183,451.23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2,637,954,060.92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2,301,840,888.71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600,068,239.09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-87,418,539.25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-1,295,642.67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1,412,234.17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-41,580,841.52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-190,181,195.48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218,841,777.05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409,022,972.53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177,260,935.53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218,841,777.05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733,122,960.36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1,080,865,829.42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1,817,489.22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9,329,547.22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998,063,882.63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117,575,241.87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1,733,004,332.21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1,207,770,618.51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949,580,102.74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498,499,847.79</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131,319,969.63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167,809,942.82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25,466,446.42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49,251,233.11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95,085,640.10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261,153,650.26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1,201,452,158.89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976,714,673.98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531,552,173.32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231,055,944.53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2,518,530.47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21,644,209.59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571,196.07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11,509,486.86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1,058,408.28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375,490,000.00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88,599,213.40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422,192,617.87</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288,805,913.01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148,002,889.57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38,218,000.00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152,852,921.23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348,055,913.01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374,855,810.80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-259,456,699.61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47,336,807.07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1,545,055,320.00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9,471,850.26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1,545,055,320.00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1,649,471,850.26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1,740,344,700.00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116,481,874.41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113,795,931.85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99,655,923.92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198,058,736.13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1,834,537,798.33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2,052,199,367.98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-289,482,478.33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-402,727,517.72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17,909.08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2,682,434.67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-17,369,095.54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-121,652,331.45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124,448,968.68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246,101,300.13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107,079,873.14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124,448,968.68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2" w:hRule="exact"/>
        </w:trPr>
        <w:tc>
          <w:tcPr>
            <w:tcW w:w="1253"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53"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53"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49"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53"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53"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515,1</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8.00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1,739,</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548,38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27,883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21"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1,126,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935.31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36,442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72"/>
              <w:ind w:left="60" w:right="0"/>
              <w:jc w:val="left"/>
              <w:rPr>
                <w:rFonts w:ascii="Times New Roman" w:hAnsi="Times New Roman" w:cs="Times New Roman" w:eastAsia="Times New Roman" w:hint="default"/>
                <w:sz w:val="18"/>
                <w:szCs w:val="18"/>
              </w:rPr>
            </w:pPr>
            <w:r>
              <w:rPr>
                <w:rFonts w:ascii="Times New Roman"/>
                <w:sz w:val="18"/>
              </w:rPr>
              <w:t>143,10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2,629.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08</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2,407,</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493,87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4.82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vMerge w:val="restart"/>
            <w:tcBorders>
              <w:top w:val="single" w:sz="39" w:space="0" w:color="D2D2D2"/>
              <w:left w:val="single" w:sz="4" w:space="0" w:color="000000"/>
              <w:right w:val="single" w:sz="4" w:space="0" w:color="000000"/>
            </w:tcBorders>
          </w:tcPr>
          <w:p>
            <w:pPr>
              <w:pStyle w:val="TableParagraph"/>
              <w:spacing w:line="240" w:lineRule="auto" w:before="49"/>
              <w:ind w:left="75" w:right="0"/>
              <w:jc w:val="center"/>
              <w:rPr>
                <w:rFonts w:ascii="Times New Roman" w:hAnsi="Times New Roman" w:cs="Times New Roman" w:eastAsia="Times New Roman" w:hint="default"/>
                <w:sz w:val="18"/>
                <w:szCs w:val="18"/>
              </w:rPr>
            </w:pPr>
            <w:r>
              <w:rPr>
                <w:rFonts w:ascii="Times New Roman"/>
                <w:sz w:val="18"/>
              </w:rPr>
              <w:t>2,424,</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962,85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4.25</w:t>
            </w:r>
          </w:p>
        </w:tc>
      </w:tr>
      <w:tr>
        <w:trPr>
          <w:trHeight w:val="703"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-2,823,</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175.68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-2,823,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175.68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-85,74</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4.17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-2,908,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919.85</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515,1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1,739,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548,38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1,126,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935.31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140,27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9,453.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2,404,</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670,69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2,422,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053,93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4.40</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2,626,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337.44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33,190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,744.5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-692,6</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69.38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-10,90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1,856.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-5,203,</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794.05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-16,10</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5,650.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74</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-692,6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69.38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-5,203,</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794.05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2,626,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337.44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33,190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,744.5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-30,56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4,407.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-30,56</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4,407.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13</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2,626,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337.44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33,190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,744.5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-30,56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4,407.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-30,56</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4,407.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13</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515,1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1,742,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174,72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1.46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434,26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160,63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4,673.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2,393,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768,84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2.45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2,405,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948,28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3.66</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6"/>
        <w:gridCol w:w="569"/>
        <w:gridCol w:w="641"/>
        <w:gridCol w:w="653"/>
      </w:tblGrid>
      <w:tr>
        <w:trPr>
          <w:trHeight w:val="402"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1"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single" w:sz="4" w:space="0" w:color="FFFFFF"/>
              <w:right w:val="single" w:sz="4" w:space="0" w:color="000000"/>
            </w:tcBorders>
            <w:shd w:val="clear" w:color="auto" w:fill="D2D2D2"/>
          </w:tcPr>
          <w:p>
            <w:pPr/>
          </w:p>
        </w:tc>
        <w:tc>
          <w:tcPr>
            <w:tcW w:w="7065" w:type="dxa"/>
            <w:gridSpan w:val="13"/>
            <w:vMerge/>
            <w:tcBorders>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FFFFFF"/>
              <w:left w:val="single" w:sz="4" w:space="0" w:color="000000"/>
              <w:right w:val="single" w:sz="4" w:space="0" w:color="000000"/>
            </w:tcBorders>
            <w:shd w:val="clear" w:color="auto" w:fill="D2D2D2"/>
          </w:tcPr>
          <w:p>
            <w:pPr/>
          </w:p>
        </w:tc>
        <w:tc>
          <w:tcPr>
            <w:tcW w:w="139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515,1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8.00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1,805,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503,13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7.45</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-302,7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15.44</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9"/>
              <w:ind w:left="62" w:right="0"/>
              <w:jc w:val="left"/>
              <w:rPr>
                <w:rFonts w:ascii="Times New Roman" w:hAnsi="Times New Roman" w:cs="Times New Roman" w:eastAsia="Times New Roman" w:hint="default"/>
                <w:sz w:val="18"/>
                <w:szCs w:val="18"/>
              </w:rPr>
            </w:pPr>
            <w:r>
              <w:rPr>
                <w:rFonts w:ascii="Times New Roman"/>
                <w:sz w:val="18"/>
              </w:rPr>
              <w:t>410,06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61</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2,766,</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860,84</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9.03</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42,115,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850.76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76,699.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515,1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1,805,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503,13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7.45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-302,7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15.44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410,06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2,766,</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860,84</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9.03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42,115,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850.76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76,699.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-65,95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4,753.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27,883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650.75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-266,9</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58,839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-359,3</w:t>
            </w:r>
          </w:p>
          <w:p>
            <w:pPr>
              <w:pStyle w:val="TableParagraph"/>
              <w:spacing w:line="240" w:lineRule="auto" w:before="102"/>
              <w:ind w:left="41" w:right="0"/>
              <w:jc w:val="left"/>
              <w:rPr>
                <w:rFonts w:ascii="Times New Roman" w:hAnsi="Times New Roman" w:cs="Times New Roman" w:eastAsia="Times New Roman" w:hint="default"/>
                <w:sz w:val="18"/>
                <w:szCs w:val="18"/>
              </w:rPr>
            </w:pPr>
            <w:r>
              <w:rPr>
                <w:rFonts w:ascii="Times New Roman"/>
                <w:sz w:val="18"/>
              </w:rPr>
              <w:t>66,974</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.21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-24,646</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,871.33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3,845.5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650.75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-241,2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00,992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-239,7</w:t>
            </w:r>
          </w:p>
          <w:p>
            <w:pPr>
              <w:pStyle w:val="TableParagraph"/>
              <w:spacing w:line="240" w:lineRule="auto" w:before="105"/>
              <w:ind w:left="41" w:right="0"/>
              <w:jc w:val="left"/>
              <w:rPr>
                <w:rFonts w:ascii="Times New Roman" w:hAnsi="Times New Roman" w:cs="Times New Roman" w:eastAsia="Times New Roman" w:hint="default"/>
                <w:sz w:val="18"/>
                <w:szCs w:val="18"/>
              </w:rPr>
            </w:pPr>
            <w:r>
              <w:rPr>
                <w:rFonts w:ascii="Times New Roman"/>
                <w:sz w:val="18"/>
              </w:rPr>
              <w:t>71,341</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.38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-13,182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,435.31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3,776.6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left"/>
              <w:rPr>
                <w:rFonts w:ascii="Times New Roman" w:hAnsi="Times New Roman" w:cs="Times New Roman" w:eastAsia="Times New Roman" w:hint="default"/>
                <w:sz w:val="18"/>
                <w:szCs w:val="18"/>
              </w:rPr>
            </w:pPr>
            <w:r>
              <w:rPr>
                <w:rFonts w:ascii="Times New Roman"/>
                <w:sz w:val="18"/>
              </w:rPr>
              <w:t>-65,95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4,753.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27,883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 w:right="0"/>
              <w:jc w:val="left"/>
              <w:rPr>
                <w:rFonts w:ascii="Times New Roman" w:hAnsi="Times New Roman" w:cs="Times New Roman" w:eastAsia="Times New Roman" w:hint="default"/>
                <w:sz w:val="18"/>
                <w:szCs w:val="18"/>
              </w:rPr>
            </w:pPr>
            <w:r>
              <w:rPr>
                <w:rFonts w:ascii="Times New Roman"/>
                <w:sz w:val="18"/>
              </w:rPr>
              <w:t>-93,83</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7,785.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-11,464</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,436.02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2,221.4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-27,88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-77,419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,189.45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2,221.4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-65,95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4,753.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-65,95</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4,753.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65,954,</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753.43</w:t>
            </w: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-25,75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7,847.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-25,75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7,847.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,847.40</w:t>
            </w: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-25,75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7,847.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-25,75</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7,847.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,847.40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515,1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1,739,</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548,38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4.02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1,126,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935.31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143,10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2,629.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2,407,</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493,87</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4.82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17,468,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979.43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62,854.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7"/>
        <w:gridCol w:w="725"/>
        <w:gridCol w:w="727"/>
        <w:gridCol w:w="727"/>
        <w:gridCol w:w="615"/>
        <w:gridCol w:w="710"/>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515,15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6,948.0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1,792,13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9,279.23</w:t>
            </w: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27,883,0</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32.00</w:t>
            </w:r>
          </w:p>
        </w:tc>
        <w:tc>
          <w:tcPr>
            <w:tcW w:w="725"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36,442,0</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10.41</w:t>
            </w:r>
          </w:p>
        </w:tc>
        <w:tc>
          <w:tcPr>
            <w:tcW w:w="615"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-33,158</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,550.85</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2,282,696,</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654.79</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-1,969,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224.24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-1,969,224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3"/>
              <w:ind w:left="93" w:right="0"/>
              <w:jc w:val="left"/>
              <w:rPr>
                <w:rFonts w:ascii="Times New Roman" w:hAnsi="Times New Roman" w:cs="Times New Roman" w:eastAsia="Times New Roman" w:hint="default"/>
                <w:sz w:val="18"/>
                <w:szCs w:val="18"/>
              </w:rPr>
            </w:pPr>
            <w:r>
              <w:rPr>
                <w:rFonts w:ascii="Times New Roman"/>
                <w:sz w:val="18"/>
              </w:rPr>
              <w:t>515,15</w:t>
            </w:r>
          </w:p>
          <w:p>
            <w:pPr>
              <w:pStyle w:val="TableParagraph"/>
              <w:spacing w:line="240" w:lineRule="auto" w:before="102"/>
              <w:ind w:left="48" w:right="0"/>
              <w:jc w:val="left"/>
              <w:rPr>
                <w:rFonts w:ascii="Times New Roman" w:hAnsi="Times New Roman" w:cs="Times New Roman" w:eastAsia="Times New Roman" w:hint="default"/>
                <w:sz w:val="18"/>
                <w:szCs w:val="18"/>
              </w:rPr>
            </w:pPr>
            <w:r>
              <w:rPr>
                <w:rFonts w:ascii="Times New Roman"/>
                <w:sz w:val="18"/>
              </w:rPr>
              <w:t>6,948.0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1,792,13</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9,279.23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27,883,0</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32.00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36,442,0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10.41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-35,127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,775.09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2,280,727,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430.55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626,337.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33,190,7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44.57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21,259,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152.60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-11,305,25</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4.53</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21,259,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152.60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21,259,15</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2.60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626,337.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33,190,7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44.57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-32,564,40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7.13</w:t>
            </w: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626,337.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33,190,7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44.57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-32,564,40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7.13</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6,948.0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1,792,76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5,616.67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61,073,7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76.57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36,442,0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10.41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-13,868</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,622.49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2,269,422,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176.02</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402"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4"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3"/>
              <w:ind w:left="61" w:right="0"/>
              <w:jc w:val="left"/>
              <w:rPr>
                <w:rFonts w:ascii="Times New Roman" w:hAnsi="Times New Roman" w:cs="Times New Roman" w:eastAsia="Times New Roman" w:hint="default"/>
                <w:sz w:val="18"/>
                <w:szCs w:val="18"/>
              </w:rPr>
            </w:pPr>
            <w:r>
              <w:rPr>
                <w:rFonts w:ascii="Times New Roman"/>
                <w:sz w:val="18"/>
              </w:rPr>
              <w:t>515,15</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39,279.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36,442,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010.41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160,470,8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58.53</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2,504,209,0</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96.17</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3"/>
              <w:ind w:left="61" w:right="0"/>
              <w:jc w:val="left"/>
              <w:rPr>
                <w:rFonts w:ascii="Times New Roman" w:hAnsi="Times New Roman" w:cs="Times New Roman" w:eastAsia="Times New Roman" w:hint="default"/>
                <w:sz w:val="18"/>
                <w:szCs w:val="18"/>
              </w:rPr>
            </w:pPr>
            <w:r>
              <w:rPr>
                <w:rFonts w:ascii="Times New Roman"/>
                <w:sz w:val="18"/>
              </w:rPr>
              <w:t>515,15</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39,279.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36,442,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010.41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160,470,8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58.53</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2,504,209,0</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96.17</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27,883,0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32.00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-193,629,</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409.38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-221,512,44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1.38</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-167,871,</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561.98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-167,871,56</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1.98</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27,883,0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32.00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-27,883,032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27,883,0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32.00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-27,883,032</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9"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-25,757,8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47.40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-25,757,847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-25,757,8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47.40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-25,757,847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515,15</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39,279.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27,883,0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32.00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36,442,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010.41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-33,158,5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50.85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2,282,696,6</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54.79</w:t>
            </w:r>
          </w:p>
        </w:tc>
      </w:tr>
    </w:tbl>
    <w:p>
      <w:pPr>
        <w:spacing w:line="240" w:lineRule="auto" w:before="1"/>
        <w:rPr>
          <w:rFonts w:ascii="宋体" w:hAnsi="宋体" w:cs="宋体" w:eastAsia="宋体" w:hint="default"/>
          <w:sz w:val="18"/>
          <w:szCs w:val="18"/>
        </w:rPr>
      </w:pPr>
    </w:p>
    <w:p>
      <w:pPr>
        <w:pStyle w:val="Heading2"/>
        <w:spacing w:line="240" w:lineRule="auto" w:before="26"/>
        <w:ind w:left="133" w:right="8825"/>
        <w:jc w:val="center"/>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3" w:right="9010"/>
        <w:jc w:val="cente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公司概况</w:t>
      </w:r>
    </w:p>
    <w:p>
      <w:pPr>
        <w:spacing w:after="0" w:line="240" w:lineRule="auto"/>
        <w:jc w:val="cente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513" w:right="1273"/>
        <w:jc w:val="left"/>
      </w:pPr>
      <w:r>
        <w:rPr>
          <w:rFonts w:ascii="Times New Roman" w:hAnsi="Times New Roman" w:cs="Times New Roman" w:eastAsia="Times New Roman" w:hint="default"/>
        </w:rPr>
        <w:t>1</w:t>
      </w:r>
      <w:r>
        <w:rPr/>
        <w:t>、公司基本情况 深圳市证通电子股份有限公司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前身系深圳市证通电子有限公司于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日经深圳市工商</w:t>
      </w:r>
    </w:p>
    <w:p>
      <w:pPr>
        <w:pStyle w:val="BodyText"/>
        <w:spacing w:line="300" w:lineRule="auto" w:before="13"/>
        <w:ind w:right="0"/>
        <w:jc w:val="left"/>
      </w:pPr>
      <w:r>
        <w:rPr/>
        <w:t>行政管理局核准成立。公司的企业法人营业执照注册号：</w:t>
      </w:r>
      <w:r>
        <w:rPr>
          <w:rFonts w:ascii="Times New Roman" w:hAnsi="Times New Roman" w:cs="Times New Roman" w:eastAsia="Times New Roman" w:hint="default"/>
        </w:rPr>
        <w:t>440301103106038</w:t>
      </w:r>
      <w:r>
        <w:rPr/>
        <w:t>。根据公司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日发起人协议和股东会 </w:t>
      </w:r>
      <w:r>
        <w:rPr>
          <w:spacing w:val="-2"/>
        </w:rPr>
        <w:t>决议由深圳市证通电子有限公司整体改制变更而成，</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日经中国证券监督管理委员会核准，公司向社会公开发行</w:t>
      </w:r>
      <w:r>
        <w:rPr>
          <w:spacing w:val="-59"/>
        </w:rPr>
        <w:t> </w:t>
      </w:r>
      <w:r>
        <w:rPr>
          <w:spacing w:val="-59"/>
        </w:rPr>
      </w:r>
      <w:r>
        <w:rPr>
          <w:spacing w:val="-2"/>
        </w:rPr>
        <w:t>人民币普通股</w:t>
      </w:r>
      <w:r>
        <w:rPr>
          <w:rFonts w:ascii="Times New Roman" w:hAnsi="Times New Roman" w:cs="Times New Roman" w:eastAsia="Times New Roman" w:hint="default"/>
          <w:spacing w:val="-2"/>
        </w:rPr>
        <w:t>2,200</w:t>
      </w:r>
      <w:r>
        <w:rPr>
          <w:spacing w:val="-2"/>
        </w:rPr>
        <w:t>万股</w:t>
      </w:r>
      <w:r>
        <w:rPr>
          <w:rFonts w:ascii="Times New Roman" w:hAnsi="Times New Roman" w:cs="Times New Roman" w:eastAsia="Times New Roman" w:hint="default"/>
          <w:spacing w:val="-2"/>
        </w:rPr>
        <w:t>(</w:t>
      </w:r>
      <w:r>
        <w:rPr>
          <w:spacing w:val="-2"/>
        </w:rPr>
        <w:t>每股面值</w:t>
      </w:r>
      <w:r>
        <w:rPr>
          <w:rFonts w:ascii="Times New Roman" w:hAnsi="Times New Roman" w:cs="Times New Roman" w:eastAsia="Times New Roman" w:hint="default"/>
          <w:spacing w:val="-2"/>
        </w:rPr>
        <w:t>1</w:t>
      </w:r>
      <w:r>
        <w:rPr>
          <w:spacing w:val="-2"/>
        </w:rPr>
        <w:t>元</w:t>
      </w:r>
      <w:r>
        <w:rPr>
          <w:rFonts w:ascii="Times New Roman" w:hAnsi="Times New Roman" w:cs="Times New Roman" w:eastAsia="Times New Roman" w:hint="default"/>
          <w:spacing w:val="-2"/>
        </w:rPr>
        <w:t>)</w:t>
      </w:r>
      <w:r>
        <w:rPr>
          <w:spacing w:val="-2"/>
        </w:rPr>
        <w:t>，发行后股本增至</w:t>
      </w:r>
      <w:r>
        <w:rPr>
          <w:rFonts w:ascii="Times New Roman" w:hAnsi="Times New Roman" w:cs="Times New Roman" w:eastAsia="Times New Roman" w:hint="default"/>
          <w:spacing w:val="-2"/>
        </w:rPr>
        <w:t>8,743</w:t>
      </w:r>
      <w:r>
        <w:rPr>
          <w:spacing w:val="-2"/>
        </w:rPr>
        <w:t>万股，</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日在深圳证券交易所挂牌交易，股票简称：</w:t>
      </w:r>
      <w:r>
        <w:rPr>
          <w:spacing w:val="-80"/>
        </w:rPr>
        <w:t> </w:t>
      </w:r>
      <w:r>
        <w:rPr>
          <w:spacing w:val="-80"/>
        </w:rPr>
      </w:r>
      <w:r>
        <w:rPr/>
        <w:t>证通电子，股票代码</w:t>
      </w:r>
      <w:r>
        <w:rPr>
          <w:rFonts w:ascii="Times New Roman" w:hAnsi="Times New Roman" w:cs="Times New Roman" w:eastAsia="Times New Roman" w:hint="default"/>
        </w:rPr>
        <w:t>002197,</w:t>
      </w:r>
      <w:r>
        <w:rPr/>
        <w:t>本次发行后，公司注册的资本变更为</w:t>
      </w:r>
      <w:r>
        <w:rPr>
          <w:rFonts w:ascii="Times New Roman" w:hAnsi="Times New Roman" w:cs="Times New Roman" w:eastAsia="Times New Roman" w:hint="default"/>
        </w:rPr>
        <w:t>8,743.00</w:t>
      </w:r>
      <w:r>
        <w:rPr/>
        <w:t>万元。</w:t>
      </w:r>
    </w:p>
    <w:p>
      <w:pPr>
        <w:pStyle w:val="BodyText"/>
        <w:spacing w:line="300" w:lineRule="auto" w:before="13"/>
        <w:ind w:right="1149" w:firstLine="360"/>
        <w:jc w:val="left"/>
      </w:pPr>
      <w:r>
        <w:rPr/>
        <w:t>公司现持有统一社会信用代码为</w:t>
      </w:r>
      <w:r>
        <w:rPr>
          <w:rFonts w:ascii="Times New Roman" w:hAnsi="Times New Roman" w:cs="Times New Roman" w:eastAsia="Times New Roman" w:hint="default"/>
        </w:rPr>
        <w:t>91440300279402305L</w:t>
      </w:r>
      <w:r>
        <w:rPr/>
        <w:t>的营业执照，注册资本</w:t>
      </w:r>
      <w:r>
        <w:rPr>
          <w:rFonts w:ascii="Times New Roman" w:hAnsi="Times New Roman" w:cs="Times New Roman" w:eastAsia="Times New Roman" w:hint="default"/>
        </w:rPr>
        <w:t>515,156,948.00</w:t>
      </w:r>
      <w:r>
        <w:rPr/>
        <w:t>元，股份总数为</w:t>
      </w:r>
      <w:r>
        <w:rPr>
          <w:rFonts w:ascii="Times New Roman" w:hAnsi="Times New Roman" w:cs="Times New Roman" w:eastAsia="Times New Roman" w:hint="default"/>
        </w:rPr>
        <w:t>515,156,948 </w:t>
      </w:r>
      <w:r>
        <w:rPr/>
        <w:t>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，其中：有限售条件的流通股份为</w:t>
      </w:r>
      <w:r>
        <w:rPr>
          <w:rFonts w:ascii="Times New Roman" w:hAnsi="Times New Roman" w:cs="Times New Roman" w:eastAsia="Times New Roman" w:hint="default"/>
        </w:rPr>
        <w:t>80,087,366</w:t>
      </w:r>
      <w:r>
        <w:rPr/>
        <w:t>股；无限售条件的流通股份为</w:t>
      </w:r>
      <w:r>
        <w:rPr>
          <w:rFonts w:ascii="Times New Roman" w:hAnsi="Times New Roman" w:cs="Times New Roman" w:eastAsia="Times New Roman" w:hint="default"/>
        </w:rPr>
        <w:t>435,069,582</w:t>
      </w:r>
      <w:r>
        <w:rPr/>
        <w:t>股。</w:t>
      </w:r>
    </w:p>
    <w:p>
      <w:pPr>
        <w:pStyle w:val="BodyText"/>
        <w:spacing w:line="240" w:lineRule="auto" w:before="13"/>
        <w:ind w:left="513" w:right="1133"/>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日公司股本为</w:t>
      </w:r>
      <w:r>
        <w:rPr>
          <w:rFonts w:ascii="Times New Roman" w:hAnsi="Times New Roman" w:cs="Times New Roman" w:eastAsia="Times New Roman" w:hint="default"/>
        </w:rPr>
        <w:t>515,156,948.00</w:t>
      </w:r>
      <w:r>
        <w:rPr/>
        <w:t>元。</w:t>
      </w:r>
    </w:p>
    <w:p>
      <w:pPr>
        <w:pStyle w:val="BodyText"/>
        <w:spacing w:line="240" w:lineRule="auto" w:before="63"/>
        <w:ind w:left="513" w:right="1133"/>
        <w:jc w:val="left"/>
      </w:pPr>
      <w:r>
        <w:rPr>
          <w:rFonts w:ascii="Times New Roman" w:hAnsi="Times New Roman" w:cs="Times New Roman" w:eastAsia="Times New Roman" w:hint="default"/>
        </w:rPr>
        <w:t>2</w:t>
      </w:r>
      <w:r>
        <w:rPr/>
        <w:t>、企业的业务性质：通用设备制造业。</w:t>
      </w:r>
    </w:p>
    <w:p>
      <w:pPr>
        <w:pStyle w:val="BodyText"/>
        <w:spacing w:line="240" w:lineRule="auto" w:before="63"/>
        <w:ind w:left="513" w:right="1133"/>
        <w:jc w:val="left"/>
      </w:pPr>
      <w:r>
        <w:rPr>
          <w:rFonts w:ascii="Times New Roman" w:hAnsi="Times New Roman" w:cs="Times New Roman" w:eastAsia="Times New Roman" w:hint="default"/>
        </w:rPr>
        <w:t>3</w:t>
      </w:r>
      <w:r>
        <w:rPr/>
        <w:t>、主要经营活动：主要从事金融自助服务终端、金融支付终端设备、</w:t>
      </w:r>
      <w:r>
        <w:rPr>
          <w:rFonts w:ascii="Times New Roman" w:hAnsi="Times New Roman" w:cs="Times New Roman" w:eastAsia="Times New Roman" w:hint="default"/>
        </w:rPr>
        <w:t>LED</w:t>
      </w:r>
      <w:r>
        <w:rPr/>
        <w:t>照明产品、</w:t>
      </w:r>
      <w:r>
        <w:rPr>
          <w:rFonts w:ascii="Times New Roman" w:hAnsi="Times New Roman" w:cs="Times New Roman" w:eastAsia="Times New Roman" w:hint="default"/>
        </w:rPr>
        <w:t>IDC</w:t>
      </w:r>
      <w:r>
        <w:rPr/>
        <w:t>及云计算等开发、生产和销</w:t>
      </w:r>
    </w:p>
    <w:p>
      <w:pPr>
        <w:pStyle w:val="BodyText"/>
        <w:spacing w:line="240" w:lineRule="auto" w:before="63"/>
        <w:ind w:right="1133"/>
        <w:jc w:val="left"/>
      </w:pPr>
      <w:r>
        <w:rPr/>
        <w:t>售。</w:t>
      </w:r>
    </w:p>
    <w:p>
      <w:pPr>
        <w:pStyle w:val="BodyText"/>
        <w:spacing w:line="240" w:lineRule="auto" w:before="76"/>
        <w:ind w:left="513" w:right="1133"/>
        <w:jc w:val="left"/>
      </w:pPr>
      <w:r>
        <w:rPr>
          <w:rFonts w:ascii="Times New Roman" w:hAnsi="Times New Roman" w:cs="Times New Roman" w:eastAsia="Times New Roman" w:hint="default"/>
        </w:rPr>
        <w:t>4</w:t>
      </w:r>
      <w:r>
        <w:rPr/>
        <w:t>、公司注册地：深圳市光明区玉塘街道田寮社区同观大道</w:t>
      </w:r>
      <w:r>
        <w:rPr>
          <w:rFonts w:ascii="Times New Roman" w:hAnsi="Times New Roman" w:cs="Times New Roman" w:eastAsia="Times New Roman" w:hint="default"/>
        </w:rPr>
        <w:t>3</w:t>
      </w:r>
      <w:r>
        <w:rPr/>
        <w:t>号证通电子产业园二期</w:t>
      </w:r>
      <w:r>
        <w:rPr>
          <w:rFonts w:ascii="Times New Roman" w:hAnsi="Times New Roman" w:cs="Times New Roman" w:eastAsia="Times New Roman" w:hint="default"/>
        </w:rPr>
        <w:t>-101</w:t>
      </w:r>
      <w:r>
        <w:rPr/>
        <w:t>。</w:t>
      </w:r>
    </w:p>
    <w:p>
      <w:pPr>
        <w:pStyle w:val="BodyText"/>
        <w:spacing w:line="240" w:lineRule="auto" w:before="63"/>
        <w:ind w:left="513" w:right="1133"/>
        <w:jc w:val="left"/>
      </w:pPr>
      <w:r>
        <w:rPr>
          <w:rFonts w:ascii="Times New Roman" w:hAnsi="Times New Roman" w:cs="Times New Roman" w:eastAsia="Times New Roman" w:hint="default"/>
        </w:rPr>
        <w:t>5</w:t>
      </w:r>
      <w:r>
        <w:rPr/>
        <w:t>、本公司的实际控制人为曾胜强、许忠桂夫妇持有深圳市证通电子股份有限公司</w:t>
      </w:r>
      <w:r>
        <w:rPr>
          <w:rFonts w:ascii="Times New Roman" w:hAnsi="Times New Roman" w:cs="Times New Roman" w:eastAsia="Times New Roman" w:hint="default"/>
        </w:rPr>
        <w:t>26.15%</w:t>
      </w:r>
      <w:r>
        <w:rPr/>
        <w:t>的股权。</w:t>
      </w:r>
    </w:p>
    <w:p>
      <w:pPr>
        <w:pStyle w:val="BodyText"/>
        <w:spacing w:line="300" w:lineRule="auto" w:before="63"/>
        <w:ind w:left="513" w:right="3013"/>
        <w:jc w:val="left"/>
      </w:pPr>
      <w:r>
        <w:rPr>
          <w:rFonts w:ascii="Times New Roman" w:hAnsi="Times New Roman" w:cs="Times New Roman" w:eastAsia="Times New Roman" w:hint="default"/>
        </w:rPr>
        <w:t>6</w:t>
      </w:r>
      <w:r>
        <w:rPr/>
        <w:t>、财务报告的批准报出日 本财务报表经公司第五届董事会第十次会议批准于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日报出。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合并财务报表范围 截至报告期末，纳入合并财务报表范围的子公司及孙公司共计</w:t>
      </w:r>
      <w:r>
        <w:rPr>
          <w:rFonts w:ascii="Times New Roman" w:hAnsi="Times New Roman" w:cs="Times New Roman" w:eastAsia="Times New Roman" w:hint="default"/>
        </w:rPr>
        <w:t>15</w:t>
      </w:r>
      <w:r>
        <w:rPr/>
        <w:t>家，详见本附注六和附注七。</w:t>
      </w:r>
    </w:p>
    <w:p>
      <w:pPr>
        <w:spacing w:line="240" w:lineRule="auto" w:before="5"/>
        <w:rPr>
          <w:rFonts w:ascii="宋体" w:hAnsi="宋体" w:cs="宋体" w:eastAsia="宋体" w:hint="default"/>
          <w:sz w:val="18"/>
          <w:szCs w:val="18"/>
        </w:rPr>
      </w:pPr>
    </w:p>
    <w:p>
      <w:pPr>
        <w:pStyle w:val="Heading2"/>
        <w:spacing w:line="240" w:lineRule="auto" w:before="26"/>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36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r>
        <w:rPr/>
        <w:t> </w:t>
      </w:r>
      <w:r>
        <w:rPr>
          <w:rFonts w:ascii="Times New Roman" w:hAnsi="Times New Roman" w:cs="Times New Roman" w:eastAsia="Times New Roman" w:hint="default"/>
        </w:rPr>
        <w:t>(</w:t>
      </w: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项具体会计准则、企业会计准则应 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 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9" w:firstLine="360"/>
        <w:jc w:val="left"/>
      </w:pPr>
      <w:r>
        <w:rPr>
          <w:spacing w:val="-2"/>
        </w:rPr>
        <w:t>本公司管理层对公司持续经营能力评估后认为公司</w:t>
      </w:r>
      <w:r>
        <w:rPr>
          <w:rFonts w:ascii="Times New Roman" w:hAnsi="Times New Roman" w:cs="Times New Roman" w:eastAsia="Times New Roman" w:hint="default"/>
          <w:spacing w:val="-2"/>
        </w:rPr>
        <w:t>12</w:t>
      </w:r>
      <w:r>
        <w:rPr>
          <w:spacing w:val="-2"/>
        </w:rPr>
        <w:t>个月内能持续经营，不存在可能导致持续经营产生重大疑虑的事项</w:t>
      </w:r>
      <w:r>
        <w:rPr/>
        <w:t> 和情况，本公司财务报表是按照持续经营假设为基础编制的。</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7873"/>
        <w:jc w:val="left"/>
      </w:pPr>
      <w:r>
        <w:rPr/>
        <w:t>具体会计政策和会计估计提示： 无</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left"/>
      </w:pPr>
      <w:r>
        <w:rPr>
          <w:spacing w:val="-2"/>
        </w:rPr>
        <w:t>本公司所编制的财务报表符合企业会计准则的要求，真实、完整地反映了公司的财务状况、经营成果、股东权益变动和</w:t>
      </w:r>
      <w:r>
        <w:rPr/>
        <w:t> 现金流量等有关信息。</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本公司营业周期为</w:t>
      </w:r>
      <w:r>
        <w:rPr>
          <w:rFonts w:ascii="Times New Roman" w:hAnsi="Times New Roman" w:cs="Times New Roman" w:eastAsia="Times New Roman" w:hint="default"/>
        </w:rPr>
        <w:t>12</w:t>
      </w:r>
      <w:r>
        <w:rPr/>
        <w:t>个月。</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right="0"/>
        <w:jc w:val="left"/>
      </w:pPr>
      <w:r>
        <w:rPr>
          <w:spacing w:val="-4"/>
        </w:rPr>
        <w:t>一控制下的企业合并，在合并日取得对其他参与合并企业控制权的一方为合并方，参与合并的其他企业为被合并方。合并日，</w:t>
      </w:r>
      <w:r>
        <w:rPr>
          <w:spacing w:val="-42"/>
        </w:rPr>
        <w:t> </w:t>
      </w:r>
      <w:r>
        <w:rPr>
          <w:spacing w:val="-42"/>
        </w:rPr>
      </w:r>
      <w:r>
        <w:rPr/>
        <w:t>是指合并方实际取得对被合并方控制权的日期。</w:t>
      </w:r>
    </w:p>
    <w:p>
      <w:pPr>
        <w:pStyle w:val="BodyText"/>
        <w:spacing w:line="316" w:lineRule="auto" w:before="19"/>
        <w:ind w:right="1129" w:firstLine="360"/>
        <w:jc w:val="left"/>
      </w:pPr>
      <w:r>
        <w:rPr>
          <w:spacing w:val="-2"/>
        </w:rPr>
        <w:t>合并方取得的资产和负债均按合并日在被合并方的账面价值计量。合并方取得的净资产账面价值与支付的合并对价账面</w:t>
      </w:r>
      <w:r>
        <w:rPr/>
        <w:t> 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不足以冲减的，调整留存收益。</w:t>
      </w:r>
    </w:p>
    <w:p>
      <w:pPr>
        <w:pStyle w:val="BodyText"/>
        <w:spacing w:line="235" w:lineRule="exact"/>
        <w:ind w:left="513" w:right="1133"/>
        <w:jc w:val="left"/>
      </w:pPr>
      <w:r>
        <w:rPr/>
        <w:t>合并方为进行企业合并发生的各项直接费用，于发生时计入当期损益。</w:t>
      </w:r>
    </w:p>
    <w:p>
      <w:pPr>
        <w:pStyle w:val="BodyText"/>
        <w:spacing w:line="300" w:lineRule="auto" w:before="77"/>
        <w:ind w:left="513" w:right="1129"/>
        <w:jc w:val="left"/>
      </w:pP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1129"/>
        <w:jc w:val="left"/>
      </w:pPr>
      <w:r>
        <w:rPr>
          <w:spacing w:val="-2"/>
        </w:rPr>
        <w:t>并，在购买日取得对其他参与合并企业控制权的一方为购买方，参与合并的其他企业为被购买方。购买日，是指为购买方实</w:t>
      </w:r>
      <w:r>
        <w:rPr>
          <w:spacing w:val="-63"/>
        </w:rPr>
        <w:t> </w:t>
      </w:r>
      <w:r>
        <w:rPr>
          <w:spacing w:val="-63"/>
        </w:rPr>
      </w:r>
      <w:r>
        <w:rPr/>
        <w:t>际取得对被购买方控制权的日期。</w:t>
      </w:r>
    </w:p>
    <w:p>
      <w:pPr>
        <w:pStyle w:val="BodyText"/>
        <w:spacing w:line="316" w:lineRule="auto" w:before="19"/>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62"/>
        </w:rPr>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129" w:firstLine="360"/>
        <w:jc w:val="left"/>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300" w:lineRule="auto" w:before="22"/>
        <w:ind w:right="0" w:firstLine="360"/>
        <w:jc w:val="left"/>
      </w:pPr>
      <w:r>
        <w:rPr>
          <w:spacing w:val="-3"/>
        </w:rPr>
        <w:t>通过多次交易分步实现的非同一控制下企业合并，根据《财政部关于印发企业会计准则解释第</w:t>
      </w:r>
      <w:r>
        <w:rPr>
          <w:rFonts w:ascii="Times New Roman" w:hAnsi="Times New Roman" w:cs="Times New Roman" w:eastAsia="Times New Roman" w:hint="default"/>
          <w:spacing w:val="-3"/>
        </w:rPr>
        <w:t>5</w:t>
      </w:r>
      <w:r>
        <w:rPr>
          <w:spacing w:val="-3"/>
        </w:rPr>
        <w:t>号的通知》</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2012</w:t>
      </w:r>
      <w:r>
        <w:rPr>
          <w:spacing w:val="-3"/>
        </w:rPr>
        <w:t>〕</w:t>
      </w:r>
      <w:r>
        <w:rPr/>
        <w:t> </w:t>
      </w:r>
      <w:r>
        <w:rPr>
          <w:rFonts w:ascii="Times New Roman" w:hAnsi="Times New Roman" w:cs="Times New Roman" w:eastAsia="Times New Roman" w:hint="default"/>
        </w:rPr>
        <w:t>19</w:t>
      </w:r>
      <w:r>
        <w:rPr/>
        <w:t>号</w:t>
      </w:r>
      <w:r>
        <w:rPr>
          <w:rFonts w:ascii="Times New Roman" w:hAnsi="Times New Roman" w:cs="Times New Roman" w:eastAsia="Times New Roman" w:hint="default"/>
        </w:rPr>
        <w:t>)</w:t>
      </w:r>
      <w:r>
        <w:rPr/>
        <w:t>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w:t>
      </w:r>
      <w:r>
        <w:rPr>
          <w:rFonts w:ascii="Times New Roman" w:hAnsi="Times New Roman" w:cs="Times New Roman" w:eastAsia="Times New Roman" w:hint="default"/>
        </w:rPr>
        <w:t>(</w:t>
      </w:r>
      <w:r>
        <w:rPr/>
        <w:t>参见本附注三、</w:t>
      </w:r>
      <w:r>
        <w:rPr>
          <w:rFonts w:ascii="Times New Roman" w:hAnsi="Times New Roman" w:cs="Times New Roman" w:eastAsia="Times New Roman" w:hint="default"/>
        </w:rPr>
        <w:t>(</w:t>
      </w:r>
      <w:r>
        <w:rPr/>
        <w:t>六</w:t>
      </w:r>
      <w:r>
        <w:rPr>
          <w:rFonts w:ascii="Times New Roman" w:hAnsi="Times New Roman" w:cs="Times New Roman" w:eastAsia="Times New Roman" w:hint="default"/>
        </w:rPr>
        <w:t>)2)</w:t>
      </w:r>
      <w:r>
        <w:rPr/>
        <w:t>，判断 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的，参考本部分前面各段描述及本附注三、</w:t>
      </w: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准 则进行会计处理；不属于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29" w:firstLine="360"/>
        <w:jc w:val="left"/>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54"/>
        <w:jc w:val="left"/>
      </w:pPr>
      <w:r>
        <w:rPr/>
        <w:t>被购买方直接处置相关资产或负债相同的基础进行会计处理</w:t>
      </w:r>
      <w:r>
        <w:rPr>
          <w:rFonts w:ascii="Times New Roman" w:hAnsi="Times New Roman" w:cs="Times New Roman" w:eastAsia="Times New Roman" w:hint="default"/>
        </w:rPr>
        <w:t>(</w:t>
      </w:r>
      <w:r>
        <w:rPr/>
        <w:t>即，除了按照权益法核算的在被购买方重新计量设定受益计划 净负债或净资产导致的变动中的相应份额以外，其余转入当期投资收益</w:t>
      </w:r>
      <w:r>
        <w:rPr>
          <w:rFonts w:ascii="Times New Roman" w:hAnsi="Times New Roman" w:cs="Times New Roman" w:eastAsia="Times New Roman" w:hint="default"/>
        </w:rPr>
        <w:t>)</w:t>
      </w:r>
      <w:r>
        <w:rPr/>
        <w:t>。</w:t>
      </w:r>
    </w:p>
    <w:p>
      <w:pPr>
        <w:pStyle w:val="BodyText"/>
        <w:spacing w:line="312" w:lineRule="auto" w:before="13"/>
        <w:ind w:right="113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t>应当采用与被购买方直接处置相关资产或负债相同的基础进行会计处理</w:t>
      </w:r>
      <w:r>
        <w:rPr>
          <w:rFonts w:ascii="Times New Roman" w:hAnsi="Times New Roman" w:cs="Times New Roman" w:eastAsia="Times New Roman" w:hint="default"/>
        </w:rPr>
        <w:t>(</w:t>
      </w:r>
      <w:r>
        <w:rPr/>
        <w:t>即，除了按照权益法核算的在被购买方重新计量设 定受益计划净负债或净资产导致的变动中的相应份额以外，其余转为购买日所属当期投资收益</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2"/>
        <w:ind w:right="1129"/>
        <w:jc w:val="left"/>
      </w:pPr>
      <w:r>
        <w:rPr>
          <w:spacing w:val="-2"/>
        </w:rPr>
        <w:t>动而享有可变回报，并且有能力运用对被投资方的权力影响其回报金额。相关活动是指对被投资方的回报产生重大影响的活</w:t>
      </w:r>
      <w:r>
        <w:rPr>
          <w:spacing w:val="-64"/>
        </w:rPr>
        <w:t> </w:t>
      </w:r>
      <w:r>
        <w:rPr>
          <w:spacing w:val="-64"/>
        </w:rPr>
      </w:r>
      <w:r>
        <w:rPr/>
        <w:t>动。合并范围包括本公司及全部子公司。子公司，是指被本公司控制的企业或主体。</w:t>
      </w:r>
    </w:p>
    <w:p>
      <w:pPr>
        <w:pStyle w:val="BodyText"/>
        <w:spacing w:line="309" w:lineRule="auto" w:before="19"/>
        <w:ind w:left="513" w:right="1129"/>
        <w:jc w:val="left"/>
      </w:pPr>
      <w:r>
        <w:rPr/>
        <w:t>一旦相关事实和情况的变化导致上述控制定义涉及的相关要素发生了变化，本公司将进行重新评估。 </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24"/>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1213"/>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50"/>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 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 股东权益。</w:t>
      </w:r>
    </w:p>
    <w:p>
      <w:pPr>
        <w:pStyle w:val="BodyText"/>
        <w:spacing w:line="309" w:lineRule="auto" w:before="31"/>
        <w:ind w:right="1119" w:firstLine="360"/>
        <w:jc w:val="left"/>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3"/>
        </w:rPr>
        <w:t> </w:t>
      </w:r>
      <w:r>
        <w:rPr>
          <w:spacing w:val="-63"/>
        </w:rPr>
      </w:r>
      <w:r>
        <w:rPr/>
        <w:t>制权时采用与被购买方直接处置相关资产或负债相同的基础进行会计处理</w:t>
      </w:r>
      <w:r>
        <w:rPr>
          <w:rFonts w:ascii="Times New Roman" w:hAnsi="Times New Roman" w:cs="Times New Roman" w:eastAsia="Times New Roman" w:hint="default"/>
        </w:rPr>
        <w:t>(</w:t>
      </w:r>
      <w:r>
        <w:rPr/>
        <w:t>即，除了在该原有子公司重新计量设定受益计划 </w:t>
      </w:r>
      <w:r>
        <w:rPr>
          <w:spacing w:val="-1"/>
        </w:rPr>
        <w:t>净负债或净资产导致的变动以外，其余一并转为当期投资收益</w:t>
      </w:r>
      <w:r>
        <w:rPr>
          <w:rFonts w:ascii="Times New Roman" w:hAnsi="Times New Roman" w:cs="Times New Roman" w:eastAsia="Times New Roman" w:hint="default"/>
          <w:spacing w:val="-1"/>
        </w:rPr>
        <w:t>)</w:t>
      </w:r>
      <w:r>
        <w:rPr>
          <w:spacing w:val="-1"/>
        </w:rPr>
        <w:t>。其后，对该部分剩余股权按照《企业会计准则第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w:t>
      </w:r>
      <w:r>
        <w:rPr/>
        <w:t> 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金融工具确认和计量》等相关规定进行后续计量，详见本附注三、</w:t>
      </w: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长期 股权投资</w:t>
      </w:r>
      <w:r>
        <w:rPr>
          <w:rFonts w:ascii="Times New Roman" w:hAnsi="Times New Roman" w:cs="Times New Roman" w:eastAsia="Times New Roman" w:hint="default"/>
        </w:rPr>
        <w:t>”</w:t>
      </w:r>
      <w:r>
        <w:rPr/>
        <w:t>或本附注三、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04" w:lineRule="auto" w:before="2"/>
        <w:ind w:right="0"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1"/>
        </w:rPr>
        <w:t> </w:t>
      </w:r>
      <w:r>
        <w:rPr>
          <w:spacing w:val="-61"/>
        </w:rPr>
      </w:r>
      <w:r>
        <w:rPr/>
        <w:t>表明应将多次交易事项作为一揽子交易进行会计处理：</w:t>
      </w:r>
      <w:r>
        <w:rPr>
          <w:rFonts w:ascii="Times New Roman" w:hAnsi="Times New Roman" w:cs="Times New Roman" w:eastAsia="Times New Roman" w:hint="default"/>
        </w:rPr>
        <w:t>(1)</w:t>
      </w:r>
      <w:r>
        <w:rPr/>
        <w:t>这些交易是同时或者在考虑了彼此影响的情况下订立的；</w:t>
      </w:r>
      <w:r>
        <w:rPr>
          <w:rFonts w:ascii="Times New Roman" w:hAnsi="Times New Roman" w:cs="Times New Roman" w:eastAsia="Times New Roman" w:hint="default"/>
        </w:rPr>
        <w:t>(2)</w:t>
      </w:r>
      <w:r>
        <w:rPr/>
        <w:t>这些</w:t>
      </w:r>
      <w:r>
        <w:rPr>
          <w:spacing w:val="-86"/>
        </w:rPr>
        <w:t> </w:t>
      </w:r>
      <w:r>
        <w:rPr/>
        <w:t>交易整体才能达成一项完整的商业结果；</w:t>
      </w:r>
      <w:r>
        <w:rPr>
          <w:rFonts w:ascii="Times New Roman" w:hAnsi="Times New Roman" w:cs="Times New Roman" w:eastAsia="Times New Roman" w:hint="default"/>
        </w:rPr>
        <w:t>(3)</w:t>
      </w:r>
      <w:r>
        <w:rPr/>
        <w:t>一项交易的发生取决于其他至少一项交易的发生；</w:t>
      </w:r>
      <w:r>
        <w:rPr>
          <w:rFonts w:ascii="Times New Roman" w:hAnsi="Times New Roman" w:cs="Times New Roman" w:eastAsia="Times New Roman" w:hint="default"/>
        </w:rPr>
        <w:t>(4)</w:t>
      </w:r>
      <w:r>
        <w:rPr/>
        <w:t>一项交易单独看是不经济</w:t>
      </w:r>
      <w:r>
        <w:rPr>
          <w:spacing w:val="-87"/>
        </w:rPr>
        <w:t> </w:t>
      </w:r>
      <w:r>
        <w:rPr/>
        <w:t>的，但是和其他交易一并考虑时是经济的。不属于一揽子交易的，对其中的每一项交易视情况分别按照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 </w:t>
      </w:r>
      <w:r>
        <w:rPr>
          <w:spacing w:val="-2"/>
        </w:rPr>
        <w:t>况下部分处置对子公司的长期股权投资</w:t>
      </w:r>
      <w:r>
        <w:rPr>
          <w:rFonts w:ascii="Times New Roman" w:hAnsi="Times New Roman" w:cs="Times New Roman" w:eastAsia="Times New Roman" w:hint="default"/>
          <w:spacing w:val="-2"/>
        </w:rPr>
        <w:t>”(</w:t>
      </w:r>
      <w:r>
        <w:rPr>
          <w:spacing w:val="-2"/>
        </w:rPr>
        <w:t>详见本附注三、</w:t>
      </w:r>
      <w:r>
        <w:rPr>
          <w:rFonts w:ascii="Times New Roman" w:hAnsi="Times New Roman" w:cs="Times New Roman" w:eastAsia="Times New Roman" w:hint="default"/>
          <w:spacing w:val="-2"/>
        </w:rPr>
        <w:t>(</w:t>
      </w:r>
      <w:r>
        <w:rPr>
          <w:spacing w:val="-2"/>
        </w:rPr>
        <w:t>十四</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w:t>
      </w:r>
      <w:r>
        <w:rPr>
          <w:spacing w:val="-2"/>
        </w:rPr>
        <w:t>和</w:t>
      </w:r>
      <w:r>
        <w:rPr>
          <w:rFonts w:ascii="Times New Roman" w:hAnsi="Times New Roman" w:cs="Times New Roman" w:eastAsia="Times New Roman" w:hint="default"/>
          <w:spacing w:val="-2"/>
        </w:rPr>
        <w:t>“</w:t>
      </w:r>
      <w:r>
        <w:rPr>
          <w:spacing w:val="-2"/>
        </w:rPr>
        <w:t>因处置部分股权投资或其他原因丧失了对原有子公</w:t>
      </w:r>
      <w:r>
        <w:rPr>
          <w:spacing w:val="-34"/>
        </w:rPr>
        <w:t> </w:t>
      </w:r>
      <w:r>
        <w:rPr>
          <w:spacing w:val="-34"/>
        </w:rPr>
      </w:r>
      <w:r>
        <w:rPr/>
        <w:t>司的控制权</w:t>
      </w:r>
      <w:r>
        <w:rPr>
          <w:rFonts w:ascii="Times New Roman" w:hAnsi="Times New Roman" w:cs="Times New Roman" w:eastAsia="Times New Roman" w:hint="default"/>
        </w:rPr>
        <w:t>”(</w:t>
      </w:r>
      <w:r>
        <w:rPr/>
        <w:t>详见前段</w:t>
      </w:r>
      <w:r>
        <w:rPr>
          <w:rFonts w:ascii="Times New Roman" w:hAnsi="Times New Roman" w:cs="Times New Roman" w:eastAsia="Times New Roman" w:hint="default"/>
        </w:rPr>
        <w:t>)</w:t>
      </w:r>
      <w:r>
        <w:rPr/>
        <w:t>适用的原则进行会计处理。处置对子公司股权投资直至丧失控制权的各项交易属于一揽子交易的， </w:t>
      </w:r>
      <w:r>
        <w:rPr>
          <w:spacing w:val="-2"/>
        </w:rPr>
        <w:t>将各项交易作为一项处置子公司并丧失控制权的交易进行会计处理；但是，在丧失控制权之前每一次处置价款与处置投资对</w:t>
      </w:r>
    </w:p>
    <w:p>
      <w:pPr>
        <w:spacing w:after="0" w:line="304"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3"/>
        <w:jc w:val="both"/>
      </w:pP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5"/>
        </w:rPr>
        <w:t> </w:t>
      </w:r>
      <w:r>
        <w:rPr>
          <w:spacing w:val="-65"/>
        </w:rPr>
      </w:r>
      <w:r>
        <w:rPr/>
        <w:t>企业，是指本公司仅对该安排的净资产享有权利的合营安排。</w:t>
      </w:r>
    </w:p>
    <w:p>
      <w:pPr>
        <w:pStyle w:val="BodyText"/>
        <w:spacing w:line="300" w:lineRule="auto" w:before="19"/>
        <w:ind w:right="1174" w:firstLine="360"/>
        <w:jc w:val="left"/>
      </w:pPr>
      <w:r>
        <w:rPr/>
        <w:t>本公司对合营企业的投资采用权益法核算，按照本附注三、</w:t>
      </w:r>
      <w:r>
        <w:rPr>
          <w:rFonts w:ascii="Times New Roman" w:hAnsi="Times New Roman" w:cs="Times New Roman" w:eastAsia="Times New Roman" w:hint="default"/>
        </w:rPr>
        <w:t>(</w:t>
      </w:r>
      <w:r>
        <w:rPr/>
        <w:t>十四</w:t>
      </w:r>
      <w:r>
        <w:rPr>
          <w:rFonts w:ascii="Times New Roman" w:hAnsi="Times New Roman" w:cs="Times New Roman" w:eastAsia="Times New Roman" w:hint="default"/>
        </w:rPr>
        <w:t>)2</w:t>
      </w:r>
      <w:r>
        <w:rPr/>
        <w:t>、</w:t>
      </w:r>
      <w:r>
        <w:rPr>
          <w:rFonts w:ascii="Times New Roman" w:hAnsi="Times New Roman" w:cs="Times New Roman" w:eastAsia="Times New Roman" w:hint="default"/>
        </w:rPr>
        <w:t>(2)“</w:t>
      </w:r>
      <w:r>
        <w:rPr/>
        <w:t>权益法核算的长期股权投资</w:t>
      </w:r>
      <w:r>
        <w:rPr>
          <w:rFonts w:ascii="Times New Roman" w:hAnsi="Times New Roman" w:cs="Times New Roman" w:eastAsia="Times New Roman" w:hint="default"/>
        </w:rPr>
        <w:t>”</w:t>
      </w:r>
      <w:r>
        <w:rPr/>
        <w:t>中所述的会计政 策处理。</w:t>
      </w:r>
    </w:p>
    <w:p>
      <w:pPr>
        <w:pStyle w:val="BodyText"/>
        <w:spacing w:line="240" w:lineRule="auto" w:before="31"/>
        <w:ind w:left="513" w:right="1133"/>
        <w:jc w:val="left"/>
      </w:pPr>
      <w:r>
        <w:rPr/>
        <w:t>本公司确认与共同经营中利益份额相关的下列项目，并按照相关企业会计准则的规定进行会计处理：</w:t>
      </w:r>
    </w:p>
    <w:p>
      <w:pPr>
        <w:pStyle w:val="BodyText"/>
        <w:spacing w:line="240" w:lineRule="auto" w:before="77"/>
        <w:ind w:left="513" w:right="1133"/>
        <w:jc w:val="left"/>
      </w:pP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1133"/>
        <w:jc w:val="left"/>
      </w:pP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1133"/>
        <w:jc w:val="left"/>
      </w:pP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3" w:right="1133"/>
        <w:jc w:val="left"/>
      </w:pP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13" w:right="4543"/>
        <w:jc w:val="left"/>
      </w:pP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54" w:firstLine="360"/>
        <w:jc w:val="left"/>
      </w:pPr>
      <w:r>
        <w:rPr/>
        <w:t>现金流量表的现金指企业库存现金及可以随时用于支付的存款。现金等价物指持有的期限短</w:t>
      </w:r>
      <w:r>
        <w:rPr>
          <w:rFonts w:ascii="Times New Roman" w:hAnsi="Times New Roman" w:cs="Times New Roman" w:eastAsia="Times New Roman" w:hint="default"/>
        </w:rPr>
        <w:t>(</w:t>
      </w:r>
      <w:r>
        <w:rPr/>
        <w:t>一般是指从购买日起三个 月内到期</w:t>
      </w:r>
      <w:r>
        <w:rPr>
          <w:rFonts w:ascii="Times New Roman" w:hAnsi="Times New Roman" w:cs="Times New Roman" w:eastAsia="Times New Roman" w:hint="default"/>
        </w:rPr>
        <w:t>)</w:t>
      </w:r>
      <w:r>
        <w:rPr/>
        <w:t>、流动性强、易于转换为已知金额现金、价值变动风险很小的投资。</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、外币业务折算 </w:t>
      </w:r>
      <w:r>
        <w:rPr>
          <w:spacing w:val="-2"/>
        </w:rPr>
        <w:t>外币交易在初始确认时，采用交易发生日的即期汇率折算为人民币金额。资产负债表日，外币货币性项目采用资产负债</w:t>
      </w:r>
    </w:p>
    <w:p>
      <w:pPr>
        <w:pStyle w:val="BodyText"/>
        <w:spacing w:line="316" w:lineRule="auto" w:before="31"/>
        <w:ind w:right="1133"/>
        <w:jc w:val="both"/>
      </w:pPr>
      <w:r>
        <w:rPr>
          <w:spacing w:val="-2"/>
        </w:rPr>
        <w:t>表日即期汇率折算，因汇率不同而产生的汇兑差额，除与购建符合资本化条件资产有关的外币专门借款本金及利息的汇兑差</w:t>
      </w:r>
      <w:r>
        <w:rPr>
          <w:spacing w:val="-64"/>
        </w:rPr>
        <w:t> </w:t>
      </w:r>
      <w:r>
        <w:rPr>
          <w:spacing w:val="-64"/>
        </w:rPr>
      </w: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p>
    <w:p>
      <w:pPr>
        <w:pStyle w:val="BodyText"/>
        <w:spacing w:line="300" w:lineRule="auto" w:before="19"/>
        <w:ind w:left="513" w:right="1133"/>
        <w:jc w:val="left"/>
      </w:pPr>
      <w:r>
        <w:rPr>
          <w:rFonts w:ascii="Times New Roman" w:hAnsi="Times New Roman" w:cs="Times New Roman" w:eastAsia="Times New Roman" w:hint="default"/>
        </w:rPr>
        <w:t>2</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right="1129"/>
        <w:jc w:val="both"/>
      </w:pPr>
      <w:r>
        <w:rPr>
          <w:spacing w:val="-2"/>
        </w:rPr>
        <w:t>目采用交易发生日的即期汇率折算；利润表中的收入和费用项目，采用交易发生日即期汇率的近似汇率。按照上述折算产生</w:t>
      </w:r>
      <w:r>
        <w:rPr>
          <w:spacing w:val="-62"/>
        </w:rPr>
        <w:t> </w:t>
      </w:r>
      <w:r>
        <w:rPr>
          <w:spacing w:val="-62"/>
        </w:rPr>
      </w:r>
      <w:r>
        <w:rPr>
          <w:spacing w:val="-2"/>
        </w:rPr>
        <w:t>的外币财务报表折算差额，在资产负债表中所有者权益项目下其他综合收益中列示。处置境外经营时，将与该境外经营相关</w:t>
      </w:r>
      <w:r>
        <w:rPr>
          <w:spacing w:val="-63"/>
        </w:rPr>
        <w:t> </w:t>
      </w:r>
      <w:r>
        <w:rPr>
          <w:spacing w:val="-63"/>
        </w:rPr>
      </w:r>
      <w:r>
        <w:rPr/>
        <w:t>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在本公司成为金融工具合同的一方时确认一项金融资产或金融负债。</w:t>
      </w:r>
    </w:p>
    <w:p>
      <w:pPr>
        <w:pStyle w:val="BodyText"/>
        <w:spacing w:line="300" w:lineRule="auto" w:before="76"/>
        <w:ind w:left="513" w:right="0"/>
        <w:jc w:val="left"/>
      </w:pPr>
      <w:r>
        <w:rPr>
          <w:rFonts w:ascii="Times New Roman" w:hAnsi="Times New Roman" w:cs="Times New Roman" w:eastAsia="Times New Roman" w:hint="default"/>
        </w:rPr>
        <w:t>1</w:t>
      </w:r>
      <w:r>
        <w:rPr/>
        <w:t>、金融资产的分类、确认和计量 </w:t>
      </w:r>
      <w:r>
        <w:rPr>
          <w:spacing w:val="-4"/>
        </w:rPr>
        <w:t>本公司根据管理金融资产的业务模式和金融资产的合同现金流量特征，将金融资产划分为：以摊余成本计量的金融资产；</w:t>
      </w:r>
    </w:p>
    <w:p>
      <w:pPr>
        <w:pStyle w:val="BodyText"/>
        <w:spacing w:line="316" w:lineRule="auto" w:before="31"/>
        <w:ind w:left="513" w:right="1129" w:hanging="361"/>
        <w:jc w:val="left"/>
      </w:pPr>
      <w:r>
        <w:rPr/>
        <w:t>以公允价值计量且其变动计入其他综合收益的金融资产；以公允价值计量且其变动计入当期损益的金融资产。 </w:t>
      </w:r>
      <w:r>
        <w:rPr>
          <w:spacing w:val="-2"/>
        </w:rPr>
        <w:t>金融资产在初始确认时以公允价值计量。对于以公允价值计量且其变动计入当期损益的金融资产，相关交易费用直接计</w:t>
      </w:r>
    </w:p>
    <w:p>
      <w:pPr>
        <w:pStyle w:val="BodyText"/>
        <w:spacing w:line="316" w:lineRule="auto" w:before="19"/>
        <w:ind w:right="1131"/>
        <w:jc w:val="both"/>
      </w:pPr>
      <w:r>
        <w:rPr>
          <w:spacing w:val="-2"/>
        </w:rPr>
        <w:t>入当期损益；对于其他类别的金融资产，相关交易费用计入初始确认金额。因销售产品或提供劳务而产生的、未包含或不考</w:t>
      </w:r>
      <w:r>
        <w:rPr>
          <w:spacing w:val="-65"/>
        </w:rPr>
        <w:t> </w:t>
      </w:r>
      <w:r>
        <w:rPr>
          <w:spacing w:val="-65"/>
        </w:rPr>
      </w:r>
      <w:r>
        <w:rPr/>
        <w:t>虑重大融资成分的应收账款或应收票据，本公司按照预期有权收取的对价金额作为初始确认金额。</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513" w:right="1129"/>
        <w:jc w:val="left"/>
      </w:pPr>
      <w:r>
        <w:rPr>
          <w:rFonts w:ascii="Times New Roman" w:hAnsi="Times New Roman" w:cs="Times New Roman" w:eastAsia="Times New Roman" w:hint="default"/>
        </w:rPr>
        <w:t>(1)</w:t>
      </w:r>
      <w:r>
        <w:rPr/>
        <w:t>以摊余成本计量的金融资产</w:t>
      </w:r>
      <w:r>
        <w:rPr>
          <w:w w:val="99"/>
        </w:rPr>
        <w:t> </w:t>
      </w:r>
      <w:r>
        <w:rPr>
          <w:spacing w:val="-2"/>
          <w:w w:val="99"/>
        </w:rPr>
        <w:t>本公司管理以摊余成本计量的金融资产的业务模式为以收取合同现金流量为目标，且此类金融资产的合同现金流量特征</w:t>
      </w:r>
      <w:r>
        <w:rPr>
          <w:spacing w:val="-2"/>
        </w:rPr>
      </w:r>
    </w:p>
    <w:p>
      <w:pPr>
        <w:pStyle w:val="BodyText"/>
        <w:spacing w:line="316" w:lineRule="auto" w:before="31"/>
        <w:ind w:right="1129"/>
        <w:jc w:val="both"/>
      </w:pPr>
      <w:r>
        <w:rPr>
          <w:spacing w:val="-2"/>
        </w:rPr>
        <w:t>与基本借贷安排相一致，即在特定日期产生的现金流量，仅为对本金和以未偿付本金金额为基础的利息的支付。本公司对于</w:t>
      </w:r>
      <w:r>
        <w:rPr>
          <w:spacing w:val="-62"/>
        </w:rPr>
        <w:t> </w:t>
      </w:r>
      <w:r>
        <w:rPr>
          <w:spacing w:val="-62"/>
        </w:rPr>
      </w:r>
      <w:r>
        <w:rPr/>
        <w:t>此类金融资产，采用实际利率法，按照摊余成本进行后续计量，其摊销或减值产生的利得或损失，计入当期损益。</w:t>
      </w:r>
    </w:p>
    <w:p>
      <w:pPr>
        <w:pStyle w:val="BodyText"/>
        <w:spacing w:line="300" w:lineRule="auto" w:before="19"/>
        <w:ind w:left="513" w:right="1129"/>
        <w:jc w:val="left"/>
      </w:pPr>
      <w:r>
        <w:rPr>
          <w:rFonts w:ascii="Times New Roman" w:hAnsi="Times New Roman" w:cs="Times New Roman" w:eastAsia="Times New Roman" w:hint="default"/>
        </w:rPr>
        <w:t>(2)</w:t>
      </w:r>
      <w:r>
        <w:rPr/>
        <w:t>以公允价值计量且其变动计入其他综合收益的金融资产</w:t>
      </w:r>
      <w:r>
        <w:rPr>
          <w:w w:val="99"/>
        </w:rPr>
        <w:t> </w:t>
      </w:r>
      <w:r>
        <w:rPr>
          <w:spacing w:val="-2"/>
          <w:w w:val="99"/>
        </w:rPr>
        <w:t>本公司管理此类金融资产的业务模式为既以收取合同现金流量为目标又以出售为目标，且此类金融资产的合同现金流量</w:t>
      </w:r>
      <w:r>
        <w:rPr>
          <w:spacing w:val="-2"/>
        </w:rPr>
      </w:r>
    </w:p>
    <w:p>
      <w:pPr>
        <w:pStyle w:val="BodyText"/>
        <w:spacing w:line="316" w:lineRule="auto" w:before="31"/>
        <w:ind w:right="1130"/>
        <w:jc w:val="both"/>
      </w:pPr>
      <w:r>
        <w:rPr>
          <w:spacing w:val="-2"/>
        </w:rPr>
        <w:t>特征与基本借贷安排相一致。本公司对此类金融资产按照公允价值计量且其变动计入其他综合收益，但减值损失或利得、汇</w:t>
      </w:r>
      <w:r>
        <w:rPr>
          <w:spacing w:val="-63"/>
        </w:rPr>
        <w:t> </w:t>
      </w:r>
      <w:r>
        <w:rPr>
          <w:spacing w:val="-63"/>
        </w:rPr>
      </w:r>
      <w:r>
        <w:rPr/>
        <w:t>兑损益和按照实际利率法计算的利息收入计入当期损益。</w:t>
      </w:r>
    </w:p>
    <w:p>
      <w:pPr>
        <w:pStyle w:val="BodyText"/>
        <w:spacing w:line="316" w:lineRule="auto" w:before="19"/>
        <w:ind w:right="1130" w:firstLine="360"/>
        <w:jc w:val="both"/>
      </w:pPr>
      <w:r>
        <w:rPr>
          <w:spacing w:val="-2"/>
        </w:rPr>
        <w:t>此外，本公司将部分非交易性权益工具投资指定为以公允价值计量且其变动计入其他综合收益的金融资产。本公司将该</w:t>
      </w:r>
      <w:r>
        <w:rPr/>
        <w:t> </w:t>
      </w:r>
      <w:r>
        <w:rPr>
          <w:spacing w:val="-2"/>
        </w:rPr>
        <w:t>类金融资产的相关股利收入计入当期损益，公允价值变动计入其他综合收益。当该金融资产终止确认时，之前计入其他综合</w:t>
      </w:r>
      <w:r>
        <w:rPr>
          <w:spacing w:val="-63"/>
        </w:rPr>
        <w:t> </w:t>
      </w:r>
      <w:r>
        <w:rPr>
          <w:spacing w:val="-63"/>
        </w:rPr>
      </w:r>
      <w:r>
        <w:rPr/>
        <w:t>收益的累计利得或损失将从其他综合收益转入留存收益，不计入当期损益。</w:t>
      </w:r>
    </w:p>
    <w:p>
      <w:pPr>
        <w:pStyle w:val="BodyText"/>
        <w:spacing w:line="300" w:lineRule="auto" w:before="19"/>
        <w:ind w:left="513" w:right="1129"/>
        <w:jc w:val="left"/>
      </w:pPr>
      <w:r>
        <w:rPr>
          <w:rFonts w:ascii="Times New Roman" w:hAnsi="Times New Roman" w:cs="Times New Roman" w:eastAsia="Times New Roman" w:hint="default"/>
        </w:rPr>
        <w:t>(3)</w:t>
      </w:r>
      <w:r>
        <w:rPr/>
        <w:t>以公允价值计量且其变动计入当期损益的金融资产</w:t>
      </w:r>
      <w:r>
        <w:rPr>
          <w:w w:val="99"/>
        </w:rPr>
        <w:t> </w:t>
      </w:r>
      <w:r>
        <w:rPr>
          <w:spacing w:val="-2"/>
          <w:w w:val="99"/>
        </w:rPr>
        <w:t>本公司将上述以摊余成本计量的金融资产和以公允价值计量且其变动计入其他综合收益的金融资产之外的金融资产，分</w:t>
      </w:r>
      <w:r>
        <w:rPr>
          <w:spacing w:val="-2"/>
        </w:rPr>
      </w:r>
    </w:p>
    <w:p>
      <w:pPr>
        <w:pStyle w:val="BodyText"/>
        <w:spacing w:line="316" w:lineRule="auto" w:before="31"/>
        <w:ind w:right="1128"/>
        <w:jc w:val="both"/>
      </w:pPr>
      <w:r>
        <w:rPr>
          <w:spacing w:val="-2"/>
        </w:rPr>
        <w:t>类为以公允价值计量且其变动计入当期损益的金融资产。此外，在初始确认时，本公司为了消除或显著减少会计错配，将部</w:t>
      </w:r>
      <w:r>
        <w:rPr>
          <w:spacing w:val="-62"/>
        </w:rPr>
        <w:t> </w:t>
      </w:r>
      <w:r>
        <w:rPr>
          <w:spacing w:val="-62"/>
        </w:rPr>
      </w:r>
      <w:r>
        <w:rPr>
          <w:spacing w:val="-2"/>
        </w:rPr>
        <w:t>分金融资产指定为以公允价值计量且其变动计入当期损益的金融资产。对于此类金融资产，本公司采用公允价值进行后续计</w:t>
      </w:r>
      <w:r>
        <w:rPr>
          <w:spacing w:val="-64"/>
        </w:rPr>
        <w:t> </w:t>
      </w:r>
      <w:r>
        <w:rPr>
          <w:spacing w:val="-64"/>
        </w:rPr>
      </w:r>
      <w:r>
        <w:rPr/>
        <w:t>量，公允价值变动计入当期损益。</w:t>
      </w:r>
    </w:p>
    <w:p>
      <w:pPr>
        <w:pStyle w:val="BodyText"/>
        <w:spacing w:line="300" w:lineRule="auto" w:before="19"/>
        <w:ind w:left="513" w:right="1129"/>
        <w:jc w:val="left"/>
      </w:pPr>
      <w:r>
        <w:rPr>
          <w:rFonts w:ascii="Times New Roman" w:hAnsi="Times New Roman" w:cs="Times New Roman" w:eastAsia="Times New Roman" w:hint="default"/>
        </w:rPr>
        <w:t>2</w:t>
      </w:r>
      <w:r>
        <w:rPr/>
        <w:t>、金融负债的分类、确认和计量 </w:t>
      </w:r>
      <w:r>
        <w:rPr>
          <w:spacing w:val="-2"/>
        </w:rPr>
        <w:t>金融负债于初始确认时分类为以公允价值计量且其变动计入当期损益的金融负债和其他金融负债。对于以公允价值计量</w:t>
      </w:r>
    </w:p>
    <w:p>
      <w:pPr>
        <w:pStyle w:val="BodyText"/>
        <w:spacing w:line="309" w:lineRule="auto" w:before="31"/>
        <w:ind w:left="513" w:right="1034" w:hanging="361"/>
        <w:jc w:val="left"/>
      </w:pPr>
      <w:r>
        <w:rPr/>
        <w:t>且其变动计入当期损益的金融负债，相关交易费用直接计入当期损益，其他金融负债的相关交易费用计入其初始确认金额。 </w:t>
      </w:r>
      <w:r>
        <w:rPr>
          <w:rFonts w:ascii="Times New Roman" w:hAnsi="Times New Roman" w:cs="Times New Roman" w:eastAsia="Times New Roman" w:hint="default"/>
        </w:rPr>
        <w:t>(1)</w:t>
      </w:r>
      <w:r>
        <w:rPr/>
        <w:t>以公允价值计量且其变动计入当期损益的金融负债 </w:t>
      </w:r>
      <w:r>
        <w:rPr>
          <w:spacing w:val="-2"/>
        </w:rPr>
        <w:t>以公允价值计量且其变动计入当期损益的金融负债，包括交易性金融负债（含属于金融负债的衍生工具）和初始确认时</w:t>
      </w:r>
    </w:p>
    <w:p>
      <w:pPr>
        <w:pStyle w:val="BodyText"/>
        <w:spacing w:line="316" w:lineRule="auto" w:before="24"/>
        <w:ind w:left="513" w:right="1133" w:hanging="361"/>
        <w:jc w:val="left"/>
      </w:pPr>
      <w:r>
        <w:rPr/>
        <w:t>指定为以公允价值计量且其变动计入当期损益的金融负债。 </w:t>
      </w:r>
      <w:r>
        <w:rPr>
          <w:spacing w:val="-2"/>
        </w:rPr>
        <w:t>交易性金融负债（含属于金融负债的衍生工具），按照公允价值进行后续计量，除与套期会计有关外，公允价值变动计</w:t>
      </w:r>
    </w:p>
    <w:p>
      <w:pPr>
        <w:pStyle w:val="BodyText"/>
        <w:spacing w:line="240" w:lineRule="auto" w:before="19"/>
        <w:ind w:right="1133"/>
        <w:jc w:val="left"/>
      </w:pPr>
      <w:r>
        <w:rPr/>
        <w:t>入当期损益。</w:t>
      </w:r>
    </w:p>
    <w:p>
      <w:pPr>
        <w:pStyle w:val="BodyText"/>
        <w:spacing w:line="316" w:lineRule="auto" w:before="76"/>
        <w:ind w:right="0" w:firstLine="360"/>
        <w:jc w:val="left"/>
      </w:pPr>
      <w:r>
        <w:rPr>
          <w:spacing w:val="-2"/>
        </w:rPr>
        <w:t>被指定为以公允价值计量且其变动计入当期损益的金融负债，该负债由本公司自身信用风险变动引起的公允价值变动计</w:t>
      </w:r>
      <w:r>
        <w:rPr/>
        <w:t> </w:t>
      </w:r>
      <w:r>
        <w:rPr>
          <w:spacing w:val="-4"/>
        </w:rPr>
        <w:t>入其他综合收益，且终止确认该负债时，计入其他综合收益的自身信用风险变动引起的其公允价值累计变动额转入留存收益。</w:t>
      </w:r>
      <w:r>
        <w:rPr>
          <w:spacing w:val="-44"/>
        </w:rPr>
        <w:t> </w:t>
      </w:r>
      <w:r>
        <w:rPr>
          <w:spacing w:val="-44"/>
        </w:rPr>
      </w:r>
      <w:r>
        <w:rPr>
          <w:spacing w:val="-2"/>
        </w:rPr>
        <w:t>其余公允价值变动计入当期损益。若按上述方式对该等金融负债的自身信用风险变动的影响进行处理会造成或扩大损益中的</w:t>
      </w:r>
      <w:r>
        <w:rPr>
          <w:spacing w:val="-63"/>
        </w:rPr>
        <w:t> </w:t>
      </w:r>
      <w:r>
        <w:rPr>
          <w:spacing w:val="-63"/>
        </w:rPr>
      </w:r>
      <w:r>
        <w:rPr/>
        <w:t>会计错配的，本公司将该金融负债的全部利得或损失（包括企业自身信用风险变动的影响金额）计入当期损益。</w:t>
      </w:r>
    </w:p>
    <w:p>
      <w:pPr>
        <w:pStyle w:val="BodyText"/>
        <w:spacing w:line="300" w:lineRule="auto" w:before="19"/>
        <w:ind w:left="513" w:right="1129"/>
        <w:jc w:val="left"/>
      </w:pPr>
      <w:r>
        <w:rPr>
          <w:rFonts w:ascii="Times New Roman" w:hAnsi="Times New Roman" w:cs="Times New Roman" w:eastAsia="Times New Roman" w:hint="default"/>
        </w:rPr>
        <w:t>(2)</w:t>
      </w:r>
      <w:r>
        <w:rPr/>
        <w:t>其他金融负债</w:t>
      </w:r>
      <w:r>
        <w:rPr>
          <w:w w:val="99"/>
        </w:rPr>
        <w:t> </w:t>
      </w:r>
      <w:r>
        <w:rPr>
          <w:spacing w:val="-2"/>
          <w:w w:val="99"/>
        </w:rPr>
        <w:t>除金融资产转移不符合终止确认条件或继续涉入被转移金融资产所形成的金融负债、财务担保合同外的其他金融负债分</w:t>
      </w:r>
      <w:r>
        <w:rPr>
          <w:spacing w:val="-2"/>
        </w:rPr>
      </w:r>
    </w:p>
    <w:p>
      <w:pPr>
        <w:pStyle w:val="BodyText"/>
        <w:spacing w:line="309" w:lineRule="auto" w:before="31"/>
        <w:ind w:left="513" w:right="1129" w:hanging="361"/>
        <w:jc w:val="left"/>
      </w:pPr>
      <w:r>
        <w:rPr/>
        <w:t>类为以摊余成本计量的金融负债，按摊余成本进行后续计量，终止确认或摊销产生的利得或损失计入当期损益。 </w:t>
      </w:r>
      <w:r>
        <w:rPr>
          <w:rFonts w:ascii="Times New Roman" w:hAnsi="Times New Roman" w:cs="Times New Roman" w:eastAsia="Times New Roman" w:hint="default"/>
        </w:rPr>
        <w:t>3</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24"/>
        <w:ind w:right="1132"/>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所有权上几乎所有的风险和报酬，但是放弃了对该金融资产的控制。</w:t>
      </w:r>
    </w:p>
    <w:p>
      <w:pPr>
        <w:pStyle w:val="BodyText"/>
        <w:spacing w:line="316" w:lineRule="auto" w:before="19"/>
        <w:ind w:right="113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p>
    <w:p>
      <w:pPr>
        <w:pStyle w:val="BodyText"/>
        <w:spacing w:line="316" w:lineRule="auto" w:before="19"/>
        <w:ind w:right="1132"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9" w:lineRule="auto" w:before="19"/>
        <w:ind w:right="113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240" w:lineRule="auto" w:before="17"/>
        <w:ind w:left="513" w:right="0"/>
        <w:jc w:val="left"/>
      </w:pPr>
      <w:r>
        <w:rPr/>
        <w:t>本公司对采用附追索权方式出售的金融资产，或将持有的金融资产背书转让，需确定该金融资产所有权上几乎所有的风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jc w:val="both"/>
      </w:pP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513" w:right="0"/>
        <w:jc w:val="left"/>
      </w:pPr>
      <w:r>
        <w:rPr>
          <w:rFonts w:ascii="Times New Roman" w:hAnsi="Times New Roman" w:cs="Times New Roman" w:eastAsia="Times New Roman" w:hint="default"/>
        </w:rPr>
        <w:t>4</w:t>
      </w:r>
      <w:r>
        <w:rPr/>
        <w:t>、金融负债的终止确认 </w:t>
      </w:r>
      <w:r>
        <w:rPr>
          <w:spacing w:val="-4"/>
        </w:rPr>
        <w:t>金融负债（或其一部分）的现时义务已经解除的，本公司终止确认该金融负债（或该部分金融负债）。本公司（借入方）</w:t>
      </w:r>
    </w:p>
    <w:p>
      <w:pPr>
        <w:pStyle w:val="BodyText"/>
        <w:spacing w:line="316" w:lineRule="auto" w:before="31"/>
        <w:ind w:right="1130"/>
        <w:jc w:val="both"/>
      </w:pPr>
      <w:r>
        <w:rPr>
          <w:spacing w:val="-2"/>
        </w:rPr>
        <w:t>与借出方签订协议，以承担新金融负债的方式替换原金融负债，且新金融负债与原金融负债的合同条款实质上不同的，终止</w:t>
      </w:r>
      <w:r>
        <w:rPr>
          <w:spacing w:val="-63"/>
        </w:rPr>
        <w:t> </w:t>
      </w:r>
      <w:r>
        <w:rPr>
          <w:spacing w:val="-63"/>
        </w:rPr>
      </w:r>
      <w:r>
        <w:rPr>
          <w:spacing w:val="-2"/>
        </w:rPr>
        <w:t>确认原金融负债，同时确认一项新金融负债。本公司对原金融负债（或其一部分）的合同条款作出实质性修改的，终止确认</w:t>
      </w:r>
      <w:r>
        <w:rPr>
          <w:spacing w:val="-66"/>
        </w:rPr>
        <w:t> </w:t>
      </w:r>
      <w:r>
        <w:rPr>
          <w:spacing w:val="-66"/>
        </w:rPr>
      </w:r>
      <w:r>
        <w:rPr/>
        <w:t>原金融负债，同时按照修改后的条款确认一项新金融负债。</w:t>
      </w:r>
    </w:p>
    <w:p>
      <w:pPr>
        <w:pStyle w:val="BodyText"/>
        <w:spacing w:line="316" w:lineRule="auto" w:before="19"/>
        <w:ind w:right="1134" w:firstLine="360"/>
        <w:jc w:val="both"/>
      </w:pPr>
      <w:r>
        <w:rPr>
          <w:spacing w:val="-2"/>
        </w:rPr>
        <w:t>金融负债（或其一部分）终止确认的，本公司将其账面价值与支付的对价（包括转出的非现金资产或承担的负债）之间</w:t>
      </w:r>
      <w:r>
        <w:rPr/>
        <w:t> 的差额，计入当期损益。</w:t>
      </w:r>
    </w:p>
    <w:p>
      <w:pPr>
        <w:pStyle w:val="BodyText"/>
        <w:spacing w:line="300" w:lineRule="auto" w:before="19"/>
        <w:ind w:left="513" w:right="1129"/>
        <w:jc w:val="left"/>
      </w:pPr>
      <w:r>
        <w:rPr>
          <w:rFonts w:ascii="Times New Roman" w:hAnsi="Times New Roman" w:cs="Times New Roman" w:eastAsia="Times New Roman" w:hint="default"/>
        </w:rPr>
        <w:t>5</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1133"/>
        <w:jc w:val="both"/>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p>
    <w:p>
      <w:pPr>
        <w:pStyle w:val="BodyText"/>
        <w:spacing w:line="300" w:lineRule="auto" w:before="19"/>
        <w:ind w:left="513" w:right="1213"/>
        <w:jc w:val="left"/>
      </w:pPr>
      <w:r>
        <w:rPr>
          <w:rFonts w:ascii="Times New Roman" w:hAnsi="Times New Roman" w:cs="Times New Roman" w:eastAsia="Times New Roman" w:hint="default"/>
        </w:rPr>
        <w:t>6</w:t>
      </w:r>
      <w:r>
        <w:rPr/>
        <w:t>、金融资产和金融负债的公允价值确定方法 公司采用在当前情况下适用并且有足够可利用数据和其他信息支持的估值技术确定相关金融资产和金融负债的公允价</w:t>
      </w:r>
    </w:p>
    <w:p>
      <w:pPr>
        <w:pStyle w:val="BodyText"/>
        <w:spacing w:line="309" w:lineRule="auto" w:before="31"/>
        <w:ind w:left="513" w:right="1183" w:hanging="361"/>
        <w:jc w:val="left"/>
      </w:pPr>
      <w:r>
        <w:rPr/>
        <w:t>值。公司将估值技术使用的输入值分以下层级，并依次使用： </w:t>
      </w:r>
      <w:r>
        <w:rPr>
          <w:rFonts w:ascii="Times New Roman" w:hAnsi="Times New Roman" w:cs="Times New Roman" w:eastAsia="Times New Roman" w:hint="default"/>
        </w:rPr>
        <w:t>(1)</w:t>
      </w:r>
      <w:r>
        <w:rPr/>
        <w:t>第一层次输入值是在计量日能够取得的相同资产或负债在活跃市场上未经调整的报价； </w:t>
      </w:r>
      <w:r>
        <w:rPr>
          <w:rFonts w:ascii="Times New Roman" w:hAnsi="Times New Roman" w:cs="Times New Roman" w:eastAsia="Times New Roman" w:hint="default"/>
        </w:rPr>
        <w:t>(2)</w:t>
      </w:r>
      <w:r>
        <w:rPr/>
        <w:t>第二层次输入值是除第一层次输入值外相关资产或负债直接或间接可观察的输入值，包括：活跃市场中类似资产或</w:t>
      </w:r>
    </w:p>
    <w:p>
      <w:pPr>
        <w:pStyle w:val="BodyText"/>
        <w:spacing w:line="316" w:lineRule="auto" w:before="5"/>
        <w:ind w:right="1130"/>
        <w:jc w:val="both"/>
      </w:pPr>
      <w:r>
        <w:rPr>
          <w:spacing w:val="-2"/>
        </w:rPr>
        <w:t>负债的报价；非活跃市场中相同或类似资产或负债的报价；除报价以外的其他可观察输入值，如在正常报价间隔期间可观察</w:t>
      </w:r>
      <w:r>
        <w:rPr>
          <w:spacing w:val="-63"/>
        </w:rPr>
        <w:t> </w:t>
      </w:r>
      <w:r>
        <w:rPr>
          <w:spacing w:val="-63"/>
        </w:rPr>
      </w:r>
      <w:r>
        <w:rPr/>
        <w:t>的利率和收益率曲线等；市场验证的输入值等；</w:t>
      </w:r>
    </w:p>
    <w:p>
      <w:pPr>
        <w:pStyle w:val="BodyText"/>
        <w:spacing w:line="300" w:lineRule="auto" w:before="19"/>
        <w:ind w:right="1199" w:firstLine="360"/>
        <w:jc w:val="both"/>
      </w:pPr>
      <w:r>
        <w:rPr>
          <w:rFonts w:ascii="Times New Roman" w:hAnsi="Times New Roman" w:cs="Times New Roman" w:eastAsia="Times New Roman" w:hint="default"/>
        </w:rPr>
        <w:t>(3)</w:t>
      </w:r>
      <w:r>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300" w:lineRule="auto" w:before="31"/>
        <w:ind w:left="513" w:right="1129"/>
        <w:jc w:val="left"/>
      </w:pPr>
      <w:r>
        <w:rPr>
          <w:rFonts w:ascii="Times New Roman" w:hAnsi="Times New Roman" w:cs="Times New Roman" w:eastAsia="Times New Roman" w:hint="default"/>
        </w:rPr>
        <w:t>7</w:t>
      </w:r>
      <w:r>
        <w:rPr/>
        <w:t>、权益工具 </w:t>
      </w:r>
      <w:r>
        <w:rPr>
          <w:spacing w:val="-1"/>
        </w:rPr>
        <w:t>权益工具是指能证明拥有本公司在扣除所有负债后的资产中的剩余权益的合同。本公司发行</w:t>
      </w:r>
      <w:r>
        <w:rPr>
          <w:rFonts w:ascii="Times New Roman" w:hAnsi="Times New Roman" w:cs="Times New Roman" w:eastAsia="Times New Roman" w:hint="default"/>
          <w:spacing w:val="-1"/>
        </w:rPr>
        <w:t>(</w:t>
      </w:r>
      <w:r>
        <w:rPr>
          <w:spacing w:val="-1"/>
        </w:rPr>
        <w:t>含再融资</w:t>
      </w:r>
      <w:r>
        <w:rPr>
          <w:rFonts w:ascii="Times New Roman" w:hAnsi="Times New Roman" w:cs="Times New Roman" w:eastAsia="Times New Roman" w:hint="default"/>
          <w:spacing w:val="-1"/>
        </w:rPr>
        <w:t>)</w:t>
      </w:r>
      <w:r>
        <w:rPr>
          <w:spacing w:val="-1"/>
        </w:rPr>
        <w:t>、回购、出售或</w:t>
      </w:r>
    </w:p>
    <w:p>
      <w:pPr>
        <w:pStyle w:val="BodyText"/>
        <w:spacing w:line="307" w:lineRule="auto" w:before="13"/>
        <w:ind w:left="513" w:right="1034" w:hanging="361"/>
        <w:jc w:val="left"/>
      </w:pPr>
      <w:r>
        <w:rPr/>
        <w:t>注销权益工具作为权益的变动处理。本公司不确认权益工具的公允价值变动。与权益性交易相关的交易费用从权益中扣减。 本公司对权益工具持有方的各种分配</w:t>
      </w:r>
      <w:r>
        <w:rPr>
          <w:rFonts w:ascii="Times New Roman" w:hAnsi="Times New Roman" w:cs="Times New Roman" w:eastAsia="Times New Roman" w:hint="default"/>
        </w:rPr>
        <w:t>(</w:t>
      </w:r>
      <w:r>
        <w:rPr/>
        <w:t>不包括股票股利</w:t>
      </w:r>
      <w:r>
        <w:rPr>
          <w:rFonts w:ascii="Times New Roman" w:hAnsi="Times New Roman" w:cs="Times New Roman" w:eastAsia="Times New Roman" w:hint="default"/>
        </w:rPr>
        <w:t>)</w:t>
      </w:r>
      <w:r>
        <w:rPr/>
        <w:t>，减少股东权益。本公司不确认权益工具的公允价值变动额。 </w:t>
      </w:r>
      <w:r>
        <w:rPr>
          <w:rFonts w:ascii="Times New Roman" w:hAnsi="Times New Roman" w:cs="Times New Roman" w:eastAsia="Times New Roman" w:hint="default"/>
        </w:rPr>
        <w:t>8</w:t>
      </w:r>
      <w:r>
        <w:rPr/>
        <w:t>、金融资产减值 </w:t>
      </w:r>
      <w:r>
        <w:rPr>
          <w:spacing w:val="-2"/>
        </w:rPr>
        <w:t>本公司需确认减值损失的金融资产系以摊余成本计量的金融资产、以公允价值计量且其变动计入其他综合收益的债务工</w:t>
      </w:r>
    </w:p>
    <w:p>
      <w:pPr>
        <w:pStyle w:val="BodyText"/>
        <w:spacing w:line="316" w:lineRule="auto" w:before="26"/>
        <w:ind w:right="1130"/>
        <w:jc w:val="both"/>
      </w:pPr>
      <w:r>
        <w:rPr>
          <w:spacing w:val="-2"/>
        </w:rPr>
        <w:t>具投资，主要包括应收票据、应收账款、其他应收款、债权投资、其他债权投资、长期应收款等。此外，对合同资产及部分</w:t>
      </w:r>
      <w:r>
        <w:rPr>
          <w:spacing w:val="-65"/>
        </w:rPr>
        <w:t> </w:t>
      </w:r>
      <w:r>
        <w:rPr>
          <w:spacing w:val="-65"/>
        </w:rPr>
      </w:r>
      <w:r>
        <w:rPr/>
        <w:t>财务担保合同，也按照本部分所述会计政策计提减值准备和确认信用减值损失。</w:t>
      </w:r>
    </w:p>
    <w:p>
      <w:pPr>
        <w:pStyle w:val="BodyText"/>
        <w:spacing w:line="300" w:lineRule="auto" w:before="19"/>
        <w:ind w:left="513" w:right="1129"/>
        <w:jc w:val="left"/>
      </w:pPr>
      <w:r>
        <w:rPr>
          <w:rFonts w:ascii="Times New Roman" w:hAnsi="Times New Roman" w:cs="Times New Roman" w:eastAsia="Times New Roman" w:hint="default"/>
        </w:rPr>
        <w:t>(1)</w:t>
      </w:r>
      <w:r>
        <w:rPr/>
        <w:t>减值准备的确认方法</w:t>
      </w:r>
      <w:r>
        <w:rPr>
          <w:w w:val="99"/>
        </w:rPr>
        <w:t> </w:t>
      </w:r>
      <w:r>
        <w:rPr>
          <w:spacing w:val="-2"/>
        </w:rPr>
        <w:t>本公司以预期信用损失为基础，对上述各项目按照其适用的预期信用损失计量方法（一般方法或简化方法）计提减值准</w:t>
      </w:r>
    </w:p>
    <w:p>
      <w:pPr>
        <w:pStyle w:val="BodyText"/>
        <w:spacing w:line="316" w:lineRule="auto" w:before="31"/>
        <w:ind w:left="513" w:right="1129" w:hanging="361"/>
        <w:jc w:val="left"/>
      </w:pPr>
      <w:r>
        <w:rPr/>
        <w:t>备并确认信用减值损失。 </w:t>
      </w:r>
      <w:r>
        <w:rPr>
          <w:spacing w:val="-2"/>
        </w:rPr>
        <w:t>信用损失，是指本公司按照原实际利率折现的、根据合同应收的所有合同现金流量与预期收取的所有现金流量之间的差</w:t>
      </w:r>
    </w:p>
    <w:p>
      <w:pPr>
        <w:pStyle w:val="BodyText"/>
        <w:spacing w:line="316" w:lineRule="auto" w:before="19"/>
        <w:ind w:right="1131"/>
        <w:jc w:val="both"/>
      </w:pPr>
      <w:r>
        <w:rPr>
          <w:spacing w:val="-2"/>
        </w:rPr>
        <w:t>额，即全部现金短缺的现值。其中，对于购买或源生的已发生信用减值的金融资产，本公司按照该金融资产经信用调整的实</w:t>
      </w:r>
      <w:r>
        <w:rPr>
          <w:spacing w:val="-64"/>
        </w:rPr>
        <w:t> </w:t>
      </w:r>
      <w:r>
        <w:rPr>
          <w:spacing w:val="-64"/>
        </w:rPr>
      </w:r>
      <w:r>
        <w:rPr/>
        <w:t>际利率折现。</w:t>
      </w:r>
    </w:p>
    <w:p>
      <w:pPr>
        <w:pStyle w:val="BodyText"/>
        <w:spacing w:line="314" w:lineRule="auto" w:before="19"/>
        <w:ind w:right="1131" w:firstLine="360"/>
        <w:jc w:val="both"/>
      </w:pPr>
      <w:r>
        <w:rPr>
          <w:spacing w:val="-2"/>
        </w:rPr>
        <w:t>预期信用损失计量的一般方法是指，本公司在每个资产负债表日评估金融资产（含合同资产等其他适用项目，下同）的</w:t>
      </w:r>
      <w:r>
        <w:rPr/>
        <w:t> </w:t>
      </w:r>
      <w:r>
        <w:rPr>
          <w:spacing w:val="-2"/>
        </w:rPr>
        <w:t>信用风险自初始确认后是否已经显著增加，如果信用风险自初始确认后已显著增加，本公司按照相当于整个存续期内预期信</w:t>
      </w:r>
      <w:r>
        <w:rPr>
          <w:spacing w:val="-64"/>
        </w:rPr>
        <w:t> </w:t>
      </w:r>
      <w:r>
        <w:rPr>
          <w:spacing w:val="-64"/>
        </w:rPr>
      </w:r>
      <w:r>
        <w:rPr>
          <w:spacing w:val="-2"/>
        </w:rPr>
        <w:t>用损失的金额计量损失准备；如果信用风险自初始确认后未显著增加，本公司按照相当于未来</w:t>
      </w:r>
      <w:r>
        <w:rPr>
          <w:rFonts w:ascii="Times New Roman" w:hAnsi="Times New Roman" w:cs="Times New Roman" w:eastAsia="Times New Roman" w:hint="default"/>
          <w:spacing w:val="-2"/>
        </w:rPr>
        <w:t>12</w:t>
      </w:r>
      <w:r>
        <w:rPr>
          <w:spacing w:val="-2"/>
        </w:rPr>
        <w:t>个月内预期信用损失的金额</w:t>
      </w:r>
      <w:r>
        <w:rPr>
          <w:spacing w:val="-62"/>
        </w:rPr>
        <w:t> </w:t>
      </w:r>
      <w:r>
        <w:rPr>
          <w:spacing w:val="-62"/>
        </w:rPr>
      </w:r>
      <w:r>
        <w:rPr>
          <w:spacing w:val="-2"/>
        </w:rPr>
        <w:t>计量损失准备。本公司在评估预期信用损失时，考虑所有合理且有依据的信息，包括前瞻性信息，通过比较金融工具在资产</w:t>
      </w:r>
      <w:r>
        <w:rPr>
          <w:spacing w:val="-65"/>
        </w:rPr>
        <w:t> </w:t>
      </w:r>
      <w:r>
        <w:rPr>
          <w:spacing w:val="-65"/>
        </w:rPr>
      </w:r>
      <w:r>
        <w:rPr/>
        <w:t>负债表日发生违约的风险与在初始确认日发生违约的风险，以确定金融工具的信用风险自初始确认后是否已显著增加。</w:t>
      </w:r>
    </w:p>
    <w:p>
      <w:pPr>
        <w:pStyle w:val="BodyText"/>
        <w:spacing w:line="316" w:lineRule="auto" w:before="21"/>
        <w:ind w:right="1132" w:firstLine="360"/>
        <w:jc w:val="both"/>
      </w:pPr>
      <w:r>
        <w:rPr>
          <w:spacing w:val="-2"/>
        </w:rPr>
        <w:t>本公司对于处于不同阶段的金融工具的预期信用损失分别进行计量。金融工具自初始确认后信用风险未显著增加的，处</w:t>
      </w:r>
      <w:r>
        <w:rPr/>
        <w:t> </w:t>
      </w:r>
      <w:r>
        <w:rPr>
          <w:spacing w:val="-2"/>
        </w:rPr>
        <w:t>于第一阶段，本公司按照未来</w:t>
      </w:r>
      <w:r>
        <w:rPr>
          <w:rFonts w:ascii="Times New Roman" w:hAnsi="Times New Roman" w:cs="Times New Roman" w:eastAsia="Times New Roman" w:hint="default"/>
          <w:spacing w:val="-2"/>
        </w:rPr>
        <w:t>12</w:t>
      </w:r>
      <w:r>
        <w:rPr>
          <w:spacing w:val="-2"/>
        </w:rPr>
        <w:t>个月内的预期信用损失计量损失准备；金融工具自初始确认后信用风险已显著增加但尚未发</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生信用减值的，处于第二阶段，本公司按照该工具整体存续期的预期信用损失计量损失准备；金融工具自初始确认后已经发</w:t>
      </w:r>
      <w:r>
        <w:rPr>
          <w:spacing w:val="-61"/>
        </w:rPr>
        <w:t> </w:t>
      </w:r>
      <w:r>
        <w:rPr>
          <w:spacing w:val="-61"/>
        </w:rPr>
      </w:r>
      <w:r>
        <w:rPr/>
        <w:t>生信用减值的，处于第三阶段，本公司按照该工具整个存续期的预期信用损失计量损失准备。</w:t>
      </w:r>
    </w:p>
    <w:p>
      <w:pPr>
        <w:pStyle w:val="BodyText"/>
        <w:spacing w:line="300" w:lineRule="auto" w:before="19"/>
        <w:ind w:left="513" w:right="1213"/>
        <w:jc w:val="left"/>
      </w:pPr>
      <w:r>
        <w:rPr>
          <w:rFonts w:ascii="Times New Roman" w:hAnsi="Times New Roman" w:cs="Times New Roman" w:eastAsia="Times New Roman" w:hint="default"/>
        </w:rPr>
        <w:t>(2)</w:t>
      </w:r>
      <w:r>
        <w:rPr/>
        <w:t>信用风险自初始确认后是否显著增加的判断标准</w:t>
      </w:r>
      <w:r>
        <w:rPr>
          <w:w w:val="99"/>
        </w:rPr>
        <w:t> </w:t>
      </w:r>
      <w:r>
        <w:rPr/>
        <w:t>如果某项金融资产在资产负债表日确定的预计存续期内的违约概率显著高于在初始确认时确定的预计存续期内的违约</w:t>
      </w:r>
    </w:p>
    <w:p>
      <w:pPr>
        <w:pStyle w:val="BodyText"/>
        <w:spacing w:line="300" w:lineRule="auto" w:before="31"/>
        <w:ind w:right="0"/>
        <w:jc w:val="left"/>
      </w:pPr>
      <w:r>
        <w:rPr>
          <w:spacing w:val="-2"/>
        </w:rPr>
        <w:t>概率，则表明该项金融资产的信用风险显著增加。除特殊情况外，本公司采用未来</w:t>
      </w:r>
      <w:r>
        <w:rPr>
          <w:rFonts w:ascii="Times New Roman" w:hAnsi="Times New Roman" w:cs="Times New Roman" w:eastAsia="Times New Roman" w:hint="default"/>
          <w:spacing w:val="-2"/>
        </w:rPr>
        <w:t>12</w:t>
      </w:r>
      <w:r>
        <w:rPr>
          <w:spacing w:val="-2"/>
        </w:rPr>
        <w:t>个月内发生的违约风险的变化作为整个</w:t>
      </w:r>
      <w:r>
        <w:rPr>
          <w:spacing w:val="-61"/>
        </w:rPr>
        <w:t> </w:t>
      </w:r>
      <w:r>
        <w:rPr>
          <w:spacing w:val="-61"/>
        </w:rPr>
      </w:r>
      <w:r>
        <w:rPr/>
        <w:t>存续期内发生违约风险变化的合理估计，来确定自初始确认后信用风险是否显著增加。</w:t>
      </w:r>
    </w:p>
    <w:p>
      <w:pPr>
        <w:pStyle w:val="BodyText"/>
        <w:spacing w:line="240" w:lineRule="auto" w:before="31"/>
        <w:ind w:left="513" w:right="0"/>
        <w:jc w:val="left"/>
      </w:pPr>
      <w:r>
        <w:rPr/>
        <w:t>于资产负债表日，若公司判断金融工具只具有较低的信用风险，则假定该金融工具的信用风险自初始确认后并未显著增</w:t>
      </w:r>
    </w:p>
    <w:p>
      <w:pPr>
        <w:pStyle w:val="BodyText"/>
        <w:spacing w:line="240" w:lineRule="auto" w:before="76"/>
        <w:ind w:right="1133"/>
        <w:jc w:val="left"/>
      </w:pPr>
      <w:r>
        <w:rPr/>
        <w:t>加。</w:t>
      </w:r>
    </w:p>
    <w:p>
      <w:pPr>
        <w:pStyle w:val="BodyText"/>
        <w:spacing w:line="240" w:lineRule="auto" w:before="76"/>
        <w:ind w:left="513" w:right="0"/>
        <w:jc w:val="left"/>
      </w:pPr>
      <w:r>
        <w:rPr/>
        <w:t>于资产负债表日，若公司判断金融工具只具有较低的信用风险，则假定该金融工具的信用风险自初始确认后并未显著增</w:t>
      </w:r>
    </w:p>
    <w:p>
      <w:pPr>
        <w:pStyle w:val="BodyText"/>
        <w:spacing w:line="240" w:lineRule="auto" w:before="76"/>
        <w:ind w:right="1133"/>
        <w:jc w:val="left"/>
      </w:pPr>
      <w:r>
        <w:rPr/>
        <w:t>加。</w:t>
      </w:r>
    </w:p>
    <w:p>
      <w:pPr>
        <w:pStyle w:val="BodyText"/>
        <w:spacing w:line="240" w:lineRule="auto" w:before="76"/>
        <w:ind w:left="513" w:right="1133"/>
        <w:jc w:val="left"/>
      </w:pPr>
      <w:r>
        <w:rPr/>
        <w:t>公司在评估信用风险是否显著增加时考虑如下因素：</w:t>
      </w:r>
    </w:p>
    <w:p>
      <w:pPr>
        <w:pStyle w:val="BodyText"/>
        <w:spacing w:line="240" w:lineRule="auto" w:before="77"/>
        <w:ind w:left="513" w:right="1133"/>
        <w:jc w:val="left"/>
      </w:pPr>
      <w:r>
        <w:rPr/>
        <w:t>①公司对金融工具信用管理方法是否发生变化。</w:t>
      </w:r>
    </w:p>
    <w:p>
      <w:pPr>
        <w:pStyle w:val="BodyText"/>
        <w:spacing w:line="240" w:lineRule="auto" w:before="76"/>
        <w:ind w:left="513" w:right="1133"/>
        <w:jc w:val="left"/>
      </w:pPr>
      <w:r>
        <w:rPr/>
        <w:t>②债务人预期表现和还款行为是否发生显著变化。</w:t>
      </w:r>
    </w:p>
    <w:p>
      <w:pPr>
        <w:pStyle w:val="BodyText"/>
        <w:spacing w:line="240" w:lineRule="auto" w:before="76"/>
        <w:ind w:left="513" w:right="1133"/>
        <w:jc w:val="left"/>
      </w:pPr>
      <w:r>
        <w:rPr/>
        <w:t>③债务人经营成果实际或预期是否发生显著变化。</w:t>
      </w:r>
    </w:p>
    <w:p>
      <w:pPr>
        <w:pStyle w:val="BodyText"/>
        <w:spacing w:line="240" w:lineRule="auto" w:before="76"/>
        <w:ind w:left="513" w:right="1133"/>
        <w:jc w:val="left"/>
      </w:pPr>
      <w:r>
        <w:rPr/>
        <w:t>④债务人所处的监管、经济或技术环境是否发生显著不利变化。</w:t>
      </w:r>
    </w:p>
    <w:p>
      <w:pPr>
        <w:pStyle w:val="BodyText"/>
        <w:spacing w:line="309" w:lineRule="auto" w:before="76"/>
        <w:ind w:left="513" w:right="1129"/>
        <w:jc w:val="left"/>
      </w:pPr>
      <w:r>
        <w:rPr/>
        <w:t>⑤是否存在预期将导致债务人履行其偿债义务的能力发生显著变化的业务、财务或经济状况的不利变化。 </w:t>
      </w:r>
      <w:r>
        <w:rPr>
          <w:rFonts w:ascii="Times New Roman" w:hAnsi="Times New Roman" w:cs="Times New Roman" w:eastAsia="Times New Roman" w:hint="default"/>
        </w:rPr>
        <w:t>(3)</w:t>
      </w:r>
      <w:r>
        <w:rPr/>
        <w:t>以组合为基础评估预期信用风险的组合方法 </w:t>
      </w:r>
      <w:r>
        <w:rPr>
          <w:spacing w:val="-2"/>
        </w:rPr>
        <w:t>本公司对信用风险显著不同的金融资产单项评价信用风险，如：应收关联方款项；与对方存在争议或涉及诉讼、仲裁的</w:t>
      </w:r>
    </w:p>
    <w:p>
      <w:pPr>
        <w:pStyle w:val="BodyText"/>
        <w:spacing w:line="316" w:lineRule="auto" w:before="24"/>
        <w:ind w:left="513" w:right="1129" w:hanging="361"/>
        <w:jc w:val="left"/>
      </w:pPr>
      <w:r>
        <w:rPr/>
        <w:t>应收款项；已有明显迹象表明债务人很可能无法履行还款义务的应收款项等。 </w:t>
      </w:r>
      <w:r>
        <w:rPr>
          <w:spacing w:val="-2"/>
        </w:rPr>
        <w:t>除了单项评估信用风险的金融资产外，本公司基于共同风险特征将金融资产划分为不同的组别，在组合的基础上评估信</w:t>
      </w:r>
    </w:p>
    <w:p>
      <w:pPr>
        <w:pStyle w:val="BodyText"/>
        <w:spacing w:line="240" w:lineRule="auto" w:before="19"/>
        <w:ind w:right="1133"/>
        <w:jc w:val="left"/>
      </w:pPr>
      <w:r>
        <w:rPr/>
        <w:t>用风险。</w:t>
      </w:r>
    </w:p>
    <w:p>
      <w:pPr>
        <w:pStyle w:val="BodyText"/>
        <w:spacing w:line="300" w:lineRule="auto" w:before="77"/>
        <w:ind w:left="513" w:right="1129"/>
        <w:jc w:val="left"/>
      </w:pPr>
      <w:r>
        <w:rPr>
          <w:rFonts w:ascii="Times New Roman" w:hAnsi="Times New Roman" w:cs="Times New Roman" w:eastAsia="Times New Roman" w:hint="default"/>
        </w:rPr>
        <w:t>(4)</w:t>
      </w:r>
      <w:r>
        <w:rPr/>
        <w:t>金融资产减值的会计处理方法</w:t>
      </w:r>
      <w:r>
        <w:rPr>
          <w:w w:val="99"/>
        </w:rPr>
        <w:t> </w:t>
      </w:r>
      <w:r>
        <w:rPr>
          <w:spacing w:val="-2"/>
        </w:rPr>
        <w:t>公司在每个资产负债表日重新计量预期信用损失，由此形成的损失准备的增加或转回金额，作为减值损失或利得计入当</w:t>
      </w:r>
    </w:p>
    <w:p>
      <w:pPr>
        <w:pStyle w:val="BodyText"/>
        <w:spacing w:line="316" w:lineRule="auto" w:before="31"/>
        <w:ind w:right="0"/>
        <w:jc w:val="left"/>
      </w:pPr>
      <w:r>
        <w:rPr>
          <w:spacing w:val="-2"/>
        </w:rPr>
        <w:t>期损益。对于以摊余成本计量的金融资产，损失准备抵减该金融资产在资产负债表中列示的账面价值；对于以公允价值计量</w:t>
      </w:r>
      <w:r>
        <w:rPr>
          <w:spacing w:val="-62"/>
        </w:rPr>
        <w:t> </w:t>
      </w:r>
      <w:r>
        <w:rPr>
          <w:spacing w:val="-62"/>
        </w:rPr>
      </w:r>
      <w:r>
        <w:rPr/>
        <w:t>且其变动计入其他综合收益的债权投资，公司在其他综合收益中确认其损失准备，不抵减该金融资产的账面价值。</w:t>
      </w:r>
    </w:p>
    <w:p>
      <w:pPr>
        <w:pStyle w:val="BodyText"/>
        <w:spacing w:line="300" w:lineRule="auto" w:before="19"/>
        <w:ind w:left="513" w:right="7483"/>
        <w:jc w:val="left"/>
      </w:pPr>
      <w:r>
        <w:rPr>
          <w:rFonts w:ascii="Times New Roman" w:hAnsi="Times New Roman" w:cs="Times New Roman" w:eastAsia="Times New Roman" w:hint="default"/>
        </w:rPr>
        <w:t>(5)</w:t>
      </w:r>
      <w:r>
        <w:rPr/>
        <w:t>各类金融资产信用损失的确定方法</w:t>
      </w:r>
      <w:r>
        <w:rPr>
          <w:w w:val="99"/>
        </w:rPr>
        <w:t> </w:t>
      </w:r>
      <w:r>
        <w:rPr>
          <w:rFonts w:ascii="Times New Roman" w:hAnsi="Times New Roman" w:cs="Times New Roman" w:eastAsia="Times New Roman" w:hint="default"/>
        </w:rPr>
        <w:t>1)</w:t>
      </w:r>
      <w:r>
        <w:rPr/>
        <w:t>应收票据</w:t>
      </w:r>
    </w:p>
    <w:p>
      <w:pPr>
        <w:pStyle w:val="BodyText"/>
        <w:spacing w:line="316" w:lineRule="auto" w:before="13"/>
        <w:ind w:right="1129" w:firstLine="360"/>
        <w:jc w:val="left"/>
      </w:pPr>
      <w:r>
        <w:rPr>
          <w:spacing w:val="-2"/>
        </w:rPr>
        <w:t>本公司对于应收票据按照相当于整个存续期内的预期信用损失金额计量损失准备。基于应收票据的信用风险特征，将其</w:t>
      </w:r>
      <w:r>
        <w:rPr/>
        <w:t> 划分为不同组合：</w:t>
      </w:r>
    </w:p>
    <w:tbl>
      <w:tblPr>
        <w:tblW w:w="0" w:type="auto"/>
        <w:jc w:val="left"/>
        <w:tblInd w:w="145" w:type="dxa"/>
        <w:tblLayout w:type="fixed"/>
        <w:tblCellMar>
          <w:top w:w="0" w:type="dxa"/>
          <w:left w:w="0" w:type="dxa"/>
          <w:bottom w:w="0" w:type="dxa"/>
          <w:right w:w="0" w:type="dxa"/>
        </w:tblCellMar>
        <w:tblLook w:val="01E0"/>
      </w:tblPr>
      <w:tblGrid>
        <w:gridCol w:w="3908"/>
        <w:gridCol w:w="5687"/>
      </w:tblGrid>
      <w:tr>
        <w:trPr>
          <w:trHeight w:val="34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6"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5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本组合为应收的银行承兑汇票</w:t>
            </w:r>
          </w:p>
        </w:tc>
      </w:tr>
      <w:tr>
        <w:trPr>
          <w:trHeight w:val="34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商业承兑汇票及其他</w:t>
            </w:r>
          </w:p>
        </w:tc>
        <w:tc>
          <w:tcPr>
            <w:tcW w:w="5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本组合为应收的商业承兑汇票及其他结算方式</w:t>
            </w:r>
          </w:p>
        </w:tc>
      </w:tr>
    </w:tbl>
    <w:p>
      <w:pPr>
        <w:pStyle w:val="BodyText"/>
        <w:spacing w:line="300" w:lineRule="auto" w:before="19"/>
        <w:ind w:left="513" w:right="1129"/>
        <w:jc w:val="left"/>
      </w:pPr>
      <w:r>
        <w:rPr>
          <w:rFonts w:ascii="Times New Roman" w:hAnsi="Times New Roman" w:cs="Times New Roman" w:eastAsia="Times New Roman" w:hint="default"/>
        </w:rPr>
        <w:t>2)</w:t>
      </w:r>
      <w:r>
        <w:rPr/>
        <w:t>应收账款</w:t>
      </w:r>
      <w:r>
        <w:rPr>
          <w:w w:val="99"/>
        </w:rPr>
        <w:t> </w:t>
      </w:r>
      <w:r>
        <w:rPr>
          <w:spacing w:val="-2"/>
          <w:w w:val="99"/>
        </w:rPr>
        <w:t>对于不含重大融资成分或者公司不考虑不超过一年的合同中的融资成分的应收款项和合同资产，本公司按照相当于整个</w:t>
      </w:r>
      <w:r>
        <w:rPr>
          <w:spacing w:val="-2"/>
        </w:rPr>
      </w:r>
    </w:p>
    <w:p>
      <w:pPr>
        <w:pStyle w:val="BodyText"/>
        <w:spacing w:line="316" w:lineRule="auto" w:before="31"/>
        <w:ind w:left="513" w:right="1753" w:hanging="361"/>
        <w:jc w:val="left"/>
      </w:pPr>
      <w:r>
        <w:rPr/>
        <w:t>存续期内的预期信用损失金额计量损失准备。 对于包含重大融资成分的应收款项，本公司选择始终按照相当于存续期内预期信用损失的金额计量损失准备。 除了单项评估信用风险的应收账款和合同资产外，基于其信用风险特征，将其划分为不同组合：</w:t>
      </w:r>
    </w:p>
    <w:p>
      <w:pPr>
        <w:pStyle w:val="BodyText"/>
        <w:spacing w:line="240" w:lineRule="auto" w:before="19"/>
        <w:ind w:left="513" w:right="1133"/>
        <w:jc w:val="left"/>
      </w:pPr>
      <w:r>
        <w:rPr/>
        <w:t>①具体组合及坏账准备的计提方法</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122"/>
        <w:gridCol w:w="5540"/>
      </w:tblGrid>
      <w:tr>
        <w:trPr>
          <w:trHeight w:val="348" w:hRule="exact"/>
        </w:trPr>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6" w:hRule="exact"/>
        </w:trPr>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纳入合并报表范围内关联组合</w:t>
            </w:r>
          </w:p>
        </w:tc>
        <w:tc>
          <w:tcPr>
            <w:tcW w:w="5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8" w:hRule="exact"/>
        </w:trPr>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金融电子一般客户</w:t>
            </w:r>
          </w:p>
        </w:tc>
        <w:tc>
          <w:tcPr>
            <w:tcW w:w="554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根据公司的客户类型特征</w:t>
            </w:r>
          </w:p>
        </w:tc>
      </w:tr>
      <w:tr>
        <w:trPr>
          <w:trHeight w:val="346" w:hRule="exact"/>
        </w:trPr>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金融电子银行客户</w:t>
            </w:r>
          </w:p>
        </w:tc>
        <w:tc>
          <w:tcPr>
            <w:tcW w:w="5540" w:type="dxa"/>
            <w:vMerge/>
            <w:tcBorders>
              <w:left w:val="single" w:sz="6" w:space="0" w:color="000000"/>
              <w:right w:val="single" w:sz="6" w:space="0" w:color="000000"/>
            </w:tcBorders>
          </w:tcPr>
          <w:p>
            <w:pPr/>
          </w:p>
        </w:tc>
      </w:tr>
      <w:tr>
        <w:trPr>
          <w:trHeight w:val="348" w:hRule="exact"/>
        </w:trPr>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宋体" w:hAnsi="宋体" w:cs="宋体" w:eastAsia="宋体" w:hint="default"/>
                <w:sz w:val="18"/>
                <w:szCs w:val="18"/>
              </w:rPr>
              <w:t>板块客户</w:t>
            </w:r>
          </w:p>
        </w:tc>
        <w:tc>
          <w:tcPr>
            <w:tcW w:w="5540" w:type="dxa"/>
            <w:vMerge/>
            <w:tcBorders>
              <w:left w:val="single" w:sz="6" w:space="0" w:color="000000"/>
              <w:bottom w:val="single" w:sz="6" w:space="0" w:color="000000"/>
              <w:right w:val="single" w:sz="6"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1" w:type="dxa"/>
        <w:tblLayout w:type="fixed"/>
        <w:tblCellMar>
          <w:top w:w="0" w:type="dxa"/>
          <w:left w:w="0" w:type="dxa"/>
          <w:bottom w:w="0" w:type="dxa"/>
          <w:right w:w="0" w:type="dxa"/>
        </w:tblCellMar>
        <w:tblLook w:val="01E0"/>
      </w:tblPr>
      <w:tblGrid>
        <w:gridCol w:w="4125"/>
        <w:gridCol w:w="5540"/>
      </w:tblGrid>
      <w:tr>
        <w:trPr>
          <w:trHeight w:val="348" w:hRule="exact"/>
        </w:trPr>
        <w:tc>
          <w:tcPr>
            <w:tcW w:w="4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工程项目一般客户</w:t>
            </w:r>
          </w:p>
        </w:tc>
        <w:tc>
          <w:tcPr>
            <w:tcW w:w="5540" w:type="dxa"/>
            <w:vMerge w:val="restart"/>
            <w:tcBorders>
              <w:top w:val="single" w:sz="6" w:space="0" w:color="000000"/>
              <w:left w:val="single" w:sz="6" w:space="0" w:color="000000"/>
              <w:right w:val="single" w:sz="6" w:space="0" w:color="000000"/>
            </w:tcBorders>
          </w:tcPr>
          <w:p>
            <w:pPr/>
          </w:p>
        </w:tc>
      </w:tr>
      <w:tr>
        <w:trPr>
          <w:trHeight w:val="346" w:hRule="exact"/>
        </w:trPr>
        <w:tc>
          <w:tcPr>
            <w:tcW w:w="4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工程项目政府客户</w:t>
            </w:r>
          </w:p>
        </w:tc>
        <w:tc>
          <w:tcPr>
            <w:tcW w:w="5540" w:type="dxa"/>
            <w:vMerge/>
            <w:tcBorders>
              <w:left w:val="single" w:sz="6" w:space="0" w:color="000000"/>
              <w:right w:val="single" w:sz="6" w:space="0" w:color="000000"/>
            </w:tcBorders>
          </w:tcPr>
          <w:p>
            <w:pPr/>
          </w:p>
        </w:tc>
      </w:tr>
      <w:tr>
        <w:trPr>
          <w:trHeight w:val="348" w:hRule="exact"/>
        </w:trPr>
        <w:tc>
          <w:tcPr>
            <w:tcW w:w="4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其他类别</w:t>
            </w:r>
          </w:p>
        </w:tc>
        <w:tc>
          <w:tcPr>
            <w:tcW w:w="5540" w:type="dxa"/>
            <w:vMerge/>
            <w:tcBorders>
              <w:left w:val="single" w:sz="6" w:space="0" w:color="000000"/>
              <w:bottom w:val="single" w:sz="6" w:space="0" w:color="000000"/>
              <w:right w:val="single" w:sz="6" w:space="0" w:color="000000"/>
            </w:tcBorders>
          </w:tcPr>
          <w:p>
            <w:pPr/>
          </w:p>
        </w:tc>
      </w:tr>
    </w:tbl>
    <w:p>
      <w:pPr>
        <w:pStyle w:val="BodyText"/>
        <w:spacing w:line="240" w:lineRule="auto" w:before="8"/>
        <w:ind w:left="513" w:right="1133"/>
        <w:jc w:val="left"/>
      </w:pPr>
      <w:r>
        <w:rPr/>
        <w:t>②公司对合并范围内的关联方的往来不计提坏账准备。</w:t>
      </w:r>
    </w:p>
    <w:p>
      <w:pPr>
        <w:pStyle w:val="BodyText"/>
        <w:spacing w:line="300" w:lineRule="auto" w:before="76"/>
        <w:ind w:left="513" w:right="1129"/>
        <w:jc w:val="left"/>
      </w:pPr>
      <w:r>
        <w:rPr>
          <w:rFonts w:ascii="Times New Roman" w:hAnsi="Times New Roman" w:cs="Times New Roman" w:eastAsia="Times New Roman" w:hint="default"/>
        </w:rPr>
        <w:t>3)</w:t>
      </w:r>
      <w:r>
        <w:rPr/>
        <w:t>其他应收款</w:t>
      </w:r>
      <w:r>
        <w:rPr>
          <w:w w:val="99"/>
        </w:rPr>
        <w:t> </w:t>
      </w:r>
      <w:r>
        <w:rPr>
          <w:spacing w:val="-2"/>
        </w:rPr>
        <w:t>本公司依据其他应收款信用风险自初始确认后是否已经显著增加，采用相当于未来</w:t>
      </w:r>
      <w:r>
        <w:rPr>
          <w:rFonts w:ascii="Times New Roman" w:hAnsi="Times New Roman" w:cs="Times New Roman" w:eastAsia="Times New Roman" w:hint="default"/>
          <w:spacing w:val="-2"/>
        </w:rPr>
        <w:t>12</w:t>
      </w:r>
      <w:r>
        <w:rPr>
          <w:spacing w:val="-2"/>
        </w:rPr>
        <w:t>个月内、或整个存续期的预期信用</w:t>
      </w:r>
    </w:p>
    <w:p>
      <w:pPr>
        <w:pStyle w:val="BodyText"/>
        <w:spacing w:line="240" w:lineRule="auto" w:before="13"/>
        <w:ind w:right="1133"/>
        <w:jc w:val="left"/>
      </w:pPr>
      <w:r>
        <w:rPr/>
        <w:t>损失的金额计量减值损失。除了单项评估信用风险的其他应收款外，基于其信用风险特征，将其划分为不同组合：</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604"/>
        <w:gridCol w:w="5031"/>
      </w:tblGrid>
      <w:tr>
        <w:trPr>
          <w:trHeight w:val="348"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6"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押金、备用金及代扣个人社保公积组合</w:t>
            </w:r>
          </w:p>
        </w:tc>
        <w:tc>
          <w:tcPr>
            <w:tcW w:w="503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348"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5031" w:type="dxa"/>
            <w:vMerge/>
            <w:tcBorders>
              <w:left w:val="single" w:sz="6" w:space="0" w:color="000000"/>
              <w:right w:val="single" w:sz="6" w:space="0" w:color="000000"/>
            </w:tcBorders>
          </w:tcPr>
          <w:p>
            <w:pPr/>
          </w:p>
        </w:tc>
      </w:tr>
      <w:tr>
        <w:trPr>
          <w:trHeight w:val="349"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应收暂付款及其他组合</w:t>
            </w:r>
          </w:p>
        </w:tc>
        <w:tc>
          <w:tcPr>
            <w:tcW w:w="5031" w:type="dxa"/>
            <w:vMerge/>
            <w:tcBorders>
              <w:left w:val="single" w:sz="6" w:space="0" w:color="000000"/>
              <w:bottom w:val="single" w:sz="6" w:space="0" w:color="000000"/>
              <w:right w:val="single" w:sz="6" w:space="0" w:color="000000"/>
            </w:tcBorders>
          </w:tcPr>
          <w:p>
            <w:pPr/>
          </w:p>
        </w:tc>
      </w:tr>
    </w:tbl>
    <w:p>
      <w:pPr>
        <w:pStyle w:val="BodyText"/>
        <w:spacing w:line="300" w:lineRule="auto" w:before="8"/>
        <w:ind w:left="513" w:right="1129"/>
        <w:jc w:val="left"/>
      </w:pPr>
      <w:r>
        <w:rPr>
          <w:rFonts w:ascii="Times New Roman" w:hAnsi="Times New Roman" w:cs="Times New Roman" w:eastAsia="Times New Roman" w:hint="default"/>
        </w:rPr>
        <w:t>4)</w:t>
      </w:r>
      <w:r>
        <w:rPr/>
        <w:t>其他债权投资</w:t>
      </w:r>
      <w:r>
        <w:rPr>
          <w:w w:val="99"/>
        </w:rPr>
        <w:t> </w:t>
      </w:r>
      <w:r>
        <w:rPr>
          <w:spacing w:val="-2"/>
          <w:w w:val="99"/>
        </w:rPr>
        <w:t>其他债权投资主要核算以公允价值计量且其变动计入其他综合收益的债券投资等。本公司依据其信用风险自初始确认后</w:t>
      </w:r>
      <w:r>
        <w:rPr>
          <w:spacing w:val="-2"/>
        </w:rPr>
      </w:r>
    </w:p>
    <w:p>
      <w:pPr>
        <w:pStyle w:val="BodyText"/>
        <w:spacing w:line="300" w:lineRule="auto" w:before="31"/>
        <w:ind w:left="513" w:right="1129" w:hanging="361"/>
        <w:jc w:val="left"/>
      </w:pPr>
      <w:r>
        <w:rPr/>
        <w:t>是否已经显著增加，采用相当于未来</w:t>
      </w:r>
      <w:r>
        <w:rPr>
          <w:rFonts w:ascii="Times New Roman" w:hAnsi="Times New Roman" w:cs="Times New Roman" w:eastAsia="Times New Roman" w:hint="default"/>
        </w:rPr>
        <w:t>12</w:t>
      </w:r>
      <w:r>
        <w:rPr/>
        <w:t>个月内、或整个存续期的预期信用损失的金额计量减值损失。 </w:t>
      </w:r>
      <w:r>
        <w:rPr>
          <w:rFonts w:ascii="Times New Roman" w:hAnsi="Times New Roman" w:cs="Times New Roman" w:eastAsia="Times New Roman" w:hint="default"/>
        </w:rPr>
        <w:t>5)</w:t>
      </w:r>
      <w:r>
        <w:rPr/>
        <w:t>长期应收款（包含重大融资成分的应收款项除外） </w:t>
      </w:r>
      <w:r>
        <w:rPr>
          <w:spacing w:val="-2"/>
        </w:rPr>
        <w:t>本公司依据其信用风险自初始确认后是否已经显著增加，采用相当于未来</w:t>
      </w:r>
      <w:r>
        <w:rPr>
          <w:rFonts w:ascii="Times New Roman" w:hAnsi="Times New Roman" w:cs="Times New Roman" w:eastAsia="Times New Roman" w:hint="default"/>
          <w:spacing w:val="-2"/>
        </w:rPr>
        <w:t>12</w:t>
      </w:r>
      <w:r>
        <w:rPr>
          <w:spacing w:val="-2"/>
        </w:rPr>
        <w:t>个月内、或整个存续期的预期信用损失的金</w:t>
      </w:r>
    </w:p>
    <w:p>
      <w:pPr>
        <w:pStyle w:val="BodyText"/>
        <w:spacing w:line="240" w:lineRule="auto" w:before="13"/>
        <w:ind w:right="1133"/>
        <w:jc w:val="left"/>
      </w:pPr>
      <w:r>
        <w:rPr/>
        <w:t>额计量长期应收款减值损失。</w:t>
      </w:r>
    </w:p>
    <w:p>
      <w:pPr>
        <w:pStyle w:val="BodyText"/>
        <w:spacing w:line="300" w:lineRule="auto" w:before="76"/>
        <w:ind w:right="1117" w:firstLine="360"/>
        <w:jc w:val="left"/>
      </w:pPr>
      <w:r>
        <w:rPr>
          <w:rFonts w:ascii="Times New Roman" w:hAnsi="Times New Roman" w:cs="Times New Roman" w:eastAsia="Times New Roman" w:hint="default"/>
          <w:spacing w:val="-1"/>
        </w:rPr>
        <w:t>6)</w:t>
      </w:r>
      <w:r>
        <w:rPr>
          <w:spacing w:val="-1"/>
        </w:rPr>
        <w:t>对于购买或源生的已发生信用减值的金融资产，公司在资产负债表日仅将自初始确认后整个存续期内预期信用损失的</w:t>
      </w:r>
      <w:r>
        <w:rPr>
          <w:w w:val="99"/>
        </w:rPr>
        <w:t> </w:t>
      </w:r>
      <w:r>
        <w:rPr/>
        <w:t>累计变动确认为损失准备。</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详见本财务报表附注重要会计政策及会计估计之金融工具之说明。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详见本财务报表附注重要会计政策及会计估计之金融工具之说明。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034" w:firstLine="360"/>
        <w:jc w:val="left"/>
      </w:pPr>
      <w:r>
        <w:rPr/>
        <w:t>分类为以公允价值计量且其变动计入其他综合收益的应收票据和应收账款，自取得起期限在一年内（含一年）的部分， 列示为应收款项融资；自取得起期限在一年以上的，列示为其他债权投资。其相关会计政策参见本附注三、（十）</w:t>
      </w:r>
      <w:r>
        <w:rPr>
          <w:rFonts w:ascii="Times New Roman" w:hAnsi="Times New Roman" w:cs="Times New Roman" w:eastAsia="Times New Roman" w:hint="default"/>
        </w:rPr>
        <w:t>“</w:t>
      </w:r>
      <w:r>
        <w:rPr/>
        <w:t>金融工 具</w:t>
      </w:r>
      <w:r>
        <w:rPr>
          <w:rFonts w:ascii="Times New Roman" w:hAnsi="Times New Roman" w:cs="Times New Roman" w:eastAsia="Times New Roman" w:hint="default"/>
        </w:rPr>
        <w:t>”</w:t>
      </w:r>
      <w:r>
        <w:rPr/>
        <w:t>及附注三、（十一）</w:t>
      </w:r>
      <w:r>
        <w:rPr>
          <w:rFonts w:ascii="Times New Roman" w:hAnsi="Times New Roman" w:cs="Times New Roman" w:eastAsia="Times New Roman" w:hint="default"/>
        </w:rPr>
        <w:t>“</w:t>
      </w:r>
      <w:r>
        <w:rPr/>
        <w:t>金融资产减值</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5173"/>
        <w:jc w:val="left"/>
      </w:pPr>
      <w:r>
        <w:rPr/>
        <w:t>其他应收款的预期信用损失的确定方法及会计处理方法 详见本财务报表附注重要会计政策及会计估计之金融工具之说明。</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13" w:right="2833"/>
        <w:jc w:val="left"/>
      </w:pPr>
      <w:r>
        <w:rPr>
          <w:rFonts w:ascii="Times New Roman" w:hAnsi="Times New Roman" w:cs="Times New Roman" w:eastAsia="Times New Roman" w:hint="default"/>
        </w:rPr>
        <w:t>1</w:t>
      </w:r>
      <w:r>
        <w:rPr/>
        <w:t>、存货的类别 存货分类为：原材料、包装物、库存商品、在产品、低值易耗品、发出商品、委托加工物资等。 </w:t>
      </w:r>
      <w:r>
        <w:rPr>
          <w:rFonts w:ascii="Times New Roman" w:hAnsi="Times New Roman" w:cs="Times New Roman" w:eastAsia="Times New Roman" w:hint="default"/>
        </w:rPr>
        <w:t>2</w:t>
      </w:r>
      <w:r>
        <w:rPr/>
        <w:t>、发出存货的计价方法</w:t>
      </w:r>
    </w:p>
    <w:p>
      <w:pPr>
        <w:spacing w:after="0" w:line="30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left="513" w:right="3373"/>
        <w:jc w:val="left"/>
      </w:pPr>
      <w:r>
        <w:rPr/>
        <w:t>存货发出时按加权平均法计价。 </w:t>
      </w:r>
      <w:r>
        <w:rPr>
          <w:rFonts w:ascii="Times New Roman" w:hAnsi="Times New Roman" w:cs="Times New Roman" w:eastAsia="Times New Roman" w:hint="default"/>
        </w:rPr>
        <w:t>3</w:t>
      </w:r>
      <w:r>
        <w:rPr/>
        <w:t>、存货可变现净值的确定依据及存货跌价准备的计提方法 年末对存货进行全面清查后，按存货的成本与可变现净值孰低提取或调整存货跌价准备。</w:t>
      </w:r>
    </w:p>
    <w:p>
      <w:pPr>
        <w:pStyle w:val="BodyText"/>
        <w:spacing w:line="316" w:lineRule="auto" w:before="24"/>
        <w:ind w:right="1130" w:firstLine="360"/>
        <w:jc w:val="both"/>
      </w:pPr>
      <w:r>
        <w:rPr>
          <w:spacing w:val="-2"/>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5"/>
        </w:rPr>
        <w:t> </w:t>
      </w:r>
      <w:r>
        <w:rPr>
          <w:spacing w:val="-65"/>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9"/>
        <w:ind w:right="1130" w:firstLine="360"/>
        <w:jc w:val="both"/>
      </w:pPr>
      <w:r>
        <w:rPr>
          <w:spacing w:val="-2"/>
        </w:rPr>
        <w:t>年末按照单个存货项目计提存货跌价准备；但对于数量繁多、单价较低的存货，按照存货类别计提存货跌价准备；与在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1129" w:firstLine="360"/>
        <w:jc w:val="both"/>
      </w:pPr>
      <w:r>
        <w:rPr>
          <w:spacing w:val="-2"/>
        </w:rPr>
        <w:t>以前减记存货价值的影响因素已经消失的，减记的金额予以恢复，并在原已计提的存货跌价准备金额内转回，转回的金</w:t>
      </w:r>
      <w:r>
        <w:rPr/>
        <w:t> 额计入当期损益。</w:t>
      </w:r>
    </w:p>
    <w:p>
      <w:pPr>
        <w:pStyle w:val="BodyText"/>
        <w:spacing w:line="316" w:lineRule="auto" w:before="19"/>
        <w:ind w:left="513" w:right="1393"/>
        <w:jc w:val="left"/>
      </w:pPr>
      <w:r>
        <w:rPr/>
        <w:t>除有明确证据表明资产负债表日市场价格异常外，存货项目的可变现净值以资产负债表日市场价格为基础确定。 资产负债表日市场价格异常的判断依据为：本年年末存货项目的可变现净值以资产负债表日市场价格为基础确定。 </w:t>
      </w:r>
      <w:r>
        <w:rPr>
          <w:rFonts w:ascii="Times New Roman" w:hAnsi="Times New Roman" w:cs="Times New Roman" w:eastAsia="Times New Roman" w:hint="default"/>
        </w:rPr>
        <w:t>4</w:t>
      </w:r>
      <w:r>
        <w:rPr/>
        <w:t>、存货的盘存制度</w:t>
      </w:r>
    </w:p>
    <w:p>
      <w:pPr>
        <w:pStyle w:val="BodyText"/>
        <w:spacing w:line="307" w:lineRule="auto"/>
        <w:ind w:left="513" w:right="7603"/>
        <w:jc w:val="left"/>
      </w:pPr>
      <w:r>
        <w:rPr/>
        <w:t>存货的盘存制度为永续盘存制。 </w:t>
      </w:r>
      <w:r>
        <w:rPr>
          <w:rFonts w:ascii="Times New Roman" w:hAnsi="Times New Roman" w:cs="Times New Roman" w:eastAsia="Times New Roman" w:hint="default"/>
        </w:rPr>
        <w:t>5</w:t>
      </w:r>
      <w:r>
        <w:rPr/>
        <w:t>、低值易耗品和包装物的摊销方法 </w:t>
      </w:r>
      <w:r>
        <w:rPr>
          <w:rFonts w:ascii="Times New Roman" w:hAnsi="Times New Roman" w:cs="Times New Roman" w:eastAsia="Times New Roman" w:hint="default"/>
        </w:rPr>
        <w:t>(1)</w:t>
      </w:r>
      <w:r>
        <w:rPr/>
        <w:t>低值易耗品 按照一次转销法进行摊销。 </w:t>
      </w:r>
      <w:r>
        <w:rPr>
          <w:rFonts w:ascii="Times New Roman" w:hAnsi="Times New Roman" w:cs="Times New Roman" w:eastAsia="Times New Roman" w:hint="default"/>
        </w:rPr>
        <w:t>(2)</w:t>
      </w:r>
      <w:r>
        <w:rPr/>
        <w:t>包装物 按照一次转销法进行摊销。</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30" w:firstLine="360"/>
        <w:jc w:val="both"/>
      </w:pPr>
      <w:r>
        <w:rPr>
          <w:spacing w:val="-1"/>
        </w:rPr>
        <w:t>本公司若主要通过出售</w:t>
      </w:r>
      <w:r>
        <w:rPr>
          <w:rFonts w:ascii="Times New Roman" w:hAnsi="Times New Roman" w:cs="Times New Roman" w:eastAsia="Times New Roman" w:hint="default"/>
          <w:spacing w:val="-1"/>
        </w:rPr>
        <w:t>(</w:t>
      </w:r>
      <w:r>
        <w:rPr>
          <w:spacing w:val="-1"/>
        </w:rPr>
        <w:t>包括具有商业实质的非货币性资产交换，下同</w:t>
      </w:r>
      <w:r>
        <w:rPr>
          <w:rFonts w:ascii="Times New Roman" w:hAnsi="Times New Roman" w:cs="Times New Roman" w:eastAsia="Times New Roman" w:hint="default"/>
          <w:spacing w:val="-1"/>
        </w:rPr>
        <w:t>)</w:t>
      </w:r>
      <w:r>
        <w:rPr>
          <w:spacing w:val="-1"/>
        </w:rPr>
        <w:t>而非持续使用一项非流动资产或处置组收回其账</w:t>
      </w:r>
      <w:r>
        <w:rPr/>
        <w:t> </w:t>
      </w:r>
      <w:r>
        <w:rPr>
          <w:spacing w:val="-2"/>
        </w:rPr>
        <w:t>面价值的，则将其划分为持有待售类别。具体标准为同时满足以下条件：某项非流动资产或处置组根据类似交易中出售此类</w:t>
      </w:r>
      <w:r>
        <w:rPr>
          <w:spacing w:val="-63"/>
        </w:rPr>
        <w:t> </w:t>
      </w:r>
      <w:r>
        <w:rPr>
          <w:spacing w:val="-63"/>
        </w:rPr>
      </w:r>
      <w:r>
        <w:rPr>
          <w:spacing w:val="-2"/>
        </w:rPr>
        <w:t>资产或处置组的惯例，在当前状况下即可立即出售；本公司已经就出售计划作出决议且获得确定的购买承诺；预计出售将在</w:t>
      </w:r>
      <w:r>
        <w:rPr>
          <w:spacing w:val="-63"/>
        </w:rPr>
        <w:t> </w:t>
      </w:r>
      <w:r>
        <w:rPr>
          <w:spacing w:val="-63"/>
        </w:rPr>
      </w:r>
      <w:r>
        <w:rPr>
          <w:spacing w:val="-2"/>
        </w:rPr>
        <w:t>一年内完成。其中，处置组是指在一项交易中作为整体通过出售或其他方式一并处置的一组资产，以及在该交易中转让的与</w:t>
      </w:r>
      <w:r>
        <w:rPr>
          <w:spacing w:val="-66"/>
        </w:rPr>
        <w:t> </w:t>
      </w:r>
      <w:r>
        <w:rPr>
          <w:spacing w:val="-66"/>
        </w:rPr>
      </w:r>
      <w:r>
        <w:rPr/>
        <w:t>这些资产直接相关的负债。处置组所属的资产组或资产组组合按照《企业会计准则第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资产减值》分摊了企业合并中 取得的商誉的，该处置组应当包含分摊至处置组的商誉。</w:t>
      </w:r>
    </w:p>
    <w:p>
      <w:pPr>
        <w:pStyle w:val="BodyText"/>
        <w:spacing w:line="314" w:lineRule="auto" w:before="22"/>
        <w:ind w:right="1034"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6"/>
        </w:rPr>
        <w:t> </w:t>
      </w:r>
      <w:r>
        <w:rPr>
          <w:spacing w:val="-66"/>
        </w:rPr>
      </w:r>
      <w:r>
        <w:rPr/>
        <w:t>置组内适用《企业会计准则第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持有待售准则</w:t>
      </w:r>
      <w:r>
        <w:rPr>
          <w:rFonts w:ascii="Times New Roman" w:hAnsi="Times New Roman" w:cs="Times New Roman" w:eastAsia="Times New Roman" w:hint="default"/>
        </w:rPr>
        <w:t>”)</w:t>
      </w:r>
      <w:r>
        <w:rPr/>
        <w:t>的计量规定 </w:t>
      </w:r>
      <w:r>
        <w:rPr>
          <w:spacing w:val="-2"/>
        </w:rPr>
        <w:t>的各项非流动资产的账面价值。后续资产负债表日持有待售的处置组公允价值减去出售费用后的净额增加的，以前减记的金</w:t>
      </w:r>
      <w:r>
        <w:rPr>
          <w:spacing w:val="-63"/>
        </w:rPr>
        <w:t> </w:t>
      </w:r>
      <w:r>
        <w:rPr>
          <w:spacing w:val="-63"/>
        </w:rPr>
      </w:r>
      <w:r>
        <w:rPr>
          <w:spacing w:val="-2"/>
        </w:rPr>
        <w:t>额应当予以恢复，并在划分为持有待售类别后适用持有待售准则计量规定的非流动资产确认的资产减值损失金额内转回，转</w:t>
      </w:r>
      <w:r>
        <w:rPr>
          <w:spacing w:val="-64"/>
        </w:rPr>
        <w:t> </w:t>
      </w:r>
      <w:r>
        <w:rPr>
          <w:spacing w:val="-64"/>
        </w:rPr>
      </w:r>
      <w:r>
        <w:rPr>
          <w:spacing w:val="-2"/>
        </w:rPr>
        <w:t>回金额计入当期损益，并根据处置组中除商誉外适用持有待售准则计量规定的各项非流动资产账面价值所占比重按比例增加</w:t>
      </w:r>
      <w:r>
        <w:rPr>
          <w:spacing w:val="-64"/>
        </w:rPr>
        <w:t> </w:t>
      </w:r>
      <w:r>
        <w:rPr>
          <w:spacing w:val="-64"/>
        </w:rPr>
      </w:r>
      <w:r>
        <w:rPr>
          <w:spacing w:val="-2"/>
        </w:rPr>
        <w:t>其账面价值；已抵减的商誉账面价值，以及适用持有待售准则计量规定的非流动资产在划分为持有待售类别前确认的资产减</w:t>
      </w:r>
      <w:r>
        <w:rPr>
          <w:spacing w:val="-64"/>
        </w:rPr>
        <w:t> </w:t>
      </w:r>
      <w:r>
        <w:rPr>
          <w:spacing w:val="-64"/>
        </w:rPr>
      </w:r>
      <w:r>
        <w:rPr/>
        <w:t>值损失不得转回。</w:t>
      </w:r>
    </w:p>
    <w:p>
      <w:pPr>
        <w:pStyle w:val="BodyText"/>
        <w:spacing w:line="316" w:lineRule="auto" w:before="20"/>
        <w:ind w:right="1132"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16" w:lineRule="auto" w:before="19"/>
        <w:ind w:right="1132" w:firstLine="360"/>
        <w:jc w:val="both"/>
      </w:pPr>
      <w:r>
        <w:rPr>
          <w:spacing w:val="-2"/>
        </w:rPr>
        <w:t>非流动资产或处置组不再满足持有待售类别的划分条件时，本公司不再将其继续划分为持有待售类别或将非流动资产从</w:t>
      </w:r>
      <w:r>
        <w:rPr/>
        <w:t> 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划分为持有待售类别前的账面价值，按照假定不划分为持有待售</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、共同控制、重大影响的判断标准 </w:t>
      </w:r>
      <w:r>
        <w:rPr>
          <w:spacing w:val="-2"/>
        </w:rPr>
        <w:t>本部分所指的长期股权投资是指本公司对被投资单位具有控制、共同控制或重大影响的长期股权投资。本公司对被投资</w:t>
      </w:r>
    </w:p>
    <w:p>
      <w:pPr>
        <w:pStyle w:val="BodyText"/>
        <w:spacing w:line="316" w:lineRule="auto" w:before="31"/>
        <w:ind w:right="1129"/>
        <w:jc w:val="left"/>
      </w:pPr>
      <w:r>
        <w:rPr>
          <w:spacing w:val="-2"/>
        </w:rPr>
        <w:t>单位不具有控制、共同控制或重大影响的长期股权投资，作为可供出售金融资产或以公允价值计量且其变动计入当期损益的</w:t>
      </w:r>
      <w:r>
        <w:rPr>
          <w:spacing w:val="-63"/>
        </w:rPr>
        <w:t> </w:t>
      </w:r>
      <w:r>
        <w:rPr>
          <w:spacing w:val="-63"/>
        </w:rPr>
      </w:r>
      <w:r>
        <w:rPr/>
        <w:t>金融资产核算，其会计政策详见附注三、十</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16" w:lineRule="auto"/>
        <w:ind w:right="113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3"/>
        </w:rPr>
        <w:t> </w:t>
      </w:r>
      <w:r>
        <w:rPr>
          <w:spacing w:val="-63"/>
        </w:rPr>
      </w:r>
      <w:r>
        <w:rPr/>
        <w:t>方一起共同控制这些政策的制定。</w:t>
      </w:r>
    </w:p>
    <w:p>
      <w:pPr>
        <w:pStyle w:val="BodyText"/>
        <w:spacing w:line="300" w:lineRule="auto" w:before="19"/>
        <w:ind w:left="513" w:right="1183"/>
        <w:jc w:val="left"/>
      </w:pPr>
      <w:r>
        <w:rPr>
          <w:rFonts w:ascii="Times New Roman" w:hAnsi="Times New Roman" w:cs="Times New Roman" w:eastAsia="Times New Roman" w:hint="default"/>
        </w:rPr>
        <w:t>2</w:t>
      </w:r>
      <w:r>
        <w:rPr/>
        <w:t>、初始投资成本的确定 </w:t>
      </w:r>
      <w:r>
        <w:rPr>
          <w:rFonts w:ascii="Times New Roman" w:hAnsi="Times New Roman" w:cs="Times New Roman" w:eastAsia="Times New Roman" w:hint="default"/>
        </w:rPr>
        <w:t>(1)</w:t>
      </w:r>
      <w:r>
        <w:rPr/>
        <w:t>对于同一控制下的企业合并取得的长期股权投资，在合并日按照被合并方在最终控制方合并财务报表中的账面价值</w:t>
      </w:r>
    </w:p>
    <w:p>
      <w:pPr>
        <w:pStyle w:val="BodyText"/>
        <w:spacing w:line="314" w:lineRule="auto" w:before="13"/>
        <w:ind w:right="1130"/>
        <w:jc w:val="left"/>
      </w:pPr>
      <w:r>
        <w:rPr>
          <w:spacing w:val="-2"/>
        </w:rPr>
        <w:t>的份额作为长期股权投资的初始投资成本。长期股权投资初始投资成本与支付的现金、转让的非现金资产以及所承担债务账</w:t>
      </w:r>
      <w:r>
        <w:rPr>
          <w:spacing w:val="-63"/>
        </w:rPr>
        <w:t> </w:t>
      </w:r>
      <w:r>
        <w:rPr>
          <w:spacing w:val="-63"/>
        </w:rPr>
      </w:r>
      <w:r>
        <w:rPr>
          <w:spacing w:val="-2"/>
        </w:rPr>
        <w:t>面价值之间的差额，调整资本公积；资本公积不足冲减的，调整留存收益。以发行权益性证券作为合并对价的，在合并日按</w:t>
      </w:r>
      <w:r>
        <w:rPr>
          <w:spacing w:val="-67"/>
        </w:rPr>
        <w:t> </w:t>
      </w:r>
      <w:r>
        <w:rPr>
          <w:spacing w:val="-67"/>
        </w:rPr>
      </w:r>
      <w:r>
        <w:rPr>
          <w:spacing w:val="-2"/>
        </w:rPr>
        <w:t>照被合并方在最终控制方合并财务报表中的账面价值的份额作为长期股权投资的初始投资成本，按照发行股份的面值总额作</w:t>
      </w:r>
      <w:r>
        <w:rPr>
          <w:spacing w:val="-64"/>
        </w:rPr>
        <w:t> </w:t>
      </w:r>
      <w:r>
        <w:rPr>
          <w:spacing w:val="-64"/>
        </w:rPr>
      </w:r>
      <w:r>
        <w:rPr>
          <w:spacing w:val="-2"/>
        </w:rPr>
        <w:t>为股本，长期股权投资初始投资成本与所发行股份面值总额之间的差额，调整资本公积；资本公积不足冲减的，调整留存收</w:t>
      </w:r>
      <w:r>
        <w:rPr>
          <w:spacing w:val="-64"/>
        </w:rPr>
        <w:t> </w:t>
      </w:r>
      <w:r>
        <w:rPr>
          <w:spacing w:val="-64"/>
        </w:rPr>
      </w:r>
      <w:r>
        <w:rPr/>
        <w:t>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的，在合并日</w:t>
      </w:r>
      <w:r>
        <w:rPr>
          <w:spacing w:val="-78"/>
        </w:rPr>
        <w:t> </w:t>
      </w:r>
      <w:r>
        <w:rPr>
          <w:spacing w:val="-78"/>
        </w:rPr>
      </w:r>
      <w:r>
        <w:rPr>
          <w:spacing w:val="-2"/>
        </w:rPr>
        <w:t>按照应享有被合并方在最终控制方合并财务报表中的账面价值的份额作为长期股权投资的初始投资成本，长期股权投资初始</w:t>
      </w:r>
      <w:r>
        <w:rPr>
          <w:spacing w:val="-64"/>
        </w:rPr>
        <w:t> </w:t>
      </w:r>
      <w:r>
        <w:rPr>
          <w:spacing w:val="-64"/>
        </w:rPr>
      </w:r>
      <w:r>
        <w:rPr>
          <w:spacing w:val="-2"/>
        </w:rPr>
        <w:t>投资成本与达到合并前的长期股权投资账面价值加上合并日进一步取得股份新支付对价的账面价值之和的差额，调整资本公</w:t>
      </w:r>
      <w:r>
        <w:rPr>
          <w:spacing w:val="-64"/>
        </w:rPr>
        <w:t> </w:t>
      </w:r>
      <w:r>
        <w:rPr>
          <w:spacing w:val="-64"/>
        </w:rPr>
      </w:r>
      <w:r>
        <w:rPr>
          <w:spacing w:val="-2"/>
        </w:rPr>
        <w:t>积；资本公积不足冲减的，调整留存收益。合并日之前持有的股权投资因采用权益法核算或为可供出售金融资产而确认的其</w:t>
      </w:r>
      <w:r>
        <w:rPr>
          <w:spacing w:val="-66"/>
        </w:rPr>
        <w:t> </w:t>
      </w:r>
      <w:r>
        <w:rPr>
          <w:spacing w:val="-66"/>
        </w:rPr>
      </w:r>
      <w:r>
        <w:rPr/>
        <w:t>他综合收益，暂不进行会计处理。</w:t>
      </w:r>
    </w:p>
    <w:p>
      <w:pPr>
        <w:pStyle w:val="BodyText"/>
        <w:spacing w:line="309" w:lineRule="auto" w:before="20"/>
        <w:ind w:right="0" w:firstLine="360"/>
        <w:jc w:val="left"/>
      </w:pPr>
      <w:r>
        <w:rPr>
          <w:rFonts w:ascii="Times New Roman" w:hAnsi="Times New Roman" w:cs="Times New Roman" w:eastAsia="Times New Roman" w:hint="default"/>
        </w:rPr>
        <w:t>(2)</w:t>
      </w:r>
      <w:r>
        <w:rPr/>
        <w:t>对于非同一控制下的企业合并取得的长期股权投资，在购买日按照合并成本作为长期股权投资的初始投资成本，合</w:t>
      </w:r>
      <w:r>
        <w:rPr>
          <w:w w:val="99"/>
        </w:rPr>
        <w:t> </w:t>
      </w:r>
      <w:r>
        <w:rPr>
          <w:spacing w:val="-2"/>
        </w:rPr>
        <w:t>并成本包括购买方付出的资产、发生或承担的负债、发行的权益性证券的公允价值之和。通过多次交易分步取得被购买方的</w:t>
      </w:r>
      <w:r>
        <w:rPr>
          <w:spacing w:val="-67"/>
        </w:rPr>
        <w:t> </w:t>
      </w:r>
      <w:r>
        <w:rPr>
          <w:spacing w:val="-67"/>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9"/>
        </w:rPr>
        <w:t> </w:t>
      </w:r>
      <w:r>
        <w:rPr>
          <w:spacing w:val="-79"/>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6"/>
        </w:rPr>
        <w:t> </w:t>
      </w:r>
      <w:r>
        <w:rPr>
          <w:spacing w:val="-46"/>
        </w:rPr>
      </w:r>
      <w:r>
        <w:rPr>
          <w:spacing w:val="-2"/>
        </w:rPr>
        <w:t>本之和，作为改按成本法核算的长期股权投资的初始投资成本。原持有的股权采用权益法核算的，相关其他综合收益暂不进</w:t>
      </w:r>
      <w:r>
        <w:rPr>
          <w:spacing w:val="-63"/>
        </w:rPr>
        <w:t> </w:t>
      </w:r>
      <w:r>
        <w:rPr>
          <w:spacing w:val="-63"/>
        </w:rPr>
      </w:r>
      <w:r>
        <w:rPr>
          <w:spacing w:val="-2"/>
        </w:rPr>
        <w:t>行会计处理。原持有股权投资为可供出售金融资产的，其公允价值与账面价值之间的差额，以及原计入其他综合收益的累计</w:t>
      </w:r>
      <w:r>
        <w:rPr>
          <w:spacing w:val="-62"/>
        </w:rPr>
        <w:t> </w:t>
      </w:r>
      <w:r>
        <w:rPr>
          <w:spacing w:val="-62"/>
        </w:rPr>
      </w:r>
      <w:r>
        <w:rPr/>
        <w:t>公允价值变动转入当期损益。</w:t>
      </w:r>
    </w:p>
    <w:p>
      <w:pPr>
        <w:pStyle w:val="BodyText"/>
        <w:spacing w:line="240" w:lineRule="auto" w:before="24"/>
        <w:ind w:left="513" w:right="0"/>
        <w:jc w:val="left"/>
      </w:pPr>
      <w:r>
        <w:rPr/>
        <w:t>合并方或购买方为企业合并发生的审计、法律服务、评估咨询等中介费用以及其他相关管理费用，于发生时计入当期损</w:t>
      </w:r>
    </w:p>
    <w:p>
      <w:pPr>
        <w:pStyle w:val="BodyText"/>
        <w:spacing w:line="240" w:lineRule="auto" w:before="76"/>
        <w:ind w:right="1133"/>
        <w:jc w:val="left"/>
      </w:pPr>
      <w:r>
        <w:rPr/>
        <w:t>益。</w:t>
      </w:r>
    </w:p>
    <w:p>
      <w:pPr>
        <w:pStyle w:val="BodyText"/>
        <w:spacing w:line="240" w:lineRule="auto" w:before="77"/>
        <w:ind w:left="513" w:right="0"/>
        <w:jc w:val="left"/>
      </w:pPr>
      <w:r>
        <w:rPr/>
        <w:t>除企业合并形成的长期股权投资外的其他股权投资，按成本进行初始计量，该成本视长期股权投资取得方式的不同，分</w:t>
      </w:r>
    </w:p>
    <w:p>
      <w:pPr>
        <w:pStyle w:val="BodyText"/>
        <w:spacing w:line="312" w:lineRule="auto" w:before="76"/>
        <w:ind w:right="1034"/>
        <w:jc w:val="left"/>
      </w:pPr>
      <w:r>
        <w:rPr>
          <w:spacing w:val="-2"/>
        </w:rPr>
        <w:t>别按照本公司实际支付的现金购买价款、本公司发行的权益性证券的公允价值、投资合同或协议约定的价值、非货币性资产</w:t>
      </w:r>
      <w:r>
        <w:rPr>
          <w:spacing w:val="-63"/>
        </w:rPr>
        <w:t> </w:t>
      </w:r>
      <w:r>
        <w:rPr>
          <w:spacing w:val="-63"/>
        </w:rPr>
      </w:r>
      <w:r>
        <w:rPr>
          <w:spacing w:val="-2"/>
        </w:rPr>
        <w:t>交换交易中换出资产的公允价值或原账面价值、该项长期股权投资自身的公允价值等方式确定。与取得长期股权投资直接相</w:t>
      </w:r>
      <w:r>
        <w:rPr>
          <w:spacing w:val="-62"/>
        </w:rPr>
        <w:t> </w:t>
      </w:r>
      <w:r>
        <w:rPr>
          <w:spacing w:val="-62"/>
        </w:rPr>
      </w:r>
      <w:r>
        <w:rPr/>
        <w:t>关的费用、税金及其他必要支出也计入投资成本。对于因能够对被投资单位实施重大影响或实施共同控制但不构成控制的， </w:t>
      </w:r>
      <w:r>
        <w:rPr>
          <w:spacing w:val="-2"/>
        </w:rPr>
        <w:t>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金融工具确认和计量》确定的原持有股权投资的公允价值加上新增投资</w:t>
      </w:r>
      <w:r>
        <w:rPr>
          <w:spacing w:val="-62"/>
        </w:rPr>
        <w:t> </w:t>
      </w:r>
      <w:r>
        <w:rPr>
          <w:spacing w:val="-62"/>
        </w:rPr>
      </w:r>
      <w:r>
        <w:rPr/>
        <w:t>成本之和。</w:t>
      </w:r>
    </w:p>
    <w:p>
      <w:pPr>
        <w:pStyle w:val="BodyText"/>
        <w:spacing w:line="300" w:lineRule="auto" w:before="22"/>
        <w:ind w:left="513" w:right="1129"/>
        <w:jc w:val="left"/>
      </w:pPr>
      <w:r>
        <w:rPr>
          <w:rFonts w:ascii="Times New Roman" w:hAnsi="Times New Roman" w:cs="Times New Roman" w:eastAsia="Times New Roman" w:hint="default"/>
        </w:rPr>
        <w:t>3</w:t>
      </w:r>
      <w:r>
        <w:rPr/>
        <w:t>、后续计量及损益确认方法 </w:t>
      </w:r>
      <w:r>
        <w:rPr>
          <w:spacing w:val="-1"/>
        </w:rPr>
        <w:t>对被投资单位具有共同控制</w:t>
      </w:r>
      <w:r>
        <w:rPr>
          <w:rFonts w:ascii="Times New Roman" w:hAnsi="Times New Roman" w:cs="Times New Roman" w:eastAsia="Times New Roman" w:hint="default"/>
          <w:spacing w:val="-1"/>
        </w:rPr>
        <w:t>(</w:t>
      </w:r>
      <w:r>
        <w:rPr>
          <w:spacing w:val="-1"/>
        </w:rPr>
        <w:t>构成共同经营者除外</w:t>
      </w:r>
      <w:r>
        <w:rPr>
          <w:rFonts w:ascii="Times New Roman" w:hAnsi="Times New Roman" w:cs="Times New Roman" w:eastAsia="Times New Roman" w:hint="default"/>
          <w:spacing w:val="-1"/>
        </w:rPr>
        <w:t>)</w:t>
      </w:r>
      <w:r>
        <w:rPr>
          <w:spacing w:val="-1"/>
        </w:rPr>
        <w:t>或重大影响的长期股权投资，采用权益法核算。此外，公司财务报表</w:t>
      </w:r>
    </w:p>
    <w:p>
      <w:pPr>
        <w:pStyle w:val="BodyText"/>
        <w:spacing w:line="240" w:lineRule="auto" w:before="13"/>
        <w:ind w:right="1133"/>
        <w:jc w:val="left"/>
      </w:pPr>
      <w:r>
        <w:rPr/>
        <w:t>采用成本法核算能够对被投资单位实施控制的长期股权投资。</w:t>
      </w:r>
    </w:p>
    <w:p>
      <w:pPr>
        <w:pStyle w:val="BodyText"/>
        <w:spacing w:line="300" w:lineRule="auto" w:before="76"/>
        <w:ind w:left="513" w:right="0"/>
        <w:jc w:val="left"/>
      </w:pPr>
      <w:r>
        <w:rPr>
          <w:rFonts w:ascii="Times New Roman" w:hAnsi="Times New Roman" w:cs="Times New Roman" w:eastAsia="Times New Roman" w:hint="default"/>
        </w:rPr>
        <w:t>(1)</w:t>
      </w:r>
      <w:r>
        <w:rPr/>
        <w:t>成本法核算的长期股权投资</w:t>
      </w:r>
      <w:r>
        <w:rPr>
          <w:w w:val="99"/>
        </w:rPr>
        <w:t> </w:t>
      </w:r>
      <w:r>
        <w:rPr>
          <w:spacing w:val="-2"/>
        </w:rPr>
        <w:t>采用成本法核算时，长期股权投资按初始投资成本计价，追加或收回投资调整长期股权投资的成本。除取得投资时实际</w:t>
      </w:r>
    </w:p>
    <w:p>
      <w:pPr>
        <w:pStyle w:val="BodyText"/>
        <w:spacing w:line="240" w:lineRule="auto" w:before="31"/>
        <w:ind w:right="0"/>
        <w:jc w:val="left"/>
      </w:pPr>
      <w:r>
        <w:rPr/>
        <w:t>支付的价款或者对价中包含的已宣告但尚未发放的现金股利或者利润外</w:t>
      </w:r>
      <w:r>
        <w:rPr>
          <w:spacing w:val="-82"/>
        </w:rPr>
        <w:t>，</w:t>
      </w:r>
      <w:r>
        <w:rPr/>
        <w:t>当期投资收益按照享有被投资单位宣告发放的现金</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股利或利润确认。</w:t>
      </w:r>
    </w:p>
    <w:p>
      <w:pPr>
        <w:pStyle w:val="BodyText"/>
        <w:spacing w:line="300" w:lineRule="auto" w:before="76"/>
        <w:ind w:left="513" w:right="1129"/>
        <w:jc w:val="left"/>
      </w:pPr>
      <w:r>
        <w:rPr>
          <w:rFonts w:ascii="Times New Roman" w:hAnsi="Times New Roman" w:cs="Times New Roman" w:eastAsia="Times New Roman" w:hint="default"/>
        </w:rPr>
        <w:t>(2)</w:t>
      </w:r>
      <w:r>
        <w:rPr/>
        <w:t>权益法核算的长期股权投资</w:t>
      </w:r>
      <w:r>
        <w:rPr>
          <w:w w:val="99"/>
        </w:rPr>
        <w:t> </w:t>
      </w:r>
      <w:r>
        <w:rPr>
          <w:spacing w:val="-2"/>
        </w:rPr>
        <w:t>采用权益法核算时，长期股权投资的初始投资成本大于投资时应享有被投资单位可辨认净资产公允价值份额的，不调整</w:t>
      </w:r>
    </w:p>
    <w:p>
      <w:pPr>
        <w:pStyle w:val="BodyText"/>
        <w:spacing w:line="316" w:lineRule="auto" w:before="31"/>
        <w:ind w:right="1129"/>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4"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期股权投资的账面价值；对于被投资单位除净损益、其他综合收益和利润分配以外所有者权益的其他变动，调整长期股权投</w:t>
      </w:r>
      <w:r>
        <w:rPr>
          <w:spacing w:val="-63"/>
        </w:rPr>
        <w:t> </w:t>
      </w:r>
      <w:r>
        <w:rPr>
          <w:spacing w:val="-63"/>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3"/>
        </w:rPr>
        <w:t> </w:t>
      </w:r>
      <w:r>
        <w:rPr>
          <w:spacing w:val="-63"/>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3"/>
        </w:rPr>
        <w:t> </w:t>
      </w:r>
      <w:r>
        <w:rPr>
          <w:spacing w:val="-63"/>
        </w:rPr>
      </w:r>
      <w:r>
        <w:rPr/>
        <w:t>出业务的公允价值作为新增长期股权投资的初始投资成本，初始投资成本与投出业务的账面价值之差，全额计入当期损益。</w:t>
      </w:r>
      <w:r>
        <w:rPr/>
        <w:t>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1"/>
        </w:rPr>
        <w:t> </w:t>
      </w:r>
      <w:r>
        <w:rPr>
          <w:spacing w:val="-61"/>
        </w:rPr>
      </w:r>
      <w:r>
        <w:rPr/>
        <w:t>相关的利得或损失。</w:t>
      </w:r>
    </w:p>
    <w:p>
      <w:pPr>
        <w:pStyle w:val="BodyText"/>
        <w:spacing w:line="316" w:lineRule="auto" w:before="19"/>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p>
    <w:p>
      <w:pPr>
        <w:pStyle w:val="BodyText"/>
        <w:spacing w:line="300" w:lineRule="auto" w:before="19"/>
        <w:ind w:left="513" w:right="1153"/>
        <w:jc w:val="left"/>
      </w:pPr>
      <w:r>
        <w:rPr>
          <w:rFonts w:ascii="Times New Roman" w:hAnsi="Times New Roman" w:cs="Times New Roman" w:eastAsia="Times New Roman" w:hint="default"/>
        </w:rPr>
        <w:t>(3)</w:t>
      </w:r>
      <w:r>
        <w:rPr/>
        <w:t>收购少数股权</w:t>
      </w:r>
      <w:r>
        <w:rPr>
          <w:w w:val="99"/>
        </w:rPr>
        <w:t> </w:t>
      </w:r>
      <w:r>
        <w:rPr/>
        <w:t>在编制合并财务报表时，因购买少数股权新增的长期股权投资与按照新增持股比例计算应享有子公司自购买日</w:t>
      </w:r>
      <w:r>
        <w:rPr>
          <w:rFonts w:ascii="Times New Roman" w:hAnsi="Times New Roman" w:cs="Times New Roman" w:eastAsia="Times New Roman" w:hint="default"/>
        </w:rPr>
        <w:t>(</w:t>
      </w:r>
      <w:r>
        <w:rPr/>
        <w:t>或合并</w:t>
      </w:r>
    </w:p>
    <w:p>
      <w:pPr>
        <w:pStyle w:val="BodyText"/>
        <w:spacing w:line="240" w:lineRule="auto" w:before="13"/>
        <w:ind w:right="1133"/>
        <w:jc w:val="left"/>
      </w:pPr>
      <w:r>
        <w:rPr/>
        <w:t>日</w:t>
      </w:r>
      <w:r>
        <w:rPr>
          <w:rFonts w:ascii="Times New Roman" w:hAnsi="Times New Roman" w:cs="Times New Roman" w:eastAsia="Times New Roman" w:hint="default"/>
        </w:rPr>
        <w:t>)</w:t>
      </w:r>
      <w:r>
        <w:rPr/>
        <w:t>开始持续计算的净资产份额之间的差额，调整资本公积，资本公积不足冲减的，调整留存收益。</w:t>
      </w:r>
    </w:p>
    <w:p>
      <w:pPr>
        <w:pStyle w:val="BodyText"/>
        <w:spacing w:line="300" w:lineRule="auto" w:before="63"/>
        <w:ind w:left="513" w:right="1129"/>
        <w:jc w:val="left"/>
      </w:pPr>
      <w:r>
        <w:rPr>
          <w:rFonts w:ascii="Times New Roman" w:hAnsi="Times New Roman" w:cs="Times New Roman" w:eastAsia="Times New Roman" w:hint="default"/>
        </w:rPr>
        <w:t>(4)</w:t>
      </w:r>
      <w:r>
        <w:rPr/>
        <w:t>处置长期股权投资</w:t>
      </w:r>
      <w:r>
        <w:rPr>
          <w:w w:val="99"/>
        </w:rPr>
        <w:t> </w:t>
      </w:r>
      <w:r>
        <w:rPr>
          <w:spacing w:val="-2"/>
        </w:rPr>
        <w:t>在合并财务报表中，母公司在不丧失控制权的情况下部分处置对子公司的长期股权投资，处置价款与处置长期股权投资</w:t>
      </w:r>
    </w:p>
    <w:p>
      <w:pPr>
        <w:pStyle w:val="BodyText"/>
        <w:spacing w:line="316" w:lineRule="auto" w:before="31"/>
        <w:ind w:right="1129"/>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附注三、</w:t>
      </w:r>
      <w:r>
        <w:rPr>
          <w:rFonts w:ascii="Times New Roman" w:hAnsi="Times New Roman" w:cs="Times New Roman" w:eastAsia="Times New Roman" w:hint="default"/>
        </w:rPr>
        <w:t>(</w:t>
      </w:r>
      <w:r>
        <w:rPr/>
        <w:t>六</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3" w:right="1129"/>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1129"/>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right="113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3"/>
        </w:rPr>
        <w:t> </w:t>
      </w:r>
      <w:r>
        <w:rPr>
          <w:spacing w:val="-63"/>
        </w:rPr>
      </w:r>
      <w:r>
        <w:rPr/>
        <w:t>外的其他所有者权益变动按比例结转当期损益。</w:t>
      </w:r>
    </w:p>
    <w:p>
      <w:pPr>
        <w:pStyle w:val="BodyText"/>
        <w:spacing w:line="316" w:lineRule="auto" w:before="19"/>
        <w:ind w:right="113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4"/>
        </w:rPr>
        <w:t> </w:t>
      </w:r>
      <w:r>
        <w:rPr>
          <w:spacing w:val="-64"/>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4"/>
        </w:rPr>
        <w:t> </w:t>
      </w:r>
      <w:r>
        <w:rPr>
          <w:spacing w:val="-64"/>
        </w:rPr>
      </w:r>
      <w:r>
        <w:rPr>
          <w:spacing w:val="-2"/>
        </w:rPr>
        <w:t>收益和其他所有者权益按比例结转；处置后的剩余股权改按金融工具确认和计量准则进行会计处理的，其他综合收益和其他</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1129" w:hanging="361"/>
        <w:jc w:val="left"/>
      </w:pPr>
      <w:r>
        <w:rPr/>
        <w:t>所有者权益全部结转。 </w:t>
      </w:r>
      <w:r>
        <w:rPr>
          <w:spacing w:val="-2"/>
        </w:rPr>
        <w:t>本公司因处置部分股权投资丧失了对被投资单位的共同控制或重大影响的，处置后的剩余股权改按金融工具确认和计量</w:t>
      </w:r>
    </w:p>
    <w:p>
      <w:pPr>
        <w:pStyle w:val="BodyText"/>
        <w:spacing w:line="316" w:lineRule="auto" w:before="19"/>
        <w:ind w:right="1034"/>
        <w:jc w:val="left"/>
      </w:pP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3"/>
        </w:rPr>
        <w:t> </w:t>
      </w:r>
      <w:r>
        <w:rPr>
          <w:spacing w:val="-63"/>
        </w:rPr>
      </w:r>
      <w:r>
        <w:rPr/>
        <w:t>转入当期投资收益。</w:t>
      </w:r>
    </w:p>
    <w:p>
      <w:pPr>
        <w:pStyle w:val="BodyText"/>
        <w:spacing w:line="316" w:lineRule="auto" w:before="19"/>
        <w:ind w:right="1132"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8593"/>
        <w:jc w:val="left"/>
      </w:pPr>
      <w:r>
        <w:rPr/>
        <w:t>投资性房地产计量模式 成本法计量 折旧或摊销方法</w:t>
      </w:r>
    </w:p>
    <w:p>
      <w:pPr>
        <w:pStyle w:val="BodyText"/>
        <w:spacing w:line="240" w:lineRule="auto" w:before="19"/>
        <w:ind w:left="513" w:right="1133"/>
        <w:jc w:val="left"/>
      </w:pP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pStyle w:val="BodyText"/>
        <w:spacing w:line="300" w:lineRule="auto" w:before="63"/>
        <w:ind w:right="1124" w:firstLine="360"/>
        <w:jc w:val="left"/>
      </w:pPr>
      <w:r>
        <w:rPr>
          <w:rFonts w:ascii="Times New Roman" w:hAnsi="Times New Roman" w:cs="Times New Roman" w:eastAsia="Times New Roman" w:hint="default"/>
        </w:rPr>
        <w:t>2</w:t>
      </w:r>
      <w:r>
        <w:rPr/>
        <w:t>、投资性房地产按照成本进行初始计量，采用成本模式进行后续计量，并采用与固定资产和无形资产相同的方法计提 折旧或进行摊销。</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034" w:firstLine="360"/>
        <w:jc w:val="left"/>
      </w:pPr>
      <w:r>
        <w:rPr>
          <w:spacing w:val="-2"/>
        </w:rPr>
        <w:t>固定资产是指为生产商品、提供劳务、出租或经营管理而持有的，使用年限超过一个会计年度的有形资产。固定资产同</w:t>
      </w:r>
      <w:r>
        <w:rPr/>
        <w:t> 时满足下列条件的，才能予以确认：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该固定资产的成本能够可靠地计</w:t>
      </w:r>
      <w:r>
        <w:rPr>
          <w:spacing w:val="-87"/>
        </w:rPr>
        <w:t> </w:t>
      </w:r>
      <w:r>
        <w:rPr/>
        <w:t>量。本公司的固定资产分为：房屋及建筑物、机器设备、专用设备、运输工具、模具、电子设备、办公设备、其他设备等。</w:t>
      </w:r>
      <w:r>
        <w:rPr/>
        <w:t> 固定资产以取得时的实际成本入账，并从其达到预定可使用状态的次月起计提折旧。</w:t>
      </w:r>
    </w:p>
    <w:p>
      <w:pPr>
        <w:spacing w:line="240" w:lineRule="auto" w:before="1"/>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9" w:lineRule="auto" w:before="8"/>
        <w:ind w:right="1129" w:firstLine="360"/>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240" w:lineRule="auto" w:before="17"/>
        <w:ind w:left="513" w:right="0"/>
        <w:jc w:val="left"/>
      </w:pPr>
      <w:r>
        <w:rPr/>
        <w:t>融资租赁方式租入的固定资产，能合理确定租赁期届满时将会取得租赁资产所有权的，在租赁资产尚可使用年限内计提</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9"/>
        <w:jc w:val="left"/>
      </w:pP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0" w:firstLine="360"/>
        <w:jc w:val="left"/>
      </w:pPr>
      <w:r>
        <w:rPr/>
        <w:t>公司与租赁方所签订的租赁协议条款中规定了下列条件之一的，确认为融资租入资产：</w:t>
      </w:r>
      <w:r>
        <w:rPr>
          <w:rFonts w:ascii="Times New Roman" w:hAnsi="Times New Roman" w:cs="Times New Roman" w:eastAsia="Times New Roman" w:hint="default"/>
        </w:rPr>
        <w:t>(1)</w:t>
      </w:r>
      <w:r>
        <w:rPr/>
        <w:t>租赁期满后租赁资产的所有 权归属于本公司；</w:t>
      </w:r>
      <w:r>
        <w:rPr>
          <w:rFonts w:ascii="Times New Roman" w:hAnsi="Times New Roman" w:cs="Times New Roman" w:eastAsia="Times New Roman" w:hint="default"/>
        </w:rPr>
        <w:t>(2)</w:t>
      </w:r>
      <w:r>
        <w:rPr/>
        <w:t>公司具有购买资产的选择权，购买价款远低于行使选择权时该资产的公允价值；</w:t>
      </w:r>
      <w:r>
        <w:rPr>
          <w:rFonts w:ascii="Times New Roman" w:hAnsi="Times New Roman" w:cs="Times New Roman" w:eastAsia="Times New Roman" w:hint="default"/>
        </w:rPr>
        <w:t>(3)</w:t>
      </w:r>
      <w:r>
        <w:rPr/>
        <w:t>租赁期占所租赁资</w:t>
      </w:r>
      <w:r>
        <w:rPr>
          <w:spacing w:val="-87"/>
        </w:rPr>
        <w:t> </w:t>
      </w:r>
      <w:r>
        <w:rPr>
          <w:spacing w:val="-1"/>
        </w:rPr>
        <w:t>产使用寿命的大部分；</w:t>
      </w:r>
      <w:r>
        <w:rPr>
          <w:rFonts w:ascii="Times New Roman" w:hAnsi="Times New Roman" w:cs="Times New Roman" w:eastAsia="Times New Roman" w:hint="default"/>
          <w:spacing w:val="-1"/>
        </w:rPr>
        <w:t>(4)</w:t>
      </w:r>
      <w:r>
        <w:rPr>
          <w:spacing w:val="-1"/>
        </w:rPr>
        <w:t>租赁开始日的最低租赁付款额现值，与该资产的公允价值不存在较大的差异。公司在承租开始日，</w:t>
      </w:r>
      <w:r>
        <w:rPr>
          <w:spacing w:val="-59"/>
        </w:rPr>
        <w:t> </w:t>
      </w:r>
      <w:r>
        <w:rPr>
          <w:spacing w:val="-59"/>
        </w:rPr>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4" w:firstLine="360"/>
        <w:jc w:val="left"/>
      </w:pPr>
      <w:r>
        <w:rPr>
          <w:rFonts w:ascii="Times New Roman" w:hAnsi="Times New Roman" w:cs="Times New Roman" w:eastAsia="Times New Roman" w:hint="default"/>
        </w:rPr>
        <w:t>1</w:t>
      </w:r>
      <w:r>
        <w:rPr/>
        <w:t>、在建工程同时满足经济利益很可能流入、成本能够可靠计量时予以确认。在建工程按建造该项资产达到预定可使用 状态前所发生的实际成本计量。</w:t>
      </w:r>
    </w:p>
    <w:p>
      <w:pPr>
        <w:pStyle w:val="BodyText"/>
        <w:spacing w:line="300" w:lineRule="auto" w:before="31"/>
        <w:ind w:right="1124" w:firstLine="360"/>
        <w:jc w:val="left"/>
      </w:pPr>
      <w:r>
        <w:rPr>
          <w:rFonts w:ascii="Times New Roman" w:hAnsi="Times New Roman" w:cs="Times New Roman" w:eastAsia="Times New Roman" w:hint="default"/>
        </w:rPr>
        <w:t>2</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13" w:right="1129"/>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24"/>
        <w:ind w:left="513" w:right="1213" w:hanging="361"/>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973" w:hanging="361"/>
        <w:jc w:val="left"/>
      </w:pPr>
      <w:r>
        <w:rPr/>
        <w:t>产、投资性房地产和存货等资产。 借款费用同时满足下列条件时开始资本化：</w:t>
      </w:r>
    </w:p>
    <w:p>
      <w:pPr>
        <w:pStyle w:val="BodyText"/>
        <w:spacing w:line="300" w:lineRule="auto" w:before="19"/>
        <w:ind w:right="1184" w:firstLine="360"/>
        <w:jc w:val="left"/>
      </w:pP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w:t>
      </w:r>
      <w:r>
        <w:rPr>
          <w:w w:val="99"/>
        </w:rPr>
        <w:t> </w:t>
      </w:r>
      <w:r>
        <w:rPr/>
        <w:t>带息债务形式发生的支出；</w:t>
      </w:r>
    </w:p>
    <w:p>
      <w:pPr>
        <w:pStyle w:val="BodyText"/>
        <w:spacing w:line="300" w:lineRule="auto" w:before="31"/>
        <w:ind w:left="513" w:right="3883"/>
        <w:jc w:val="left"/>
      </w:pPr>
      <w:r>
        <w:rPr>
          <w:rFonts w:ascii="Times New Roman" w:hAnsi="Times New Roman" w:cs="Times New Roman" w:eastAsia="Times New Roman" w:hint="default"/>
        </w:rPr>
        <w:t>(2)</w:t>
      </w:r>
      <w:r>
        <w:rPr/>
        <w:t>借款费用已经发生；</w:t>
      </w:r>
      <w:r>
        <w:rPr>
          <w:w w:val="99"/>
        </w:rPr>
        <w:t> </w:t>
      </w:r>
      <w:r>
        <w:rPr>
          <w:rFonts w:ascii="Times New Roman" w:hAnsi="Times New Roman" w:cs="Times New Roman" w:eastAsia="Times New Roman" w:hint="default"/>
        </w:rPr>
        <w:t>(3)</w:t>
      </w:r>
      <w:r>
        <w:rPr/>
        <w:t>为使资产达到预定可使用或者可销售状态所必要的购建或者生产活动已经开始。</w:t>
      </w:r>
      <w:r>
        <w:rPr>
          <w:w w:val="99"/>
        </w:rPr>
        <w:t> </w:t>
      </w:r>
      <w:r>
        <w:rPr>
          <w:rFonts w:ascii="Times New Roman" w:hAnsi="Times New Roman" w:cs="Times New Roman" w:eastAsia="Times New Roman" w:hint="default"/>
        </w:rPr>
        <w:t>2</w:t>
      </w:r>
      <w:r>
        <w:rPr/>
        <w:t>、借款费用资本化期间</w:t>
      </w:r>
    </w:p>
    <w:p>
      <w:pPr>
        <w:pStyle w:val="BodyText"/>
        <w:spacing w:line="316" w:lineRule="auto" w:before="13"/>
        <w:ind w:left="513" w:right="1129"/>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9"/>
        <w:ind w:right="1133"/>
        <w:jc w:val="left"/>
      </w:pPr>
      <w:r>
        <w:rPr/>
        <w:t>款费用资本化。</w:t>
      </w:r>
    </w:p>
    <w:p>
      <w:pPr>
        <w:pStyle w:val="BodyText"/>
        <w:spacing w:line="300" w:lineRule="auto" w:before="76"/>
        <w:ind w:left="513" w:right="0"/>
        <w:jc w:val="left"/>
      </w:pP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1129"/>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00" w:lineRule="auto" w:before="19"/>
        <w:ind w:left="513" w:right="1129"/>
        <w:jc w:val="left"/>
      </w:pPr>
      <w:r>
        <w:rPr>
          <w:rFonts w:ascii="Times New Roman" w:hAnsi="Times New Roman" w:cs="Times New Roman" w:eastAsia="Times New Roman" w:hint="default"/>
        </w:rPr>
        <w:t>4</w:t>
      </w:r>
      <w:r>
        <w:rPr/>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16" w:lineRule="auto" w:before="32"/>
        <w:ind w:left="513" w:right="1129"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9"/>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6763"/>
        <w:jc w:val="left"/>
      </w:pPr>
      <w:r>
        <w:rPr>
          <w:rFonts w:ascii="Times New Roman" w:hAnsi="Times New Roman" w:cs="Times New Roman" w:eastAsia="Times New Roman" w:hint="default"/>
        </w:rPr>
        <w:t>1</w:t>
      </w:r>
      <w:r>
        <w:rPr/>
        <w:t>、无形资产的计价方法 </w:t>
      </w:r>
      <w:r>
        <w:rPr>
          <w:rFonts w:ascii="Times New Roman" w:hAnsi="Times New Roman" w:cs="Times New Roman" w:eastAsia="Times New Roman" w:hint="default"/>
        </w:rPr>
        <w:t>(1)</w:t>
      </w:r>
      <w:r>
        <w:rPr/>
        <w:t>公司取得无形资产时按成本进行初始计量；</w:t>
      </w:r>
    </w:p>
    <w:p>
      <w:pPr>
        <w:pStyle w:val="BodyText"/>
        <w:spacing w:line="316" w:lineRule="auto" w:before="13"/>
        <w:ind w:right="1130" w:firstLine="360"/>
        <w:jc w:val="both"/>
      </w:pPr>
      <w:r>
        <w:rPr>
          <w:spacing w:val="-2"/>
        </w:rPr>
        <w:t>外购无形资产的成本，包括购买价款、相关税费以及直接归属于使该项资产达到预定用途所发生的其他支出。购买无形</w:t>
      </w:r>
      <w:r>
        <w:rPr/>
        <w:t> 资产的价款超过正常信用条件延期支付，实质上具有融资性质的，无形资产的成本以购买价款的现值为基础确定。</w:t>
      </w:r>
    </w:p>
    <w:p>
      <w:pPr>
        <w:pStyle w:val="BodyText"/>
        <w:spacing w:line="316" w:lineRule="auto" w:before="19"/>
        <w:ind w:right="1132" w:firstLine="360"/>
        <w:jc w:val="both"/>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pStyle w:val="BodyText"/>
        <w:spacing w:line="316" w:lineRule="auto" w:before="19"/>
        <w:ind w:right="1132"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513" w:right="7153"/>
        <w:jc w:val="left"/>
      </w:pPr>
      <w:r>
        <w:rPr>
          <w:rFonts w:ascii="Times New Roman" w:hAnsi="Times New Roman" w:cs="Times New Roman" w:eastAsia="Times New Roman" w:hint="default"/>
        </w:rPr>
        <w:t>(2)</w:t>
      </w:r>
      <w:r>
        <w:rPr/>
        <w:t>后续计量</w:t>
      </w:r>
      <w:r>
        <w:rPr>
          <w:w w:val="99"/>
        </w:rPr>
        <w:t> </w:t>
      </w:r>
      <w:r>
        <w:rPr/>
        <w:t>在取得无形资产时分析判断其使用寿命。</w:t>
      </w:r>
    </w:p>
    <w:p>
      <w:pPr>
        <w:pStyle w:val="BodyText"/>
        <w:spacing w:line="316" w:lineRule="auto" w:before="31"/>
        <w:ind w:right="1132"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9"/>
        <w:ind w:left="513" w:right="1133"/>
        <w:jc w:val="left"/>
      </w:pPr>
      <w:r>
        <w:rPr>
          <w:rFonts w:ascii="Times New Roman" w:hAnsi="Times New Roman" w:cs="Times New Roman" w:eastAsia="Times New Roman" w:hint="default"/>
        </w:rPr>
        <w:t>2</w:t>
      </w:r>
      <w:r>
        <w:rPr/>
        <w:t>、使用寿命有限的无形资产的使用寿命估计情况：</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284"/>
        <w:gridCol w:w="2525"/>
        <w:gridCol w:w="3757"/>
      </w:tblGrid>
      <w:tr>
        <w:trPr>
          <w:trHeight w:val="34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15"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6"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产权年限</w:t>
            </w:r>
          </w:p>
        </w:tc>
      </w:tr>
      <w:tr>
        <w:trPr>
          <w:trHeight w:val="34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年</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6"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合同能源管理项目</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合同规定年限</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合同规定</w:t>
            </w:r>
          </w:p>
        </w:tc>
      </w:tr>
      <w:tr>
        <w:trPr>
          <w:trHeight w:val="34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6"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其他特许权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bl>
    <w:p>
      <w:pPr>
        <w:pStyle w:val="BodyText"/>
        <w:spacing w:line="316" w:lineRule="auto" w:before="8"/>
        <w:ind w:left="513" w:right="4453"/>
        <w:jc w:val="left"/>
      </w:pPr>
      <w:r>
        <w:rPr/>
        <w:t>每年度终了，对使用寿命有限的无形资产的使用寿命及摊销方法进行复核。 经复核，本年年末无形资产的使用寿命及摊销方法与以前估计未有不同。</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13" w:right="2653"/>
        <w:jc w:val="left"/>
      </w:pPr>
      <w:r>
        <w:rPr>
          <w:rFonts w:ascii="Times New Roman" w:hAnsi="Times New Roman" w:cs="Times New Roman" w:eastAsia="Times New Roman" w:hint="default"/>
        </w:rPr>
        <w:t>1</w:t>
      </w:r>
      <w:r>
        <w:rPr/>
        <w:t>、划分研究阶段和开发阶段的具体标准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right="1129"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spacing w:line="307" w:lineRule="auto" w:before="19"/>
        <w:ind w:left="513" w:right="4453"/>
        <w:jc w:val="left"/>
      </w:pPr>
      <w:r>
        <w:rPr>
          <w:rFonts w:ascii="Times New Roman" w:hAnsi="Times New Roman" w:cs="Times New Roman" w:eastAsia="Times New Roman" w:hint="default"/>
        </w:rPr>
        <w:t>2</w:t>
      </w:r>
      <w:r>
        <w:rPr/>
        <w:t>、开发阶段支出资本化的具体条件 内部研究开发项目开发阶段的支出，同时满足下列条件时确认为无形资产： </w:t>
      </w:r>
      <w:r>
        <w:rPr>
          <w:rFonts w:ascii="Times New Roman" w:hAnsi="Times New Roman" w:cs="Times New Roman" w:eastAsia="Times New Roman" w:hint="default"/>
        </w:rPr>
        <w:t>(1)</w:t>
      </w:r>
      <w:r>
        <w:rPr/>
        <w:t>完成该无形资产以使其能够使用或出售在技术上具有可行性； </w:t>
      </w:r>
      <w:r>
        <w:rPr>
          <w:rFonts w:ascii="Times New Roman" w:hAnsi="Times New Roman" w:cs="Times New Roman" w:eastAsia="Times New Roman" w:hint="default"/>
        </w:rPr>
        <w:t>(2)</w:t>
      </w:r>
      <w:r>
        <w:rPr/>
        <w:t>具有完成该无形资产并使用或出售的意图；</w:t>
      </w:r>
    </w:p>
    <w:p>
      <w:pPr>
        <w:pStyle w:val="BodyText"/>
        <w:spacing w:line="300" w:lineRule="auto" w:before="7"/>
        <w:ind w:right="1184" w:firstLine="360"/>
        <w:jc w:val="left"/>
      </w:pP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w:t>
      </w:r>
      <w:r>
        <w:rPr>
          <w:w w:val="99"/>
        </w:rPr>
        <w:t> </w:t>
      </w:r>
      <w:r>
        <w:rPr/>
        <w:t>资产将在内部使用的，能够证明其有用性；</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513" w:right="1753"/>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r>
        <w:rPr>
          <w:w w:val="99"/>
        </w:rPr>
        <w:t> </w:t>
      </w:r>
      <w:r>
        <w:rPr>
          <w:rFonts w:ascii="Times New Roman" w:hAnsi="Times New Roman" w:cs="Times New Roman" w:eastAsia="Times New Roman" w:hint="default"/>
        </w:rPr>
        <w:t>(5)</w:t>
      </w:r>
      <w:r>
        <w:rPr/>
        <w:t>归属于该无形资产开发阶段的支出能够可靠地计量。</w:t>
      </w:r>
      <w:r>
        <w:rPr>
          <w:w w:val="99"/>
        </w:rPr>
        <w:t> </w:t>
      </w:r>
      <w:r>
        <w:rPr/>
        <w:t>开发阶段的支出，若不满足上列条件的，于发生时计入当期损益。研究阶段的支出，在发生时计入当期损益。</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3"/>
        </w:rPr>
        <w:t> </w:t>
      </w:r>
      <w:r>
        <w:rPr>
          <w:spacing w:val="-63"/>
        </w:rPr>
      </w:r>
      <w:r>
        <w:rPr>
          <w:spacing w:val="-2"/>
        </w:rPr>
        <w:t>回金额，进行减值测试。商誉、使用寿命不确定的无形资产和尚未达到可使用状态的无形资产，无论是否存在减值迹象，每</w:t>
      </w:r>
      <w:r>
        <w:rPr>
          <w:spacing w:val="-67"/>
        </w:rPr>
        <w:t> </w:t>
      </w:r>
      <w:r>
        <w:rPr>
          <w:spacing w:val="-67"/>
        </w:rPr>
      </w:r>
      <w:r>
        <w:rPr/>
        <w:t>年均进行减值测试。</w:t>
      </w:r>
    </w:p>
    <w:p>
      <w:pPr>
        <w:pStyle w:val="BodyText"/>
        <w:spacing w:line="316" w:lineRule="auto" w:before="19"/>
        <w:ind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2"/>
        </w:rPr>
        <w:t> </w:t>
      </w:r>
      <w:r>
        <w:rPr>
          <w:spacing w:val="-62"/>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9" w:lineRule="auto" w:before="19"/>
        <w:ind w:right="113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3"/>
        </w:rPr>
        <w:t> </w:t>
      </w:r>
      <w:r>
        <w:rPr>
          <w:spacing w:val="-63"/>
        </w:rPr>
      </w:r>
      <w:r>
        <w:rPr/>
        <w:t>各项资产的账面价值所占比重，按比例抵减其他各项资产的账面价值。</w:t>
      </w:r>
    </w:p>
    <w:p>
      <w:pPr>
        <w:pStyle w:val="BodyText"/>
        <w:spacing w:line="240" w:lineRule="auto" w:before="17"/>
        <w:ind w:left="513" w:right="1133"/>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24</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1" w:firstLine="360"/>
        <w:jc w:val="both"/>
      </w:pPr>
      <w:r>
        <w:rPr>
          <w:spacing w:val="-1"/>
        </w:rPr>
        <w:t>长期待摊费用是指公司已经发生但应由本期和以后各期分担的分摊期限在一年以上</w:t>
      </w:r>
      <w:r>
        <w:rPr>
          <w:rFonts w:ascii="Times New Roman" w:hAnsi="Times New Roman" w:cs="Times New Roman" w:eastAsia="Times New Roman" w:hint="default"/>
          <w:spacing w:val="-1"/>
        </w:rPr>
        <w:t>(</w:t>
      </w:r>
      <w:r>
        <w:rPr>
          <w:spacing w:val="-1"/>
        </w:rPr>
        <w:t>不含一年</w:t>
      </w:r>
      <w:r>
        <w:rPr>
          <w:rFonts w:ascii="Times New Roman" w:hAnsi="Times New Roman" w:cs="Times New Roman" w:eastAsia="Times New Roman" w:hint="default"/>
          <w:spacing w:val="-1"/>
        </w:rPr>
        <w:t>)</w:t>
      </w:r>
      <w:r>
        <w:rPr>
          <w:spacing w:val="-1"/>
        </w:rPr>
        <w:t>的各项费用，包括以经营</w:t>
      </w:r>
      <w:r>
        <w:rPr/>
        <w:t> 租赁方式租入的固定资产改良支出等。</w:t>
      </w:r>
    </w:p>
    <w:p>
      <w:pPr>
        <w:pStyle w:val="BodyText"/>
        <w:spacing w:line="316" w:lineRule="auto" w:before="31"/>
        <w:ind w:right="1132" w:firstLine="360"/>
        <w:jc w:val="both"/>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25</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9"/>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3" w:right="4633" w:hanging="361"/>
        <w:jc w:val="left"/>
      </w:pPr>
      <w:r>
        <w:rPr/>
        <w:t>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离职后福利计划按照承担的风险和义务情况，可以分为设定提存计划和设定受益计划。</w:t>
      </w:r>
    </w:p>
    <w:p>
      <w:pPr>
        <w:pStyle w:val="BodyText"/>
        <w:spacing w:line="240" w:lineRule="auto" w:before="76"/>
        <w:ind w:left="513" w:right="1133"/>
        <w:jc w:val="left"/>
      </w:pPr>
      <w:r>
        <w:rPr>
          <w:rFonts w:ascii="Times New Roman" w:hAnsi="Times New Roman" w:cs="Times New Roman" w:eastAsia="Times New Roman" w:hint="default"/>
        </w:rPr>
        <w:t>(1)</w:t>
      </w:r>
      <w:r>
        <w:rPr/>
        <w:t>设定提存计划</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360"/>
        <w:jc w:val="both"/>
      </w:pPr>
      <w:r>
        <w:rPr>
          <w:spacing w:val="-2"/>
        </w:rPr>
        <w:t>公司根据在资产负债表日为换取职工在会计期间提供的服务而向单独主体缴存的提存金，确认为负债，并按照受益对象</w:t>
      </w:r>
      <w:r>
        <w:rPr/>
        <w:t> 计人当期损益或相关资产成本。</w:t>
      </w:r>
    </w:p>
    <w:p>
      <w:pPr>
        <w:pStyle w:val="BodyText"/>
        <w:spacing w:line="300" w:lineRule="auto" w:before="19"/>
        <w:ind w:left="513" w:right="3553"/>
        <w:jc w:val="left"/>
      </w:pPr>
      <w:r>
        <w:rPr>
          <w:rFonts w:ascii="Times New Roman" w:hAnsi="Times New Roman" w:cs="Times New Roman" w:eastAsia="Times New Roman" w:hint="default"/>
        </w:rPr>
        <w:t>(2)</w:t>
      </w:r>
      <w:r>
        <w:rPr/>
        <w:t>设定受益计划</w:t>
      </w:r>
      <w:r>
        <w:rPr>
          <w:w w:val="99"/>
        </w:rPr>
        <w:t> </w:t>
      </w:r>
      <w:r>
        <w:rPr/>
        <w:t>设定受益计划，是指除设定提存计划以外的离职后福利计划。会计处理包括下列步骤：</w:t>
      </w:r>
    </w:p>
    <w:p>
      <w:pPr>
        <w:pStyle w:val="BodyText"/>
        <w:spacing w:line="312" w:lineRule="auto" w:before="31"/>
        <w:ind w:right="1130" w:firstLine="360"/>
        <w:jc w:val="both"/>
      </w:pPr>
      <w:r>
        <w:rPr>
          <w:rFonts w:ascii="Times New Roman" w:hAnsi="Times New Roman" w:cs="Times New Roman" w:eastAsia="Times New Roman" w:hint="default"/>
          <w:spacing w:val="-1"/>
        </w:rPr>
        <w:t>1)</w:t>
      </w:r>
      <w:r>
        <w:rPr>
          <w:spacing w:val="-1"/>
        </w:rPr>
        <w:t>根据预期累计福利单位法，采用无偏且相互一致的精算假设对有关人口统计变量和财务变量等作出估计，计量设定受</w:t>
      </w:r>
      <w:r>
        <w:rPr>
          <w:w w:val="99"/>
        </w:rPr>
        <w:t> </w:t>
      </w:r>
      <w:r>
        <w:rPr>
          <w:spacing w:val="-2"/>
        </w:rPr>
        <w:t>益计划所产生的义务，并确定相关义务的所属期间；公司对所有设定受益计划义务予以折现，包括预期在职工提供服务的年</w:t>
      </w:r>
      <w:r>
        <w:rPr>
          <w:spacing w:val="-64"/>
        </w:rPr>
        <w:t> </w:t>
      </w:r>
      <w:r>
        <w:rPr>
          <w:spacing w:val="-64"/>
        </w:rPr>
      </w:r>
      <w:r>
        <w:rPr>
          <w:spacing w:val="-2"/>
          <w:w w:val="99"/>
        </w:rPr>
        <w:t>度报告期间结束后的十二个月内支付的义务。折现时所采用的折现率根据资产负债表日与设定受益计划义务期限和币种相匹</w:t>
      </w:r>
      <w:r>
        <w:rPr>
          <w:spacing w:val="-63"/>
          <w:w w:val="99"/>
        </w:rPr>
        <w:t> </w:t>
      </w:r>
      <w:r>
        <w:rPr>
          <w:spacing w:val="-63"/>
          <w:w w:val="99"/>
        </w:rPr>
      </w:r>
      <w:r>
        <w:rPr/>
        <w:t>配的国债或活跃市场上的高质量公司债券的市场收益率确定；</w:t>
      </w:r>
    </w:p>
    <w:p>
      <w:pPr>
        <w:pStyle w:val="BodyText"/>
        <w:spacing w:line="309" w:lineRule="auto" w:before="22"/>
        <w:ind w:right="1132" w:firstLine="360"/>
        <w:jc w:val="both"/>
      </w:pPr>
      <w:r>
        <w:rPr>
          <w:rFonts w:ascii="Times New Roman" w:hAnsi="Times New Roman" w:cs="Times New Roman" w:eastAsia="Times New Roman" w:hint="default"/>
          <w:spacing w:val="-1"/>
        </w:rPr>
        <w:t>2)</w:t>
      </w:r>
      <w:r>
        <w:rPr>
          <w:spacing w:val="-1"/>
        </w:rPr>
        <w:t>设定受益计划存在资产的，将设定受益计划义务现值减去设定受益计划资产公允价值所形成的赤字或盈余确认为一项</w:t>
      </w:r>
      <w:r>
        <w:rPr>
          <w:w w:val="99"/>
        </w:rPr>
        <w:t> </w:t>
      </w:r>
      <w:r>
        <w:rPr>
          <w:spacing w:val="-2"/>
        </w:rPr>
        <w:t>设定受益计划净负债或净资产。设定受益计划存在盈余的，以设定受益计划的盈余和资产上限两项的孰低者计量设定受益计</w:t>
      </w:r>
      <w:r>
        <w:rPr>
          <w:spacing w:val="-65"/>
        </w:rPr>
        <w:t> </w:t>
      </w:r>
      <w:r>
        <w:rPr>
          <w:spacing w:val="-65"/>
        </w:rPr>
      </w:r>
      <w:r>
        <w:rPr/>
        <w:t>划净资产。资产上限是指公司可从设定受益计划退款或减少未来对设定受益计划缴存资金而获得的经济利益的现值；</w:t>
      </w:r>
    </w:p>
    <w:p>
      <w:pPr>
        <w:pStyle w:val="BodyText"/>
        <w:spacing w:line="312" w:lineRule="auto" w:before="25"/>
        <w:ind w:right="0" w:firstLine="360"/>
        <w:jc w:val="left"/>
      </w:pPr>
      <w:r>
        <w:rPr>
          <w:rFonts w:ascii="Times New Roman" w:hAnsi="Times New Roman" w:cs="Times New Roman" w:eastAsia="Times New Roman" w:hint="default"/>
        </w:rPr>
        <w:t>3)</w:t>
      </w:r>
      <w:r>
        <w:rPr/>
        <w:t>年末，将设定受益计划产生的职工薪酬成本确认为服务成本、设定受益计划净负债或净资产的利息净额以及重新计量</w:t>
      </w:r>
      <w:r>
        <w:rPr>
          <w:w w:val="99"/>
        </w:rPr>
        <w:t> </w:t>
      </w:r>
      <w:r>
        <w:rPr>
          <w:spacing w:val="-2"/>
          <w:w w:val="99"/>
        </w:rPr>
        <w:t>设定受益计划净负债或净资产所产生的变动，其中服务成本和设定受益计划净负债或净资产的利息净额计入当期损益或相关</w:t>
      </w:r>
      <w:r>
        <w:rPr>
          <w:spacing w:val="-64"/>
          <w:w w:val="99"/>
        </w:rPr>
        <w:t> </w:t>
      </w:r>
      <w:r>
        <w:rPr>
          <w:spacing w:val="-64"/>
          <w:w w:val="99"/>
        </w:rPr>
      </w:r>
      <w:r>
        <w:rPr>
          <w:spacing w:val="-4"/>
          <w:w w:val="99"/>
        </w:rPr>
        <w:t>资产成本，重新计量设定受益计划净负债或净资产所产生的变动计入其他综合收益，并且在后续会计期间不允许转回至损益，</w:t>
      </w:r>
      <w:r>
        <w:rPr>
          <w:spacing w:val="-44"/>
          <w:w w:val="99"/>
        </w:rPr>
        <w:t> </w:t>
      </w:r>
      <w:r>
        <w:rPr>
          <w:spacing w:val="-44"/>
          <w:w w:val="99"/>
        </w:rPr>
      </w:r>
      <w:r>
        <w:rPr/>
        <w:t>但可以在权益范围内转移这些在其他综合收益确认的金额；</w:t>
      </w:r>
    </w:p>
    <w:p>
      <w:pPr>
        <w:pStyle w:val="BodyText"/>
        <w:spacing w:line="240" w:lineRule="auto" w:before="22"/>
        <w:ind w:left="513" w:right="1133"/>
        <w:jc w:val="left"/>
      </w:pPr>
      <w:r>
        <w:rPr>
          <w:rFonts w:ascii="Times New Roman" w:hAnsi="Times New Roman" w:cs="Times New Roman" w:eastAsia="Times New Roman" w:hint="default"/>
        </w:rPr>
        <w:t>4)</w:t>
      </w:r>
      <w:r>
        <w:rPr/>
        <w:t>在设定受益计划结算时，确认一项结算利得或损失。</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98" w:firstLine="360"/>
        <w:jc w:val="both"/>
      </w:pPr>
      <w:r>
        <w:rPr/>
        <w:t>公司向职工提供的辞退福利，在下列两者孰早日确认辞退福利产生的职工薪酬负债，并计入当期损益：</w:t>
      </w:r>
      <w:r>
        <w:rPr>
          <w:rFonts w:ascii="Times New Roman" w:hAnsi="Times New Roman" w:cs="Times New Roman" w:eastAsia="Times New Roman" w:hint="default"/>
        </w:rPr>
        <w:t>(1)</w:t>
      </w:r>
      <w:r>
        <w:rPr/>
        <w:t>公司不能单 方面撤回因解除劳动关系计划或裁减建议所提供的辞退福利时；</w:t>
      </w:r>
      <w:r>
        <w:rPr>
          <w:rFonts w:ascii="Times New Roman" w:hAnsi="Times New Roman" w:cs="Times New Roman" w:eastAsia="Times New Roman" w:hint="default"/>
        </w:rPr>
        <w:t>(2)</w:t>
      </w:r>
      <w:r>
        <w:rPr/>
        <w:t>公司确认与涉及支付辞退福利的重组相关的成本或费用 时。</w:t>
      </w:r>
    </w:p>
    <w:p>
      <w:pPr>
        <w:pStyle w:val="BodyText"/>
        <w:spacing w:line="316" w:lineRule="auto" w:before="31"/>
        <w:ind w:right="1129" w:firstLine="360"/>
        <w:jc w:val="left"/>
      </w:pPr>
      <w:r>
        <w:rPr/>
        <w:t>在公司不能单方面撤回解除劳动关系计划或裁减建议时和确认与涉及支付辞退福利的重组相关的成本费用时两者孰早 </w:t>
      </w:r>
      <w:r>
        <w:rPr>
          <w:spacing w:val="-2"/>
        </w:rPr>
        <w:t>日，确认因解除与职工的劳动关系给予补偿而产生的负债，同时计入当期损益。公司按照辞退计划条款的规定，合理预计并</w:t>
      </w:r>
      <w:r>
        <w:rPr>
          <w:spacing w:val="-65"/>
        </w:rPr>
        <w:t> </w:t>
      </w:r>
      <w:r>
        <w:rPr>
          <w:spacing w:val="-65"/>
        </w:rPr>
      </w:r>
      <w:r>
        <w:rPr>
          <w:spacing w:val="-2"/>
        </w:rPr>
        <w:t>确认辞退福利产生的应付职工薪酬。辞退福利预期在其确认的年度报告期结束后十二个月内完全支付的，适用短期薪酬的相</w:t>
      </w:r>
      <w:r>
        <w:rPr>
          <w:spacing w:val="-64"/>
        </w:rPr>
        <w:t> </w:t>
      </w:r>
      <w:r>
        <w:rPr>
          <w:spacing w:val="-64"/>
        </w:rPr>
      </w:r>
      <w:r>
        <w:rPr/>
        <w:t>关规定；辞退福利预期在年度报告期结束后十二个月内不能完全支付的，适用其他长期职工福利的有关规定。</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公司向职工提供的其他长期职工福利，符合设定提存计划条件的，按照设定提存计划进行会计处理；除此之外的其他长</w:t>
      </w:r>
      <w:r>
        <w:rPr/>
        <w:t> </w:t>
      </w:r>
      <w:r>
        <w:rPr>
          <w:spacing w:val="-2"/>
        </w:rPr>
        <w:t>期福利，按照设定受益计划进行会计处理，但是重新计量其他长期职工福利净负债或净资产所产生的变动计入当期损益或相</w:t>
      </w:r>
      <w:r>
        <w:rPr>
          <w:spacing w:val="-64"/>
        </w:rPr>
        <w:t> </w:t>
      </w:r>
      <w:r>
        <w:rPr>
          <w:spacing w:val="-64"/>
        </w:rPr>
      </w:r>
      <w:r>
        <w:rPr/>
        <w:t>关资产成本。</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、预计负债的确认标准 </w:t>
      </w:r>
      <w:r>
        <w:rPr>
          <w:spacing w:val="-2"/>
        </w:rPr>
        <w:t>当与对外担保、未决诉讼或仲裁、产品质量保证、裁员计划、亏损合同、重组义务、固定资产弃置义务等或有事项相关</w:t>
      </w:r>
    </w:p>
    <w:p>
      <w:pPr>
        <w:pStyle w:val="BodyText"/>
        <w:spacing w:line="304" w:lineRule="auto" w:before="31"/>
        <w:ind w:left="513" w:right="6583" w:hanging="361"/>
        <w:jc w:val="left"/>
      </w:pPr>
      <w:r>
        <w:rPr/>
        <w:t>的业务同时符合以下条件时，确认为负债： </w:t>
      </w:r>
      <w:r>
        <w:rPr>
          <w:rFonts w:ascii="Times New Roman" w:hAnsi="Times New Roman" w:cs="Times New Roman" w:eastAsia="Times New Roman" w:hint="default"/>
        </w:rPr>
        <w:t>(1)</w:t>
      </w:r>
      <w:r>
        <w:rPr/>
        <w:t>该义务是本公司承担的现时义务。 </w:t>
      </w:r>
      <w:r>
        <w:rPr>
          <w:rFonts w:ascii="Times New Roman" w:hAnsi="Times New Roman" w:cs="Times New Roman" w:eastAsia="Times New Roman" w:hint="default"/>
        </w:rPr>
        <w:t>(2)</w:t>
      </w:r>
      <w:r>
        <w:rPr/>
        <w:t>该义务的履行很可能导致经济利益流出企业。 </w:t>
      </w:r>
      <w:r>
        <w:rPr>
          <w:rFonts w:ascii="Times New Roman" w:hAnsi="Times New Roman" w:cs="Times New Roman" w:eastAsia="Times New Roman" w:hint="default"/>
        </w:rPr>
        <w:t>(3)</w:t>
      </w:r>
      <w:r>
        <w:rPr/>
        <w:t>该义务的金额能够可靠地计量。 </w:t>
      </w:r>
      <w:r>
        <w:rPr>
          <w:rFonts w:ascii="Times New Roman" w:hAnsi="Times New Roman" w:cs="Times New Roman" w:eastAsia="Times New Roman" w:hint="default"/>
        </w:rPr>
        <w:t>2</w:t>
      </w:r>
      <w:r>
        <w:rPr/>
        <w:t>、预计负债的计量方法</w:t>
      </w:r>
    </w:p>
    <w:p>
      <w:pPr>
        <w:pStyle w:val="BodyText"/>
        <w:spacing w:line="319" w:lineRule="auto" w:before="9"/>
        <w:ind w:right="1129" w:firstLine="360"/>
        <w:jc w:val="left"/>
      </w:pPr>
      <w:r>
        <w:rPr>
          <w:spacing w:val="-2"/>
        </w:rPr>
        <w:t>预计负债按照履行现时义务所需支出的最佳估计数进行初始计量。所需支出存在一个连续范围，且该范围内各种结果发</w:t>
      </w:r>
      <w:r>
        <w:rPr/>
        <w:t> 生的可能性相同的最佳估计数按该范围的中间值确定；在其他情况下，最佳估计数按如下方法确定：</w:t>
      </w:r>
    </w:p>
    <w:p>
      <w:pPr>
        <w:pStyle w:val="BodyText"/>
        <w:spacing w:line="240" w:lineRule="auto" w:before="17"/>
        <w:ind w:left="513" w:right="1133"/>
        <w:jc w:val="left"/>
      </w:pPr>
      <w:r>
        <w:rPr>
          <w:rFonts w:ascii="Times New Roman" w:hAnsi="Times New Roman" w:cs="Times New Roman" w:eastAsia="Times New Roman" w:hint="default"/>
        </w:rPr>
        <w:t>(1)</w:t>
      </w:r>
      <w:r>
        <w:rPr/>
        <w:t>或有事项涉及单个项目时，最佳估计数按最可能发生金额确定。</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513" w:right="1129"/>
        <w:jc w:val="left"/>
      </w:pPr>
      <w:r>
        <w:rPr>
          <w:rFonts w:ascii="Times New Roman" w:hAnsi="Times New Roman" w:cs="Times New Roman" w:eastAsia="Times New Roman" w:hint="default"/>
        </w:rPr>
        <w:t>(2)</w:t>
      </w:r>
      <w:r>
        <w:rPr/>
        <w:t>或有事项涉及多个项目时，最佳估计数按各种可能发生金额及其发生概率计算确定。</w:t>
      </w:r>
      <w:r>
        <w:rPr>
          <w:w w:val="99"/>
        </w:rPr>
        <w:t> </w:t>
      </w:r>
      <w:r>
        <w:rPr>
          <w:spacing w:val="-2"/>
        </w:rPr>
        <w:t>公司清偿预计负债所需支出全部或部分预期由第三方或其他方补偿的，则补偿金额在基本确定能收到时，作为资产单独</w:t>
      </w:r>
    </w:p>
    <w:p>
      <w:pPr>
        <w:pStyle w:val="BodyText"/>
        <w:spacing w:line="316" w:lineRule="auto" w:before="31"/>
        <w:ind w:left="513" w:right="1129" w:hanging="361"/>
        <w:jc w:val="left"/>
      </w:pPr>
      <w:r>
        <w:rPr/>
        <w:t>确认。确认的补偿金额不超过所确认预计负债的账面价值。 </w:t>
      </w:r>
      <w:r>
        <w:rPr>
          <w:spacing w:val="-2"/>
        </w:rPr>
        <w:t>公司资产负债表日对预计负债账面价值进行复核，有确凿证据表明该账面价值不能真实反映当前最佳估计数，按照当前</w:t>
      </w:r>
    </w:p>
    <w:p>
      <w:pPr>
        <w:pStyle w:val="BodyText"/>
        <w:spacing w:line="240" w:lineRule="auto" w:before="19"/>
        <w:ind w:right="1133"/>
        <w:jc w:val="left"/>
      </w:pPr>
      <w:r>
        <w:rPr/>
        <w:t>最佳估计数对该账面价值进行调整。</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94" w:firstLine="36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 本公司的股份支付分为以权益结算的股份支付和以现金结算的股份支付。</w:t>
      </w:r>
    </w:p>
    <w:p>
      <w:pPr>
        <w:pStyle w:val="BodyText"/>
        <w:spacing w:line="300" w:lineRule="auto" w:before="31"/>
        <w:ind w:left="513" w:right="1129"/>
        <w:jc w:val="left"/>
      </w:pPr>
      <w:r>
        <w:rPr>
          <w:rFonts w:ascii="Times New Roman" w:hAnsi="Times New Roman" w:cs="Times New Roman" w:eastAsia="Times New Roman" w:hint="default"/>
        </w:rPr>
        <w:t>1</w:t>
      </w:r>
      <w:r>
        <w:rPr/>
        <w:t>、以权益结算的股份支付及权益工具 </w:t>
      </w:r>
      <w:r>
        <w:rPr>
          <w:spacing w:val="-2"/>
        </w:rPr>
        <w:t>以权益结算的股份支付换取职工提供服务的，以授予职工权益工具的公允价值计量。本公司以限制性股票进行股份支付</w:t>
      </w:r>
    </w:p>
    <w:p>
      <w:pPr>
        <w:pStyle w:val="BodyText"/>
        <w:spacing w:line="314" w:lineRule="auto" w:before="31"/>
        <w:ind w:right="1130"/>
        <w:jc w:val="both"/>
      </w:pP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1"/>
        </w:rPr>
        <w:t>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spacing w:val="-1"/>
        </w:rPr>
        <w:t>，同时就回购义务全额确认一项负债并确认库存股。在等待期内每个资产负债表日，本公司根据最新取</w:t>
      </w:r>
      <w:r>
        <w:rPr>
          <w:spacing w:val="-60"/>
        </w:rPr>
        <w:t> </w:t>
      </w:r>
      <w:r>
        <w:rPr>
          <w:spacing w:val="-60"/>
        </w:rPr>
      </w:r>
      <w:r>
        <w:rPr>
          <w:spacing w:val="-2"/>
        </w:rPr>
        <w:t>得的后续信息对可行权权益工具数量作出最佳估计，以此为基础，按照授予日的公允价值，将当期取得的服务计入相关成本</w:t>
      </w:r>
      <w:r>
        <w:rPr>
          <w:spacing w:val="-63"/>
        </w:rPr>
        <w:t> </w:t>
      </w:r>
      <w:r>
        <w:rPr>
          <w:spacing w:val="-63"/>
        </w:rPr>
      </w:r>
      <w:r>
        <w:rPr>
          <w:spacing w:val="-2"/>
        </w:rPr>
        <w:t>或费用，相应增加资本公积。在可行权日之后不再对已确认的相关成本或费用和所有者权益总额进行调整。但授予后立即可</w:t>
      </w:r>
      <w:r>
        <w:rPr>
          <w:spacing w:val="-64"/>
        </w:rPr>
        <w:t> </w:t>
      </w:r>
      <w:r>
        <w:rPr>
          <w:spacing w:val="-64"/>
        </w:rPr>
      </w:r>
      <w:r>
        <w:rPr/>
        <w:t>行权的，在授予日按照公允价值计入相关成本或费用，相应增加资本公积。</w:t>
      </w:r>
    </w:p>
    <w:p>
      <w:pPr>
        <w:pStyle w:val="BodyText"/>
        <w:spacing w:line="316" w:lineRule="auto" w:before="20"/>
        <w:ind w:right="1129"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9" w:lineRule="auto" w:before="19"/>
        <w:ind w:right="1129"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17"/>
        <w:ind w:right="0" w:firstLine="360"/>
        <w:jc w:val="left"/>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4"/>
        </w:rPr>
        <w:t> </w:t>
      </w:r>
      <w:r>
        <w:rPr>
          <w:spacing w:val="-64"/>
        </w:rPr>
      </w:r>
      <w:r>
        <w:rPr/>
        <w:t>益工具授予日认定所授予的新权益工具是用于替代被取消的权益工具的，则以与处理原权益工具条款和条件修改相同的方 式，对所授予的替代权益工具进行处理。</w:t>
      </w:r>
    </w:p>
    <w:p>
      <w:pPr>
        <w:pStyle w:val="BodyText"/>
        <w:spacing w:line="300" w:lineRule="auto" w:before="19"/>
        <w:ind w:left="513" w:right="1129"/>
        <w:jc w:val="left"/>
      </w:pPr>
      <w:r>
        <w:rPr>
          <w:rFonts w:ascii="Times New Roman" w:hAnsi="Times New Roman" w:cs="Times New Roman" w:eastAsia="Times New Roman" w:hint="default"/>
        </w:rPr>
        <w:t>2</w:t>
      </w:r>
      <w:r>
        <w:rPr/>
        <w:t>、以现金结算的股份支付及权益工具 </w:t>
      </w:r>
      <w:r>
        <w:rPr>
          <w:spacing w:val="-2"/>
        </w:rPr>
        <w:t>以现金结算的股份支付，按照本公司承担的以股份或其他权益工具为基础计算确定的负债的公允价值计量。初始按照授</w:t>
      </w:r>
    </w:p>
    <w:p>
      <w:pPr>
        <w:pStyle w:val="BodyText"/>
        <w:spacing w:line="312" w:lineRule="auto" w:before="31"/>
        <w:ind w:right="1034"/>
        <w:jc w:val="left"/>
      </w:pPr>
      <w:r>
        <w:rPr>
          <w:spacing w:val="-2"/>
        </w:rPr>
        <w:t>予日的公允价值计量，并考虑授予权益工具的条款和条件，详见本附注</w:t>
      </w:r>
      <w:r>
        <w:rPr>
          <w:rFonts w:ascii="Times New Roman" w:hAnsi="Times New Roman" w:cs="Times New Roman" w:eastAsia="Times New Roman" w:hint="default"/>
          <w:spacing w:val="-2"/>
        </w:rPr>
        <w:t>“</w:t>
      </w:r>
      <w:r>
        <w:rPr>
          <w:spacing w:val="-2"/>
        </w:rPr>
        <w:t>二十四、股份支付</w:t>
      </w:r>
      <w:r>
        <w:rPr>
          <w:rFonts w:ascii="Times New Roman" w:hAnsi="Times New Roman" w:cs="Times New Roman" w:eastAsia="Times New Roman" w:hint="default"/>
          <w:spacing w:val="-2"/>
        </w:rPr>
        <w:t>”</w:t>
      </w:r>
      <w:r>
        <w:rPr>
          <w:spacing w:val="-2"/>
        </w:rPr>
        <w:t>。授予后立即可行权的，在授予</w:t>
      </w:r>
      <w:r>
        <w:rPr>
          <w:spacing w:val="-46"/>
        </w:rPr>
        <w:t> </w:t>
      </w:r>
      <w:r>
        <w:rPr>
          <w:spacing w:val="-46"/>
        </w:rPr>
      </w:r>
      <w:r>
        <w:rPr>
          <w:spacing w:val="-2"/>
        </w:rPr>
        <w:t>日以承担负债的公允价值计入成本或费用，相应增加负债；完成等待期内的服务或达到规定业绩条件才可行权的，在等待期</w:t>
      </w:r>
      <w:r>
        <w:rPr>
          <w:spacing w:val="-65"/>
        </w:rPr>
        <w:t> </w:t>
      </w:r>
      <w:r>
        <w:rPr>
          <w:spacing w:val="-65"/>
        </w:rPr>
      </w:r>
      <w:r>
        <w:rPr/>
        <w:t>内以对可行权情况的最佳估计为基础，按照承担负债的公允价值，将当期取得的服务计入相关成本或费用，增加相应负债。 在相关负债结算前的每个资产负债表日以及结算日，对负债的公允价值重新计量，其变动计入当期损益。</w:t>
      </w:r>
    </w:p>
    <w:p>
      <w:pPr>
        <w:spacing w:line="240" w:lineRule="auto" w:before="1"/>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是否已执行新收入准则</w:t>
      </w:r>
    </w:p>
    <w:p>
      <w:pPr>
        <w:pStyle w:val="BodyText"/>
        <w:spacing w:line="300" w:lineRule="auto" w:before="76"/>
        <w:ind w:left="513" w:right="940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w:t>
      </w:r>
      <w:r>
        <w:rPr>
          <w:rFonts w:ascii="Times New Roman" w:hAnsi="Times New Roman" w:cs="Times New Roman" w:eastAsia="Times New Roman" w:hint="default"/>
        </w:rPr>
        <w:t>1</w:t>
      </w:r>
      <w:r>
        <w:rPr/>
        <w:t>、一般原则 </w:t>
      </w:r>
      <w:r>
        <w:rPr>
          <w:rFonts w:ascii="Times New Roman" w:hAnsi="Times New Roman" w:cs="Times New Roman" w:eastAsia="Times New Roman" w:hint="default"/>
        </w:rPr>
        <w:t>(1)</w:t>
      </w:r>
      <w:r>
        <w:rPr/>
        <w:t>销售商品</w:t>
      </w:r>
    </w:p>
    <w:p>
      <w:pPr>
        <w:pStyle w:val="BodyText"/>
        <w:spacing w:line="300" w:lineRule="auto" w:before="13"/>
        <w:ind w:right="1128" w:firstLine="360"/>
        <w:jc w:val="both"/>
      </w:pPr>
      <w:r>
        <w:rPr>
          <w:spacing w:val="-1"/>
        </w:rPr>
        <w:t>销售商品收入在同时满足下列条件时予以确认：</w:t>
      </w:r>
      <w:r>
        <w:rPr>
          <w:rFonts w:ascii="Times New Roman" w:hAnsi="Times New Roman" w:cs="Times New Roman" w:eastAsia="Times New Roman" w:hint="default"/>
          <w:spacing w:val="-1"/>
        </w:rPr>
        <w:t>1)</w:t>
      </w:r>
      <w:r>
        <w:rPr>
          <w:spacing w:val="-1"/>
        </w:rPr>
        <w:t>本公司已将商品所有权上的主要风险和报酬转移给购货方；</w:t>
      </w:r>
      <w:r>
        <w:rPr>
          <w:rFonts w:ascii="Times New Roman" w:hAnsi="Times New Roman" w:cs="Times New Roman" w:eastAsia="Times New Roman" w:hint="default"/>
          <w:spacing w:val="-1"/>
        </w:rPr>
        <w:t>2)</w:t>
      </w:r>
      <w:r>
        <w:rPr>
          <w:spacing w:val="-1"/>
        </w:rPr>
        <w:t>本公司</w:t>
      </w:r>
      <w:r>
        <w:rPr/>
        <w:t> </w:t>
      </w:r>
      <w:r>
        <w:rPr>
          <w:spacing w:val="-1"/>
        </w:rPr>
        <w:t>既没有保留通常与所有权相联系的继续管理权，也没有对已售出的商品实施有效控制；</w:t>
      </w:r>
      <w:r>
        <w:rPr>
          <w:rFonts w:ascii="Times New Roman" w:hAnsi="Times New Roman" w:cs="Times New Roman" w:eastAsia="Times New Roman" w:hint="default"/>
          <w:spacing w:val="-1"/>
        </w:rPr>
        <w:t>3)</w:t>
      </w:r>
      <w:r>
        <w:rPr>
          <w:spacing w:val="-1"/>
        </w:rPr>
        <w:t>收入的金额能够可靠地计量；</w:t>
      </w:r>
      <w:r>
        <w:rPr>
          <w:rFonts w:ascii="Times New Roman" w:hAnsi="Times New Roman" w:cs="Times New Roman" w:eastAsia="Times New Roman" w:hint="default"/>
          <w:spacing w:val="-1"/>
        </w:rPr>
        <w:t>4)</w:t>
      </w:r>
      <w:r>
        <w:rPr>
          <w:spacing w:val="-1"/>
        </w:rPr>
        <w:t>相</w:t>
      </w:r>
      <w:r>
        <w:rPr>
          <w:spacing w:val="-53"/>
        </w:rPr>
        <w:t> </w:t>
      </w:r>
      <w:r>
        <w:rPr/>
        <w:t>关的经济利益很可能流入本公司；</w:t>
      </w:r>
      <w:r>
        <w:rPr>
          <w:rFonts w:ascii="Times New Roman" w:hAnsi="Times New Roman" w:cs="Times New Roman" w:eastAsia="Times New Roman" w:hint="default"/>
        </w:rPr>
        <w:t>5)</w:t>
      </w:r>
      <w:r>
        <w:rPr/>
        <w:t>相关的、已发生或将发生的成本能够可靠地计量。</w:t>
      </w:r>
    </w:p>
    <w:p>
      <w:pPr>
        <w:pStyle w:val="BodyText"/>
        <w:spacing w:line="300" w:lineRule="auto" w:before="13"/>
        <w:ind w:left="513" w:right="1034"/>
        <w:jc w:val="left"/>
      </w:pPr>
      <w:r>
        <w:rPr>
          <w:rFonts w:ascii="Times New Roman" w:hAnsi="Times New Roman" w:cs="Times New Roman" w:eastAsia="Times New Roman" w:hint="default"/>
        </w:rPr>
        <w:t>(2)</w:t>
      </w:r>
      <w:r>
        <w:rPr/>
        <w:t>提供劳务</w:t>
      </w:r>
      <w:r>
        <w:rPr>
          <w:w w:val="99"/>
        </w:rPr>
        <w:t> </w:t>
      </w:r>
      <w:r>
        <w:rPr>
          <w:spacing w:val="-4"/>
          <w:w w:val="99"/>
        </w:rPr>
        <w:t>提供劳务交易的结果在资产负债表日能够可靠估计的，同时满足收入的金额能够可靠地计量、相关经济利益很可能流入、</w:t>
      </w:r>
      <w:r>
        <w:rPr>
          <w:spacing w:val="-4"/>
        </w:rPr>
      </w:r>
    </w:p>
    <w:p>
      <w:pPr>
        <w:pStyle w:val="BodyText"/>
        <w:spacing w:line="240" w:lineRule="auto" w:before="31"/>
        <w:ind w:right="0"/>
        <w:jc w:val="left"/>
      </w:pPr>
      <w:r>
        <w:rPr/>
        <w:t>交易的完工进度能够可靠地确定、交易中已发生和将发生的成本能够可靠地计量，采用完工百分比法确认提供劳务的收入。</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提供劳务交易的结果在资产负债表日不能够可靠估计的，若已经发生的劳务成本预计能够得到补偿，按已经发生的劳务成本</w:t>
      </w:r>
      <w:r>
        <w:rPr>
          <w:spacing w:val="-63"/>
        </w:rPr>
        <w:t> </w:t>
      </w:r>
      <w:r>
        <w:rPr>
          <w:spacing w:val="-63"/>
        </w:rPr>
      </w:r>
      <w:r>
        <w:rPr>
          <w:spacing w:val="-2"/>
        </w:rPr>
        <w:t>金额确认提供劳务收入，并按相同金额结转劳务成本；若已经发生的劳务成本预计不能够得到补偿，将已经发生的劳务成本</w:t>
      </w:r>
      <w:r>
        <w:rPr>
          <w:spacing w:val="-63"/>
        </w:rPr>
        <w:t> </w:t>
      </w:r>
      <w:r>
        <w:rPr>
          <w:spacing w:val="-63"/>
        </w:rPr>
      </w:r>
      <w:r>
        <w:rPr/>
        <w:t>计入当期损益，不确认劳务收入。</w:t>
      </w:r>
    </w:p>
    <w:p>
      <w:pPr>
        <w:pStyle w:val="BodyText"/>
        <w:spacing w:line="300" w:lineRule="auto" w:before="19"/>
        <w:ind w:left="513" w:right="1129"/>
        <w:jc w:val="left"/>
      </w:pPr>
      <w:r>
        <w:rPr>
          <w:rFonts w:ascii="Times New Roman" w:hAnsi="Times New Roman" w:cs="Times New Roman" w:eastAsia="Times New Roman" w:hint="default"/>
        </w:rPr>
        <w:t>(3)</w:t>
      </w:r>
      <w:r>
        <w:rPr/>
        <w:t>建造合同收入</w:t>
      </w:r>
      <w:r>
        <w:rPr>
          <w:w w:val="99"/>
        </w:rPr>
        <w:t> </w:t>
      </w:r>
      <w:r>
        <w:rPr>
          <w:spacing w:val="-2"/>
        </w:rPr>
        <w:t>在建造合同的结果能够可靠估计的情况下，于资产负债表日按照完工百分比法确认合同收入和合同费用。合同完工进度</w:t>
      </w:r>
    </w:p>
    <w:p>
      <w:pPr>
        <w:pStyle w:val="BodyText"/>
        <w:spacing w:line="316" w:lineRule="auto" w:before="31"/>
        <w:ind w:left="513" w:right="0" w:hanging="361"/>
        <w:jc w:val="left"/>
      </w:pPr>
      <w:r>
        <w:rPr/>
        <w:t>按实际测定的完工进度确定。 </w:t>
      </w:r>
      <w:r>
        <w:rPr>
          <w:spacing w:val="-4"/>
        </w:rPr>
        <w:t>建造合同的结果能够可靠估计是指同时满足：①合同总收入能够可靠地计量；②与合同相关的经济利益很可能流入企业；</w:t>
      </w:r>
    </w:p>
    <w:p>
      <w:pPr>
        <w:pStyle w:val="BodyText"/>
        <w:spacing w:line="316" w:lineRule="auto" w:before="19"/>
        <w:ind w:left="513" w:right="1129" w:hanging="361"/>
        <w:jc w:val="left"/>
      </w:pPr>
      <w:r>
        <w:rPr/>
        <w:t>③实际发生的合同成本能够清楚地区分和可靠地计量；④合同完工进度和为完成合同尚需发生的成本能够可靠地确定。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w:t>
      </w:r>
    </w:p>
    <w:p>
      <w:pPr>
        <w:pStyle w:val="BodyText"/>
        <w:spacing w:line="316" w:lineRule="auto" w:before="19"/>
        <w:ind w:right="1131"/>
        <w:jc w:val="both"/>
      </w:pPr>
      <w:r>
        <w:rPr>
          <w:spacing w:val="-2"/>
        </w:rPr>
        <w:t>本在其发生的当期确认为合同费用；合同成本不可能收回的，在发生时立即确认为合同费用，不确认合同收入。使建造合同</w:t>
      </w:r>
      <w:r>
        <w:rPr>
          <w:spacing w:val="-64"/>
        </w:rPr>
        <w:t> </w:t>
      </w:r>
      <w:r>
        <w:rPr>
          <w:spacing w:val="-64"/>
        </w:rPr>
      </w:r>
      <w:r>
        <w:rPr/>
        <w:t>的结果不能可靠估计的不确定因素不复存在的，按照完工百分比法确定与建造合同有关的收入和费用。</w:t>
      </w:r>
    </w:p>
    <w:p>
      <w:pPr>
        <w:pStyle w:val="BodyText"/>
        <w:spacing w:line="316" w:lineRule="auto" w:before="19"/>
        <w:ind w:left="513" w:right="1129"/>
        <w:jc w:val="left"/>
      </w:pPr>
      <w:r>
        <w:rPr/>
        <w:t>合同预计总成本超过合同总收入的，将预计损失确认为当期费用。 </w:t>
      </w:r>
      <w:r>
        <w:rPr>
          <w:spacing w:val="-1"/>
        </w:rPr>
        <w:t>在建合同累计已发生的成本和累计已确认的毛利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与已结算的价款在资产负债表中以抵销后的净额列示。在建合同</w:t>
      </w:r>
    </w:p>
    <w:p>
      <w:pPr>
        <w:pStyle w:val="BodyText"/>
        <w:spacing w:line="300" w:lineRule="auto"/>
        <w:ind w:right="1132"/>
        <w:jc w:val="both"/>
      </w:pPr>
      <w:r>
        <w:rPr>
          <w:spacing w:val="-1"/>
        </w:rPr>
        <w:t>累计已发生的成本和累计已确认的毛利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之和超过已结算价款的部分作为存货列示；在建合同已结算的价款超过累计已</w:t>
      </w:r>
      <w:r>
        <w:rPr>
          <w:spacing w:val="-57"/>
        </w:rPr>
        <w:t> </w:t>
      </w:r>
      <w:r>
        <w:rPr>
          <w:spacing w:val="-57"/>
        </w:rPr>
      </w:r>
      <w:r>
        <w:rPr/>
        <w:t>发生的成本与累计已确认的毛利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300" w:lineRule="auto" w:before="13"/>
        <w:ind w:left="513" w:right="1129"/>
        <w:jc w:val="left"/>
      </w:pPr>
      <w:r>
        <w:rPr>
          <w:rFonts w:ascii="Times New Roman" w:hAnsi="Times New Roman" w:cs="Times New Roman" w:eastAsia="Times New Roman" w:hint="default"/>
        </w:rPr>
        <w:t>(4)</w:t>
      </w:r>
      <w:r>
        <w:rPr/>
        <w:t>让渡资产使用权</w:t>
      </w:r>
      <w:r>
        <w:rPr>
          <w:w w:val="99"/>
        </w:rPr>
        <w:t> </w:t>
      </w:r>
      <w:r>
        <w:rPr>
          <w:spacing w:val="-2"/>
        </w:rPr>
        <w:t>让渡资产使用权在同时满足相关的经济利益很可能流入、收入金额能够可靠计量时，确认让渡资产使用权的收入。利息</w:t>
      </w:r>
    </w:p>
    <w:p>
      <w:pPr>
        <w:pStyle w:val="BodyText"/>
        <w:spacing w:line="316" w:lineRule="auto" w:before="31"/>
        <w:ind w:right="1133"/>
        <w:jc w:val="both"/>
      </w:pPr>
      <w:r>
        <w:rPr>
          <w:spacing w:val="-2"/>
        </w:rPr>
        <w:t>收入按照他人使用本公司货币资金的时间和实际利率计算确定；使用费收入按有关合同或协议约定的收费时间和方法计算确</w:t>
      </w:r>
      <w:r>
        <w:rPr>
          <w:spacing w:val="-64"/>
        </w:rPr>
        <w:t> </w:t>
      </w:r>
      <w:r>
        <w:rPr>
          <w:spacing w:val="-64"/>
        </w:rPr>
      </w:r>
      <w:r>
        <w:rPr/>
        <w:t>定。</w:t>
      </w:r>
    </w:p>
    <w:p>
      <w:pPr>
        <w:pStyle w:val="BodyText"/>
        <w:spacing w:line="300" w:lineRule="auto" w:before="19"/>
        <w:ind w:left="513" w:right="6943"/>
        <w:jc w:val="left"/>
      </w:pPr>
      <w:r>
        <w:rPr>
          <w:rFonts w:ascii="Times New Roman" w:hAnsi="Times New Roman" w:cs="Times New Roman" w:eastAsia="Times New Roman" w:hint="default"/>
        </w:rPr>
        <w:t>2</w:t>
      </w:r>
      <w:r>
        <w:rPr/>
        <w:t>、具体原则 </w:t>
      </w:r>
      <w:r>
        <w:rPr>
          <w:rFonts w:ascii="Times New Roman" w:hAnsi="Times New Roman" w:cs="Times New Roman" w:eastAsia="Times New Roman" w:hint="default"/>
        </w:rPr>
        <w:t>(1)</w:t>
      </w:r>
      <w:r>
        <w:rPr/>
        <w:t>本公司国内销售收入确认的依据和方法：</w:t>
      </w:r>
    </w:p>
    <w:p>
      <w:pPr>
        <w:pStyle w:val="BodyText"/>
        <w:spacing w:line="300" w:lineRule="auto" w:before="13"/>
        <w:ind w:left="513" w:right="1113"/>
        <w:jc w:val="left"/>
      </w:pPr>
      <w:r>
        <w:rPr/>
        <w:t>金融电子设备和</w:t>
      </w:r>
      <w:r>
        <w:rPr>
          <w:rFonts w:ascii="Times New Roman" w:hAnsi="Times New Roman" w:cs="Times New Roman" w:eastAsia="Times New Roman" w:hint="default"/>
        </w:rPr>
        <w:t>LED</w:t>
      </w:r>
      <w:r>
        <w:rPr/>
        <w:t>照明电子按照合同约定，以产品移交或安装调试验收合格的签收单作为收入确认标准； </w:t>
      </w:r>
      <w:r>
        <w:rPr>
          <w:rFonts w:ascii="Times New Roman" w:hAnsi="Times New Roman" w:cs="Times New Roman" w:eastAsia="Times New Roman" w:hint="default"/>
        </w:rPr>
        <w:t>EMC</w:t>
      </w:r>
      <w:r>
        <w:rPr/>
        <w:t>项目收入按照合同约定的收费方法和时间分期确认为收入； </w:t>
      </w:r>
      <w:r>
        <w:rPr>
          <w:rFonts w:ascii="Times New Roman" w:hAnsi="Times New Roman" w:cs="Times New Roman" w:eastAsia="Times New Roman" w:hint="default"/>
        </w:rPr>
        <w:t>BT</w:t>
      </w:r>
      <w:r>
        <w:rPr/>
        <w:t>业务项目收入采用完工验收确认收入，即：于资产负债表日对当期完工验收的</w:t>
      </w:r>
      <w:r>
        <w:rPr>
          <w:rFonts w:ascii="Times New Roman" w:hAnsi="Times New Roman" w:cs="Times New Roman" w:eastAsia="Times New Roman" w:hint="default"/>
        </w:rPr>
        <w:t>BT</w:t>
      </w:r>
      <w:r>
        <w:rPr/>
        <w:t>业务项目确认收入；对当期未完工</w:t>
      </w:r>
    </w:p>
    <w:p>
      <w:pPr>
        <w:pStyle w:val="BodyText"/>
        <w:spacing w:line="300" w:lineRule="auto" w:before="13"/>
        <w:ind w:left="513" w:right="1129" w:hanging="361"/>
        <w:jc w:val="left"/>
      </w:pPr>
      <w:r>
        <w:rPr/>
        <w:t>验收的</w:t>
      </w:r>
      <w:r>
        <w:rPr>
          <w:rFonts w:ascii="Times New Roman" w:hAnsi="Times New Roman" w:cs="Times New Roman" w:eastAsia="Times New Roman" w:hint="default"/>
        </w:rPr>
        <w:t>BT</w:t>
      </w:r>
      <w:r>
        <w:rPr/>
        <w:t>业务项目不确收入，待项目完工验收后再确认收入； </w:t>
      </w:r>
      <w:r>
        <w:rPr>
          <w:spacing w:val="-2"/>
        </w:rPr>
        <w:t>提供建造服务项目采用完工百分比确认合同收入和成本。完工百分比于资产负债日取得第三方监理确认的工程进度表予</w:t>
      </w:r>
    </w:p>
    <w:p>
      <w:pPr>
        <w:pStyle w:val="BodyText"/>
        <w:spacing w:line="240" w:lineRule="auto" w:before="31"/>
        <w:ind w:right="1133"/>
        <w:jc w:val="left"/>
      </w:pPr>
      <w:r>
        <w:rPr/>
        <w:t>以确认；</w:t>
      </w:r>
    </w:p>
    <w:p>
      <w:pPr>
        <w:pStyle w:val="BodyText"/>
        <w:spacing w:line="300" w:lineRule="auto" w:before="76"/>
        <w:ind w:left="513" w:right="1983"/>
        <w:jc w:val="left"/>
      </w:pPr>
      <w:r>
        <w:rPr>
          <w:rFonts w:ascii="Times New Roman" w:hAnsi="Times New Roman" w:cs="Times New Roman" w:eastAsia="Times New Roman" w:hint="default"/>
        </w:rPr>
        <w:t>IDC</w:t>
      </w:r>
      <w:r>
        <w:rPr/>
        <w:t>的租金收入按照合同约定每月每台</w:t>
      </w:r>
      <w:r>
        <w:rPr>
          <w:rFonts w:ascii="Times New Roman" w:hAnsi="Times New Roman" w:cs="Times New Roman" w:eastAsia="Times New Roman" w:hint="default"/>
        </w:rPr>
        <w:t>IDC</w:t>
      </w:r>
      <w:r>
        <w:rPr/>
        <w:t>设备的租金乘以出租的台数确认租金收入； </w:t>
      </w:r>
      <w:r>
        <w:rPr>
          <w:rFonts w:ascii="Times New Roman" w:hAnsi="Times New Roman" w:cs="Times New Roman" w:eastAsia="Times New Roman" w:hint="default"/>
        </w:rPr>
        <w:t>IDC</w:t>
      </w:r>
      <w:r>
        <w:rPr/>
        <w:t>的流量分成收入根据合同约定的分成方法，每月按中国电信提供的流量结算清单进行分成并确认收入。 </w:t>
      </w:r>
      <w:r>
        <w:rPr>
          <w:rFonts w:ascii="Times New Roman" w:hAnsi="Times New Roman" w:cs="Times New Roman" w:eastAsia="Times New Roman" w:hint="default"/>
        </w:rPr>
        <w:t>(2)</w:t>
      </w:r>
      <w:r>
        <w:rPr/>
        <w:t>公司出口货物收入确认的依据和方法： 按照合同约定以货物发出离岸为界，按报关单作为收入确认标准。</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033"/>
        <w:jc w:val="left"/>
      </w:pPr>
      <w:r>
        <w:rPr>
          <w:rFonts w:ascii="Times New Roman" w:hAnsi="Times New Roman" w:cs="Times New Roman" w:eastAsia="Times New Roman" w:hint="default"/>
        </w:rPr>
        <w:t>1</w:t>
      </w:r>
      <w:r>
        <w:rPr/>
        <w:t>、与资产相关的政府补助判断依据及会计处理方法 公司取得的、用于购建或以其他方式形成长期资产的政府补助划分为与资产相关的政府补助。与资产相关的政府补助，</w:t>
      </w:r>
    </w:p>
    <w:p>
      <w:pPr>
        <w:pStyle w:val="BodyText"/>
        <w:spacing w:line="316" w:lineRule="auto" w:before="29"/>
        <w:ind w:right="1130"/>
        <w:jc w:val="both"/>
      </w:pPr>
      <w:r>
        <w:rPr>
          <w:spacing w:val="-2"/>
        </w:rPr>
        <w:t>冲减相关资产的账面价值或确认为递延收益。与资产相关补助确认为递延收益的，在相关资产使用寿命内按照合理、系统的</w:t>
      </w:r>
      <w:r>
        <w:rPr>
          <w:spacing w:val="-63"/>
        </w:rPr>
        <w:t> </w:t>
      </w:r>
      <w:r>
        <w:rPr>
          <w:spacing w:val="-63"/>
        </w:rPr>
      </w:r>
      <w:r>
        <w:rPr>
          <w:spacing w:val="-2"/>
        </w:rPr>
        <w:t>方法分期计入损益。按照名义金额计量的政府补助，直接计入当期损益。相关资产在使用寿命结束前被出售、转让、报废或</w:t>
      </w:r>
      <w:r>
        <w:rPr>
          <w:spacing w:val="-66"/>
        </w:rPr>
        <w:t> </w:t>
      </w:r>
      <w:r>
        <w:rPr>
          <w:spacing w:val="-66"/>
        </w:rPr>
      </w:r>
      <w:r>
        <w:rPr/>
        <w:t>发生毁损的，将尚未分配的相关递延收益余额转入资产处置当期的损益。</w:t>
      </w:r>
    </w:p>
    <w:p>
      <w:pPr>
        <w:pStyle w:val="BodyText"/>
        <w:spacing w:line="300" w:lineRule="auto" w:before="19"/>
        <w:ind w:left="513" w:right="1129"/>
        <w:jc w:val="left"/>
      </w:pPr>
      <w:r>
        <w:rPr>
          <w:rFonts w:ascii="Times New Roman" w:hAnsi="Times New Roman" w:cs="Times New Roman" w:eastAsia="Times New Roman" w:hint="default"/>
        </w:rPr>
        <w:t>2</w:t>
      </w:r>
      <w:r>
        <w:rPr/>
        <w:t>、与收益相关的政府补助判断依据及会计处理方法 </w:t>
      </w:r>
      <w:r>
        <w:rPr>
          <w:spacing w:val="-2"/>
        </w:rPr>
        <w:t>除与资产相关的政府补助之外的政府补助划分为与收益相关的政府补助。对于同时包含与资产相关部分和与收益相关部</w:t>
      </w:r>
    </w:p>
    <w:p>
      <w:pPr>
        <w:pStyle w:val="BodyText"/>
        <w:spacing w:line="319" w:lineRule="auto" w:before="31"/>
        <w:ind w:right="0"/>
        <w:jc w:val="left"/>
      </w:pPr>
      <w:r>
        <w:rPr>
          <w:spacing w:val="-2"/>
        </w:rPr>
        <w:t>分的政府补助，难以区分与资产相关或与收益相关的，整体归类为与收益相关的政府补助。与收益相关的政府补助，用于补</w:t>
      </w:r>
      <w:r>
        <w:rPr>
          <w:spacing w:val="-64"/>
        </w:rPr>
        <w:t> </w:t>
      </w:r>
      <w:r>
        <w:rPr>
          <w:spacing w:val="-64"/>
        </w:rPr>
      </w:r>
      <w:r>
        <w:rPr>
          <w:spacing w:val="-4"/>
        </w:rPr>
        <w:t>偿以后期间的相关成本费用或损失的，确认为递延收益，在确认相关成本费用或损失的期间，计入当期损益或冲减相关成本；</w:t>
      </w:r>
      <w:r>
        <w:rPr>
          <w:spacing w:val="-44"/>
        </w:rPr>
        <w:t> </w:t>
      </w:r>
      <w:r>
        <w:rPr>
          <w:spacing w:val="-44"/>
        </w:rPr>
      </w:r>
      <w:r>
        <w:rPr/>
        <w:t>用于补偿已发生的相关成本费用或损失的，直接计入当期损益或冲减相关成本。</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9" w:firstLine="360"/>
        <w:jc w:val="both"/>
      </w:pPr>
      <w:r>
        <w:rPr>
          <w:rFonts w:ascii="Times New Roman" w:hAnsi="Times New Roman" w:cs="Times New Roman" w:eastAsia="Times New Roman" w:hint="default"/>
        </w:rPr>
        <w:t>3</w:t>
      </w:r>
      <w:r>
        <w:rPr/>
        <w:t>、与公司日常经营活动相关的政府补助，按照经济业务实质，计入其他收益或冲减相关成本费用。与公司日常活动无 关的政府补助，计入营业外收支。</w:t>
      </w:r>
    </w:p>
    <w:p>
      <w:pPr>
        <w:pStyle w:val="BodyText"/>
        <w:spacing w:line="300" w:lineRule="auto" w:before="31"/>
        <w:ind w:left="513" w:right="1183"/>
        <w:jc w:val="left"/>
      </w:pPr>
      <w:r>
        <w:rPr>
          <w:rFonts w:ascii="Times New Roman" w:hAnsi="Times New Roman" w:cs="Times New Roman" w:eastAsia="Times New Roman" w:hint="default"/>
        </w:rPr>
        <w:t>4</w:t>
      </w:r>
      <w:r>
        <w:rPr/>
        <w:t>、政策性优惠贷款贴息的会计处理方法 </w:t>
      </w:r>
      <w:r>
        <w:rPr>
          <w:rFonts w:ascii="Times New Roman" w:hAnsi="Times New Roman" w:cs="Times New Roman" w:eastAsia="Times New Roman" w:hint="default"/>
        </w:rPr>
        <w:t>(1)</w:t>
      </w:r>
      <w:r>
        <w:rPr/>
        <w:t>财政将贴息资金拨付给贷款银行，由贷款银行以政策性优惠利率向公司提供贷款的，以实际收到的借款金额作为借</w:t>
      </w:r>
    </w:p>
    <w:p>
      <w:pPr>
        <w:pStyle w:val="BodyText"/>
        <w:spacing w:line="240" w:lineRule="auto" w:before="13"/>
        <w:ind w:right="1133"/>
        <w:jc w:val="left"/>
      </w:pPr>
      <w:r>
        <w:rPr/>
        <w:t>款的入账价值，按照借款本金和该政策性优惠利率计算相关借款费用。</w:t>
      </w:r>
    </w:p>
    <w:p>
      <w:pPr>
        <w:pStyle w:val="BodyText"/>
        <w:spacing w:line="240" w:lineRule="auto" w:before="76"/>
        <w:ind w:left="513" w:right="1133"/>
        <w:jc w:val="left"/>
      </w:pPr>
      <w:r>
        <w:rPr>
          <w:rFonts w:ascii="Times New Roman" w:hAnsi="Times New Roman" w:cs="Times New Roman" w:eastAsia="Times New Roman" w:hint="default"/>
        </w:rPr>
        <w:t>(2)</w:t>
      </w:r>
      <w:r>
        <w:rPr/>
        <w:t>财政将贴息资金直接拨付给公司的，将对应的贴息冲减相关借款费用。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、暂时性差异 </w:t>
      </w:r>
      <w:r>
        <w:rPr>
          <w:spacing w:val="-2"/>
        </w:rPr>
        <w:t>暂时性差异包括资产与负债的账面价值与计税基础之间的差额，以及未作为资产和负债确认，但按照税法规定可以确定</w:t>
      </w:r>
    </w:p>
    <w:p>
      <w:pPr>
        <w:pStyle w:val="BodyText"/>
        <w:spacing w:line="309" w:lineRule="auto" w:before="32"/>
        <w:ind w:left="513" w:right="0" w:hanging="361"/>
        <w:jc w:val="left"/>
      </w:pPr>
      <w:r>
        <w:rPr/>
        <w:t>其计税基础的项目的账面价值与计税基础之间的差额。暂时性差异分为应纳税暂时性差异和可抵扣暂时性差异。 </w:t>
      </w:r>
      <w:r>
        <w:rPr>
          <w:rFonts w:ascii="Times New Roman" w:hAnsi="Times New Roman" w:cs="Times New Roman" w:eastAsia="Times New Roman" w:hint="default"/>
        </w:rPr>
        <w:t>2</w:t>
      </w:r>
      <w:r>
        <w:rPr/>
        <w:t>、递延所得税资产的确认依据 </w:t>
      </w:r>
      <w:r>
        <w:rPr>
          <w:spacing w:val="-4"/>
        </w:rPr>
        <w:t>对于可抵扣暂时性差异、能够结转以后年度的可抵扣亏损和税款抵减，本公司以很可能取得用来抵扣可抵扣暂时性差异、</w:t>
      </w:r>
    </w:p>
    <w:p>
      <w:pPr>
        <w:pStyle w:val="BodyText"/>
        <w:spacing w:line="316" w:lineRule="auto" w:before="24"/>
        <w:ind w:left="513" w:right="1153" w:hanging="361"/>
        <w:jc w:val="left"/>
        <w:rPr>
          <w:rFonts w:ascii="Times New Roman" w:hAnsi="Times New Roman" w:cs="Times New Roman" w:eastAsia="Times New Roman" w:hint="default"/>
        </w:rPr>
      </w:pPr>
      <w:r>
        <w:rPr/>
        <w:t>可抵扣亏损和税款抵减的未来应纳税所得额为限，确认由此产生的递延所得税资产。 同时具有下列特征的交易中因资产或负债的初始确认所产生的递延所得税资产不予确认：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p>
    <w:p>
      <w:pPr>
        <w:pStyle w:val="BodyText"/>
        <w:spacing w:line="300" w:lineRule="auto"/>
        <w:ind w:left="513" w:right="1129" w:hanging="361"/>
        <w:jc w:val="left"/>
      </w:pP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 </w:t>
      </w:r>
      <w:r>
        <w:rPr>
          <w:spacing w:val="-2"/>
        </w:rPr>
        <w:t>公司对于与子公司、联营企业及合营企业投资相关的可抵扣暂时性差异，同时满足下列条件的，确认相应的递延所得税</w:t>
      </w:r>
    </w:p>
    <w:p>
      <w:pPr>
        <w:pStyle w:val="BodyText"/>
        <w:spacing w:line="240" w:lineRule="auto" w:before="31"/>
        <w:ind w:right="1133"/>
        <w:jc w:val="left"/>
      </w:pPr>
      <w:r>
        <w:rPr/>
        <w:t>资产：</w:t>
      </w:r>
      <w:r>
        <w:rPr>
          <w:rFonts w:ascii="Times New Roman" w:hAnsi="Times New Roman" w:cs="Times New Roman" w:eastAsia="Times New Roman" w:hint="default"/>
        </w:rPr>
        <w:t>(1)</w:t>
      </w:r>
      <w:r>
        <w:rPr/>
        <w:t>暂时性差异在可预见的未来很可能转回；</w:t>
      </w:r>
      <w:r>
        <w:rPr>
          <w:rFonts w:ascii="Times New Roman" w:hAnsi="Times New Roman" w:cs="Times New Roman" w:eastAsia="Times New Roman" w:hint="default"/>
        </w:rPr>
        <w:t>(2)</w:t>
      </w:r>
      <w:r>
        <w:rPr/>
        <w:t>未来很可能获得用来抵扣可抵扣暂时性差异的应纳税所得额。</w:t>
      </w:r>
    </w:p>
    <w:p>
      <w:pPr>
        <w:pStyle w:val="BodyText"/>
        <w:spacing w:line="300" w:lineRule="auto" w:before="63"/>
        <w:ind w:left="513" w:right="5893"/>
        <w:jc w:val="left"/>
      </w:pPr>
      <w:r>
        <w:rPr>
          <w:rFonts w:ascii="Times New Roman" w:hAnsi="Times New Roman" w:cs="Times New Roman" w:eastAsia="Times New Roman" w:hint="default"/>
        </w:rPr>
        <w:t>3</w:t>
      </w:r>
      <w:r>
        <w:rPr/>
        <w:t>、递延所得税负债的确认依据 对于各种应纳税暂时性差异均据以确认递延所得税负债。</w:t>
      </w:r>
    </w:p>
    <w:p>
      <w:pPr>
        <w:pStyle w:val="BodyText"/>
        <w:spacing w:line="300" w:lineRule="auto" w:before="32"/>
        <w:ind w:right="1167" w:firstLine="360"/>
        <w:jc w:val="both"/>
      </w:pPr>
      <w:r>
        <w:rPr/>
        <w:t>但公司对在以下交易中产生的应纳税暂时性差异不确认递延所得税负债：</w:t>
      </w:r>
      <w:r>
        <w:rPr>
          <w:rFonts w:ascii="Times New Roman" w:hAnsi="Times New Roman" w:cs="Times New Roman" w:eastAsia="Times New Roman" w:hint="default"/>
        </w:rPr>
        <w:t>(1)</w:t>
      </w:r>
      <w:r>
        <w:rPr/>
        <w:t>商誉的初始确认；</w:t>
      </w:r>
      <w:r>
        <w:rPr>
          <w:rFonts w:ascii="Times New Roman" w:hAnsi="Times New Roman" w:cs="Times New Roman" w:eastAsia="Times New Roman" w:hint="default"/>
        </w:rPr>
        <w:t>(2)</w:t>
      </w:r>
      <w:r>
        <w:rPr/>
        <w:t>同时具有以下特征的 交易中产生的资产或负债的初始确认：该交易不是企业合并；并且交易发生时既不影响会计利润也不影响应纳税所得额</w:t>
      </w:r>
      <w:r>
        <w:rPr>
          <w:rFonts w:ascii="Times New Roman" w:hAnsi="Times New Roman" w:cs="Times New Roman" w:eastAsia="Times New Roman" w:hint="default"/>
        </w:rPr>
        <w:t>(</w:t>
      </w:r>
      <w:r>
        <w:rPr/>
        <w:t>或 可抵扣亏损</w:t>
      </w:r>
      <w:r>
        <w:rPr>
          <w:rFonts w:ascii="Times New Roman" w:hAnsi="Times New Roman" w:cs="Times New Roman" w:eastAsia="Times New Roman" w:hint="default"/>
        </w:rPr>
        <w:t>)</w:t>
      </w:r>
      <w:r>
        <w:rPr/>
        <w:t>。</w:t>
      </w:r>
    </w:p>
    <w:p>
      <w:pPr>
        <w:pStyle w:val="BodyText"/>
        <w:spacing w:line="316" w:lineRule="auto" w:before="13"/>
        <w:ind w:right="1130" w:firstLine="360"/>
        <w:jc w:val="both"/>
      </w:pPr>
      <w:r>
        <w:rPr>
          <w:spacing w:val="-2"/>
        </w:rPr>
        <w:t>对于与子公司、联营企业及合营企业投资相关的应纳税暂时性差异，应当确认相应的递延所得税负债。但同时满足下列</w:t>
      </w:r>
      <w:r>
        <w:rPr/>
        <w:t> 条件的除外：</w:t>
      </w:r>
      <w:r>
        <w:rPr>
          <w:rFonts w:ascii="Times New Roman" w:hAnsi="Times New Roman" w:cs="Times New Roman" w:eastAsia="Times New Roman" w:hint="default"/>
        </w:rPr>
        <w:t>(1)</w:t>
      </w:r>
      <w:r>
        <w:rPr/>
        <w:t>投资企业能够控制暂时性差异转回的时间；</w:t>
      </w:r>
      <w:r>
        <w:rPr>
          <w:rFonts w:ascii="Times New Roman" w:hAnsi="Times New Roman" w:cs="Times New Roman" w:eastAsia="Times New Roman" w:hint="default"/>
        </w:rPr>
        <w:t>(2)</w:t>
      </w:r>
      <w:r>
        <w:rPr/>
        <w:t>该暂时性差异在可预见的未来很可能不会转回。</w:t>
      </w:r>
    </w:p>
    <w:p>
      <w:pPr>
        <w:pStyle w:val="BodyText"/>
        <w:spacing w:line="300" w:lineRule="auto"/>
        <w:ind w:left="513" w:right="1129"/>
        <w:jc w:val="left"/>
      </w:pPr>
      <w:r>
        <w:rPr>
          <w:rFonts w:ascii="Times New Roman" w:hAnsi="Times New Roman" w:cs="Times New Roman" w:eastAsia="Times New Roman" w:hint="default"/>
        </w:rPr>
        <w:t>4</w:t>
      </w:r>
      <w:r>
        <w:rPr/>
        <w:t>、递延所得税资产的减值 </w:t>
      </w:r>
      <w:r>
        <w:rPr>
          <w:spacing w:val="-2"/>
        </w:rPr>
        <w:t>在资产负债表日应当对递延所得税资产的账面价值进行复核。如果未来期间很可能无法取得足够的应纳税所得额用以抵</w:t>
      </w:r>
    </w:p>
    <w:p>
      <w:pPr>
        <w:pStyle w:val="BodyText"/>
        <w:spacing w:line="316" w:lineRule="auto" w:before="31"/>
        <w:ind w:right="1128"/>
        <w:jc w:val="both"/>
      </w:pPr>
      <w:r>
        <w:rPr>
          <w:spacing w:val="-2"/>
        </w:rPr>
        <w:t>扣递延所得税资产的利益，则减记递延所得税资产的账面价值。除原确认时计入所有者权益的递延所得税资产部分，其减记</w:t>
      </w:r>
      <w:r>
        <w:rPr>
          <w:spacing w:val="-61"/>
        </w:rPr>
        <w:t> </w:t>
      </w:r>
      <w:r>
        <w:rPr>
          <w:spacing w:val="-61"/>
        </w:rPr>
      </w:r>
      <w:r>
        <w:rPr>
          <w:spacing w:val="-2"/>
        </w:rPr>
        <w:t>金额也应计入所有者权益外，其他的情况应计入当期的所得税费用。在很可能取得足够的应纳税所得额时，减记的递延所得</w:t>
      </w:r>
      <w:r>
        <w:rPr>
          <w:spacing w:val="-63"/>
        </w:rPr>
        <w:t> </w:t>
      </w:r>
      <w:r>
        <w:rPr>
          <w:spacing w:val="-63"/>
        </w:rPr>
      </w:r>
      <w:r>
        <w:rPr/>
        <w:t>税资产账面价值可以恢复。</w:t>
      </w:r>
    </w:p>
    <w:p>
      <w:pPr>
        <w:pStyle w:val="BodyText"/>
        <w:spacing w:line="300" w:lineRule="auto" w:before="19"/>
        <w:ind w:left="513" w:right="6973"/>
        <w:jc w:val="left"/>
      </w:pPr>
      <w:r>
        <w:rPr>
          <w:rFonts w:ascii="Times New Roman" w:hAnsi="Times New Roman" w:cs="Times New Roman" w:eastAsia="Times New Roman" w:hint="default"/>
        </w:rPr>
        <w:t>5</w:t>
      </w:r>
      <w:r>
        <w:rPr/>
        <w:t>、所得税费用 所得税费用包括当期所得税和递延所得税。</w:t>
      </w:r>
    </w:p>
    <w:p>
      <w:pPr>
        <w:pStyle w:val="BodyText"/>
        <w:spacing w:line="316" w:lineRule="auto" w:before="31"/>
        <w:ind w:right="1214"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316" w:lineRule="auto" w:before="19"/>
        <w:ind w:right="1130" w:firstLine="360"/>
        <w:jc w:val="both"/>
      </w:pPr>
      <w:r>
        <w:rPr>
          <w:spacing w:val="-2"/>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both"/>
      </w:pPr>
      <w:r>
        <w:rPr>
          <w:spacing w:val="-2"/>
        </w:rPr>
        <w:t>公司为承租人时，在租赁期开始日，公司以租赁开始日租赁资产公允价值与最低租赁付款额现值中两者较低者作为租入</w:t>
      </w:r>
      <w:r>
        <w:rPr/>
        <w:t> </w:t>
      </w:r>
      <w:r>
        <w:rPr>
          <w:spacing w:val="-2"/>
        </w:rPr>
        <w:t>资产的入账价值，将最低租赁付款额作为长期应付款的入账价值，其差额为未确认融资费用，发生的初始直接费用，计入租</w:t>
      </w:r>
      <w:r>
        <w:rPr>
          <w:spacing w:val="-62"/>
        </w:rPr>
        <w:t> </w:t>
      </w:r>
      <w:r>
        <w:rPr>
          <w:spacing w:val="-62"/>
        </w:rPr>
      </w:r>
      <w:r>
        <w:rPr/>
        <w:t>赁资产价值。在租赁期各个期间，采用实际利率法计算确认当期的融资费用。</w:t>
      </w:r>
    </w:p>
    <w:p>
      <w:pPr>
        <w:pStyle w:val="BodyText"/>
        <w:spacing w:line="316" w:lineRule="auto" w:before="19"/>
        <w:ind w:right="1132" w:firstLine="360"/>
        <w:jc w:val="both"/>
      </w:pPr>
      <w:r>
        <w:rPr>
          <w:spacing w:val="-2"/>
        </w:rPr>
        <w:t>公司为出租人时，在租赁期开始日，公司以租赁开始日最低租赁收款额与初始直接费用之和作为应收融资租赁款的入账</w:t>
      </w:r>
      <w:r>
        <w:rPr/>
        <w:t> </w:t>
      </w:r>
      <w:r>
        <w:rPr>
          <w:spacing w:val="-2"/>
        </w:rPr>
        <w:t>价值，同时记录未担保余值；将最低租赁收款额、初始直接费用及未担保余值之和与其现值之和的差额确认为未实现融资收</w:t>
      </w:r>
      <w:r>
        <w:rPr>
          <w:spacing w:val="-65"/>
        </w:rPr>
        <w:t> </w:t>
      </w:r>
      <w:r>
        <w:rPr>
          <w:spacing w:val="-65"/>
        </w:rPr>
      </w:r>
      <w:r>
        <w:rPr/>
        <w:t>益。在租赁期各个期间，采用实际利率法计算确认当期的融资收入。</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32</w:t>
      </w:r>
      <w:r>
        <w:rPr/>
        <w:t>、 分部报告</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公司以内部组织结构、管理要求、内部报告制度等为依据确定经营分部。公司的经营分部是指同时满足下列条件的组成</w:t>
      </w:r>
      <w:r>
        <w:rPr/>
        <w:t> 部分：</w:t>
      </w:r>
    </w:p>
    <w:p>
      <w:pPr>
        <w:pStyle w:val="BodyText"/>
        <w:spacing w:line="240" w:lineRule="auto" w:before="19"/>
        <w:ind w:left="513" w:right="1133"/>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63"/>
        <w:ind w:left="513" w:right="1133"/>
        <w:jc w:val="left"/>
      </w:pP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240" w:lineRule="auto" w:before="63"/>
        <w:ind w:left="513" w:right="1133"/>
        <w:jc w:val="left"/>
      </w:pPr>
      <w:r>
        <w:rPr>
          <w:rFonts w:ascii="Times New Roman" w:hAnsi="Times New Roman" w:cs="Times New Roman" w:eastAsia="Times New Roman" w:hint="default"/>
        </w:rPr>
        <w:t>3</w:t>
      </w:r>
      <w:r>
        <w:rPr/>
        <w:t>、能够通过分析取得该组成部分的财务状况、经营成果和现金流量等有关会计信息。</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33</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29"/>
        <w:jc w:val="left"/>
      </w:pPr>
      <w:r>
        <w:rPr/>
        <w:t>终止经营 </w:t>
      </w:r>
      <w:r>
        <w:rPr>
          <w:spacing w:val="-2"/>
        </w:rPr>
        <w:t>终止经营是满足下列条件之一的已被本公司处置或被本公司划归为持有待售的、在经营和编制财务报表时能够单独区分</w:t>
      </w:r>
    </w:p>
    <w:p>
      <w:pPr>
        <w:pStyle w:val="BodyText"/>
        <w:spacing w:line="240" w:lineRule="auto" w:before="19"/>
        <w:ind w:right="1133"/>
        <w:jc w:val="left"/>
      </w:pPr>
      <w:r>
        <w:rPr/>
        <w:t>的组成部分：</w:t>
      </w:r>
    </w:p>
    <w:p>
      <w:pPr>
        <w:pStyle w:val="BodyText"/>
        <w:spacing w:line="300" w:lineRule="auto" w:before="77"/>
        <w:ind w:left="513" w:right="3523"/>
        <w:jc w:val="left"/>
      </w:pPr>
      <w:r>
        <w:rPr>
          <w:rFonts w:ascii="Times New Roman" w:hAnsi="Times New Roman" w:cs="Times New Roman" w:eastAsia="Times New Roman" w:hint="default"/>
        </w:rPr>
        <w:t>(1)</w:t>
      </w:r>
      <w:r>
        <w:rPr/>
        <w:t>该组成部分代表一项独立的主要业务或一个主要经营地区；</w:t>
      </w:r>
      <w:r>
        <w:rPr>
          <w:w w:val="99"/>
        </w:rPr>
        <w:t> </w:t>
      </w:r>
      <w:r>
        <w:rPr>
          <w:rFonts w:ascii="Times New Roman" w:hAnsi="Times New Roman" w:cs="Times New Roman" w:eastAsia="Times New Roman" w:hint="default"/>
        </w:rPr>
        <w:t>(2)</w:t>
      </w:r>
      <w:r>
        <w:rPr/>
        <w:t>该组成部分是拟对一项独立的主要业务或一个主要经营地区进行处置计划的一部分；</w:t>
      </w:r>
      <w:r>
        <w:rPr>
          <w:w w:val="99"/>
        </w:rPr>
        <w:t> </w:t>
      </w:r>
      <w:r>
        <w:rPr>
          <w:rFonts w:ascii="Times New Roman" w:hAnsi="Times New Roman" w:cs="Times New Roman" w:eastAsia="Times New Roman" w:hint="default"/>
        </w:rPr>
        <w:t>(3)</w:t>
      </w:r>
      <w:r>
        <w:rPr/>
        <w:t>该组成部分是仅仅为了再出售而取得的子公司。</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首次执行新金融工具准则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日召开第四届董 事会第三十九次会议、第四届监事会第 三十三次会议，审议通过了《关于公司 </w:t>
            </w:r>
            <w:r>
              <w:rPr>
                <w:rFonts w:ascii="宋体" w:hAnsi="宋体" w:cs="宋体" w:eastAsia="宋体" w:hint="default"/>
                <w:spacing w:val="-7"/>
                <w:sz w:val="18"/>
                <w:szCs w:val="18"/>
              </w:rPr>
              <w:t>会计政策变更的议案》，本次会计政策变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更无需提交股东大会审议。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具体变更详见公司于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3" w:right="35"/>
              <w:jc w:val="left"/>
              <w:rPr>
                <w:rFonts w:ascii="宋体" w:hAnsi="宋体" w:cs="宋体" w:eastAsia="宋体" w:hint="default"/>
                <w:sz w:val="18"/>
                <w:szCs w:val="18"/>
              </w:rPr>
            </w:pPr>
            <w:r>
              <w:rPr>
                <w:rFonts w:ascii="宋体" w:hAnsi="宋体" w:cs="宋体" w:eastAsia="宋体" w:hint="default"/>
                <w:sz w:val="18"/>
                <w:szCs w:val="18"/>
              </w:rPr>
              <w:t>于巨潮资讯网刊登的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2019-049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号《公司 关于会计政策变更的公告》</w:t>
            </w:r>
          </w:p>
        </w:tc>
      </w:tr>
      <w:tr>
        <w:trPr>
          <w:trHeight w:val="196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日发布了《关</w:t>
            </w:r>
          </w:p>
          <w:p>
            <w:pPr>
              <w:pStyle w:val="TableParagraph"/>
              <w:spacing w:line="304" w:lineRule="auto" w:before="60"/>
              <w:ind w:left="24" w:right="22"/>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年度一般企业财务报表 </w:t>
            </w:r>
            <w:r>
              <w:rPr>
                <w:rFonts w:ascii="宋体" w:hAnsi="宋体" w:cs="宋体" w:eastAsia="宋体" w:hint="default"/>
                <w:spacing w:val="-9"/>
                <w:sz w:val="18"/>
                <w:szCs w:val="18"/>
              </w:rPr>
              <w:t>格式的通知》（财会〔</w:t>
            </w:r>
            <w:r>
              <w:rPr>
                <w:rFonts w:ascii="Times New Roman" w:hAnsi="Times New Roman" w:cs="Times New Roman" w:eastAsia="Times New Roman" w:hint="default"/>
                <w:spacing w:val="-9"/>
                <w:sz w:val="18"/>
                <w:szCs w:val="18"/>
              </w:rPr>
              <w:t>2019</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6</w:t>
            </w:r>
            <w:r>
              <w:rPr>
                <w:rFonts w:ascii="Times New Roman" w:hAnsi="Times New Roman" w:cs="Times New Roman" w:eastAsia="Times New Roman" w:hint="default"/>
                <w:sz w:val="18"/>
                <w:szCs w:val="18"/>
              </w:rPr>
              <w:t> </w:t>
            </w:r>
            <w:r>
              <w:rPr>
                <w:rFonts w:ascii="宋体" w:hAnsi="宋体" w:cs="宋体" w:eastAsia="宋体" w:hint="default"/>
                <w:spacing w:val="-22"/>
                <w:sz w:val="18"/>
                <w:szCs w:val="18"/>
              </w:rPr>
              <w:t>号），和企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业会计准则的要求编制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月财 务报表，结合此项目会计政策变更及企 业实际情况，变更财务报表格式</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日召开第五届董事 会第三次会议、第五届监事会第三次会 议，审议通过了《关于公司会计政策变 </w:t>
            </w:r>
            <w:r>
              <w:rPr>
                <w:rFonts w:ascii="宋体" w:hAnsi="宋体" w:cs="宋体" w:eastAsia="宋体" w:hint="default"/>
                <w:spacing w:val="-7"/>
                <w:sz w:val="18"/>
                <w:szCs w:val="18"/>
              </w:rPr>
              <w:t>更的议案》，本次会计政策变更无需提交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股东大会审议。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具体变更详见公司于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日于</w:t>
            </w:r>
          </w:p>
          <w:p>
            <w:pPr>
              <w:pStyle w:val="TableParagraph"/>
              <w:spacing w:line="300" w:lineRule="auto" w:before="60"/>
              <w:ind w:left="23" w:right="33"/>
              <w:jc w:val="left"/>
              <w:rPr>
                <w:rFonts w:ascii="宋体" w:hAnsi="宋体" w:cs="宋体" w:eastAsia="宋体" w:hint="default"/>
                <w:sz w:val="18"/>
                <w:szCs w:val="18"/>
              </w:rPr>
            </w:pPr>
            <w:r>
              <w:rPr>
                <w:rFonts w:ascii="宋体" w:hAnsi="宋体" w:cs="宋体" w:eastAsia="宋体" w:hint="default"/>
                <w:sz w:val="18"/>
                <w:szCs w:val="18"/>
              </w:rPr>
              <w:t>巨潮资讯网刊登的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号《公司关 于会计政策变更的公告》</w:t>
            </w:r>
          </w:p>
        </w:tc>
      </w:tr>
    </w:tbl>
    <w:p>
      <w:pPr>
        <w:pStyle w:val="BodyText"/>
        <w:spacing w:line="240" w:lineRule="auto" w:before="8"/>
        <w:ind w:left="513" w:right="1133"/>
        <w:jc w:val="left"/>
      </w:pPr>
      <w:r>
        <w:rPr/>
        <w:t>企业会计准则变化引起的会计政策变更</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212" w:right="1034" w:firstLine="360"/>
        <w:jc w:val="left"/>
      </w:pPr>
      <w:r>
        <w:rPr>
          <w:rFonts w:ascii="Times New Roman" w:hAnsi="Times New Roman" w:cs="Times New Roman" w:eastAsia="Times New Roman" w:hint="default"/>
          <w:spacing w:val="-1"/>
        </w:rPr>
        <w:t>1</w:t>
      </w:r>
      <w:r>
        <w:rPr>
          <w:spacing w:val="-1"/>
        </w:rPr>
        <w:t>、本公司根据财政部《关于修订印发</w:t>
      </w:r>
      <w:r>
        <w:rPr>
          <w:rFonts w:ascii="Times New Roman" w:hAnsi="Times New Roman" w:cs="Times New Roman" w:eastAsia="Times New Roman" w:hint="default"/>
          <w:spacing w:val="-1"/>
        </w:rPr>
        <w:t>2019</w:t>
      </w:r>
      <w:r>
        <w:rPr>
          <w:spacing w:val="-1"/>
        </w:rPr>
        <w:t>年度一般企业财务报表格式的通知》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6</w:t>
      </w:r>
      <w:r>
        <w:rPr>
          <w:spacing w:val="-1"/>
        </w:rPr>
        <w:t>号</w:t>
      </w:r>
      <w:r>
        <w:rPr>
          <w:rFonts w:ascii="Times New Roman" w:hAnsi="Times New Roman" w:cs="Times New Roman" w:eastAsia="Times New Roman" w:hint="default"/>
          <w:spacing w:val="-1"/>
        </w:rPr>
        <w:t>)</w:t>
      </w:r>
      <w:r>
        <w:rPr>
          <w:spacing w:val="-1"/>
        </w:rPr>
        <w:t>和企业会计准则的要</w:t>
      </w:r>
      <w:r>
        <w:rPr/>
        <w:t> 求编制</w:t>
      </w:r>
      <w:r>
        <w:rPr>
          <w:rFonts w:ascii="Times New Roman" w:hAnsi="Times New Roman" w:cs="Times New Roman" w:eastAsia="Times New Roman" w:hint="default"/>
        </w:rPr>
        <w:t>2019</w:t>
      </w:r>
      <w:r>
        <w:rPr/>
        <w:t>年度财务报表，此项会计政策变更采用追溯调整法。</w:t>
      </w:r>
      <w:r>
        <w:rPr>
          <w:rFonts w:ascii="Times New Roman" w:hAnsi="Times New Roman" w:cs="Times New Roman" w:eastAsia="Times New Roman" w:hint="default"/>
        </w:rPr>
        <w:t>2018</w:t>
      </w:r>
      <w:r>
        <w:rPr/>
        <w:t>年度财务报表受重要影响的报表项目和金额如下：</w:t>
      </w:r>
    </w:p>
    <w:tbl>
      <w:tblPr>
        <w:tblW w:w="0" w:type="auto"/>
        <w:jc w:val="left"/>
        <w:tblInd w:w="205" w:type="dxa"/>
        <w:tblLayout w:type="fixed"/>
        <w:tblCellMar>
          <w:top w:w="0" w:type="dxa"/>
          <w:left w:w="0" w:type="dxa"/>
          <w:bottom w:w="0" w:type="dxa"/>
          <w:right w:w="0" w:type="dxa"/>
        </w:tblCellMar>
        <w:tblLook w:val="01E0"/>
      </w:tblPr>
      <w:tblGrid>
        <w:gridCol w:w="3263"/>
        <w:gridCol w:w="2016"/>
        <w:gridCol w:w="2050"/>
        <w:gridCol w:w="2252"/>
      </w:tblGrid>
      <w:tr>
        <w:trPr>
          <w:trHeight w:val="348" w:hRule="exact"/>
        </w:trPr>
        <w:tc>
          <w:tcPr>
            <w:tcW w:w="5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33"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43"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6" w:hRule="exact"/>
        </w:trPr>
        <w:tc>
          <w:tcPr>
            <w:tcW w:w="32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1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1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1,369,360,911.98</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47,345,662.53</w:t>
            </w:r>
          </w:p>
        </w:tc>
      </w:tr>
      <w:tr>
        <w:trPr>
          <w:trHeight w:val="348" w:hRule="exact"/>
        </w:trPr>
        <w:tc>
          <w:tcPr>
            <w:tcW w:w="3263" w:type="dxa"/>
            <w:vMerge/>
            <w:tcBorders>
              <w:left w:val="single" w:sz="6" w:space="0" w:color="000000"/>
              <w:bottom w:val="single" w:sz="6" w:space="0" w:color="000000"/>
              <w:right w:val="single" w:sz="6" w:space="0" w:color="000000"/>
            </w:tcBorders>
          </w:tcPr>
          <w:p>
            <w:pPr/>
          </w:p>
        </w:tc>
        <w:tc>
          <w:tcPr>
            <w:tcW w:w="2016" w:type="dxa"/>
            <w:vMerge/>
            <w:tcBorders>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1,322,015,249.45</w:t>
            </w:r>
          </w:p>
        </w:tc>
      </w:tr>
      <w:tr>
        <w:trPr>
          <w:trHeight w:val="346" w:hRule="exact"/>
        </w:trPr>
        <w:tc>
          <w:tcPr>
            <w:tcW w:w="32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1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1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712,738,436.07</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45,174,031.80</w:t>
            </w:r>
          </w:p>
        </w:tc>
      </w:tr>
      <w:tr>
        <w:trPr>
          <w:trHeight w:val="348" w:hRule="exact"/>
        </w:trPr>
        <w:tc>
          <w:tcPr>
            <w:tcW w:w="3263" w:type="dxa"/>
            <w:vMerge/>
            <w:tcBorders>
              <w:left w:val="single" w:sz="6" w:space="0" w:color="000000"/>
              <w:bottom w:val="single" w:sz="6" w:space="0" w:color="000000"/>
              <w:right w:val="single" w:sz="6" w:space="0" w:color="000000"/>
            </w:tcBorders>
          </w:tcPr>
          <w:p>
            <w:pPr/>
          </w:p>
        </w:tc>
        <w:tc>
          <w:tcPr>
            <w:tcW w:w="2016" w:type="dxa"/>
            <w:vMerge/>
            <w:tcBorders>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667,564,404.27</w:t>
            </w:r>
          </w:p>
        </w:tc>
      </w:tr>
    </w:tbl>
    <w:p>
      <w:pPr>
        <w:pStyle w:val="BodyText"/>
        <w:spacing w:line="240" w:lineRule="auto" w:before="13"/>
        <w:ind w:left="573" w:right="1034"/>
        <w:jc w:val="left"/>
      </w:pPr>
      <w:r>
        <w:rPr>
          <w:rFonts w:ascii="Times New Roman" w:hAnsi="Times New Roman" w:cs="Times New Roman" w:eastAsia="Times New Roman" w:hint="default"/>
        </w:rPr>
        <w:t>2</w:t>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日起执行财政部修订后的《企业会计准则第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p>
    <w:p>
      <w:pPr>
        <w:pStyle w:val="BodyText"/>
        <w:spacing w:line="300" w:lineRule="auto" w:before="63"/>
        <w:ind w:left="212" w:right="1169"/>
        <w:jc w:val="both"/>
      </w:pP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套期保值》以及《企业会计准则第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w:t>
      </w:r>
      <w:r>
        <w:rPr/>
        <w:t>以下简称 新金融工具准则</w:t>
      </w:r>
      <w:r>
        <w:rPr>
          <w:rFonts w:ascii="Times New Roman" w:hAnsi="Times New Roman" w:cs="Times New Roman" w:eastAsia="Times New Roman" w:hint="default"/>
        </w:rPr>
        <w:t>)</w:t>
      </w:r>
      <w:r>
        <w:rPr/>
        <w:t>。根据相关新旧准则衔接规定，对可比期间信息不予调整，首次执行日执行新准则与原准则的差异追溯调 整本报告期期初留存收益或其他综合收益。</w:t>
      </w:r>
    </w:p>
    <w:p>
      <w:pPr>
        <w:pStyle w:val="BodyText"/>
        <w:spacing w:line="312" w:lineRule="auto" w:before="31"/>
        <w:ind w:left="212" w:right="1034" w:firstLine="360"/>
        <w:jc w:val="left"/>
      </w:pPr>
      <w:r>
        <w:rPr>
          <w:rFonts w:ascii="Times New Roman" w:hAnsi="Times New Roman" w:cs="Times New Roman" w:eastAsia="Times New Roman" w:hint="default"/>
        </w:rPr>
        <w:t>(1)</w:t>
      </w:r>
      <w:r>
        <w:rPr/>
        <w:t>新金融工具准则改变了金融资产的分类和计量方式，确定了三个主要的计量类别：摊余成本；以公允价值计量且其</w:t>
      </w:r>
      <w:r>
        <w:rPr>
          <w:w w:val="99"/>
        </w:rPr>
        <w:t> </w:t>
      </w:r>
      <w:r>
        <w:rPr>
          <w:spacing w:val="-2"/>
        </w:rPr>
        <w:t>变动计入其他综合收益；以公允价值计量且其变动计入当期损益。公司考虑自身业务模式，以及金融资产的合同现金流特征</w:t>
      </w:r>
      <w:r>
        <w:rPr>
          <w:spacing w:val="-63"/>
        </w:rPr>
        <w:t> </w:t>
      </w:r>
      <w:r>
        <w:rPr>
          <w:spacing w:val="-63"/>
        </w:rPr>
      </w:r>
      <w:r>
        <w:rPr>
          <w:spacing w:val="-2"/>
        </w:rPr>
        <w:t>进行上述分类。权益类投资需按公允价值计量且其变动计入当期损益，但在初始确认时可选择按公允价值计量且其变动计入</w:t>
      </w:r>
      <w:r>
        <w:rPr>
          <w:spacing w:val="-65"/>
        </w:rPr>
        <w:t> </w:t>
      </w:r>
      <w:r>
        <w:rPr>
          <w:spacing w:val="-65"/>
        </w:rPr>
      </w:r>
      <w:r>
        <w:rPr/>
        <w:t>其他综合收益</w:t>
      </w:r>
      <w:r>
        <w:rPr>
          <w:rFonts w:ascii="Times New Roman" w:hAnsi="Times New Roman" w:cs="Times New Roman" w:eastAsia="Times New Roman" w:hint="default"/>
        </w:rPr>
        <w:t>(</w:t>
      </w:r>
      <w:r>
        <w:rPr/>
        <w:t>处置时的利得或损失不能回转到损益，但股利收入计入当期损益</w:t>
      </w:r>
      <w:r>
        <w:rPr>
          <w:rFonts w:ascii="Times New Roman" w:hAnsi="Times New Roman" w:cs="Times New Roman" w:eastAsia="Times New Roman" w:hint="default"/>
        </w:rPr>
        <w:t>)</w:t>
      </w:r>
      <w:r>
        <w:rPr/>
        <w:t>，且该选择不可撤销。</w:t>
      </w:r>
    </w:p>
    <w:p>
      <w:pPr>
        <w:pStyle w:val="BodyText"/>
        <w:spacing w:line="300" w:lineRule="auto" w:before="3"/>
        <w:ind w:left="212" w:right="1034" w:firstLine="360"/>
        <w:jc w:val="left"/>
      </w:pPr>
      <w:r>
        <w:rPr>
          <w:rFonts w:ascii="Times New Roman" w:hAnsi="Times New Roman" w:cs="Times New Roman" w:eastAsia="Times New Roman" w:hint="default"/>
          <w:spacing w:val="-2"/>
          <w:w w:val="100"/>
        </w:rPr>
        <w:t>(2)</w:t>
      </w:r>
      <w:r>
        <w:rPr>
          <w:spacing w:val="-2"/>
          <w:w w:val="100"/>
        </w:rPr>
        <w:t>新金融工具准则要求金融资产减值计量由</w:t>
      </w:r>
      <w:r>
        <w:rPr>
          <w:rFonts w:ascii="Times New Roman" w:hAnsi="Times New Roman" w:cs="Times New Roman" w:eastAsia="Times New Roman" w:hint="default"/>
          <w:spacing w:val="-2"/>
          <w:w w:val="100"/>
        </w:rPr>
        <w:t>“</w:t>
      </w:r>
      <w:r>
        <w:rPr>
          <w:spacing w:val="-2"/>
          <w:w w:val="100"/>
        </w:rPr>
        <w:t>已发生损失模型</w:t>
      </w:r>
      <w:r>
        <w:rPr>
          <w:rFonts w:ascii="Times New Roman" w:hAnsi="Times New Roman" w:cs="Times New Roman" w:eastAsia="Times New Roman" w:hint="default"/>
          <w:spacing w:val="-2"/>
          <w:w w:val="100"/>
        </w:rPr>
        <w:t>”</w:t>
      </w:r>
      <w:r>
        <w:rPr>
          <w:spacing w:val="-2"/>
          <w:w w:val="100"/>
        </w:rPr>
        <w:t>改为</w:t>
      </w:r>
      <w:r>
        <w:rPr>
          <w:rFonts w:ascii="Times New Roman" w:hAnsi="Times New Roman" w:cs="Times New Roman" w:eastAsia="Times New Roman" w:hint="default"/>
          <w:spacing w:val="-2"/>
          <w:w w:val="100"/>
        </w:rPr>
        <w:t>“</w:t>
      </w:r>
      <w:r>
        <w:rPr>
          <w:spacing w:val="-2"/>
          <w:w w:val="100"/>
        </w:rPr>
        <w:t>预期信用损失模型</w:t>
      </w:r>
      <w:r>
        <w:rPr>
          <w:rFonts w:ascii="Times New Roman" w:hAnsi="Times New Roman" w:cs="Times New Roman" w:eastAsia="Times New Roman" w:hint="default"/>
          <w:spacing w:val="-2"/>
          <w:w w:val="100"/>
        </w:rPr>
        <w:t>”</w:t>
      </w:r>
      <w:r>
        <w:rPr>
          <w:spacing w:val="-2"/>
          <w:w w:val="100"/>
        </w:rPr>
        <w:t>，适用于以摊余成本计量的金融</w:t>
      </w:r>
      <w:r>
        <w:rPr/>
        <w:t> 资产、以公允价值计量且其变动计入其他综合收益的金融资产。</w:t>
      </w:r>
    </w:p>
    <w:p>
      <w:pPr>
        <w:pStyle w:val="BodyText"/>
        <w:spacing w:line="300" w:lineRule="auto" w:before="31"/>
        <w:ind w:left="212" w:right="1034" w:firstLine="360"/>
        <w:jc w:val="left"/>
      </w:pPr>
      <w:r>
        <w:rPr>
          <w:rFonts w:ascii="Times New Roman" w:hAnsi="Times New Roman" w:cs="Times New Roman" w:eastAsia="Times New Roman" w:hint="default"/>
        </w:rPr>
        <w:t>(3)</w:t>
      </w:r>
      <w:r>
        <w:rPr/>
        <w:t>本公司持有的某些理财产品、信托产品、股权收益权及资产管理计划等，其收益取决于标的资产的收益率，原分类</w:t>
      </w:r>
      <w:r>
        <w:rPr>
          <w:w w:val="99"/>
        </w:rPr>
        <w:t> </w:t>
      </w:r>
      <w:r>
        <w:rPr>
          <w:spacing w:val="-2"/>
        </w:rPr>
        <w:t>为可供出售金融资产。由于其合同现金流量不仅仅为对本金和以未偿付本金为基础的利息的支付，本公司在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日及</w:t>
      </w:r>
      <w:r>
        <w:rPr>
          <w:spacing w:val="-60"/>
        </w:rPr>
        <w:t> </w:t>
      </w:r>
      <w:r>
        <w:rPr/>
        <w:t>以后将其重分类为以公允价值计量且其变动计入当期损益的金融资产，列报为交易性金融资产。</w:t>
      </w:r>
    </w:p>
    <w:p>
      <w:pPr>
        <w:pStyle w:val="BodyText"/>
        <w:spacing w:line="300" w:lineRule="auto" w:before="31"/>
        <w:ind w:left="212" w:right="1034" w:firstLine="360"/>
        <w:jc w:val="left"/>
      </w:pPr>
      <w:r>
        <w:rPr>
          <w:rFonts w:ascii="Times New Roman" w:hAnsi="Times New Roman" w:cs="Times New Roman" w:eastAsia="Times New Roman" w:hint="default"/>
          <w:spacing w:val="-1"/>
        </w:rPr>
        <w:t>(4)</w:t>
      </w:r>
      <w:r>
        <w:rPr>
          <w:spacing w:val="-1"/>
        </w:rPr>
        <w:t>本公司在日常资金管理中将部分银行承兑汇票背书或贴现，既以收取合同现金流量又以出售金融资产为目标，因此，</w:t>
      </w:r>
      <w:r>
        <w:rPr>
          <w:w w:val="99"/>
        </w:rPr>
        <w:t> </w:t>
      </w:r>
      <w:r>
        <w:rPr>
          <w:spacing w:val="-2"/>
          <w:w w:val="99"/>
        </w:rPr>
        <w:t>本公司在</w:t>
      </w:r>
      <w:r>
        <w:rPr>
          <w:rFonts w:ascii="Times New Roman" w:hAnsi="Times New Roman" w:cs="Times New Roman" w:eastAsia="Times New Roman" w:hint="default"/>
          <w:spacing w:val="-2"/>
          <w:w w:val="99"/>
        </w:rPr>
        <w:t>2019</w:t>
      </w:r>
      <w:r>
        <w:rPr>
          <w:spacing w:val="-2"/>
          <w:w w:val="99"/>
        </w:rPr>
        <w:t>年</w:t>
      </w:r>
      <w:r>
        <w:rPr>
          <w:rFonts w:ascii="Times New Roman" w:hAnsi="Times New Roman" w:cs="Times New Roman" w:eastAsia="Times New Roman" w:hint="default"/>
          <w:spacing w:val="-2"/>
          <w:w w:val="99"/>
        </w:rPr>
        <w:t>1</w:t>
      </w:r>
      <w:r>
        <w:rPr>
          <w:spacing w:val="-2"/>
          <w:w w:val="99"/>
        </w:rPr>
        <w:t>月</w:t>
      </w:r>
      <w:r>
        <w:rPr>
          <w:rFonts w:ascii="Times New Roman" w:hAnsi="Times New Roman" w:cs="Times New Roman" w:eastAsia="Times New Roman" w:hint="default"/>
          <w:spacing w:val="-2"/>
          <w:w w:val="99"/>
        </w:rPr>
        <w:t>1</w:t>
      </w:r>
      <w:r>
        <w:rPr>
          <w:spacing w:val="-2"/>
          <w:w w:val="99"/>
        </w:rPr>
        <w:t>日及以后将该等应收票据重分类为以公允价值计量且其变动计入其他综合收益金融资产类别，列报为应</w:t>
      </w:r>
      <w:r>
        <w:rPr>
          <w:spacing w:val="-61"/>
          <w:w w:val="99"/>
        </w:rPr>
        <w:t> </w:t>
      </w:r>
      <w:r>
        <w:rPr>
          <w:spacing w:val="-61"/>
          <w:w w:val="99"/>
        </w:rPr>
      </w:r>
      <w:r>
        <w:rPr/>
        <w:t>收款项融资。</w:t>
      </w:r>
    </w:p>
    <w:p>
      <w:pPr>
        <w:pStyle w:val="BodyText"/>
        <w:spacing w:line="300" w:lineRule="auto" w:before="31"/>
        <w:ind w:left="573" w:right="6703"/>
        <w:jc w:val="left"/>
      </w:pPr>
      <w:r>
        <w:rPr>
          <w:rFonts w:ascii="Times New Roman" w:hAnsi="Times New Roman" w:cs="Times New Roman" w:eastAsia="Times New Roman" w:hint="default"/>
        </w:rPr>
        <w:t>3</w:t>
      </w:r>
      <w:r>
        <w:rPr/>
        <w:t>、首次执行日前后金融资产分类和计量对比表 </w:t>
      </w:r>
      <w:r>
        <w:rPr>
          <w:rFonts w:ascii="Times New Roman" w:hAnsi="Times New Roman" w:cs="Times New Roman" w:eastAsia="Times New Roman" w:hint="default"/>
        </w:rPr>
        <w:t>(1)</w:t>
      </w:r>
      <w:r>
        <w:rPr/>
        <w:t>对合并财务报表的影响</w:t>
      </w:r>
    </w:p>
    <w:tbl>
      <w:tblPr>
        <w:tblW w:w="0" w:type="auto"/>
        <w:jc w:val="left"/>
        <w:tblInd w:w="100" w:type="dxa"/>
        <w:tblLayout w:type="fixed"/>
        <w:tblCellMar>
          <w:top w:w="0" w:type="dxa"/>
          <w:left w:w="0" w:type="dxa"/>
          <w:bottom w:w="0" w:type="dxa"/>
          <w:right w:w="0" w:type="dxa"/>
        </w:tblCellMar>
        <w:tblLook w:val="01E0"/>
      </w:tblPr>
      <w:tblGrid>
        <w:gridCol w:w="1920"/>
        <w:gridCol w:w="1275"/>
        <w:gridCol w:w="1850"/>
        <w:gridCol w:w="1515"/>
        <w:gridCol w:w="1513"/>
        <w:gridCol w:w="1783"/>
      </w:tblGrid>
      <w:tr>
        <w:trPr>
          <w:trHeight w:val="322" w:hRule="exact"/>
        </w:trPr>
        <w:tc>
          <w:tcPr>
            <w:tcW w:w="50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5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变更前</w:t>
            </w:r>
            <w:r>
              <w:rPr>
                <w:rFonts w:ascii="Times New Roman" w:hAnsi="Times New Roman" w:cs="Times New Roman" w:eastAsia="Times New Roman" w:hint="default"/>
                <w:sz w:val="18"/>
                <w:szCs w:val="18"/>
              </w:rPr>
              <w:t>)</w:t>
            </w:r>
          </w:p>
        </w:tc>
        <w:tc>
          <w:tcPr>
            <w:tcW w:w="48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变更后</w:t>
            </w:r>
            <w:r>
              <w:rPr>
                <w:rFonts w:ascii="Times New Roman" w:hAnsi="Times New Roman" w:cs="Times New Roman" w:eastAsia="Times New Roman" w:hint="default"/>
                <w:sz w:val="18"/>
                <w:szCs w:val="18"/>
              </w:rPr>
              <w:t>)</w:t>
            </w:r>
          </w:p>
        </w:tc>
      </w:tr>
      <w:tr>
        <w:trPr>
          <w:trHeight w:val="32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47,345,662.53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37,175,670.88</w:t>
            </w:r>
          </w:p>
        </w:tc>
      </w:tr>
      <w:tr>
        <w:trPr>
          <w:trHeight w:val="946" w:hRule="exact"/>
        </w:trPr>
        <w:tc>
          <w:tcPr>
            <w:tcW w:w="192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850" w:type="dxa"/>
            <w:vMerge/>
            <w:tcBorders>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5"/>
                <w:sz w:val="18"/>
                <w:szCs w:val="18"/>
              </w:rPr>
              <w:t>以公允价值计量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且其变动计入其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他综合收益</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8,213,377.39</w:t>
            </w:r>
          </w:p>
        </w:tc>
      </w:tr>
      <w:tr>
        <w:trPr>
          <w:trHeight w:val="32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1,322,015,249.45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1,322,085,525.10</w:t>
            </w:r>
          </w:p>
        </w:tc>
      </w:tr>
      <w:tr>
        <w:trPr>
          <w:trHeight w:val="32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211,898,681.18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212,858,719.13</w:t>
            </w:r>
          </w:p>
        </w:tc>
      </w:tr>
      <w:tr>
        <w:trPr>
          <w:trHeight w:val="634"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5"/>
              <w:jc w:val="left"/>
              <w:rPr>
                <w:rFonts w:ascii="宋体" w:hAnsi="宋体" w:cs="宋体" w:eastAsia="宋体" w:hint="default"/>
                <w:sz w:val="18"/>
                <w:szCs w:val="18"/>
              </w:rPr>
            </w:pPr>
            <w:r>
              <w:rPr>
                <w:rFonts w:ascii="宋体" w:hAnsi="宋体" w:cs="宋体" w:eastAsia="宋体" w:hint="default"/>
                <w:spacing w:val="8"/>
                <w:sz w:val="18"/>
                <w:szCs w:val="18"/>
              </w:rPr>
              <w:t>一年到期的非流动资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124,089,020.60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left"/>
              <w:rPr>
                <w:rFonts w:ascii="宋体" w:hAnsi="宋体" w:cs="宋体" w:eastAsia="宋体" w:hint="default"/>
                <w:sz w:val="18"/>
                <w:szCs w:val="18"/>
              </w:rPr>
            </w:pPr>
            <w:r>
              <w:rPr>
                <w:rFonts w:ascii="宋体" w:hAnsi="宋体" w:cs="宋体" w:eastAsia="宋体" w:hint="default"/>
                <w:spacing w:val="5"/>
                <w:sz w:val="18"/>
                <w:szCs w:val="18"/>
              </w:rPr>
              <w:t>一年到期的非流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122,810,421.56</w:t>
            </w:r>
          </w:p>
        </w:tc>
      </w:tr>
      <w:tr>
        <w:trPr>
          <w:trHeight w:val="322" w:hRule="exact"/>
        </w:trPr>
        <w:tc>
          <w:tcPr>
            <w:tcW w:w="1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185,961,404.20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104,101,086.07</w:t>
            </w:r>
          </w:p>
        </w:tc>
      </w:tr>
      <w:tr>
        <w:trPr>
          <w:trHeight w:val="948" w:hRule="exact"/>
        </w:trPr>
        <w:tc>
          <w:tcPr>
            <w:tcW w:w="192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850" w:type="dxa"/>
            <w:vMerge/>
            <w:tcBorders>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both"/>
              <w:rPr>
                <w:rFonts w:ascii="宋体" w:hAnsi="宋体" w:cs="宋体" w:eastAsia="宋体" w:hint="default"/>
                <w:sz w:val="18"/>
                <w:szCs w:val="18"/>
              </w:rPr>
            </w:pPr>
            <w:r>
              <w:rPr>
                <w:rFonts w:ascii="宋体" w:hAnsi="宋体" w:cs="宋体" w:eastAsia="宋体" w:hint="default"/>
                <w:spacing w:val="5"/>
                <w:sz w:val="18"/>
                <w:szCs w:val="18"/>
              </w:rPr>
              <w:t>以公允价值计量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且其变动计入当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期损益</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74,500,000.00</w:t>
            </w:r>
          </w:p>
        </w:tc>
      </w:tr>
      <w:tr>
        <w:trPr>
          <w:trHeight w:val="946"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2"/>
                <w:sz w:val="18"/>
                <w:szCs w:val="18"/>
              </w:rPr>
              <w:t>以成本计量</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84,795,848.15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其他非流动金融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8"/>
              <w:jc w:val="both"/>
              <w:rPr>
                <w:rFonts w:ascii="宋体" w:hAnsi="宋体" w:cs="宋体" w:eastAsia="宋体" w:hint="default"/>
                <w:sz w:val="18"/>
                <w:szCs w:val="18"/>
              </w:rPr>
            </w:pPr>
            <w:r>
              <w:rPr>
                <w:rFonts w:ascii="宋体" w:hAnsi="宋体" w:cs="宋体" w:eastAsia="宋体" w:hint="default"/>
                <w:spacing w:val="5"/>
                <w:sz w:val="18"/>
                <w:szCs w:val="18"/>
              </w:rPr>
              <w:t>以公允价值计量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且其变动计入当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期损益</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87,482,905.13</w:t>
            </w:r>
          </w:p>
        </w:tc>
      </w:tr>
      <w:tr>
        <w:trPr>
          <w:trHeight w:val="32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418,409,643.06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414,475,162.29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920"/>
        <w:gridCol w:w="1275"/>
        <w:gridCol w:w="1850"/>
        <w:gridCol w:w="1515"/>
        <w:gridCol w:w="1513"/>
        <w:gridCol w:w="1783"/>
      </w:tblGrid>
      <w:tr>
        <w:trPr>
          <w:trHeight w:val="32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1,473,345,712.40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1,468,300,032.02</w:t>
            </w:r>
          </w:p>
        </w:tc>
      </w:tr>
      <w:tr>
        <w:trPr>
          <w:trHeight w:val="32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83,803,047.07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78,664,084.21</w:t>
            </w:r>
          </w:p>
        </w:tc>
      </w:tr>
      <w:tr>
        <w:trPr>
          <w:trHeight w:val="634"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5"/>
              <w:jc w:val="left"/>
              <w:rPr>
                <w:rFonts w:ascii="宋体" w:hAnsi="宋体" w:cs="宋体" w:eastAsia="宋体" w:hint="default"/>
                <w:sz w:val="18"/>
                <w:szCs w:val="18"/>
              </w:rPr>
            </w:pPr>
            <w:r>
              <w:rPr>
                <w:rFonts w:ascii="宋体" w:hAnsi="宋体" w:cs="宋体" w:eastAsia="宋体" w:hint="default"/>
                <w:spacing w:val="8"/>
                <w:sz w:val="18"/>
                <w:szCs w:val="18"/>
              </w:rPr>
              <w:t>一年到期的非流动负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92,400,000.00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5"/>
                <w:sz w:val="18"/>
                <w:szCs w:val="18"/>
              </w:rPr>
              <w:t>一年到期的非流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动负债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92,558,491.67</w:t>
            </w:r>
          </w:p>
        </w:tc>
      </w:tr>
      <w:tr>
        <w:trPr>
          <w:trHeight w:val="324"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33,333,333.32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33,391,388.85</w:t>
            </w:r>
          </w:p>
        </w:tc>
      </w:tr>
      <w:tr>
        <w:trPr>
          <w:trHeight w:val="32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199,310,965.21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201,918,743.12</w:t>
            </w:r>
          </w:p>
        </w:tc>
      </w:tr>
    </w:tbl>
    <w:p>
      <w:pPr>
        <w:pStyle w:val="BodyText"/>
        <w:spacing w:line="240" w:lineRule="auto" w:before="8"/>
        <w:ind w:left="573" w:right="1034"/>
        <w:jc w:val="left"/>
      </w:pPr>
      <w:r>
        <w:rPr>
          <w:rFonts w:ascii="Times New Roman" w:hAnsi="Times New Roman" w:cs="Times New Roman" w:eastAsia="Times New Roman" w:hint="default"/>
        </w:rPr>
        <w:t>(2)</w:t>
      </w:r>
      <w:r>
        <w:rPr/>
        <w:t>对公司财务报表的影响</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692"/>
        <w:gridCol w:w="1354"/>
        <w:gridCol w:w="2030"/>
        <w:gridCol w:w="1522"/>
        <w:gridCol w:w="1522"/>
        <w:gridCol w:w="1735"/>
      </w:tblGrid>
      <w:tr>
        <w:trPr>
          <w:trHeight w:val="322" w:hRule="exact"/>
        </w:trPr>
        <w:tc>
          <w:tcPr>
            <w:tcW w:w="50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变更前</w:t>
            </w:r>
            <w:r>
              <w:rPr>
                <w:rFonts w:ascii="Times New Roman" w:hAnsi="Times New Roman" w:cs="Times New Roman" w:eastAsia="Times New Roman" w:hint="default"/>
                <w:sz w:val="18"/>
                <w:szCs w:val="18"/>
              </w:rPr>
              <w:t>)</w:t>
            </w:r>
          </w:p>
        </w:tc>
        <w:tc>
          <w:tcPr>
            <w:tcW w:w="47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变更后</w:t>
            </w:r>
            <w:r>
              <w:rPr>
                <w:rFonts w:ascii="Times New Roman" w:hAnsi="Times New Roman" w:cs="Times New Roman" w:eastAsia="Times New Roman" w:hint="default"/>
                <w:sz w:val="18"/>
                <w:szCs w:val="18"/>
              </w:rPr>
              <w:t>)</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1"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6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85" w:right="0"/>
              <w:jc w:val="left"/>
              <w:rPr>
                <w:rFonts w:ascii="Times New Roman" w:hAnsi="Times New Roman" w:cs="Times New Roman" w:eastAsia="Times New Roman" w:hint="default"/>
                <w:sz w:val="18"/>
                <w:szCs w:val="18"/>
              </w:rPr>
            </w:pPr>
            <w:r>
              <w:rPr>
                <w:rFonts w:ascii="Times New Roman"/>
                <w:sz w:val="18"/>
              </w:rPr>
              <w:t>43,238,021.39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33,273,411.80</w:t>
            </w:r>
          </w:p>
        </w:tc>
      </w:tr>
      <w:tr>
        <w:trPr>
          <w:trHeight w:val="946" w:hRule="exact"/>
        </w:trPr>
        <w:tc>
          <w:tcPr>
            <w:tcW w:w="1692"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2030"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8"/>
              <w:jc w:val="both"/>
              <w:rPr>
                <w:rFonts w:ascii="宋体" w:hAnsi="宋体" w:cs="宋体" w:eastAsia="宋体" w:hint="default"/>
                <w:sz w:val="18"/>
                <w:szCs w:val="18"/>
              </w:rPr>
            </w:pPr>
            <w:r>
              <w:rPr>
                <w:rFonts w:ascii="宋体" w:hAnsi="宋体" w:cs="宋体" w:eastAsia="宋体" w:hint="default"/>
                <w:spacing w:val="7"/>
                <w:sz w:val="18"/>
                <w:szCs w:val="18"/>
              </w:rPr>
              <w:t>以公允价值计量 且其变动计入其 </w:t>
            </w:r>
            <w:r>
              <w:rPr>
                <w:rFonts w:ascii="宋体" w:hAnsi="宋体" w:cs="宋体" w:eastAsia="宋体" w:hint="default"/>
                <w:sz w:val="18"/>
                <w:szCs w:val="18"/>
              </w:rPr>
              <w:t>他综合收益</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8,213,377.39</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1,033,603,191.77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1,033,351,612.05</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1,447,922,622.10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1,448,365,371.98</w:t>
            </w:r>
          </w:p>
        </w:tc>
      </w:tr>
      <w:tr>
        <w:trPr>
          <w:trHeight w:val="634"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4"/>
                <w:sz w:val="18"/>
                <w:szCs w:val="18"/>
              </w:rPr>
              <w:t>一年到期的非流动 </w:t>
            </w:r>
            <w:r>
              <w:rPr>
                <w:rFonts w:ascii="宋体" w:hAnsi="宋体" w:cs="宋体" w:eastAsia="宋体" w:hint="default"/>
                <w:sz w:val="18"/>
                <w:szCs w:val="18"/>
              </w:rPr>
              <w:t>资产</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65,523,778.55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6"/>
              <w:jc w:val="left"/>
              <w:rPr>
                <w:rFonts w:ascii="宋体" w:hAnsi="宋体" w:cs="宋体" w:eastAsia="宋体" w:hint="default"/>
                <w:sz w:val="18"/>
                <w:szCs w:val="18"/>
              </w:rPr>
            </w:pPr>
            <w:r>
              <w:rPr>
                <w:rFonts w:ascii="宋体" w:hAnsi="宋体" w:cs="宋体" w:eastAsia="宋体" w:hint="default"/>
                <w:spacing w:val="7"/>
                <w:sz w:val="18"/>
                <w:szCs w:val="18"/>
              </w:rPr>
              <w:t>一年到期的非流 </w:t>
            </w:r>
            <w:r>
              <w:rPr>
                <w:rFonts w:ascii="宋体" w:hAnsi="宋体" w:cs="宋体" w:eastAsia="宋体" w:hint="default"/>
                <w:sz w:val="18"/>
                <w:szCs w:val="18"/>
              </w:rPr>
              <w:t>动资产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64,868,540.76</w:t>
            </w:r>
          </w:p>
        </w:tc>
      </w:tr>
      <w:tr>
        <w:trPr>
          <w:trHeight w:val="322" w:hRule="exact"/>
        </w:trPr>
        <w:tc>
          <w:tcPr>
            <w:tcW w:w="16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885" w:right="0"/>
              <w:jc w:val="left"/>
              <w:rPr>
                <w:rFonts w:ascii="Times New Roman" w:hAnsi="Times New Roman" w:cs="Times New Roman" w:eastAsia="Times New Roman" w:hint="default"/>
                <w:sz w:val="18"/>
                <w:szCs w:val="18"/>
              </w:rPr>
            </w:pPr>
            <w:r>
              <w:rPr>
                <w:rFonts w:ascii="Times New Roman"/>
                <w:sz w:val="18"/>
              </w:rPr>
              <w:t>80,013,607.98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6,013,607.98</w:t>
            </w:r>
          </w:p>
        </w:tc>
      </w:tr>
      <w:tr>
        <w:trPr>
          <w:trHeight w:val="946" w:hRule="exact"/>
        </w:trPr>
        <w:tc>
          <w:tcPr>
            <w:tcW w:w="1692"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2030"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7"/>
                <w:sz w:val="18"/>
                <w:szCs w:val="18"/>
              </w:rPr>
              <w:t>以公允价值计量 且其变动计入当 </w:t>
            </w:r>
            <w:r>
              <w:rPr>
                <w:rFonts w:ascii="宋体" w:hAnsi="宋体" w:cs="宋体" w:eastAsia="宋体" w:hint="default"/>
                <w:sz w:val="18"/>
                <w:szCs w:val="18"/>
              </w:rPr>
              <w:t>期损益</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74,000,000.00</w:t>
            </w:r>
          </w:p>
        </w:tc>
      </w:tr>
      <w:tr>
        <w:trPr>
          <w:trHeight w:val="948"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8"/>
                <w:sz w:val="18"/>
                <w:szCs w:val="18"/>
              </w:rPr>
              <w:t>以成本计量</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80,505,848.15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6"/>
              <w:jc w:val="left"/>
              <w:rPr>
                <w:rFonts w:ascii="宋体" w:hAnsi="宋体" w:cs="宋体" w:eastAsia="宋体" w:hint="default"/>
                <w:sz w:val="18"/>
                <w:szCs w:val="18"/>
              </w:rPr>
            </w:pPr>
            <w:r>
              <w:rPr>
                <w:rFonts w:ascii="宋体" w:hAnsi="宋体" w:cs="宋体" w:eastAsia="宋体" w:hint="default"/>
                <w:spacing w:val="7"/>
                <w:sz w:val="18"/>
                <w:szCs w:val="18"/>
              </w:rPr>
              <w:t>其他非流动金融 </w:t>
            </w:r>
            <w:r>
              <w:rPr>
                <w:rFonts w:ascii="宋体" w:hAnsi="宋体" w:cs="宋体" w:eastAsia="宋体" w:hint="default"/>
                <w:sz w:val="18"/>
                <w:szCs w:val="18"/>
              </w:rPr>
              <w:t>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98"/>
              <w:jc w:val="both"/>
              <w:rPr>
                <w:rFonts w:ascii="宋体" w:hAnsi="宋体" w:cs="宋体" w:eastAsia="宋体" w:hint="default"/>
                <w:sz w:val="18"/>
                <w:szCs w:val="18"/>
              </w:rPr>
            </w:pPr>
            <w:r>
              <w:rPr>
                <w:rFonts w:ascii="宋体" w:hAnsi="宋体" w:cs="宋体" w:eastAsia="宋体" w:hint="default"/>
                <w:spacing w:val="7"/>
                <w:sz w:val="18"/>
                <w:szCs w:val="18"/>
              </w:rPr>
              <w:t>以公允价值计量 且其变动计入当 </w:t>
            </w:r>
            <w:r>
              <w:rPr>
                <w:rFonts w:ascii="宋体" w:hAnsi="宋体" w:cs="宋体" w:eastAsia="宋体" w:hint="default"/>
                <w:sz w:val="18"/>
                <w:szCs w:val="18"/>
              </w:rPr>
              <w:t>期损益</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83,192,905.13</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315,483,965.15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312,695,473.59</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890,000,000.00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892,273,102.69</w:t>
            </w: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389,171,309.37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384,131,937.10</w:t>
            </w:r>
          </w:p>
        </w:tc>
      </w:tr>
      <w:tr>
        <w:trPr>
          <w:trHeight w:val="634"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4"/>
                <w:sz w:val="18"/>
                <w:szCs w:val="18"/>
              </w:rPr>
              <w:t>一年到期的非流动 </w:t>
            </w:r>
            <w:r>
              <w:rPr>
                <w:rFonts w:ascii="宋体" w:hAnsi="宋体" w:cs="宋体" w:eastAsia="宋体" w:hint="default"/>
                <w:sz w:val="18"/>
                <w:szCs w:val="18"/>
              </w:rPr>
              <w:t>负债</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92,400,000.00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6"/>
              <w:jc w:val="left"/>
              <w:rPr>
                <w:rFonts w:ascii="宋体" w:hAnsi="宋体" w:cs="宋体" w:eastAsia="宋体" w:hint="default"/>
                <w:sz w:val="18"/>
                <w:szCs w:val="18"/>
              </w:rPr>
            </w:pPr>
            <w:r>
              <w:rPr>
                <w:rFonts w:ascii="宋体" w:hAnsi="宋体" w:cs="宋体" w:eastAsia="宋体" w:hint="default"/>
                <w:spacing w:val="7"/>
                <w:sz w:val="18"/>
                <w:szCs w:val="18"/>
              </w:rPr>
              <w:t>一年到期的非流 </w:t>
            </w:r>
            <w:r>
              <w:rPr>
                <w:rFonts w:ascii="宋体" w:hAnsi="宋体" w:cs="宋体" w:eastAsia="宋体" w:hint="default"/>
                <w:sz w:val="18"/>
                <w:szCs w:val="18"/>
              </w:rPr>
              <w:t>动负债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92,558,491.67</w:t>
            </w:r>
          </w:p>
        </w:tc>
      </w:tr>
      <w:tr>
        <w:trPr>
          <w:trHeight w:val="324"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199,310,965.21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201,918,743.12</w:t>
            </w:r>
          </w:p>
        </w:tc>
      </w:tr>
    </w:tbl>
    <w:p>
      <w:pPr>
        <w:pStyle w:val="BodyText"/>
        <w:spacing w:line="240" w:lineRule="auto" w:before="8"/>
        <w:ind w:left="573" w:right="1034"/>
        <w:jc w:val="left"/>
      </w:pPr>
      <w:r>
        <w:rPr>
          <w:rFonts w:ascii="Times New Roman" w:hAnsi="Times New Roman" w:cs="Times New Roman" w:eastAsia="Times New Roman" w:hint="default"/>
        </w:rPr>
        <w:t>4</w:t>
      </w:r>
      <w:r>
        <w:rPr/>
        <w:t>、首次执行日，原金融资产账面价值调整为按照新金融工具准则的规定进行分类和计量的新金融资产账面价值的调节</w:t>
      </w:r>
    </w:p>
    <w:p>
      <w:pPr>
        <w:pStyle w:val="BodyText"/>
        <w:spacing w:line="240" w:lineRule="auto" w:before="63"/>
        <w:ind w:left="212" w:right="1034"/>
        <w:jc w:val="left"/>
      </w:pPr>
      <w:r>
        <w:rPr/>
        <w:t>表</w:t>
      </w:r>
    </w:p>
    <w:p>
      <w:pPr>
        <w:pStyle w:val="BodyText"/>
        <w:spacing w:line="240" w:lineRule="auto" w:before="76"/>
        <w:ind w:left="573" w:right="1034"/>
        <w:jc w:val="left"/>
      </w:pPr>
      <w:r>
        <w:rPr>
          <w:rFonts w:ascii="Times New Roman" w:hAnsi="Times New Roman" w:cs="Times New Roman" w:eastAsia="Times New Roman" w:hint="default"/>
        </w:rPr>
        <w:t>(1)</w:t>
      </w:r>
      <w:r>
        <w:rPr/>
        <w:t>对合并报表的影响</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3272"/>
        <w:gridCol w:w="1793"/>
        <w:gridCol w:w="1508"/>
        <w:gridCol w:w="1505"/>
        <w:gridCol w:w="1778"/>
      </w:tblGrid>
      <w:tr>
        <w:trPr>
          <w:trHeight w:val="63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681" w:right="137" w:hanging="54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 更前</w:t>
            </w:r>
            <w:r>
              <w:rPr>
                <w:rFonts w:ascii="Times New Roman" w:hAnsi="Times New Roman" w:cs="Times New Roman" w:eastAsia="Times New Roman" w:hint="default"/>
                <w:sz w:val="18"/>
                <w:szCs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8"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763" w:right="131" w:hanging="6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变更 后</w:t>
            </w:r>
            <w:r>
              <w:rPr>
                <w:rFonts w:ascii="Times New Roman" w:hAnsi="Times New Roman" w:cs="Times New Roman" w:eastAsia="Times New Roman" w:hint="default"/>
                <w:sz w:val="18"/>
                <w:szCs w:val="18"/>
              </w:rPr>
              <w:t>)</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47,345,662.53</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9" w:right="0"/>
              <w:jc w:val="left"/>
              <w:rPr>
                <w:rFonts w:ascii="Times New Roman" w:hAnsi="Times New Roman" w:cs="Times New Roman" w:eastAsia="Times New Roman" w:hint="default"/>
                <w:sz w:val="18"/>
                <w:szCs w:val="18"/>
              </w:rPr>
            </w:pPr>
            <w:r>
              <w:rPr>
                <w:rFonts w:ascii="Times New Roman"/>
                <w:sz w:val="18"/>
              </w:rPr>
              <w:t>8,213,377.39</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1,956,614.26</w:t>
            </w: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1" w:right="0"/>
              <w:jc w:val="left"/>
              <w:rPr>
                <w:rFonts w:ascii="Times New Roman" w:hAnsi="Times New Roman" w:cs="Times New Roman" w:eastAsia="Times New Roman" w:hint="default"/>
                <w:sz w:val="18"/>
                <w:szCs w:val="18"/>
              </w:rPr>
            </w:pPr>
            <w:r>
              <w:rPr>
                <w:rFonts w:ascii="Times New Roman"/>
                <w:sz w:val="18"/>
              </w:rPr>
              <w:t>37,175,670.88</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1,322,015,249.45</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-70,275.65</w:t>
            </w:r>
          </w:p>
        </w:tc>
        <w:tc>
          <w:tcPr>
            <w:tcW w:w="17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272"/>
        <w:gridCol w:w="1793"/>
        <w:gridCol w:w="1508"/>
        <w:gridCol w:w="1505"/>
        <w:gridCol w:w="1778"/>
      </w:tblGrid>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1,322,085,525.10</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211,898,681.18</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-960,037.95</w:t>
            </w: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212,858,719.13</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一年内到期的非流动资产</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124,089,020.60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1,278,599.04</w:t>
            </w: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122,810,421.56</w:t>
            </w: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185,961,404.20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减：转入交易性金融资产</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74,500,000.00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111,461,404.20</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长期应收款</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418,409,643.06</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3,934,480.77</w:t>
            </w: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414,475,162.29</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69,313,480.25</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-946,462.19</w:t>
            </w: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按重新计算列示的余额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70,259,942.44</w:t>
            </w: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5,113,958.64</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-403,058.55</w:t>
            </w: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按重新计算列示的余额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5,517,017.19</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1,473,345,712.40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加：应付利息转入</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-5,045,680.38</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1,468,300,032.02</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83,803,047.07</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减：转入短期借款</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2,314,637.75</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减：转入一年到期的非流动负债</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158,491.67</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减：转入长期借款</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58,055.53</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减：转入应付债券</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2,607,777.91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spacing w:val="-1"/>
                <w:sz w:val="18"/>
              </w:rPr>
              <w:t>78,664,084.21</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一年内到期的非流动负债</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92,400,000.00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加：应付利息转入</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158,491.67</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92,558,491.67</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长期借款</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33,333,333.32</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272"/>
        <w:gridCol w:w="1793"/>
        <w:gridCol w:w="1508"/>
        <w:gridCol w:w="1505"/>
        <w:gridCol w:w="1778"/>
      </w:tblGrid>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加：应付利息转入</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58,055.53</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33,391,388.85</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应付债券</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199,310,965.21</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加：应付利息转入</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2,607,777.91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201,918,743.12</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0"/>
              <w:jc w:val="left"/>
              <w:rPr>
                <w:rFonts w:ascii="宋体" w:hAnsi="宋体" w:cs="宋体" w:eastAsia="宋体" w:hint="default"/>
                <w:sz w:val="18"/>
                <w:szCs w:val="18"/>
              </w:rPr>
            </w:pPr>
            <w:r>
              <w:rPr>
                <w:rFonts w:ascii="宋体" w:hAnsi="宋体" w:cs="宋体" w:eastAsia="宋体" w:hint="default"/>
                <w:b/>
                <w:bCs/>
                <w:spacing w:val="11"/>
                <w:sz w:val="18"/>
                <w:szCs w:val="18"/>
              </w:rPr>
              <w:t>以公允价值计量且其变动计入其他综</w:t>
            </w:r>
            <w:r>
              <w:rPr>
                <w:rFonts w:ascii="宋体" w:hAnsi="宋体" w:cs="宋体" w:eastAsia="宋体" w:hint="default"/>
                <w:b/>
                <w:bCs/>
                <w:spacing w:val="12"/>
                <w:w w:val="99"/>
                <w:sz w:val="18"/>
                <w:szCs w:val="18"/>
              </w:rPr>
              <w:t> </w:t>
            </w:r>
            <w:r>
              <w:rPr>
                <w:rFonts w:ascii="宋体" w:hAnsi="宋体" w:cs="宋体" w:eastAsia="宋体" w:hint="default"/>
                <w:b/>
                <w:bCs/>
                <w:sz w:val="18"/>
                <w:szCs w:val="18"/>
              </w:rPr>
              <w:t>合收益：</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加：自应收票据转入</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8,213,377.39</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8,213,377.39</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0"/>
              <w:jc w:val="left"/>
              <w:rPr>
                <w:rFonts w:ascii="宋体" w:hAnsi="宋体" w:cs="宋体" w:eastAsia="宋体" w:hint="default"/>
                <w:sz w:val="18"/>
                <w:szCs w:val="18"/>
              </w:rPr>
            </w:pPr>
            <w:r>
              <w:rPr>
                <w:rFonts w:ascii="宋体" w:hAnsi="宋体" w:cs="宋体" w:eastAsia="宋体" w:hint="default"/>
                <w:b/>
                <w:bCs/>
                <w:spacing w:val="11"/>
                <w:sz w:val="18"/>
                <w:szCs w:val="18"/>
              </w:rPr>
              <w:t>以公允价值计量且其变动计入当期损</w:t>
            </w:r>
            <w:r>
              <w:rPr>
                <w:rFonts w:ascii="宋体" w:hAnsi="宋体" w:cs="宋体" w:eastAsia="宋体" w:hint="default"/>
                <w:b/>
                <w:bCs/>
                <w:spacing w:val="12"/>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交易性金融资产</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加：自其他流动资产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原准则</w:t>
            </w:r>
            <w:r>
              <w:rPr>
                <w:rFonts w:ascii="Times New Roman" w:hAnsi="Times New Roman" w:cs="Times New Roman" w:eastAsia="Times New Roman" w:hint="default"/>
                <w:sz w:val="18"/>
                <w:szCs w:val="18"/>
              </w:rPr>
              <w:t>)</w:t>
            </w:r>
            <w:r>
              <w:rPr>
                <w:rFonts w:ascii="宋体" w:hAnsi="宋体" w:cs="宋体" w:eastAsia="宋体" w:hint="default"/>
                <w:sz w:val="18"/>
                <w:szCs w:val="18"/>
              </w:rPr>
              <w:t>转入</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74,500,000.00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74,500,000.00</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可供出售金融资产</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原准则</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84,795,848.15</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减：转出至其他非流动金融资产</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84,795,848.15</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其他非流动金融资产</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加：自可供出售金融资产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原准则</w:t>
            </w:r>
            <w:r>
              <w:rPr>
                <w:rFonts w:ascii="Times New Roman" w:hAnsi="Times New Roman" w:cs="Times New Roman" w:eastAsia="Times New Roman" w:hint="default"/>
                <w:sz w:val="18"/>
                <w:szCs w:val="18"/>
              </w:rPr>
              <w:t>)</w:t>
            </w:r>
            <w:r>
              <w:rPr>
                <w:rFonts w:ascii="宋体" w:hAnsi="宋体" w:cs="宋体" w:eastAsia="宋体" w:hint="default"/>
                <w:sz w:val="18"/>
                <w:szCs w:val="18"/>
              </w:rPr>
              <w:t>转入</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84,795,848.15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8" w:right="0"/>
              <w:jc w:val="left"/>
              <w:rPr>
                <w:rFonts w:ascii="Times New Roman" w:hAnsi="Times New Roman" w:cs="Times New Roman" w:eastAsia="Times New Roman" w:hint="default"/>
                <w:sz w:val="18"/>
                <w:szCs w:val="18"/>
              </w:rPr>
            </w:pPr>
            <w:r>
              <w:rPr>
                <w:rFonts w:ascii="Times New Roman"/>
                <w:sz w:val="18"/>
              </w:rPr>
              <w:t>2,687,056.98</w:t>
            </w:r>
          </w:p>
        </w:tc>
        <w:tc>
          <w:tcPr>
            <w:tcW w:w="17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87,482,905.13</w:t>
            </w:r>
          </w:p>
        </w:tc>
      </w:tr>
    </w:tbl>
    <w:p>
      <w:pPr>
        <w:pStyle w:val="BodyText"/>
        <w:spacing w:line="240" w:lineRule="auto" w:before="8"/>
        <w:ind w:left="573" w:right="1034"/>
        <w:jc w:val="left"/>
      </w:pPr>
      <w:r>
        <w:rPr>
          <w:rFonts w:ascii="Times New Roman" w:hAnsi="Times New Roman" w:cs="Times New Roman" w:eastAsia="Times New Roman" w:hint="default"/>
        </w:rPr>
        <w:t>(2)</w:t>
      </w:r>
      <w:r>
        <w:rPr/>
        <w:t>对公司财务报表的影响</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2931"/>
        <w:gridCol w:w="1754"/>
        <w:gridCol w:w="1870"/>
        <w:gridCol w:w="1553"/>
        <w:gridCol w:w="1747"/>
      </w:tblGrid>
      <w:tr>
        <w:trPr>
          <w:trHeight w:val="634"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664" w:right="115" w:hanging="54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 更前</w:t>
            </w:r>
            <w:r>
              <w:rPr>
                <w:rFonts w:ascii="Times New Roman" w:hAnsi="Times New Roman" w:cs="Times New Roman" w:eastAsia="Times New Roman" w:hint="default"/>
                <w:sz w:val="18"/>
                <w:szCs w:val="18"/>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748" w:right="115" w:hanging="63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变更 后</w:t>
            </w:r>
            <w:r>
              <w:rPr>
                <w:rFonts w:ascii="Times New Roman" w:hAnsi="Times New Roman" w:cs="Times New Roman" w:eastAsia="Times New Roman" w:hint="default"/>
                <w:sz w:val="18"/>
                <w:szCs w:val="18"/>
              </w:rPr>
              <w:t>)</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43,238,021.39</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3" w:right="0"/>
              <w:jc w:val="left"/>
              <w:rPr>
                <w:rFonts w:ascii="Times New Roman" w:hAnsi="Times New Roman" w:cs="Times New Roman" w:eastAsia="Times New Roman" w:hint="default"/>
                <w:sz w:val="18"/>
                <w:szCs w:val="18"/>
              </w:rPr>
            </w:pPr>
            <w:r>
              <w:rPr>
                <w:rFonts w:ascii="Times New Roman"/>
                <w:sz w:val="18"/>
              </w:rPr>
              <w:t>8,213,377.39</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1,751,232.20</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33,273,411.80</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1,033,603,191.77</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251,579.72</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1,033,351,612.05</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1,447,922,622.10</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-442,749.88</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1,448,365,371.98</w:t>
            </w: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931"/>
        <w:gridCol w:w="1754"/>
        <w:gridCol w:w="1870"/>
        <w:gridCol w:w="1553"/>
        <w:gridCol w:w="1747"/>
      </w:tblGrid>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一年内到期的非流动资产</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65,523,778.55</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655,237.79</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64,868,540.76</w:t>
            </w: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80,013,607.98</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减：转入交易性金融资产</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74,000,000.00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6,013,607.98</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长期应收款</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315,483,965.15</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2,788,491.56</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312,695,473.59</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56,894,720.27</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-750,568.72</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按重新计算列示的余额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57,645,288.99</w:t>
            </w: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-403,058.55</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按重新计算列示的余额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403,058.55</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890,000,000.00</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加：应付利息转入</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2,273,102.69</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892,273,102.69</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389,171,309.37</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减：转入短期借款</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2,273,102.69</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减：转入一年到期的非流动负债</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158,491.67</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减：转入长期借款</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减：转入应付债券</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2,607,777.91</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384,131,937.10</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一年内到期的非流动负债</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92,400,000.00</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加：应付利息转入</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158,491.67</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92,558,491.67</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应付债券</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199,310,965.21</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加：应付利息转入</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2,607,777.91</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201,918,743.12</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以公允价值计量且其变动计入其他</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综合收益：</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931"/>
        <w:gridCol w:w="1754"/>
        <w:gridCol w:w="1870"/>
        <w:gridCol w:w="1553"/>
        <w:gridCol w:w="1747"/>
      </w:tblGrid>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加：自应收票据转入</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8,213,377.39</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8,213,377.39</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损益：</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交易性金融资产</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加：自其他流动资产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原准则</w:t>
            </w:r>
            <w:r>
              <w:rPr>
                <w:rFonts w:ascii="Times New Roman" w:hAnsi="Times New Roman" w:cs="Times New Roman" w:eastAsia="Times New Roman" w:hint="default"/>
                <w:sz w:val="18"/>
                <w:szCs w:val="18"/>
              </w:rPr>
              <w:t>)</w:t>
            </w:r>
            <w:r>
              <w:rPr>
                <w:rFonts w:ascii="宋体" w:hAnsi="宋体" w:cs="宋体" w:eastAsia="宋体" w:hint="default"/>
                <w:sz w:val="18"/>
                <w:szCs w:val="18"/>
              </w:rPr>
              <w:t>转入</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74,000,000.00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74,000,000.00</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可供出售金融资产</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原准则</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80,505,848.15</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80,505,848.15</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其他非流动金融资产</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101"/>
              <w:jc w:val="left"/>
              <w:rPr>
                <w:rFonts w:ascii="宋体" w:hAnsi="宋体" w:cs="宋体" w:eastAsia="宋体" w:hint="default"/>
                <w:sz w:val="18"/>
                <w:szCs w:val="18"/>
              </w:rPr>
            </w:pPr>
            <w:r>
              <w:rPr>
                <w:rFonts w:ascii="宋体" w:hAnsi="宋体" w:cs="宋体" w:eastAsia="宋体" w:hint="default"/>
                <w:spacing w:val="4"/>
                <w:sz w:val="18"/>
                <w:szCs w:val="18"/>
              </w:rPr>
              <w:t>加：自可供出售金融资产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原准则</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转入</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80,505,848.15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2,687,056.98</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54"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83,192,905.13</w:t>
            </w:r>
          </w:p>
        </w:tc>
      </w:tr>
    </w:tbl>
    <w:p>
      <w:pPr>
        <w:pStyle w:val="BodyText"/>
        <w:spacing w:line="300" w:lineRule="auto" w:before="8"/>
        <w:ind w:left="573" w:right="7063"/>
        <w:jc w:val="left"/>
      </w:pPr>
      <w:r>
        <w:rPr>
          <w:rFonts w:ascii="Times New Roman" w:hAnsi="Times New Roman" w:cs="Times New Roman" w:eastAsia="Times New Roman" w:hint="default"/>
        </w:rPr>
        <w:t>5</w:t>
      </w:r>
      <w:r>
        <w:rPr/>
        <w:t>、首次执行日，金融资产减值准备调节表 </w:t>
      </w:r>
      <w:r>
        <w:rPr>
          <w:rFonts w:ascii="Times New Roman" w:hAnsi="Times New Roman" w:cs="Times New Roman" w:eastAsia="Times New Roman" w:hint="default"/>
        </w:rPr>
        <w:t>(1)</w:t>
      </w:r>
      <w:r>
        <w:rPr/>
        <w:t>对合并报表的影响</w:t>
      </w:r>
    </w:p>
    <w:tbl>
      <w:tblPr>
        <w:tblW w:w="0" w:type="auto"/>
        <w:jc w:val="left"/>
        <w:tblInd w:w="100" w:type="dxa"/>
        <w:tblLayout w:type="fixed"/>
        <w:tblCellMar>
          <w:top w:w="0" w:type="dxa"/>
          <w:left w:w="0" w:type="dxa"/>
          <w:bottom w:w="0" w:type="dxa"/>
          <w:right w:w="0" w:type="dxa"/>
        </w:tblCellMar>
        <w:tblLook w:val="01E0"/>
      </w:tblPr>
      <w:tblGrid>
        <w:gridCol w:w="2518"/>
        <w:gridCol w:w="2530"/>
        <w:gridCol w:w="1160"/>
        <w:gridCol w:w="1558"/>
        <w:gridCol w:w="2091"/>
      </w:tblGrid>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变更前</w:t>
            </w:r>
            <w:r>
              <w:rPr>
                <w:rFonts w:ascii="Times New Roman" w:hAnsi="Times New Roman" w:cs="Times New Roman" w:eastAsia="Times New Roman" w:hint="default"/>
                <w:sz w:val="18"/>
                <w:szCs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变更后</w:t>
            </w:r>
            <w:r>
              <w:rPr>
                <w:rFonts w:ascii="Times New Roman" w:hAnsi="Times New Roman" w:cs="Times New Roman" w:eastAsia="Times New Roman" w:hint="default"/>
                <w:sz w:val="18"/>
                <w:szCs w:val="18"/>
              </w:rPr>
              <w:t>)</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253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253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1,956,614.26</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1,956,614.26</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245,759,851.38</w:t>
            </w:r>
          </w:p>
        </w:tc>
        <w:tc>
          <w:tcPr>
            <w:tcW w:w="11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-70,275.65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245,689,575.73</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25,945,393.32</w:t>
            </w:r>
          </w:p>
        </w:tc>
        <w:tc>
          <w:tcPr>
            <w:tcW w:w="11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-960,037.95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24,985,355.37</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3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1,278,599.04</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1,278,599.04</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253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3,934,480.77</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3,934,480.77</w:t>
            </w:r>
          </w:p>
        </w:tc>
      </w:tr>
    </w:tbl>
    <w:p>
      <w:pPr>
        <w:pStyle w:val="BodyText"/>
        <w:spacing w:line="240" w:lineRule="auto" w:before="13"/>
        <w:ind w:left="573" w:right="1034"/>
        <w:jc w:val="left"/>
      </w:pPr>
      <w:r>
        <w:rPr>
          <w:rFonts w:ascii="Times New Roman" w:hAnsi="Times New Roman" w:cs="Times New Roman" w:eastAsia="Times New Roman" w:hint="default"/>
        </w:rPr>
        <w:t>(2)</w:t>
      </w:r>
      <w:r>
        <w:rPr/>
        <w:t>对公司报表的影响</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2520"/>
        <w:gridCol w:w="2552"/>
        <w:gridCol w:w="1133"/>
        <w:gridCol w:w="1560"/>
        <w:gridCol w:w="2091"/>
      </w:tblGrid>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变更前</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变更后</w:t>
            </w:r>
            <w:r>
              <w:rPr>
                <w:rFonts w:ascii="Times New Roman" w:hAnsi="Times New Roman" w:cs="Times New Roman" w:eastAsia="Times New Roman" w:hint="default"/>
                <w:sz w:val="18"/>
                <w:szCs w:val="18"/>
              </w:rPr>
              <w:t>)</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25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1,751,232.20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1,751,232.20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204,740,004.84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251,579.72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204,991,584.56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23,888,432.55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-442,749.88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23,445,682.67</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655,237.79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655,237.79</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25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2,788,491.56</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2,788,491.56</w:t>
            </w:r>
          </w:p>
        </w:tc>
      </w:tr>
    </w:tbl>
    <w:p>
      <w:pPr>
        <w:pStyle w:val="BodyText"/>
        <w:spacing w:line="300" w:lineRule="auto" w:before="8"/>
        <w:ind w:left="573" w:right="6343"/>
        <w:jc w:val="left"/>
      </w:pPr>
      <w:r>
        <w:rPr>
          <w:rFonts w:ascii="Times New Roman" w:hAnsi="Times New Roman" w:cs="Times New Roman" w:eastAsia="Times New Roman" w:hint="default"/>
        </w:rPr>
        <w:t>6</w:t>
      </w:r>
      <w:r>
        <w:rPr/>
        <w:t>、对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日留存收益和其他综合收益的影响 </w:t>
      </w:r>
      <w:r>
        <w:rPr>
          <w:rFonts w:ascii="Times New Roman" w:hAnsi="Times New Roman" w:cs="Times New Roman" w:eastAsia="Times New Roman" w:hint="default"/>
        </w:rPr>
        <w:t>(1)</w:t>
      </w:r>
      <w:r>
        <w:rPr/>
        <w:t>对合并报表的影响</w:t>
      </w:r>
    </w:p>
    <w:tbl>
      <w:tblPr>
        <w:tblW w:w="0" w:type="auto"/>
        <w:jc w:val="left"/>
        <w:tblInd w:w="100" w:type="dxa"/>
        <w:tblLayout w:type="fixed"/>
        <w:tblCellMar>
          <w:top w:w="0" w:type="dxa"/>
          <w:left w:w="0" w:type="dxa"/>
          <w:bottom w:w="0" w:type="dxa"/>
          <w:right w:w="0" w:type="dxa"/>
        </w:tblCellMar>
        <w:tblLook w:val="01E0"/>
      </w:tblPr>
      <w:tblGrid>
        <w:gridCol w:w="3870"/>
        <w:gridCol w:w="2019"/>
        <w:gridCol w:w="1848"/>
        <w:gridCol w:w="2120"/>
      </w:tblGrid>
      <w:tr>
        <w:trPr>
          <w:trHeight w:val="322"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合并未分配利润</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9" w:right="0"/>
              <w:jc w:val="left"/>
              <w:rPr>
                <w:rFonts w:ascii="宋体" w:hAnsi="宋体" w:cs="宋体" w:eastAsia="宋体" w:hint="default"/>
                <w:sz w:val="18"/>
                <w:szCs w:val="18"/>
              </w:rPr>
            </w:pPr>
            <w:r>
              <w:rPr>
                <w:rFonts w:ascii="宋体" w:hAnsi="宋体" w:cs="宋体" w:eastAsia="宋体" w:hint="default"/>
                <w:sz w:val="18"/>
                <w:szCs w:val="18"/>
              </w:rPr>
              <w:t>合并盈余公积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4" w:right="0"/>
              <w:jc w:val="left"/>
              <w:rPr>
                <w:rFonts w:ascii="宋体" w:hAnsi="宋体" w:cs="宋体" w:eastAsia="宋体" w:hint="default"/>
                <w:sz w:val="18"/>
                <w:szCs w:val="18"/>
              </w:rPr>
            </w:pPr>
            <w:r>
              <w:rPr>
                <w:rFonts w:ascii="宋体" w:hAnsi="宋体" w:cs="宋体" w:eastAsia="宋体" w:hint="default"/>
                <w:sz w:val="18"/>
                <w:szCs w:val="18"/>
              </w:rPr>
              <w:t>合并其他综合收益</w:t>
            </w:r>
          </w:p>
        </w:tc>
      </w:tr>
      <w:tr>
        <w:trPr>
          <w:trHeight w:val="324"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143,102,629.08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00" w:right="0"/>
              <w:jc w:val="left"/>
              <w:rPr>
                <w:rFonts w:ascii="Times New Roman" w:hAnsi="Times New Roman" w:cs="Times New Roman" w:eastAsia="Times New Roman" w:hint="default"/>
                <w:sz w:val="18"/>
                <w:szCs w:val="18"/>
              </w:rPr>
            </w:pPr>
            <w:r>
              <w:rPr>
                <w:rFonts w:ascii="Times New Roman"/>
                <w:sz w:val="18"/>
              </w:rPr>
              <w:t>36,442,010.41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61" w:right="0"/>
              <w:jc w:val="left"/>
              <w:rPr>
                <w:rFonts w:ascii="Times New Roman" w:hAnsi="Times New Roman" w:cs="Times New Roman" w:eastAsia="Times New Roman" w:hint="default"/>
                <w:sz w:val="18"/>
                <w:szCs w:val="18"/>
              </w:rPr>
            </w:pPr>
            <w:r>
              <w:rPr>
                <w:rFonts w:ascii="Times New Roman"/>
                <w:sz w:val="18"/>
              </w:rPr>
              <w:t>1,126,935.31</w:t>
            </w:r>
          </w:p>
        </w:tc>
      </w:tr>
      <w:tr>
        <w:trPr>
          <w:trHeight w:val="322"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应收票据减值的重新计量</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-1,956,614.26</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应收账款减值的重新计量</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70,275.65</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其他应收款减值的重新计量</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960,037.95</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一年内到期的非流动资产坏账准备的重新计量</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-1,278,599.04</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长期应收款减值的重新计量</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-3,934,480.77</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3870"/>
        <w:gridCol w:w="2019"/>
        <w:gridCol w:w="1848"/>
        <w:gridCol w:w="2120"/>
      </w:tblGrid>
      <w:tr>
        <w:trPr>
          <w:trHeight w:val="322"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其他非流动金融资产的重新计提</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2,687,056.98</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递延所得税资产的重新计量</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946,462.19</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递延所得税负债的重新计提</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-403,058.55</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减：少数股东损益</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-85,744.17</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140,279,453.40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00" w:right="0"/>
              <w:jc w:val="left"/>
              <w:rPr>
                <w:rFonts w:ascii="Times New Roman" w:hAnsi="Times New Roman" w:cs="Times New Roman" w:eastAsia="Times New Roman" w:hint="default"/>
                <w:sz w:val="18"/>
                <w:szCs w:val="18"/>
              </w:rPr>
            </w:pPr>
            <w:r>
              <w:rPr>
                <w:rFonts w:ascii="Times New Roman"/>
                <w:sz w:val="18"/>
              </w:rPr>
              <w:t>36,442,010.41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1" w:right="0"/>
              <w:jc w:val="left"/>
              <w:rPr>
                <w:rFonts w:ascii="Times New Roman" w:hAnsi="Times New Roman" w:cs="Times New Roman" w:eastAsia="Times New Roman" w:hint="default"/>
                <w:sz w:val="18"/>
                <w:szCs w:val="18"/>
              </w:rPr>
            </w:pPr>
            <w:r>
              <w:rPr>
                <w:rFonts w:ascii="Times New Roman"/>
                <w:sz w:val="18"/>
              </w:rPr>
              <w:t>1,126,935.31</w:t>
            </w:r>
          </w:p>
        </w:tc>
      </w:tr>
    </w:tbl>
    <w:p>
      <w:pPr>
        <w:pStyle w:val="BodyText"/>
        <w:spacing w:line="240" w:lineRule="auto" w:before="8"/>
        <w:ind w:left="573" w:right="1034"/>
        <w:jc w:val="left"/>
      </w:pPr>
      <w:r>
        <w:rPr>
          <w:rFonts w:ascii="Times New Roman" w:hAnsi="Times New Roman" w:cs="Times New Roman" w:eastAsia="Times New Roman" w:hint="default"/>
        </w:rPr>
        <w:t>(2)</w:t>
      </w:r>
      <w:r>
        <w:rPr/>
        <w:t>对公司报表的影响</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3531"/>
        <w:gridCol w:w="2357"/>
        <w:gridCol w:w="1848"/>
        <w:gridCol w:w="2120"/>
      </w:tblGrid>
      <w:tr>
        <w:trPr>
          <w:trHeight w:val="322"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r>
      <w:tr>
        <w:trPr>
          <w:trHeight w:val="322"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-33,158,550.85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36,442,010.41</w:t>
            </w: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应收票据减值的重新计量</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-1,751,232.20</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应收账款减值的重新计量</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-251,579.72</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其他应收款减值的重新计量</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442,749.88</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4"/>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一年内到期的非流动资产坏账准备的重新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计量</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-655,237.79</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长期应收款减值的重新计量</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-2,788,491.56</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其他非流动金融资产的重新计提</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2,687,056.98</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递延所得税资产的重新计量</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750,568.72</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递延所得税负债的重新计提</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-403,058.55</w:t>
            </w:r>
          </w:p>
        </w:tc>
        <w:tc>
          <w:tcPr>
            <w:tcW w:w="1848"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-35,127,775.09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36,442,010.41</w:t>
            </w:r>
          </w:p>
        </w:tc>
        <w:tc>
          <w:tcPr>
            <w:tcW w:w="21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12" w:right="103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1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212" w:right="1034"/>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20" w:right="0"/>
        </w:sectPr>
      </w:pPr>
    </w:p>
    <w:p>
      <w:pPr>
        <w:pStyle w:val="BodyText"/>
        <w:spacing w:line="340" w:lineRule="auto" w:before="44"/>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12" w:right="0"/>
        <w:jc w:val="left"/>
      </w:pPr>
      <w:r>
        <w:rPr/>
        <w:t>单位：元</w:t>
      </w:r>
    </w:p>
    <w:p>
      <w:pPr>
        <w:spacing w:after="0" w:line="240" w:lineRule="auto"/>
        <w:jc w:val="left"/>
        <w:sectPr>
          <w:type w:val="continuous"/>
          <w:pgSz w:w="11910" w:h="16840"/>
          <w:pgMar w:top="1060" w:bottom="1160" w:left="920" w:right="0"/>
          <w:cols w:num="2" w:equalWidth="0">
            <w:col w:w="1594" w:space="7327"/>
            <w:col w:w="2069"/>
          </w:cols>
        </w:sectPr>
      </w:pP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397,697,481.18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397,697,481.18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74,500,000.00</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47,345,662.53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37,175,670.88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-10,169,991.65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1,322,015,249.45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1,322,085,525.10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70,275.65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8,213,377.39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8,213,377.39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35,023,029.21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35,023,029.21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211,898,681.18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212,858,719.13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960,037.95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217,870,389.04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217,870,389.04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124,089,020.60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122,810,421.56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-1,278,599.04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185,961,404.20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104,101,086.07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-81,860,318.13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2,541,900,917.39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2,532,335,699.56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-9,565,217.83</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84,795,848.15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-84,795,848.15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418,409,643.06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414,475,162.29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-3,934,480.77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79,950,665.12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79,950,665.12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87,482,905.13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87,482,905.13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42,624,513.81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42,624,513.81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1,339,127,830.85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1,339,127,830.85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370,019,094.58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370,019,094.58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244,548,161.96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244,548,161.96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34,658,524.58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34,658,524.58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69,313,480.25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70,259,942.44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946,462.19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2,683,447,762.36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2,683,146,800.76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-300,961.60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5,225,348,679.75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5,215,482,500.32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-9,866,179.43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1,473,345,712.40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1,468,300,032.02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-5,045,680.38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45,174,031.80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45,174,031.80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667,564,404.27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667,564,404.27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34,188,943.21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34,188,943.21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26,679,023.08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26,679,023.08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29,215,927.43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29,215,927.43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83,803,047.07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78,664,084.21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-5,138,962.86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32,329,945.88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27,190,983.02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-5,138,962.86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92,558,491.67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158,491.67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2,452,371,089.26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2,442,344,937.69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-10,026,151.57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0"/>
        <w:gridCol w:w="2468"/>
        <w:gridCol w:w="2456"/>
        <w:gridCol w:w="2453"/>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33,333,333.32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33,391,388.85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58,055.53</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199,310,965.21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201,918,743.12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2,607,777.91</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53,790,893.91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53,790,893.91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23,285,440.34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23,285,440.34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28,847,160.34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28,847,160.34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5,113,958.64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5,517,017.19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403,058.55</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4,332,984.48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4,332,984.48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348,014,736.24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351,083,628.23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3,068,891.99</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2,800,385,825.50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2,793,428,565.92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-6,957,259.58</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515,156,948.00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515,156,948.00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1,739,548,384.02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1,739,548,384.02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27,883,032.00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27,883,032.00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1,126,935.31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1,126,935.31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36,442,010.41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143,102,629.08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140,279,453.40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-2,823,175.68</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7"/>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2,407,493,874.82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2,404,670,699.14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-2,823,175.68</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17,468,979.43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17,383,235.26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-85,744.17</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2,424,962,854.25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2,422,053,934.40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-2,908,919.85</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5,225,348,679.75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5,215,482,500.32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-9,866,179.43</w:t>
            </w:r>
          </w:p>
        </w:tc>
      </w:tr>
    </w:tbl>
    <w:p>
      <w:pPr>
        <w:pStyle w:val="BodyText"/>
        <w:spacing w:line="240" w:lineRule="auto" w:before="8"/>
        <w:ind w:right="1133"/>
        <w:jc w:val="left"/>
      </w:pPr>
      <w:r>
        <w:rPr/>
        <w:t>调整情况说明</w:t>
      </w:r>
    </w:p>
    <w:p>
      <w:pPr>
        <w:pStyle w:val="BodyText"/>
        <w:spacing w:line="300" w:lineRule="auto" w:before="77"/>
        <w:ind w:right="1041" w:firstLine="360"/>
        <w:jc w:val="left"/>
      </w:pPr>
      <w:r>
        <w:rPr/>
        <w:t>财政部于</w:t>
      </w:r>
      <w:r>
        <w:rPr>
          <w:rFonts w:ascii="Times New Roman" w:hAnsi="Times New Roman" w:cs="Times New Roman" w:eastAsia="Times New Roman" w:hint="default"/>
        </w:rPr>
        <w:t>2017</w:t>
      </w:r>
      <w:r>
        <w:rPr/>
        <w:t>年修订发布了《企业会计准则第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4"/>
        </w:rPr>
        <w:t>号）、《企业会计准</w:t>
      </w:r>
      <w:r>
        <w:rPr/>
        <w:t> 则第 </w:t>
      </w:r>
      <w:r>
        <w:rPr>
          <w:rFonts w:ascii="Times New Roman" w:hAnsi="Times New Roman" w:cs="Times New Roman" w:eastAsia="Times New Roman" w:hint="default"/>
        </w:rPr>
        <w:t>23  </w:t>
      </w:r>
      <w:r>
        <w:rPr/>
        <w:t>号</w:t>
      </w:r>
      <w:r>
        <w:rPr>
          <w:rFonts w:ascii="Times New Roman" w:hAnsi="Times New Roman" w:cs="Times New Roman" w:eastAsia="Times New Roman" w:hint="default"/>
        </w:rPr>
        <w:t>——</w:t>
      </w:r>
      <w:r>
        <w:rPr/>
        <w:t>金融资产转移》（财会〔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  </w:t>
      </w:r>
      <w:r>
        <w:rPr/>
        <w:t>号）、《企业会计准则第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rFonts w:ascii="Times New Roman" w:hAnsi="Times New Roman" w:cs="Times New Roman" w:eastAsia="Times New Roman" w:hint="default"/>
          <w:spacing w:val="38"/>
        </w:rPr>
        <w:t> </w:t>
      </w:r>
      <w:r>
        <w:rPr/>
        <w:t>号），</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《企业会计准则第</w:t>
      </w:r>
      <w:r>
        <w:rPr>
          <w:spacing w:val="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
        </w:rPr>
        <w:t>—</w:t>
      </w:r>
      <w:r>
        <w:rPr/>
        <w:t>金融工具列报</w:t>
      </w:r>
      <w:r>
        <w:rPr>
          <w:spacing w:val="-87"/>
        </w:rPr>
        <w:t>》</w:t>
      </w:r>
      <w:r>
        <w:rPr/>
        <w:t>（财</w:t>
      </w:r>
      <w:r>
        <w:rPr>
          <w:spacing w:val="-44"/>
        </w:rPr>
        <w:t>会</w:t>
      </w:r>
      <w:r>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spacing w:val="-44"/>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号</w:t>
      </w:r>
      <w:r>
        <w:rPr>
          <w:spacing w:val="-44"/>
        </w:rPr>
        <w:t>）</w:t>
      </w:r>
      <w:r>
        <w:rPr/>
        <w:t>等四项金融工具相关</w:t>
      </w:r>
      <w:r>
        <w:rPr>
          <w:spacing w:val="-3"/>
        </w:rPr>
        <w:t>会</w:t>
      </w:r>
      <w:r>
        <w:rPr/>
        <w:t>计准则</w:t>
      </w:r>
      <w:r>
        <w:rPr>
          <w:spacing w:val="-44"/>
        </w:rPr>
        <w:t>，</w:t>
      </w:r>
      <w:r>
        <w:rPr/>
        <w:t>我公司自</w:t>
      </w:r>
      <w:r>
        <w:rPr>
          <w:spacing w:val="2"/>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9 </w:t>
      </w:r>
      <w:r>
        <w:rPr>
          <w:rFonts w:ascii="Times New Roman" w:hAnsi="Times New Roman" w:cs="Times New Roman" w:eastAsia="Times New Roman" w:hint="default"/>
          <w:spacing w:val="2"/>
        </w:rPr>
        <w:t> </w:t>
      </w:r>
      <w:r>
        <w:rPr/>
        <w:t>年</w:t>
      </w:r>
      <w:r>
        <w:rPr>
          <w:spacing w:val="-2"/>
        </w:rPr>
        <w:t> </w:t>
      </w: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月</w:t>
      </w:r>
    </w:p>
    <w:p>
      <w:pPr>
        <w:pStyle w:val="BodyText"/>
        <w:spacing w:line="300" w:lineRule="auto" w:before="63"/>
        <w:ind w:right="103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日起施行；财政部于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日发布了《关于修订印发</w:t>
      </w:r>
      <w:r>
        <w:rPr>
          <w:rFonts w:ascii="Times New Roman" w:hAnsi="Times New Roman" w:cs="Times New Roman" w:eastAsia="Times New Roman" w:hint="default"/>
          <w:spacing w:val="-3"/>
        </w:rPr>
        <w:t>2019</w:t>
      </w:r>
      <w:r>
        <w:rPr>
          <w:spacing w:val="-3"/>
        </w:rPr>
        <w:t>年度一般企业财务报表格式的通知》（财会〔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w:t>
      </w:r>
      <w:r>
        <w:rPr>
          <w:spacing w:val="-3"/>
        </w:rPr>
        <w:t>号），</w:t>
      </w:r>
      <w:r>
        <w:rPr/>
        <w:t> 和企业会计准则的要求编制</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1-6</w:t>
      </w:r>
      <w:r>
        <w:rPr/>
        <w:t>月财务报表，结合此项目会计政策变更及企业实际情况，变更财务报表格式。</w:t>
      </w:r>
    </w:p>
    <w:p>
      <w:pPr>
        <w:pStyle w:val="BodyText"/>
        <w:spacing w:line="240" w:lineRule="auto" w:before="13"/>
        <w:ind w:left="513" w:right="1133"/>
        <w:jc w:val="left"/>
      </w:pPr>
      <w:r>
        <w:rPr/>
        <w:t>母公司资产负债表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292,304,672.81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292,304,672.81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43,238,021.39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33,273,411.80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-9,964,609.59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1,033,603,191.77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1,033,351,612.05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-251,579.72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8,213,377.39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8,213,377.39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18,876,197.84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18,876,197.84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1,447,922,622.10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1,448,365,371.98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442,749.88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127,339,480.87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127,339,480.87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65,523,778.55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64,868,540.76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-655,237.79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80,013,607.98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6,013,607.98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3,108,821,573.31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3,106,606,273.48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-2,215,299.83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80,505,848.15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-80,505,848.15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315,483,965.15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312,695,473.59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-2,788,491.56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710,492,585.30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710,492,585.30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83,192,905.13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83,192,905.13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42,624,513.81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42,624,513.81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490,955,187.71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490,955,187.71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55,355,569.52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55,355,569.52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147,420,902.20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147,420,902.20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56,894,720.27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57,645,288.99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750,568.72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1,899,733,292.11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1,900,382,426.25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649,134.14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5,008,554,865.42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5,006,988,699.73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-1,566,165.69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892,273,102.69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2,273,102.69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592,611,481.80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592,611,481.80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460,280,461.64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460,280,461.64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33,046,757.60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33,046,757.60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16,820,107.67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16,820,107.67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15,099,773.96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15,099,773.96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389,171,309.37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384,131,937.10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-5,039,372.27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92,558,491.67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158,491.67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2,489,429,892.04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2,486,822,114.13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-2,607,777.91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0"/>
        <w:gridCol w:w="2468"/>
        <w:gridCol w:w="2456"/>
        <w:gridCol w:w="2453"/>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199,310,965.21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201,918,743.12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2,607,777.91</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11,955,520.00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11,955,520.00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25,161,833.38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25,161,833.38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403,058.55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403,058.55</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236,428,318.59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239,439,155.05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3,010,836.46</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2,725,858,210.63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2,726,261,269.18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403,058.55</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515,156,948.00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515,156,948.00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1,792,139,279.23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1,792,139,279.23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27,883,032.00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27,883,032.00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36,442,010.41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-33,158,550.85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-35,127,775.09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-1,969,224.24</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2,282,696,654.79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2,280,727,430.55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-1,969,224.24</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5,008,554,865.42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5,006,988,699.73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-1,566,165.69</w:t>
            </w:r>
          </w:p>
        </w:tc>
      </w:tr>
    </w:tbl>
    <w:p>
      <w:pPr>
        <w:pStyle w:val="BodyText"/>
        <w:spacing w:line="240" w:lineRule="auto" w:before="49"/>
        <w:ind w:right="1133"/>
        <w:jc w:val="left"/>
      </w:pPr>
      <w:r>
        <w:rPr/>
        <w:t>调整情况说明</w:t>
      </w:r>
    </w:p>
    <w:p>
      <w:pPr>
        <w:pStyle w:val="BodyText"/>
        <w:spacing w:line="300" w:lineRule="auto" w:before="115"/>
        <w:ind w:right="1041" w:firstLine="360"/>
        <w:jc w:val="left"/>
      </w:pPr>
      <w:r>
        <w:rPr/>
        <w:t>财政部于</w:t>
      </w:r>
      <w:r>
        <w:rPr>
          <w:rFonts w:ascii="Times New Roman" w:hAnsi="Times New Roman" w:cs="Times New Roman" w:eastAsia="Times New Roman" w:hint="default"/>
        </w:rPr>
        <w:t>2017</w:t>
      </w:r>
      <w:r>
        <w:rPr/>
        <w:t>年修订发布了《企业会计准则第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4"/>
        </w:rPr>
        <w:t>号）、《企业会计准</w:t>
      </w:r>
      <w:r>
        <w:rPr/>
        <w:t> 则第 </w:t>
      </w:r>
      <w:r>
        <w:rPr>
          <w:rFonts w:ascii="Times New Roman" w:hAnsi="Times New Roman" w:cs="Times New Roman" w:eastAsia="Times New Roman" w:hint="default"/>
        </w:rPr>
        <w:t>23  </w:t>
      </w:r>
      <w:r>
        <w:rPr/>
        <w:t>号</w:t>
      </w:r>
      <w:r>
        <w:rPr>
          <w:rFonts w:ascii="Times New Roman" w:hAnsi="Times New Roman" w:cs="Times New Roman" w:eastAsia="Times New Roman" w:hint="default"/>
        </w:rPr>
        <w:t>——</w:t>
      </w:r>
      <w:r>
        <w:rPr/>
        <w:t>金融资产转移》（财会〔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  </w:t>
      </w:r>
      <w:r>
        <w:rPr/>
        <w:t>号）、《企业会计准则第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rFonts w:ascii="Times New Roman" w:hAnsi="Times New Roman" w:cs="Times New Roman" w:eastAsia="Times New Roman" w:hint="default"/>
          <w:spacing w:val="38"/>
        </w:rPr>
        <w:t> </w:t>
      </w:r>
      <w:r>
        <w:rPr/>
        <w:t>号），</w:t>
      </w:r>
    </w:p>
    <w:p>
      <w:pPr>
        <w:pStyle w:val="BodyText"/>
        <w:spacing w:line="240" w:lineRule="auto" w:before="13"/>
        <w:ind w:right="0"/>
        <w:jc w:val="left"/>
      </w:pPr>
      <w:r>
        <w:rPr/>
        <w:t>《企业会计准则第</w:t>
      </w:r>
      <w:r>
        <w:rPr>
          <w:spacing w:val="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
        </w:rPr>
        <w:t>—</w:t>
      </w:r>
      <w:r>
        <w:rPr/>
        <w:t>金融工具列报</w:t>
      </w:r>
      <w:r>
        <w:rPr>
          <w:spacing w:val="-87"/>
        </w:rPr>
        <w:t>》</w:t>
      </w:r>
      <w:r>
        <w:rPr/>
        <w:t>（财</w:t>
      </w:r>
      <w:r>
        <w:rPr>
          <w:spacing w:val="-44"/>
        </w:rPr>
        <w:t>会</w:t>
      </w:r>
      <w:r>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spacing w:val="-44"/>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号</w:t>
      </w:r>
      <w:r>
        <w:rPr>
          <w:spacing w:val="-44"/>
        </w:rPr>
        <w:t>）</w:t>
      </w:r>
      <w:r>
        <w:rPr/>
        <w:t>等四项金融工具相关</w:t>
      </w:r>
      <w:r>
        <w:rPr>
          <w:spacing w:val="-3"/>
        </w:rPr>
        <w:t>会</w:t>
      </w:r>
      <w:r>
        <w:rPr/>
        <w:t>计准则</w:t>
      </w:r>
      <w:r>
        <w:rPr>
          <w:spacing w:val="-44"/>
        </w:rPr>
        <w:t>，</w:t>
      </w:r>
      <w:r>
        <w:rPr/>
        <w:t>我公司自</w:t>
      </w:r>
      <w:r>
        <w:rPr>
          <w:spacing w:val="2"/>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9 </w:t>
      </w:r>
      <w:r>
        <w:rPr>
          <w:rFonts w:ascii="Times New Roman" w:hAnsi="Times New Roman" w:cs="Times New Roman" w:eastAsia="Times New Roman" w:hint="default"/>
          <w:spacing w:val="2"/>
        </w:rPr>
        <w:t> </w:t>
      </w:r>
      <w:r>
        <w:rPr/>
        <w:t>年</w:t>
      </w:r>
      <w:r>
        <w:rPr>
          <w:spacing w:val="-2"/>
        </w:rPr>
        <w:t> </w:t>
      </w: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月</w:t>
      </w:r>
    </w:p>
    <w:p>
      <w:pPr>
        <w:pStyle w:val="BodyText"/>
        <w:spacing w:line="300" w:lineRule="auto" w:before="63"/>
        <w:ind w:right="103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日起施行；财政部于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日发布了《关于修订印发</w:t>
      </w:r>
      <w:r>
        <w:rPr>
          <w:rFonts w:ascii="Times New Roman" w:hAnsi="Times New Roman" w:cs="Times New Roman" w:eastAsia="Times New Roman" w:hint="default"/>
          <w:spacing w:val="-3"/>
        </w:rPr>
        <w:t>2019</w:t>
      </w:r>
      <w:r>
        <w:rPr>
          <w:spacing w:val="-3"/>
        </w:rPr>
        <w:t>年度一般企业财务报表格式的通知》（财会〔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w:t>
      </w:r>
      <w:r>
        <w:rPr>
          <w:spacing w:val="-3"/>
        </w:rPr>
        <w:t>号），</w:t>
      </w:r>
      <w:r>
        <w:rPr/>
        <w:t> 和企业会计准则的要求编制</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1-6</w:t>
      </w:r>
      <w:r>
        <w:rPr/>
        <w:t>月财务报表，结合此项目会计政策变更及企业实际情况，变更财务报表格式。</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0"/>
        <w:gridCol w:w="3201"/>
        <w:gridCol w:w="3190"/>
      </w:tblGrid>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73" w:hRule="exact"/>
        </w:trPr>
        <w:tc>
          <w:tcPr>
            <w:tcW w:w="3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4" w:hRule="exact"/>
        </w:trPr>
        <w:tc>
          <w:tcPr>
            <w:tcW w:w="31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381"/>
        <w:gridCol w:w="3190"/>
      </w:tblGrid>
      <w:tr>
        <w:trPr>
          <w:trHeight w:val="401" w:hRule="exact"/>
        </w:trPr>
        <w:tc>
          <w:tcPr>
            <w:tcW w:w="6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3" w:right="0"/>
              <w:jc w:val="left"/>
              <w:rPr>
                <w:rFonts w:ascii="宋体" w:hAnsi="宋体" w:cs="宋体" w:eastAsia="宋体" w:hint="default"/>
                <w:sz w:val="18"/>
                <w:szCs w:val="18"/>
              </w:rPr>
            </w:pPr>
            <w:r>
              <w:rPr>
                <w:rFonts w:ascii="宋体" w:hAnsi="宋体" w:cs="宋体" w:eastAsia="宋体" w:hint="default"/>
                <w:sz w:val="18"/>
                <w:szCs w:val="18"/>
              </w:rPr>
              <w:t>所得税税率（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深圳市证通金信科技有限公司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以下简称证通金信</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深圳市证通佳明光电有限公司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以下简称佳明光电</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长沙证通云计算有限公司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以下简称长沙证通</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广州云硕科技发展有限公司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以下简称广州云硕</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广东宏达通信有限公司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以下简称广东宏达</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SZZT South Africa PTY</w:t>
            </w:r>
            <w:r>
              <w:rPr>
                <w:rFonts w:ascii="Times New Roman"/>
                <w:spacing w:val="-27"/>
                <w:sz w:val="18"/>
              </w:rPr>
              <w:t> </w:t>
            </w:r>
            <w:r>
              <w:rPr>
                <w:rFonts w:ascii="Times New Roman"/>
                <w:spacing w:val="-7"/>
                <w:sz w:val="18"/>
              </w:rPr>
              <w:t>LTD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rFonts w:ascii="Times New Roman" w:hAnsi="Times New Roman" w:cs="Times New Roman" w:eastAsia="Times New Roman" w:hint="default"/>
        </w:rPr>
        <w:t>1</w:t>
      </w:r>
      <w:r>
        <w:rPr/>
        <w:t>、本公司的税收优惠及批文</w:t>
      </w:r>
    </w:p>
    <w:p>
      <w:pPr>
        <w:pStyle w:val="BodyText"/>
        <w:spacing w:line="240" w:lineRule="auto" w:before="63"/>
        <w:ind w:left="513" w:right="0"/>
        <w:jc w:val="left"/>
      </w:pPr>
      <w:r>
        <w:rPr>
          <w:rFonts w:ascii="Times New Roman" w:hAnsi="Times New Roman" w:cs="Times New Roman" w:eastAsia="Times New Roman" w:hint="default"/>
        </w:rPr>
        <w:t>2017</w:t>
      </w:r>
      <w:r>
        <w:rPr/>
        <w:t>年本公司取得获得深圳市科技创新委员会、深圳市财政委员会、深圳市国家税务局、深圳市地方税务局联合颁发的</w:t>
      </w:r>
    </w:p>
    <w:p>
      <w:pPr>
        <w:pStyle w:val="BodyText"/>
        <w:spacing w:line="300" w:lineRule="auto" w:before="63"/>
        <w:ind w:right="1144"/>
        <w:jc w:val="left"/>
      </w:pPr>
      <w:r>
        <w:rPr/>
        <w:t>《高新技术企业证书》，证书编号：</w:t>
      </w:r>
      <w:r>
        <w:rPr>
          <w:rFonts w:ascii="Times New Roman" w:hAnsi="Times New Roman" w:cs="Times New Roman" w:eastAsia="Times New Roman" w:hint="default"/>
        </w:rPr>
        <w:t>GR201744201237</w:t>
      </w:r>
      <w:r>
        <w:rPr/>
        <w:t>，该高新技术企业资格有效期为三年。根据《中华人民共和国企业所 得税法》的规定，本公司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年和</w:t>
      </w:r>
      <w:r>
        <w:rPr>
          <w:rFonts w:ascii="Times New Roman" w:hAnsi="Times New Roman" w:cs="Times New Roman" w:eastAsia="Times New Roman" w:hint="default"/>
        </w:rPr>
        <w:t>2019</w:t>
      </w:r>
      <w:r>
        <w:rPr/>
        <w:t>年按照</w:t>
      </w:r>
      <w:r>
        <w:rPr>
          <w:rFonts w:ascii="Times New Roman" w:hAnsi="Times New Roman" w:cs="Times New Roman" w:eastAsia="Times New Roman" w:hint="default"/>
        </w:rPr>
        <w:t>15.00%</w:t>
      </w:r>
      <w:r>
        <w:rPr/>
        <w:t>的税率缴纳企业所得税。</w:t>
      </w:r>
    </w:p>
    <w:p>
      <w:pPr>
        <w:pStyle w:val="BodyText"/>
        <w:spacing w:line="240" w:lineRule="auto" w:before="13"/>
        <w:ind w:left="513" w:right="1133"/>
        <w:jc w:val="left"/>
      </w:pPr>
      <w:r>
        <w:rPr>
          <w:rFonts w:ascii="Times New Roman" w:hAnsi="Times New Roman" w:cs="Times New Roman" w:eastAsia="Times New Roman" w:hint="default"/>
        </w:rPr>
        <w:t>2</w:t>
      </w:r>
      <w:r>
        <w:rPr/>
        <w:t>、本公司子公司证通金信的税收优惠及批文</w:t>
      </w:r>
    </w:p>
    <w:p>
      <w:pPr>
        <w:pStyle w:val="BodyText"/>
        <w:spacing w:line="300" w:lineRule="auto" w:before="63"/>
        <w:ind w:right="1129" w:firstLine="360"/>
        <w:jc w:val="left"/>
      </w:pPr>
      <w:r>
        <w:rPr>
          <w:rFonts w:ascii="Times New Roman" w:hAnsi="Times New Roman" w:cs="Times New Roman" w:eastAsia="Times New Roman" w:hint="default"/>
          <w:spacing w:val="-2"/>
        </w:rPr>
        <w:t>2017</w:t>
      </w:r>
      <w:r>
        <w:rPr>
          <w:spacing w:val="-2"/>
        </w:rPr>
        <w:t>年本公司子公司证通金信取得获得深圳市科技创新委员会、深圳市财政委员会、深圳市国家税务局、深圳市地方税</w:t>
      </w:r>
      <w:r>
        <w:rPr/>
        <w:t> 务局联合颁发的《高新技术企业证书》，证书编号：</w:t>
      </w:r>
      <w:r>
        <w:rPr>
          <w:rFonts w:ascii="Times New Roman" w:hAnsi="Times New Roman" w:cs="Times New Roman" w:eastAsia="Times New Roman" w:hint="default"/>
        </w:rPr>
        <w:t>GR201744200412</w:t>
      </w:r>
      <w:r>
        <w:rPr/>
        <w:t>，该高新技术企业资格有效期为三年。根据《中华人</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民共和国企业所得税法》的规定，本公司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年和</w:t>
      </w:r>
      <w:r>
        <w:rPr>
          <w:rFonts w:ascii="Times New Roman" w:hAnsi="Times New Roman" w:cs="Times New Roman" w:eastAsia="Times New Roman" w:hint="default"/>
        </w:rPr>
        <w:t>2019</w:t>
      </w:r>
      <w:r>
        <w:rPr/>
        <w:t>年按照</w:t>
      </w:r>
      <w:r>
        <w:rPr>
          <w:rFonts w:ascii="Times New Roman" w:hAnsi="Times New Roman" w:cs="Times New Roman" w:eastAsia="Times New Roman" w:hint="default"/>
        </w:rPr>
        <w:t>15.00%</w:t>
      </w:r>
      <w:r>
        <w:rPr/>
        <w:t>的税率缴纳企业所得税。</w:t>
      </w:r>
    </w:p>
    <w:p>
      <w:pPr>
        <w:pStyle w:val="BodyText"/>
        <w:spacing w:line="240" w:lineRule="auto" w:before="63"/>
        <w:ind w:left="513" w:right="1133"/>
        <w:jc w:val="left"/>
      </w:pPr>
      <w:r>
        <w:rPr>
          <w:rFonts w:ascii="Times New Roman" w:hAnsi="Times New Roman" w:cs="Times New Roman" w:eastAsia="Times New Roman" w:hint="default"/>
        </w:rPr>
        <w:t>3</w:t>
      </w:r>
      <w:r>
        <w:rPr/>
        <w:t>、本公司子公司佳明光电的税收优惠及批文</w:t>
      </w:r>
    </w:p>
    <w:p>
      <w:pPr>
        <w:pStyle w:val="BodyText"/>
        <w:spacing w:line="300" w:lineRule="auto" w:before="63"/>
        <w:ind w:right="1132" w:firstLine="360"/>
        <w:jc w:val="both"/>
      </w:pPr>
      <w:r>
        <w:rPr>
          <w:rFonts w:ascii="Times New Roman" w:hAnsi="Times New Roman" w:cs="Times New Roman" w:eastAsia="Times New Roman" w:hint="default"/>
          <w:spacing w:val="-2"/>
        </w:rPr>
        <w:t>2018</w:t>
      </w:r>
      <w:r>
        <w:rPr>
          <w:spacing w:val="-2"/>
        </w:rPr>
        <w:t>年本公司子公司佳明光电取得获得深圳市科技创新委员会、深圳市财政委员会、国家税务总局深圳市税务局联合颁</w:t>
      </w:r>
      <w:r>
        <w:rPr/>
        <w:t> 发的《高新技术企业证书》，证书编号：</w:t>
      </w:r>
      <w:r>
        <w:rPr>
          <w:rFonts w:ascii="Times New Roman" w:hAnsi="Times New Roman" w:cs="Times New Roman" w:eastAsia="Times New Roman" w:hint="default"/>
        </w:rPr>
        <w:t>GR201844203357</w:t>
      </w:r>
      <w:r>
        <w:rPr/>
        <w:t>，该高新技术企业资格有效期为三年。根据《中华人民共和国企 业所得税法》的规定，本公司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年和</w:t>
      </w:r>
      <w:r>
        <w:rPr>
          <w:rFonts w:ascii="Times New Roman" w:hAnsi="Times New Roman" w:cs="Times New Roman" w:eastAsia="Times New Roman" w:hint="default"/>
        </w:rPr>
        <w:t>2020</w:t>
      </w:r>
      <w:r>
        <w:rPr/>
        <w:t>年按照</w:t>
      </w:r>
      <w:r>
        <w:rPr>
          <w:rFonts w:ascii="Times New Roman" w:hAnsi="Times New Roman" w:cs="Times New Roman" w:eastAsia="Times New Roman" w:hint="default"/>
        </w:rPr>
        <w:t>15.00%</w:t>
      </w:r>
      <w:r>
        <w:rPr/>
        <w:t>的税率缴纳企业所得税。</w:t>
      </w:r>
    </w:p>
    <w:p>
      <w:pPr>
        <w:pStyle w:val="BodyText"/>
        <w:spacing w:line="240" w:lineRule="auto" w:before="13"/>
        <w:ind w:left="513" w:right="1133"/>
        <w:jc w:val="left"/>
      </w:pPr>
      <w:r>
        <w:rPr>
          <w:rFonts w:ascii="Times New Roman" w:hAnsi="Times New Roman" w:cs="Times New Roman" w:eastAsia="Times New Roman" w:hint="default"/>
        </w:rPr>
        <w:t>4</w:t>
      </w:r>
      <w:r>
        <w:rPr/>
        <w:t>、本公司子公司广州云硕的税收优惠及批文</w:t>
      </w:r>
    </w:p>
    <w:p>
      <w:pPr>
        <w:pStyle w:val="BodyText"/>
        <w:spacing w:line="300" w:lineRule="auto" w:before="63"/>
        <w:ind w:right="1130" w:firstLine="360"/>
        <w:jc w:val="both"/>
      </w:pPr>
      <w:r>
        <w:rPr>
          <w:rFonts w:ascii="Times New Roman" w:hAnsi="Times New Roman" w:cs="Times New Roman" w:eastAsia="Times New Roman" w:hint="default"/>
          <w:spacing w:val="-2"/>
        </w:rPr>
        <w:t>2019</w:t>
      </w:r>
      <w:r>
        <w:rPr>
          <w:spacing w:val="-2"/>
        </w:rPr>
        <w:t>年本公司子公司广州云硕取得广东省科学技术厅、广东省财政厅、国家税务总局广东省税务局联合颁发的《高新技</w:t>
      </w:r>
      <w:r>
        <w:rPr/>
        <w:t> 术企业证书》，证书编号：</w:t>
      </w:r>
      <w:r>
        <w:rPr>
          <w:rFonts w:ascii="Times New Roman" w:hAnsi="Times New Roman" w:cs="Times New Roman" w:eastAsia="Times New Roman" w:hint="default"/>
        </w:rPr>
        <w:t>GR201944006892</w:t>
      </w:r>
      <w:r>
        <w:rPr/>
        <w:t>，该高新技术企业资格有效期为三年。根据《中华人民共和国企业所得税法》 的规定，本公司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年和</w:t>
      </w:r>
      <w:r>
        <w:rPr>
          <w:rFonts w:ascii="Times New Roman" w:hAnsi="Times New Roman" w:cs="Times New Roman" w:eastAsia="Times New Roman" w:hint="default"/>
        </w:rPr>
        <w:t>2021</w:t>
      </w:r>
      <w:r>
        <w:rPr/>
        <w:t>年按照</w:t>
      </w:r>
      <w:r>
        <w:rPr>
          <w:rFonts w:ascii="Times New Roman" w:hAnsi="Times New Roman" w:cs="Times New Roman" w:eastAsia="Times New Roman" w:hint="default"/>
        </w:rPr>
        <w:t>15.00%</w:t>
      </w:r>
      <w:r>
        <w:rPr/>
        <w:t>的税率缴纳企业所得税。</w:t>
      </w:r>
    </w:p>
    <w:p>
      <w:pPr>
        <w:pStyle w:val="BodyText"/>
        <w:spacing w:line="240" w:lineRule="auto" w:before="13"/>
        <w:ind w:left="513" w:right="1133"/>
        <w:jc w:val="left"/>
      </w:pPr>
      <w:r>
        <w:rPr>
          <w:rFonts w:ascii="Times New Roman" w:hAnsi="Times New Roman" w:cs="Times New Roman" w:eastAsia="Times New Roman" w:hint="default"/>
        </w:rPr>
        <w:t>5</w:t>
      </w:r>
      <w:r>
        <w:rPr/>
        <w:t>、本公司子公司长沙证通云的税收优惠及批文</w:t>
      </w:r>
    </w:p>
    <w:p>
      <w:pPr>
        <w:pStyle w:val="BodyText"/>
        <w:spacing w:line="300" w:lineRule="auto" w:before="63"/>
        <w:ind w:right="0" w:firstLine="360"/>
        <w:jc w:val="left"/>
      </w:pPr>
      <w:r>
        <w:rPr>
          <w:rFonts w:ascii="Times New Roman" w:hAnsi="Times New Roman" w:cs="Times New Roman" w:eastAsia="Times New Roman" w:hint="default"/>
          <w:spacing w:val="-2"/>
        </w:rPr>
        <w:t>2018</w:t>
      </w:r>
      <w:r>
        <w:rPr>
          <w:spacing w:val="-2"/>
        </w:rPr>
        <w:t>年本公司子公司长沙证通云取得湖南省科学技术厅、湖南省财政厅、国家税务总局湖南省税务局联合颁发的《高新</w:t>
      </w:r>
      <w:r>
        <w:rPr/>
        <w:t> </w:t>
      </w:r>
      <w:r>
        <w:rPr>
          <w:spacing w:val="-2"/>
        </w:rPr>
        <w:t>技术企业证书》，证书编号：</w:t>
      </w:r>
      <w:r>
        <w:rPr>
          <w:rFonts w:ascii="Times New Roman" w:hAnsi="Times New Roman" w:cs="Times New Roman" w:eastAsia="Times New Roman" w:hint="default"/>
          <w:spacing w:val="-2"/>
        </w:rPr>
        <w:t>GR201843001660</w:t>
      </w:r>
      <w:r>
        <w:rPr>
          <w:spacing w:val="-2"/>
        </w:rPr>
        <w:t>，该高新技术企业资格有效期为三年。根据《中华人民共和国企业所得税法》</w:t>
      </w:r>
      <w:r>
        <w:rPr>
          <w:spacing w:val="-40"/>
        </w:rPr>
        <w:t> </w:t>
      </w:r>
      <w:r>
        <w:rPr>
          <w:spacing w:val="-40"/>
        </w:rPr>
      </w:r>
      <w:r>
        <w:rPr/>
        <w:t>的规定，本公司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年和</w:t>
      </w:r>
      <w:r>
        <w:rPr>
          <w:rFonts w:ascii="Times New Roman" w:hAnsi="Times New Roman" w:cs="Times New Roman" w:eastAsia="Times New Roman" w:hint="default"/>
        </w:rPr>
        <w:t>2020</w:t>
      </w:r>
      <w:r>
        <w:rPr/>
        <w:t>年按照</w:t>
      </w:r>
      <w:r>
        <w:rPr>
          <w:rFonts w:ascii="Times New Roman" w:hAnsi="Times New Roman" w:cs="Times New Roman" w:eastAsia="Times New Roman" w:hint="default"/>
        </w:rPr>
        <w:t>15.00%</w:t>
      </w:r>
      <w:r>
        <w:rPr/>
        <w:t>的税率缴纳企业所得税。</w:t>
      </w:r>
    </w:p>
    <w:p>
      <w:pPr>
        <w:pStyle w:val="BodyText"/>
        <w:spacing w:line="240" w:lineRule="auto" w:before="13"/>
        <w:ind w:left="513" w:right="1133"/>
        <w:jc w:val="left"/>
      </w:pPr>
      <w:r>
        <w:rPr>
          <w:rFonts w:ascii="Times New Roman" w:hAnsi="Times New Roman" w:cs="Times New Roman" w:eastAsia="Times New Roman" w:hint="default"/>
        </w:rPr>
        <w:t>6</w:t>
      </w:r>
      <w:r>
        <w:rPr/>
        <w:t>、本公司子公司广东宏达的税收优惠及批文</w:t>
      </w:r>
    </w:p>
    <w:p>
      <w:pPr>
        <w:pStyle w:val="BodyText"/>
        <w:spacing w:line="300" w:lineRule="auto" w:before="63"/>
        <w:ind w:right="1130" w:firstLine="360"/>
        <w:jc w:val="both"/>
      </w:pPr>
      <w:r>
        <w:rPr>
          <w:rFonts w:ascii="Times New Roman" w:hAnsi="Times New Roman" w:cs="Times New Roman" w:eastAsia="Times New Roman" w:hint="default"/>
          <w:spacing w:val="-2"/>
        </w:rPr>
        <w:t>2018</w:t>
      </w:r>
      <w:r>
        <w:rPr>
          <w:spacing w:val="-2"/>
        </w:rPr>
        <w:t>年本公司子公司广东宏达获得广东省科学技术厅、广东省财政厅、国家税务总局广东省税务局联合颁发的《高新技</w:t>
      </w:r>
      <w:r>
        <w:rPr/>
        <w:t> 术企业证书》，证书编号：</w:t>
      </w:r>
      <w:r>
        <w:rPr>
          <w:rFonts w:ascii="Times New Roman" w:hAnsi="Times New Roman" w:cs="Times New Roman" w:eastAsia="Times New Roman" w:hint="default"/>
        </w:rPr>
        <w:t>GR201844008886</w:t>
      </w:r>
      <w:r>
        <w:rPr/>
        <w:t>，该高新技术企业资格有效期为三年。根据《中华人民共和国企业所得税法》 的规定，本公司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年和</w:t>
      </w:r>
      <w:r>
        <w:rPr>
          <w:rFonts w:ascii="Times New Roman" w:hAnsi="Times New Roman" w:cs="Times New Roman" w:eastAsia="Times New Roman" w:hint="default"/>
        </w:rPr>
        <w:t>2020</w:t>
      </w:r>
      <w:r>
        <w:rPr/>
        <w:t>年按照</w:t>
      </w:r>
      <w:r>
        <w:rPr>
          <w:rFonts w:ascii="Times New Roman" w:hAnsi="Times New Roman" w:cs="Times New Roman" w:eastAsia="Times New Roman" w:hint="default"/>
        </w:rPr>
        <w:t>15.00%</w:t>
      </w:r>
      <w:r>
        <w:rPr/>
        <w:t>的税率缴纳企业所得税。</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left="513" w:right="3178"/>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证通国际投资有限公司</w:t>
      </w:r>
      <w:r>
        <w:rPr>
          <w:w w:val="99"/>
        </w:rPr>
        <w:t> </w:t>
      </w:r>
      <w:r>
        <w:rPr/>
        <w:t>证通国际投资有限公司注册地在香港地区，根据香港税收法规，所得税税率以</w:t>
      </w:r>
      <w:r>
        <w:rPr>
          <w:rFonts w:ascii="Times New Roman" w:hAnsi="Times New Roman" w:cs="Times New Roman" w:eastAsia="Times New Roman" w:hint="default"/>
        </w:rPr>
        <w:t>16.50%</w:t>
      </w:r>
      <w:r>
        <w:rPr/>
        <w:t>计算。</w:t>
      </w:r>
      <w:r>
        <w:rPr>
          <w:w w:val="99"/>
        </w:rPr>
        <w:t> </w:t>
      </w:r>
      <w:r>
        <w:rPr>
          <w:rFonts w:ascii="Times New Roman" w:hAnsi="Times New Roman" w:cs="Times New Roman" w:eastAsia="Times New Roman" w:hint="default"/>
        </w:rPr>
        <w:t>(2)SZZT South Africa PTY</w:t>
      </w:r>
      <w:r>
        <w:rPr>
          <w:rFonts w:ascii="Times New Roman" w:hAnsi="Times New Roman" w:cs="Times New Roman" w:eastAsia="Times New Roman" w:hint="default"/>
          <w:spacing w:val="-11"/>
        </w:rPr>
        <w:t> </w:t>
      </w:r>
      <w:r>
        <w:rPr>
          <w:rFonts w:ascii="Times New Roman" w:hAnsi="Times New Roman" w:cs="Times New Roman" w:eastAsia="Times New Roman" w:hint="default"/>
        </w:rPr>
        <w:t>LTD</w:t>
      </w:r>
    </w:p>
    <w:p>
      <w:pPr>
        <w:pStyle w:val="BodyText"/>
        <w:spacing w:line="244" w:lineRule="exact"/>
        <w:ind w:left="513" w:right="1133"/>
        <w:jc w:val="left"/>
      </w:pPr>
      <w:r>
        <w:rPr>
          <w:rFonts w:ascii="Times New Roman" w:hAnsi="Times New Roman" w:cs="Times New Roman" w:eastAsia="Times New Roman" w:hint="default"/>
        </w:rPr>
        <w:t>SZZT South Africa PTY</w:t>
      </w:r>
      <w:r>
        <w:rPr>
          <w:rFonts w:ascii="Times New Roman" w:hAnsi="Times New Roman" w:cs="Times New Roman" w:eastAsia="Times New Roman" w:hint="default"/>
          <w:spacing w:val="-10"/>
        </w:rPr>
        <w:t> </w:t>
      </w:r>
      <w:r>
        <w:rPr>
          <w:rFonts w:ascii="Times New Roman" w:hAnsi="Times New Roman" w:cs="Times New Roman" w:eastAsia="Times New Roman" w:hint="default"/>
        </w:rPr>
        <w:t>LTD</w:t>
      </w:r>
      <w:r>
        <w:rPr/>
        <w:t>注册地在南非，根据南非税收法规，所得税税率以</w:t>
      </w:r>
      <w:r>
        <w:rPr>
          <w:rFonts w:ascii="Times New Roman" w:hAnsi="Times New Roman" w:cs="Times New Roman" w:eastAsia="Times New Roman" w:hint="default"/>
        </w:rPr>
        <w:t>28.00%</w:t>
      </w:r>
      <w:r>
        <w:rPr/>
        <w:t>计算。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1133"/>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131,995.51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64,495.23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229,210,544.14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229,576,294.13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212,801,115.34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168,056,691.82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442,143,654.99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397,697,481.18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5,370,691.40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4,384,897.56</w:t>
            </w:r>
          </w:p>
        </w:tc>
      </w:tr>
    </w:tbl>
    <w:p>
      <w:pPr>
        <w:pStyle w:val="BodyText"/>
        <w:spacing w:line="240" w:lineRule="auto" w:before="49"/>
        <w:ind w:right="1133"/>
        <w:jc w:val="left"/>
      </w:pPr>
      <w:r>
        <w:rPr/>
        <w:t>其他说明</w:t>
      </w:r>
    </w:p>
    <w:p>
      <w:pPr>
        <w:pStyle w:val="BodyText"/>
        <w:spacing w:line="300" w:lineRule="auto" w:before="117"/>
        <w:ind w:left="513" w:right="5188"/>
        <w:jc w:val="left"/>
      </w:pPr>
      <w:r>
        <w:rPr>
          <w:rFonts w:ascii="Times New Roman" w:hAnsi="Times New Roman" w:cs="Times New Roman" w:eastAsia="Times New Roman" w:hint="default"/>
        </w:rPr>
        <w:t>(1)</w:t>
      </w:r>
      <w:r>
        <w:rPr/>
        <w:t>本公司银行存款中因诉讼冻结的货币资金共计</w:t>
      </w:r>
      <w:r>
        <w:rPr>
          <w:rFonts w:ascii="Times New Roman" w:hAnsi="Times New Roman" w:cs="Times New Roman" w:eastAsia="Times New Roman" w:hint="default"/>
        </w:rPr>
        <w:t>33,816,552.97</w:t>
      </w:r>
      <w:r>
        <w:rPr/>
        <w:t>元。</w:t>
      </w:r>
      <w:r>
        <w:rPr>
          <w:w w:val="99"/>
        </w:rPr>
        <w:t> </w:t>
      </w:r>
      <w:r>
        <w:rPr>
          <w:rFonts w:ascii="Times New Roman" w:hAnsi="Times New Roman" w:cs="Times New Roman" w:eastAsia="Times New Roman" w:hint="default"/>
        </w:rPr>
        <w:t>(2)</w:t>
      </w:r>
      <w:r>
        <w:rPr/>
        <w:t>银行存款用于质押的金额</w:t>
      </w:r>
      <w:r>
        <w:rPr>
          <w:rFonts w:ascii="Times New Roman" w:hAnsi="Times New Roman" w:cs="Times New Roman" w:eastAsia="Times New Roman" w:hint="default"/>
        </w:rPr>
        <w:t>18,265,927.95</w:t>
      </w:r>
      <w:r>
        <w:rPr/>
        <w:t>元</w:t>
      </w:r>
    </w:p>
    <w:p>
      <w:pPr>
        <w:pStyle w:val="BodyText"/>
        <w:spacing w:line="300" w:lineRule="auto" w:before="13"/>
        <w:ind w:right="1133" w:firstLine="360"/>
        <w:jc w:val="left"/>
      </w:pPr>
      <w:r>
        <w:rPr>
          <w:rFonts w:ascii="Times New Roman" w:hAnsi="Times New Roman" w:cs="Times New Roman" w:eastAsia="Times New Roman" w:hint="default"/>
          <w:spacing w:val="-2"/>
        </w:rPr>
        <w:t>(3)</w:t>
      </w:r>
      <w:r>
        <w:rPr>
          <w:spacing w:val="-2"/>
        </w:rPr>
        <w:t>期末其他货币资金中，银行承兑汇票保证金</w:t>
      </w:r>
      <w:r>
        <w:rPr>
          <w:rFonts w:ascii="Times New Roman" w:hAnsi="Times New Roman" w:cs="Times New Roman" w:eastAsia="Times New Roman" w:hint="default"/>
          <w:spacing w:val="-2"/>
        </w:rPr>
        <w:t>208,115,537.34</w:t>
      </w:r>
      <w:r>
        <w:rPr>
          <w:spacing w:val="-2"/>
        </w:rPr>
        <w:t>元</w:t>
      </w:r>
      <w:r>
        <w:rPr>
          <w:rFonts w:ascii="Times New Roman" w:hAnsi="Times New Roman" w:cs="Times New Roman" w:eastAsia="Times New Roman" w:hint="default"/>
          <w:spacing w:val="-2"/>
        </w:rPr>
        <w:t>,</w:t>
      </w:r>
      <w:r>
        <w:rPr>
          <w:spacing w:val="-2"/>
        </w:rPr>
        <w:t>保函保证金</w:t>
      </w:r>
      <w:r>
        <w:rPr>
          <w:rFonts w:ascii="Times New Roman" w:hAnsi="Times New Roman" w:cs="Times New Roman" w:eastAsia="Times New Roman" w:hint="default"/>
          <w:spacing w:val="-2"/>
        </w:rPr>
        <w:t>4,684,701.20</w:t>
      </w:r>
      <w:r>
        <w:rPr>
          <w:spacing w:val="-2"/>
        </w:rPr>
        <w:t>元；存放于股份回购证券账户中</w:t>
      </w:r>
      <w:r>
        <w:rPr>
          <w:w w:val="99"/>
        </w:rPr>
        <w:t> </w:t>
      </w:r>
      <w:r>
        <w:rPr/>
        <w:t>的金额</w:t>
      </w:r>
      <w:r>
        <w:rPr>
          <w:rFonts w:ascii="Times New Roman" w:hAnsi="Times New Roman" w:cs="Times New Roman" w:eastAsia="Times New Roman" w:hint="default"/>
        </w:rPr>
        <w:t>876.80</w:t>
      </w:r>
      <w:r>
        <w:rPr/>
        <w:t>元。</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21,016,000.00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74,500,000.00</w:t>
            </w:r>
          </w:p>
        </w:tc>
      </w:tr>
    </w:tbl>
    <w:p>
      <w:pPr>
        <w:pStyle w:val="BodyText"/>
        <w:spacing w:line="360" w:lineRule="auto" w:before="49"/>
        <w:ind w:right="3014"/>
        <w:jc w:val="left"/>
      </w:pPr>
      <w:r>
        <w:rPr/>
        <w:t>其他说明： 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32,888,091.96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39,132,285.14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-1,644,404.60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-1,956,614.26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31,243,687.36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37,175,670.88</w:t>
            </w:r>
          </w:p>
        </w:tc>
      </w:tr>
    </w:tbl>
    <w:p>
      <w:pPr>
        <w:pStyle w:val="BodyText"/>
        <w:spacing w:line="240" w:lineRule="auto" w:before="8"/>
        <w:ind w:right="1133"/>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32,888,0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91.96</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1,644,40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4.60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31,243,68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39,132,28</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5.14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1,956,614.2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37,175,67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0.88</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32,888,0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91.96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1,644,40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31,243,68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33,024,64</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1,651,232.2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31,373,41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1.80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4,107,625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205,381.26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3,902,243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32,888,0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91.96</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1,644,40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4.60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31,243,68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39,132,28</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5.14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1,956,614.2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37,175,67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0.88</w:t>
            </w:r>
          </w:p>
        </w:tc>
      </w:tr>
    </w:tbl>
    <w:p>
      <w:pPr>
        <w:pStyle w:val="BodyText"/>
        <w:spacing w:line="240" w:lineRule="auto" w:before="49"/>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0.00</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561"/>
        <w:gridCol w:w="842"/>
        <w:gridCol w:w="1366"/>
        <w:gridCol w:w="1368"/>
        <w:gridCol w:w="1366"/>
        <w:gridCol w:w="1368"/>
      </w:tblGrid>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商业承兑汇票及其他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1,956,614.26</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312,209.66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1,644,404.60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1,956,614.26</w:t>
            </w:r>
          </w:p>
        </w:tc>
        <w:tc>
          <w:tcPr>
            <w:tcW w:w="84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312,209.66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1,644,404.60</w:t>
            </w:r>
          </w:p>
        </w:tc>
      </w:tr>
    </w:tbl>
    <w:p>
      <w:pPr>
        <w:pStyle w:val="BodyText"/>
        <w:spacing w:line="240" w:lineRule="auto" w:before="49"/>
        <w:ind w:right="1133"/>
        <w:jc w:val="left"/>
      </w:pPr>
      <w:r>
        <w:rPr/>
        <w:t>其中本期坏账准备收回或转回金额重要的：</w:t>
      </w:r>
    </w:p>
    <w:p>
      <w:pPr>
        <w:pStyle w:val="BodyText"/>
        <w:spacing w:line="240" w:lineRule="auto" w:before="11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9" w:lineRule="auto" w:before="49"/>
        <w:ind w:right="1132" w:firstLine="360"/>
        <w:jc w:val="both"/>
      </w:pPr>
      <w:r>
        <w:rPr>
          <w:spacing w:val="-2"/>
        </w:rPr>
        <w:t>商业承兑汇票的承兑人是企业，由于出具商业承兑汇票的企业信用良好且资金实力雄厚，商业承兑汇票到期不获支付的</w:t>
      </w:r>
      <w:r>
        <w:rPr/>
        <w:t> </w:t>
      </w:r>
      <w:r>
        <w:rPr>
          <w:spacing w:val="-2"/>
        </w:rPr>
        <w:t>可能性较低，故本公司将已背书或贴现的商业承兑汇票予以终止确认。但如果该等票据到期不获支付，依据《票据法》之规</w:t>
      </w:r>
      <w:r>
        <w:rPr>
          <w:spacing w:val="-65"/>
        </w:rPr>
        <w:t> </w:t>
      </w:r>
      <w:r>
        <w:rPr>
          <w:spacing w:val="-65"/>
        </w:rPr>
      </w:r>
      <w:r>
        <w:rPr/>
        <w:t>定，公司仍将对持票人承担连带责任。</w:t>
      </w:r>
    </w:p>
    <w:p>
      <w:pPr>
        <w:spacing w:after="0" w:line="319"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64,311,889.05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64,311,889.05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36,158,2</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81.66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36,158,2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38,137,99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38,137,99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1,926,17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8,893.99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305,182,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840.89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1,620,996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,053.10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1,529,637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,105.21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207,551,5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80.11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1,322,085,5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25.10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金融电子一般客户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376,750,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979.89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67,850,8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12.85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308,900,1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67.04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252,338,0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02.88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59,009,46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193,328,53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金融电子银行客户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209,869,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377.84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46,243,9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163,625,4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50.93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238,089,2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73.57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15.19%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40,455,00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197,634,26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6.22</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149,432,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069.66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4,482,96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144,949,1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07.57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103,895,8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74.89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3,116,876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100,778,99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8.64</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工程项目一般业务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790,668,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023.78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73,550,9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717,117,0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47.58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467,035,2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27.42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33,951,17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433,084,05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1.71</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工程项目政府业务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155,405,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739.43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18,702,5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136,703,1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47.25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194,589,8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83.30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19,654,30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174,935,57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6.70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244,052,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703.39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94,351,5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149,701,1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32.73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273,688,8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43.15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17.46%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51,364,74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222,324,09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8.93</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1,962,33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7,175.65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341,341,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122.55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1,620,996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,053.10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1,567,775</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,100.83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245,689,5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75.73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1,322,085,5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25.10</w:t>
            </w:r>
          </w:p>
        </w:tc>
      </w:tr>
    </w:tbl>
    <w:p>
      <w:pPr>
        <w:pStyle w:val="BodyText"/>
        <w:spacing w:line="340" w:lineRule="auto" w:before="8"/>
        <w:ind w:right="3014"/>
        <w:jc w:val="left"/>
        <w:rPr>
          <w:rFonts w:ascii="Times New Roman" w:hAnsi="Times New Roman" w:cs="Times New Roman" w:eastAsia="Times New Roman" w:hint="default"/>
        </w:rPr>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 按单项计提坏账准备：</w:t>
      </w:r>
      <w:r>
        <w:rPr>
          <w:rFonts w:ascii="Times New Roman" w:hAnsi="Times New Roman" w:cs="Times New Roman" w:eastAsia="Times New Roman" w:hint="default"/>
        </w:rPr>
        <w:t>36,158,281.66</w:t>
      </w:r>
    </w:p>
    <w:p>
      <w:pPr>
        <w:spacing w:after="0" w:line="3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南京理工速必得科技股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18,083,286.60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18,083,286.60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未根据法院的调解协议 付款，预计收不回。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上海平达信息技术有限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已被吊销工商执照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杭州度联信息技术有限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6,516,300.00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未根据法院判决书支付 款项，预计收不回</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湖南众协环保新材料科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83"/>
              <w:jc w:val="left"/>
              <w:rPr>
                <w:rFonts w:ascii="Times New Roman" w:hAnsi="Times New Roman" w:cs="Times New Roman" w:eastAsia="Times New Roman" w:hint="default"/>
                <w:sz w:val="18"/>
                <w:szCs w:val="18"/>
              </w:rPr>
            </w:pPr>
            <w:r>
              <w:rPr>
                <w:rFonts w:ascii="Times New Roman"/>
                <w:sz w:val="18"/>
              </w:rPr>
              <w:t>SZZT Zimbabwe</w:t>
            </w:r>
            <w:r>
              <w:rPr>
                <w:rFonts w:ascii="Times New Roman"/>
                <w:spacing w:val="-10"/>
                <w:sz w:val="18"/>
              </w:rPr>
              <w:t> </w:t>
            </w:r>
            <w:r>
              <w:rPr>
                <w:rFonts w:ascii="Times New Roman"/>
                <w:sz w:val="18"/>
              </w:rPr>
              <w:t>Private</w:t>
            </w:r>
            <w:r>
              <w:rPr>
                <w:rFonts w:ascii="Times New Roman"/>
                <w:w w:val="99"/>
                <w:sz w:val="18"/>
              </w:rPr>
              <w:t> </w:t>
            </w:r>
            <w:r>
              <w:rPr>
                <w:rFonts w:ascii="Times New Roman"/>
                <w:sz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1,387,980.06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1,387,980.06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汇率贬值预计收不回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深圳市百尔盛科技有限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720,715.00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720,715.00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预计收不回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36,158,281.66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36,158,281.66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36,158,281.66</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4"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240" w:lineRule="auto" w:before="49"/>
        <w:ind w:right="1133"/>
        <w:jc w:val="left"/>
      </w:pPr>
      <w:r>
        <w:rPr/>
        <w:t>确定该组合依据的说明：</w:t>
      </w:r>
    </w:p>
    <w:p>
      <w:pPr>
        <w:pStyle w:val="BodyText"/>
        <w:spacing w:line="240" w:lineRule="auto" w:before="115"/>
        <w:ind w:left="513" w:right="1133"/>
        <w:jc w:val="left"/>
      </w:pPr>
      <w:r>
        <w:rPr/>
        <w:t>①金融电子一般客户</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63"/>
        <w:gridCol w:w="2528"/>
        <w:gridCol w:w="2530"/>
        <w:gridCol w:w="2278"/>
      </w:tblGrid>
      <w:tr>
        <w:trPr>
          <w:trHeight w:val="322" w:hRule="exact"/>
        </w:trPr>
        <w:tc>
          <w:tcPr>
            <w:tcW w:w="21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163" w:type="dxa"/>
            <w:vMerge/>
            <w:tcBorders>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2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285,650,836.24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14,282,541.84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21,606,102.60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4,738,218.30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21.93</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26,957,541.38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11,966,452.62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44.39</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12,722,653.38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8,114,508.32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63.78</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7,840,607.61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6,775,853.09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86.42</w:t>
            </w:r>
          </w:p>
        </w:tc>
      </w:tr>
      <w:tr>
        <w:trPr>
          <w:trHeight w:val="32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21,973,238.68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21,973,238.68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63"/>
        <w:gridCol w:w="2528"/>
        <w:gridCol w:w="2530"/>
        <w:gridCol w:w="2278"/>
      </w:tblGrid>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89" w:right="0"/>
              <w:jc w:val="left"/>
              <w:rPr>
                <w:rFonts w:ascii="Times New Roman" w:hAnsi="Times New Roman" w:cs="Times New Roman" w:eastAsia="Times New Roman" w:hint="default"/>
                <w:sz w:val="18"/>
                <w:szCs w:val="18"/>
              </w:rPr>
            </w:pPr>
            <w:r>
              <w:rPr>
                <w:rFonts w:ascii="Times New Roman"/>
                <w:sz w:val="18"/>
              </w:rPr>
              <w:t>376,750,979.89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82" w:right="0"/>
              <w:jc w:val="left"/>
              <w:rPr>
                <w:rFonts w:ascii="Times New Roman" w:hAnsi="Times New Roman" w:cs="Times New Roman" w:eastAsia="Times New Roman" w:hint="default"/>
                <w:sz w:val="18"/>
                <w:szCs w:val="18"/>
              </w:rPr>
            </w:pPr>
            <w:r>
              <w:rPr>
                <w:rFonts w:ascii="Times New Roman"/>
                <w:sz w:val="18"/>
              </w:rPr>
              <w:t>67,850,812.85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18.01</w:t>
            </w:r>
          </w:p>
        </w:tc>
      </w:tr>
    </w:tbl>
    <w:p>
      <w:pPr>
        <w:pStyle w:val="BodyText"/>
        <w:spacing w:line="240" w:lineRule="auto" w:before="8"/>
        <w:ind w:left="513" w:right="1133"/>
        <w:jc w:val="left"/>
      </w:pPr>
      <w:r>
        <w:rPr/>
        <w:t>②金融电子银行客户</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63"/>
        <w:gridCol w:w="2528"/>
        <w:gridCol w:w="2530"/>
        <w:gridCol w:w="2278"/>
      </w:tblGrid>
      <w:tr>
        <w:trPr>
          <w:trHeight w:val="324" w:hRule="exact"/>
        </w:trPr>
        <w:tc>
          <w:tcPr>
            <w:tcW w:w="2163" w:type="dxa"/>
            <w:vMerge w:val="restart"/>
            <w:tcBorders>
              <w:top w:val="single" w:sz="4" w:space="0" w:color="000000"/>
              <w:left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163" w:type="dxa"/>
            <w:vMerge/>
            <w:tcBorders>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54,816,934.32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2,740,846.72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39,814,196.96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5,390,842.27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13.54</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29,331,662.21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6,039,389.25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20.59</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48,048,350.07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13,256,539.78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27.59</w:t>
            </w:r>
          </w:p>
        </w:tc>
      </w:tr>
      <w:tr>
        <w:trPr>
          <w:trHeight w:val="32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23,976,458.99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9,099,066.19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37.95</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13,881,775.29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9,717,242.70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70.00</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209,869,377.84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46,243,926.91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22.03</w:t>
            </w:r>
          </w:p>
        </w:tc>
      </w:tr>
    </w:tbl>
    <w:p>
      <w:pPr>
        <w:pStyle w:val="BodyText"/>
        <w:spacing w:line="240" w:lineRule="auto" w:before="8"/>
        <w:ind w:left="513" w:right="1133"/>
        <w:jc w:val="left"/>
      </w:pPr>
      <w:r>
        <w:rPr/>
        <w:t>③</w:t>
      </w:r>
      <w:r>
        <w:rPr>
          <w:rFonts w:ascii="Times New Roman" w:hAnsi="Times New Roman" w:cs="Times New Roman" w:eastAsia="Times New Roman" w:hint="default"/>
        </w:rPr>
        <w:t>IDC</w:t>
      </w:r>
      <w:r>
        <w:rPr/>
        <w:t>客户</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163"/>
        <w:gridCol w:w="2528"/>
        <w:gridCol w:w="2530"/>
        <w:gridCol w:w="2278"/>
      </w:tblGrid>
      <w:tr>
        <w:trPr>
          <w:trHeight w:val="322" w:hRule="exact"/>
        </w:trPr>
        <w:tc>
          <w:tcPr>
            <w:tcW w:w="21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163" w:type="dxa"/>
            <w:vMerge/>
            <w:tcBorders>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2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149,432,069.66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4,482,962.09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3.00</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149,432,069.66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4,482,962.09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3.00</w:t>
            </w:r>
          </w:p>
        </w:tc>
      </w:tr>
    </w:tbl>
    <w:p>
      <w:pPr>
        <w:pStyle w:val="BodyText"/>
        <w:spacing w:line="240" w:lineRule="auto" w:before="8"/>
        <w:ind w:left="513" w:right="1133"/>
        <w:jc w:val="left"/>
      </w:pPr>
      <w:r>
        <w:rPr/>
        <w:t>④工程项目一般业务</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63"/>
        <w:gridCol w:w="2528"/>
        <w:gridCol w:w="2530"/>
        <w:gridCol w:w="2278"/>
      </w:tblGrid>
      <w:tr>
        <w:trPr>
          <w:trHeight w:val="322" w:hRule="exact"/>
        </w:trPr>
        <w:tc>
          <w:tcPr>
            <w:tcW w:w="21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163" w:type="dxa"/>
            <w:vMerge/>
            <w:tcBorders>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384,247,354.59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19,212,367.73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344,036,512.89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35,893,870.61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10.43</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49,212,082.76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9,974,799.99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20.27</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9,593,123.15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5,016,699.56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52.29</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780,820.39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655,108.31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83.90</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2,798,130.00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2,798,130.00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790,668,023.78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73,550,976.20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9.30</w:t>
            </w:r>
          </w:p>
        </w:tc>
      </w:tr>
    </w:tbl>
    <w:p>
      <w:pPr>
        <w:pStyle w:val="BodyText"/>
        <w:spacing w:line="240" w:lineRule="auto" w:before="8"/>
        <w:ind w:left="513" w:right="1133"/>
        <w:jc w:val="left"/>
      </w:pPr>
      <w:r>
        <w:rPr/>
        <w:t>⑤工程项目政府业务</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63"/>
        <w:gridCol w:w="2528"/>
        <w:gridCol w:w="2530"/>
        <w:gridCol w:w="2278"/>
      </w:tblGrid>
      <w:tr>
        <w:trPr>
          <w:trHeight w:val="322" w:hRule="exact"/>
        </w:trPr>
        <w:tc>
          <w:tcPr>
            <w:tcW w:w="21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163" w:type="dxa"/>
            <w:vMerge/>
            <w:tcBorders>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60,806,126.67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3,040,306.33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62,979,322.41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7,198,536.55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11.43</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23,598,196.99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4,252,395.10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18.02</w:t>
            </w:r>
          </w:p>
        </w:tc>
      </w:tr>
      <w:tr>
        <w:trPr>
          <w:trHeight w:val="32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2,454,372.13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731,402.89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29.80</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1,462,696.40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606,433.93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41.46</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4,105,024.83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2,873,517.38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70.00</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155,405,739.43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18,702,592.18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12.03</w:t>
            </w:r>
          </w:p>
        </w:tc>
      </w:tr>
    </w:tbl>
    <w:p>
      <w:pPr>
        <w:pStyle w:val="BodyText"/>
        <w:spacing w:line="240" w:lineRule="auto" w:before="8"/>
        <w:ind w:left="513" w:right="1133"/>
        <w:jc w:val="left"/>
      </w:pPr>
      <w:r>
        <w:rPr/>
        <w:t>⑥其他组合</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63"/>
        <w:gridCol w:w="2528"/>
        <w:gridCol w:w="2530"/>
        <w:gridCol w:w="2278"/>
      </w:tblGrid>
      <w:tr>
        <w:trPr>
          <w:trHeight w:val="322" w:hRule="exact"/>
        </w:trPr>
        <w:tc>
          <w:tcPr>
            <w:tcW w:w="21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163" w:type="dxa"/>
            <w:vMerge/>
            <w:tcBorders>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27,859,146.64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2,266,243.43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8.13</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62,357,325.63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10,560,651.90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16.94</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85,927,929.85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26,087,305.71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30.36</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39,128,490.23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27,326,096.56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69.84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63"/>
        <w:gridCol w:w="2528"/>
        <w:gridCol w:w="2530"/>
        <w:gridCol w:w="2278"/>
      </w:tblGrid>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12,308,274.04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11,639,736.06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94.57</w:t>
            </w:r>
          </w:p>
        </w:tc>
      </w:tr>
      <w:tr>
        <w:trPr>
          <w:trHeight w:val="32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16,471,537.00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16,471,537.00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244,052,703.39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94,351,570.66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38.66</w:t>
            </w:r>
          </w:p>
        </w:tc>
      </w:tr>
    </w:tbl>
    <w:p>
      <w:pPr>
        <w:spacing w:line="240" w:lineRule="auto" w:before="2"/>
        <w:rPr>
          <w:rFonts w:ascii="宋体" w:hAnsi="宋体" w:cs="宋体" w:eastAsia="宋体" w:hint="default"/>
          <w:sz w:val="24"/>
          <w:szCs w:val="24"/>
        </w:rPr>
      </w:pPr>
    </w:p>
    <w:p>
      <w:pPr>
        <w:pStyle w:val="BodyText"/>
        <w:spacing w:line="240" w:lineRule="auto" w:before="44"/>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962,812,468.13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530,793,460.49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215,027,413.18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253,703,833.85</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111,946,988.96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47,089,572.43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94,667,272.46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1,962,337,175.65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277"/>
        <w:gridCol w:w="1274"/>
        <w:gridCol w:w="1277"/>
        <w:gridCol w:w="1025"/>
        <w:gridCol w:w="1366"/>
        <w:gridCol w:w="1368"/>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38,137,995.62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2,108,695.06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4,088,409.02</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36,158,281.66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207,551,580.11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97,725,743.89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94,483.11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305,182,840.89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245,689,575.73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99,834,438.95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4,088,409.02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94,483.11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341,341,122.55</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3,088,409.02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南京理工速必得科技股份有限公司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79"/>
      </w:tblGrid>
      <w:tr>
        <w:trPr>
          <w:trHeight w:val="404"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4,088,409.02</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本期实际核销应收账款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94,483.11</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49"/>
        <w:ind w:right="8414"/>
        <w:jc w:val="left"/>
      </w:pPr>
      <w:r>
        <w:rPr/>
        <w:t>应收账款核销说明： 本期无重要的应收账款核销。</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本期按欠款方归集的期 末余额前五名应收账款</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565,004,530.86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28.80%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2" w:right="0"/>
              <w:jc w:val="left"/>
              <w:rPr>
                <w:rFonts w:ascii="Times New Roman" w:hAnsi="Times New Roman" w:cs="Times New Roman" w:eastAsia="Times New Roman" w:hint="default"/>
                <w:sz w:val="18"/>
                <w:szCs w:val="18"/>
              </w:rPr>
            </w:pPr>
            <w:r>
              <w:rPr>
                <w:rFonts w:ascii="Times New Roman"/>
                <w:sz w:val="18"/>
              </w:rPr>
              <w:t>50,883,540.93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565,004,530.86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28.80%</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、应收款项融资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19,689,253.22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8,213,377.39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19,689,253.22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8,213,377.39</w:t>
            </w:r>
          </w:p>
        </w:tc>
      </w:tr>
    </w:tbl>
    <w:p>
      <w:pPr>
        <w:pStyle w:val="BodyText"/>
        <w:spacing w:line="340" w:lineRule="auto" w:before="8"/>
        <w:ind w:right="3014"/>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 应收款项融资本期增减变动及公允价值变动情况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40" w:lineRule="auto" w:before="3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41"/>
        <w:ind w:right="1133"/>
        <w:jc w:val="left"/>
      </w:pPr>
      <w:r>
        <w:rPr/>
        <w:t>期末公司已背书或贴现且在资产负债表日尚未到期的应收票据</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207"/>
        <w:gridCol w:w="3317"/>
        <w:gridCol w:w="3065"/>
      </w:tblGrid>
      <w:tr>
        <w:trPr>
          <w:trHeight w:val="334"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3"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3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32,547,836.76</w:t>
            </w:r>
          </w:p>
        </w:tc>
        <w:tc>
          <w:tcPr>
            <w:tcW w:w="306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18"/>
              <w:jc w:val="right"/>
              <w:rPr>
                <w:rFonts w:ascii="宋体" w:hAnsi="宋体" w:cs="宋体" w:eastAsia="宋体" w:hint="default"/>
                <w:sz w:val="18"/>
                <w:szCs w:val="18"/>
              </w:rPr>
            </w:pPr>
            <w:r>
              <w:rPr>
                <w:rFonts w:ascii="宋体" w:hAnsi="宋体" w:cs="宋体" w:eastAsia="宋体" w:hint="default"/>
                <w:sz w:val="18"/>
                <w:szCs w:val="18"/>
              </w:rPr>
              <w:t>小计</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32,547,836.76</w:t>
            </w:r>
          </w:p>
        </w:tc>
        <w:tc>
          <w:tcPr>
            <w:tcW w:w="30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银行承兑汇票的承兑人是商业银行，由于商业银行具有较高的信用，银行承兑汇票到期不获支付的可能性较低，故本公司将</w:t>
      </w:r>
      <w:r>
        <w:rPr>
          <w:spacing w:val="-63"/>
        </w:rPr>
        <w:t> </w:t>
      </w:r>
      <w:r>
        <w:rPr>
          <w:spacing w:val="-63"/>
        </w:rPr>
      </w:r>
      <w:r>
        <w:rPr>
          <w:spacing w:val="-2"/>
        </w:rPr>
        <w:t>已背书或贴现的银行承兑汇票予以终止确认。但如果该等票据到期不获支付，依据《票据法》之规定，公司仍将对持票人承</w:t>
      </w:r>
      <w:r>
        <w:rPr>
          <w:spacing w:val="-67"/>
        </w:rPr>
        <w:t> </w:t>
      </w:r>
      <w:r>
        <w:rPr>
          <w:spacing w:val="-67"/>
        </w:rPr>
      </w:r>
      <w:r>
        <w:rPr/>
        <w:t>担连带责任。</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30,862,786.06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33,683,417.81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7,624,356.69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1,319,231.40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38,487,142.75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35,023,029.21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367"/>
        <w:gridCol w:w="2816"/>
        <w:gridCol w:w="2415"/>
      </w:tblGrid>
      <w:tr>
        <w:trPr>
          <w:trHeight w:val="442"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5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46"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深圳银涛电子信息工程有限公司</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3,808,689.10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尚未结清的材料款</w:t>
            </w:r>
          </w:p>
        </w:tc>
      </w:tr>
      <w:tr>
        <w:trPr>
          <w:trHeight w:val="442"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深圳市华昱药业有限公司</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3,400,000.00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尚未结清的材料款</w:t>
            </w:r>
          </w:p>
        </w:tc>
      </w:tr>
      <w:tr>
        <w:trPr>
          <w:trHeight w:val="461" w:hRule="exact"/>
        </w:trPr>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7,208,689.10</w:t>
            </w:r>
          </w:p>
        </w:tc>
        <w:tc>
          <w:tcPr>
            <w:tcW w:w="24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spacing w:val="-1"/>
        </w:rPr>
        <w:t>本公司本期按欠款方归集的期末余额前五名预付款项汇总金额为</w:t>
      </w:r>
      <w:r>
        <w:rPr>
          <w:rFonts w:ascii="Times New Roman" w:hAnsi="Times New Roman" w:cs="Times New Roman" w:eastAsia="Times New Roman" w:hint="default"/>
          <w:spacing w:val="-1"/>
        </w:rPr>
        <w:t>33,962,914.81</w:t>
      </w:r>
      <w:r>
        <w:rPr>
          <w:spacing w:val="-1"/>
        </w:rPr>
        <w:t>元，占预付款项期末余额合计数的比例为</w:t>
      </w:r>
    </w:p>
    <w:p>
      <w:pPr>
        <w:pStyle w:val="BodyText"/>
        <w:spacing w:line="240" w:lineRule="auto" w:before="63"/>
        <w:ind w:right="1133"/>
        <w:jc w:val="left"/>
      </w:pPr>
      <w:r>
        <w:rPr>
          <w:rFonts w:ascii="Times New Roman" w:hAnsi="Times New Roman" w:cs="Times New Roman" w:eastAsia="Times New Roman" w:hint="default"/>
        </w:rPr>
        <w:t>88.24%</w:t>
      </w:r>
      <w:r>
        <w:rPr/>
        <w:t>。</w:t>
      </w:r>
    </w:p>
    <w:p>
      <w:pPr>
        <w:pStyle w:val="BodyText"/>
        <w:spacing w:line="240" w:lineRule="auto" w:before="103"/>
        <w:ind w:right="1133"/>
        <w:jc w:val="left"/>
      </w:pPr>
      <w:r>
        <w:rPr/>
        <w:t>其他说明：</w:t>
      </w:r>
    </w:p>
    <w:p>
      <w:pPr>
        <w:pStyle w:val="BodyText"/>
        <w:spacing w:line="240" w:lineRule="auto" w:before="117"/>
        <w:ind w:left="513" w:right="1133"/>
        <w:jc w:val="left"/>
      </w:pPr>
      <w:r>
        <w:rPr/>
        <w:t>期末预付款项中无持本公司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表决权股份的股东单位欠款。</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151,523,326.54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212,858,719.13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151,523,326.54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212,858,719.13</w:t>
            </w:r>
          </w:p>
        </w:tc>
      </w:tr>
    </w:tbl>
    <w:p>
      <w:pPr>
        <w:pStyle w:val="BodyText"/>
        <w:spacing w:line="240" w:lineRule="auto" w:before="8"/>
        <w:ind w:right="1133"/>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2,254,260.07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7,429,921.91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165,154,457.50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171,451,847.77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13,373,923.62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58,962,304.82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-29,259,314.65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-24,985,355.37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151,523,326.54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212,858,719.13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571"/>
        <w:gridCol w:w="2127"/>
        <w:gridCol w:w="2127"/>
        <w:gridCol w:w="1205"/>
      </w:tblGrid>
      <w:tr>
        <w:trPr>
          <w:trHeight w:val="403" w:hRule="exact"/>
        </w:trPr>
        <w:tc>
          <w:tcPr>
            <w:tcW w:w="2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6"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15" w:right="19" w:hanging="481"/>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个月预期信 用损失</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205" w:type="dxa"/>
            <w:vMerge/>
            <w:tcBorders>
              <w:left w:val="single" w:sz="4" w:space="0" w:color="000000"/>
              <w:right w:val="single" w:sz="4" w:space="0" w:color="000000"/>
            </w:tcBorders>
            <w:shd w:val="clear" w:color="auto" w:fill="D2D2D2"/>
          </w:tcPr>
          <w:p>
            <w:pPr/>
          </w:p>
        </w:tc>
      </w:tr>
      <w:tr>
        <w:trPr>
          <w:trHeight w:val="362" w:hRule="exact"/>
        </w:trPr>
        <w:tc>
          <w:tcPr>
            <w:tcW w:w="2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12,183,016.33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8,459,443.33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4,342,895.71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24,985,355.37</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-205,277.82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205,277.82</w:t>
            </w:r>
          </w:p>
        </w:tc>
        <w:tc>
          <w:tcPr>
            <w:tcW w:w="21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71" w:type="dxa"/>
            <w:tcBorders>
              <w:top w:val="single" w:sz="4" w:space="0" w:color="000000"/>
              <w:left w:val="single" w:sz="10" w:space="0" w:color="D2D2D2"/>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5,690,418.22</w:t>
            </w:r>
          </w:p>
        </w:tc>
        <w:tc>
          <w:tcPr>
            <w:tcW w:w="21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5,690,418.22</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1,416,458.94</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1,416,458.94</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10,561,279.57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14,355,139.37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4,342,895.71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29,259,314.65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16,421,488.18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80,475,111.59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74,616,727.98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9,269,313.44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3,276,463.09</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5,819,750.35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180,782,641.19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120,000,000.00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105,419,002.72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30,788,507.21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74,630,495.51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145,058,936.47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61,695,802.45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83,363,134.02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3,934,746.40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3,934,746.40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13,215,190.94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13,215,190.94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130,712,144.94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65,736,874.05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64,975,270.89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181,286,627.69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73,175,888.32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108,110,739.37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4,989,205.24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4,989,205.24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10,491,717.60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10,491,717.60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1,604,734.80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1,604,734.80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2,533,768.16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303,267.15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2,230,501.01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359,586.04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359,586.04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459,106.10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459,106.10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247,019,420.14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96,525,381.26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150,494,038.88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353,045,346.96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135,174,957.92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217,870,389.04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61,695,802.45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1,755,182.01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32,662,477.25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30,788,507.21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73,175,888.32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7,438,875.65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14,877,889.92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65,736,874.05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303,267.15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303,267.15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135,174,957.92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9,194,057.66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47,843,634.32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96,525,381.26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一年内到期的分期收款销售款项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118,875,369.53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154,714,074.76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减：未实现融资收益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-29,434,155.83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-31,903,653.20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89,441,213.70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122,810,421.56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40" w:lineRule="auto" w:before="8"/>
        <w:ind w:right="-18"/>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 重要的债权投资</w:t>
      </w:r>
      <w:r>
        <w:rPr>
          <w:rFonts w:ascii="Times New Roman" w:hAnsi="Times New Roman" w:cs="Times New Roman" w:eastAsia="Times New Roman" w:hint="default"/>
        </w:rPr>
        <w:t>/</w:t>
      </w:r>
      <w:r>
        <w:rPr/>
        <w:t>其他债权投资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95" w:space="934"/>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96,918,194.56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93,903,230.10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4,206,609.45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10,197,645.57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101,125,064.59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104,101,086.07</w:t>
            </w:r>
          </w:p>
        </w:tc>
      </w:tr>
    </w:tbl>
    <w:p>
      <w:pPr>
        <w:pStyle w:val="BodyText"/>
        <w:spacing w:line="240" w:lineRule="auto" w:before="8"/>
        <w:ind w:right="1133"/>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292"/>
        <w:gridCol w:w="1042"/>
        <w:gridCol w:w="1226"/>
        <w:gridCol w:w="1275"/>
        <w:gridCol w:w="1001"/>
        <w:gridCol w:w="1268"/>
        <w:gridCol w:w="1063"/>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4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售后回租的保证 金</w:t>
            </w:r>
          </w:p>
        </w:tc>
        <w:tc>
          <w:tcPr>
            <w:tcW w:w="129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24,961,556.00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center"/>
              <w:rPr>
                <w:rFonts w:ascii="Times New Roman" w:hAnsi="Times New Roman" w:cs="Times New Roman" w:eastAsia="Times New Roman" w:hint="default"/>
                <w:sz w:val="18"/>
                <w:szCs w:val="18"/>
              </w:rPr>
            </w:pPr>
            <w:r>
              <w:rPr>
                <w:rFonts w:ascii="Times New Roman"/>
                <w:sz w:val="18"/>
              </w:rPr>
              <w:t>24,961,556.00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分期收款销售款 项</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360,283,781.09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8,151,267.57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352,132,513.52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393,448,087.06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3,934,480.77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389,513,606.29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4.75-8.00</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360,283,781.09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8,151,267.57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352,132,513.52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418,409,643.06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3,934,480.77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414,475,162.29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40" w:lineRule="auto" w:before="8"/>
        <w:ind w:right="-18"/>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 坏账准备减值情况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95" w:space="934"/>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3,934,480.77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3,934,480.77</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4,216,786.80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4,216,786.80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8,151,267.57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8,151,267.57</w:t>
            </w:r>
          </w:p>
        </w:tc>
      </w:tr>
    </w:tbl>
    <w:p>
      <w:pPr>
        <w:pStyle w:val="BodyText"/>
        <w:spacing w:line="240" w:lineRule="auto" w:before="49"/>
        <w:ind w:right="1133"/>
        <w:jc w:val="left"/>
      </w:pPr>
      <w:r>
        <w:rPr/>
        <w:t>损失准备本期变动金额重大的账面余额变动情况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3" w:right="1133"/>
        <w:jc w:val="left"/>
      </w:pPr>
      <w:r>
        <w:rPr>
          <w:rFonts w:ascii="Times New Roman" w:hAnsi="Times New Roman" w:cs="Times New Roman" w:eastAsia="Times New Roman" w:hint="default"/>
        </w:rPr>
        <w:t>(1)2013</w:t>
      </w:r>
      <w:r>
        <w:rPr/>
        <w:t>年度</w:t>
      </w:r>
    </w:p>
    <w:p>
      <w:pPr>
        <w:pStyle w:val="BodyText"/>
        <w:spacing w:line="300" w:lineRule="auto" w:before="63"/>
        <w:ind w:right="1128" w:firstLine="360"/>
        <w:jc w:val="both"/>
      </w:pPr>
      <w:r>
        <w:rPr>
          <w:spacing w:val="3"/>
        </w:rPr>
        <w:t>本公司</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21</w:t>
      </w:r>
      <w:r>
        <w:rPr>
          <w:spacing w:val="3"/>
        </w:rPr>
        <w:t>日与深圳新阳蓝光能源科技发展有限公司</w:t>
      </w:r>
      <w:r>
        <w:rPr>
          <w:rFonts w:ascii="Times New Roman" w:hAnsi="Times New Roman" w:cs="Times New Roman" w:eastAsia="Times New Roman" w:hint="default"/>
          <w:spacing w:val="3"/>
        </w:rPr>
        <w:t>(</w:t>
      </w:r>
      <w:r>
        <w:rPr>
          <w:spacing w:val="3"/>
        </w:rPr>
        <w:t>更名为：深圳新阳蓝光能源科技股份有限公司</w:t>
      </w:r>
      <w:r>
        <w:rPr>
          <w:rFonts w:ascii="Times New Roman" w:hAnsi="Times New Roman" w:cs="Times New Roman" w:eastAsia="Times New Roman" w:hint="default"/>
          <w:spacing w:val="3"/>
        </w:rPr>
        <w:t>)</w:t>
      </w:r>
      <w:r>
        <w:rPr>
          <w:spacing w:val="3"/>
        </w:rPr>
        <w:t>签订的</w:t>
      </w:r>
      <w:r>
        <w:rPr>
          <w:spacing w:val="4"/>
        </w:rPr>
        <w:t> </w:t>
      </w:r>
      <w:r>
        <w:rPr>
          <w:rFonts w:ascii="Times New Roman" w:hAnsi="Times New Roman" w:cs="Times New Roman" w:eastAsia="Times New Roman" w:hint="default"/>
          <w:spacing w:val="-1"/>
        </w:rPr>
        <w:t>LED</w:t>
      </w:r>
      <w:r>
        <w:rPr>
          <w:spacing w:val="-1"/>
        </w:rPr>
        <w:t>路灯购销合同，合同约定价款为</w:t>
      </w:r>
      <w:r>
        <w:rPr>
          <w:rFonts w:ascii="Times New Roman" w:hAnsi="Times New Roman" w:cs="Times New Roman" w:eastAsia="Times New Roman" w:hint="default"/>
          <w:spacing w:val="-1"/>
        </w:rPr>
        <w:t>14,411,290.00</w:t>
      </w:r>
      <w:r>
        <w:rPr>
          <w:spacing w:val="-1"/>
        </w:rPr>
        <w:t>元，按照六年六期分期收款，</w:t>
      </w:r>
      <w:r>
        <w:rPr>
          <w:rFonts w:ascii="Times New Roman" w:hAnsi="Times New Roman" w:cs="Times New Roman" w:eastAsia="Times New Roman" w:hint="default"/>
          <w:spacing w:val="-1"/>
        </w:rPr>
        <w:t>2013</w:t>
      </w:r>
      <w:r>
        <w:rPr>
          <w:spacing w:val="-1"/>
        </w:rPr>
        <w:t>年确认收入，截止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日应收</w:t>
      </w:r>
      <w:r>
        <w:rPr>
          <w:spacing w:val="-62"/>
        </w:rPr>
        <w:t> </w:t>
      </w:r>
      <w:r>
        <w:rPr>
          <w:spacing w:val="-62"/>
        </w:rPr>
      </w:r>
      <w:r>
        <w:rPr/>
        <w:t>余额</w:t>
      </w:r>
      <w:r>
        <w:rPr>
          <w:rFonts w:ascii="Times New Roman" w:hAnsi="Times New Roman" w:cs="Times New Roman" w:eastAsia="Times New Roman" w:hint="default"/>
        </w:rPr>
        <w:t>2,782,191.00</w:t>
      </w:r>
      <w:r>
        <w:rPr/>
        <w:t>元。</w:t>
      </w:r>
    </w:p>
    <w:p>
      <w:pPr>
        <w:pStyle w:val="BodyText"/>
        <w:spacing w:line="300" w:lineRule="auto" w:before="13"/>
        <w:ind w:right="1131" w:firstLine="360"/>
        <w:jc w:val="both"/>
      </w:pPr>
      <w:r>
        <w:rPr/>
        <w:t>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日与肇庆鸿信科技有限公司签订的</w:t>
      </w:r>
      <w:r>
        <w:rPr>
          <w:rFonts w:ascii="Times New Roman" w:hAnsi="Times New Roman" w:cs="Times New Roman" w:eastAsia="Times New Roman" w:hint="default"/>
        </w:rPr>
        <w:t>LED</w:t>
      </w:r>
      <w:r>
        <w:rPr/>
        <w:t>路灯购销合同，合同约定价款为</w:t>
      </w:r>
      <w:r>
        <w:rPr>
          <w:rFonts w:ascii="Times New Roman" w:hAnsi="Times New Roman" w:cs="Times New Roman" w:eastAsia="Times New Roman" w:hint="default"/>
        </w:rPr>
        <w:t>26,522,260.00</w:t>
      </w:r>
      <w:r>
        <w:rPr/>
        <w:t>元，按照六年 六期分期收款，</w:t>
      </w:r>
      <w:r>
        <w:rPr>
          <w:rFonts w:ascii="Times New Roman" w:hAnsi="Times New Roman" w:cs="Times New Roman" w:eastAsia="Times New Roman" w:hint="default"/>
        </w:rPr>
        <w:t>2013</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应收余额</w:t>
      </w:r>
      <w:r>
        <w:rPr>
          <w:rFonts w:ascii="Times New Roman" w:hAnsi="Times New Roman" w:cs="Times New Roman" w:eastAsia="Times New Roman" w:hint="default"/>
        </w:rPr>
        <w:t>4,329,250.27</w:t>
      </w:r>
      <w:r>
        <w:rPr/>
        <w:t>元。</w:t>
      </w:r>
    </w:p>
    <w:p>
      <w:pPr>
        <w:pStyle w:val="BodyText"/>
        <w:spacing w:line="300" w:lineRule="auto" w:before="13"/>
        <w:ind w:right="1131" w:firstLine="360"/>
        <w:jc w:val="both"/>
      </w:pPr>
      <w:r>
        <w:rPr>
          <w:spacing w:val="-1"/>
        </w:rPr>
        <w:t>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日与神州创宇低碳技术投资</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有限公司签订的</w:t>
      </w:r>
      <w:r>
        <w:rPr>
          <w:rFonts w:ascii="Times New Roman" w:hAnsi="Times New Roman" w:cs="Times New Roman" w:eastAsia="Times New Roman" w:hint="default"/>
          <w:spacing w:val="-1"/>
        </w:rPr>
        <w:t>LED</w:t>
      </w:r>
      <w:r>
        <w:rPr>
          <w:spacing w:val="-1"/>
        </w:rPr>
        <w:t>路灯购销合同，合同约定价款为</w:t>
      </w:r>
      <w:r>
        <w:rPr>
          <w:rFonts w:ascii="Times New Roman" w:hAnsi="Times New Roman" w:cs="Times New Roman" w:eastAsia="Times New Roman" w:hint="default"/>
          <w:spacing w:val="-1"/>
        </w:rPr>
        <w:t>15,239,250.00</w:t>
      </w:r>
      <w:r>
        <w:rPr>
          <w:rFonts w:ascii="Times New Roman" w:hAnsi="Times New Roman" w:cs="Times New Roman" w:eastAsia="Times New Roman" w:hint="default"/>
        </w:rPr>
        <w:t> </w:t>
      </w:r>
      <w:r>
        <w:rPr/>
        <w:t>元，按照五年按季度分期收款，</w:t>
      </w:r>
      <w:r>
        <w:rPr>
          <w:rFonts w:ascii="Times New Roman" w:hAnsi="Times New Roman" w:cs="Times New Roman" w:eastAsia="Times New Roman" w:hint="default"/>
        </w:rPr>
        <w:t>2013</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4,399,250.00</w:t>
      </w:r>
      <w:r>
        <w:rPr/>
        <w:t>元。</w:t>
      </w:r>
    </w:p>
    <w:p>
      <w:pPr>
        <w:pStyle w:val="BodyText"/>
        <w:spacing w:line="240" w:lineRule="auto" w:before="13"/>
        <w:ind w:left="513" w:right="1133"/>
        <w:jc w:val="left"/>
      </w:pPr>
      <w:r>
        <w:rPr>
          <w:rFonts w:ascii="Times New Roman" w:hAnsi="Times New Roman" w:cs="Times New Roman" w:eastAsia="Times New Roman" w:hint="default"/>
        </w:rPr>
        <w:t>(2)2014</w:t>
      </w:r>
      <w:r>
        <w:rPr/>
        <w:t>年度</w:t>
      </w:r>
    </w:p>
    <w:p>
      <w:pPr>
        <w:pStyle w:val="BodyText"/>
        <w:spacing w:line="300" w:lineRule="auto" w:before="63"/>
        <w:ind w:right="1131" w:firstLine="360"/>
        <w:jc w:val="both"/>
      </w:pPr>
      <w:r>
        <w:rPr>
          <w:spacing w:val="3"/>
        </w:rPr>
        <w:t>本公司子公司定州市中标节能技术服务有限公司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w:t>
      </w:r>
      <w:r>
        <w:rPr>
          <w:spacing w:val="3"/>
        </w:rPr>
        <w:t>日与定州住房和城乡建设局签订的节能照明工程建设合</w:t>
      </w:r>
      <w:r>
        <w:rPr/>
        <w:t> 同，合同金额为</w:t>
      </w:r>
      <w:r>
        <w:rPr>
          <w:rFonts w:ascii="Times New Roman" w:hAnsi="Times New Roman" w:cs="Times New Roman" w:eastAsia="Times New Roman" w:hint="default"/>
        </w:rPr>
        <w:t>240,000,000.00</w:t>
      </w:r>
      <w:r>
        <w:rPr/>
        <w:t>元，</w:t>
      </w:r>
      <w:r>
        <w:rPr>
          <w:rFonts w:ascii="Times New Roman" w:hAnsi="Times New Roman" w:cs="Times New Roman" w:eastAsia="Times New Roman" w:hint="default"/>
        </w:rPr>
        <w:t>2014</w:t>
      </w:r>
      <w:r>
        <w:rPr/>
        <w:t>年竣工验收确认应收</w:t>
      </w:r>
      <w:r>
        <w:rPr>
          <w:rFonts w:ascii="Times New Roman" w:hAnsi="Times New Roman" w:cs="Times New Roman" w:eastAsia="Times New Roman" w:hint="default"/>
        </w:rPr>
        <w:t>131,965,714.29</w:t>
      </w:r>
      <w:r>
        <w:rPr/>
        <w:t>元，在十二年内分期收款，</w:t>
      </w:r>
      <w:r>
        <w:rPr>
          <w:rFonts w:ascii="Times New Roman" w:hAnsi="Times New Roman" w:cs="Times New Roman" w:eastAsia="Times New Roman" w:hint="default"/>
        </w:rPr>
        <w:t>2014</w:t>
      </w:r>
      <w:r>
        <w:rPr/>
        <w:t>年确认本期已完 工收入，截止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87,427,285.74</w:t>
      </w:r>
      <w:r>
        <w:rPr/>
        <w:t>元。</w:t>
      </w:r>
    </w:p>
    <w:p>
      <w:pPr>
        <w:pStyle w:val="BodyText"/>
        <w:spacing w:line="240" w:lineRule="auto" w:before="13"/>
        <w:ind w:left="513" w:right="1133"/>
        <w:jc w:val="left"/>
      </w:pPr>
      <w:r>
        <w:rPr>
          <w:rFonts w:ascii="Times New Roman" w:hAnsi="Times New Roman" w:cs="Times New Roman" w:eastAsia="Times New Roman" w:hint="default"/>
        </w:rPr>
        <w:t>2018</w:t>
      </w:r>
      <w:r>
        <w:rPr/>
        <w:t>年度验收确认应收款项</w:t>
      </w:r>
      <w:r>
        <w:rPr>
          <w:rFonts w:ascii="Times New Roman" w:hAnsi="Times New Roman" w:cs="Times New Roman" w:eastAsia="Times New Roman" w:hint="default"/>
        </w:rPr>
        <w:t>56,229,366.67</w:t>
      </w:r>
      <w:r>
        <w:rPr/>
        <w:t>元，在八年内分期收款。截止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48,982,295.22</w:t>
      </w:r>
      <w:r>
        <w:rPr/>
        <w:t>元。</w:t>
      </w:r>
    </w:p>
    <w:p>
      <w:pPr>
        <w:pStyle w:val="BodyText"/>
        <w:spacing w:line="300" w:lineRule="auto" w:before="63"/>
        <w:ind w:left="513" w:right="1663"/>
        <w:jc w:val="left"/>
      </w:pPr>
      <w:r>
        <w:rPr>
          <w:rFonts w:ascii="Times New Roman" w:hAnsi="Times New Roman" w:cs="Times New Roman" w:eastAsia="Times New Roman" w:hint="default"/>
        </w:rPr>
        <w:t>2019</w:t>
      </w:r>
      <w:r>
        <w:rPr/>
        <w:t>年度验收确认应收款项</w:t>
      </w:r>
      <w:r>
        <w:rPr>
          <w:rFonts w:ascii="Times New Roman" w:hAnsi="Times New Roman" w:cs="Times New Roman" w:eastAsia="Times New Roman" w:hint="default"/>
        </w:rPr>
        <w:t>34,000,000.00</w:t>
      </w:r>
      <w:r>
        <w:rPr/>
        <w:t>元，在七内分期收款。截止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34,000,000.00</w:t>
      </w:r>
      <w:r>
        <w:rPr/>
        <w:t>元。 </w:t>
      </w:r>
      <w:r>
        <w:rPr>
          <w:rFonts w:ascii="Times New Roman" w:hAnsi="Times New Roman" w:cs="Times New Roman" w:eastAsia="Times New Roman" w:hint="default"/>
        </w:rPr>
        <w:t>(3)2016</w:t>
      </w:r>
      <w:r>
        <w:rPr/>
        <w:t>年度</w:t>
      </w:r>
    </w:p>
    <w:p>
      <w:pPr>
        <w:spacing w:after="0" w:line="30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0" w:firstLine="360"/>
        <w:jc w:val="both"/>
      </w:pPr>
      <w:r>
        <w:rPr/>
        <w:t>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日与黄平县市政管理局签订的</w:t>
      </w:r>
      <w:r>
        <w:rPr>
          <w:rFonts w:ascii="Times New Roman" w:hAnsi="Times New Roman" w:cs="Times New Roman" w:eastAsia="Times New Roman" w:hint="default"/>
        </w:rPr>
        <w:t>LED</w:t>
      </w:r>
      <w:r>
        <w:rPr/>
        <w:t>路灯购销合同，合同约定价款为</w:t>
      </w:r>
      <w:r>
        <w:rPr>
          <w:rFonts w:ascii="Times New Roman" w:hAnsi="Times New Roman" w:cs="Times New Roman" w:eastAsia="Times New Roman" w:hint="default"/>
        </w:rPr>
        <w:t>309,241,892.92</w:t>
      </w:r>
      <w:r>
        <w:rPr/>
        <w:t>元，按照十年十期 分期收款，</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269,151,892.92</w:t>
      </w:r>
      <w:r>
        <w:rPr/>
        <w:t>元。</w:t>
      </w:r>
    </w:p>
    <w:p>
      <w:pPr>
        <w:pStyle w:val="BodyText"/>
        <w:spacing w:line="300" w:lineRule="auto" w:before="13"/>
        <w:ind w:right="1126" w:firstLine="360"/>
        <w:jc w:val="both"/>
      </w:pPr>
      <w:r>
        <w:rPr/>
        <w:t>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日与河南省商丘市经济技术开发区签订的</w:t>
      </w:r>
      <w:r>
        <w:rPr>
          <w:rFonts w:ascii="Times New Roman" w:hAnsi="Times New Roman" w:cs="Times New Roman" w:eastAsia="Times New Roman" w:hint="default"/>
        </w:rPr>
        <w:t>LED</w:t>
      </w:r>
      <w:r>
        <w:rPr/>
        <w:t>路灯购销合同，一标段金额为：</w:t>
      </w:r>
      <w:r>
        <w:rPr>
          <w:rFonts w:ascii="Times New Roman" w:hAnsi="Times New Roman" w:cs="Times New Roman" w:eastAsia="Times New Roman" w:hint="default"/>
        </w:rPr>
        <w:t>6,078,568.02</w:t>
      </w:r>
      <w:r>
        <w:rPr/>
        <w:t>元，二标 段金额为：</w:t>
      </w:r>
      <w:r>
        <w:rPr>
          <w:rFonts w:ascii="Times New Roman" w:hAnsi="Times New Roman" w:cs="Times New Roman" w:eastAsia="Times New Roman" w:hint="default"/>
        </w:rPr>
        <w:t>6,070,419.64</w:t>
      </w:r>
      <w:r>
        <w:rPr/>
        <w:t>元，合同合计</w:t>
      </w:r>
      <w:r>
        <w:rPr>
          <w:rFonts w:ascii="Times New Roman" w:hAnsi="Times New Roman" w:cs="Times New Roman" w:eastAsia="Times New Roman" w:hint="default"/>
        </w:rPr>
        <w:t>12,148,987.66</w:t>
      </w:r>
      <w:r>
        <w:rPr/>
        <w:t>元，按照三年四期分期收款</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w:t>
      </w:r>
      <w:r>
        <w:rPr>
          <w:spacing w:val="-54"/>
        </w:rPr>
        <w:t> </w:t>
      </w:r>
      <w:r>
        <w:rPr>
          <w:spacing w:val="-54"/>
        </w:rPr>
      </w:r>
      <w:r>
        <w:rPr/>
        <w:t>余额</w:t>
      </w:r>
      <w:r>
        <w:rPr>
          <w:rFonts w:ascii="Times New Roman" w:hAnsi="Times New Roman" w:cs="Times New Roman" w:eastAsia="Times New Roman" w:hint="default"/>
        </w:rPr>
        <w:t>5,925,432.00</w:t>
      </w:r>
      <w:r>
        <w:rPr/>
        <w:t>元。</w:t>
      </w:r>
    </w:p>
    <w:p>
      <w:pPr>
        <w:pStyle w:val="BodyText"/>
        <w:spacing w:line="240" w:lineRule="auto" w:before="13"/>
        <w:ind w:left="513" w:right="1129"/>
        <w:jc w:val="left"/>
      </w:pPr>
      <w:r>
        <w:rPr>
          <w:spacing w:val="6"/>
        </w:rPr>
        <w:t>本公司与湄潭县城镇管理局签订的</w:t>
      </w:r>
      <w:r>
        <w:rPr>
          <w:rFonts w:ascii="Times New Roman" w:hAnsi="Times New Roman" w:cs="Times New Roman" w:eastAsia="Times New Roman" w:hint="default"/>
          <w:spacing w:val="6"/>
        </w:rPr>
        <w:t>LED</w:t>
      </w:r>
      <w:r>
        <w:rPr>
          <w:spacing w:val="6"/>
        </w:rPr>
        <w:t>路灯购销合同</w:t>
      </w:r>
      <w:r>
        <w:rPr>
          <w:rFonts w:ascii="Times New Roman" w:hAnsi="Times New Roman" w:cs="Times New Roman" w:eastAsia="Times New Roman" w:hint="default"/>
          <w:spacing w:val="6"/>
        </w:rPr>
        <w:t>(</w:t>
      </w:r>
      <w:r>
        <w:rPr>
          <w:spacing w:val="6"/>
        </w:rPr>
        <w:t>湄潭县会展中心和游客按待中心灯饰亮化工程</w:t>
      </w:r>
      <w:r>
        <w:rPr>
          <w:rFonts w:ascii="Times New Roman" w:hAnsi="Times New Roman" w:cs="Times New Roman" w:eastAsia="Times New Roman" w:hint="default"/>
          <w:spacing w:val="6"/>
        </w:rPr>
        <w:t>)</w:t>
      </w:r>
      <w:r>
        <w:rPr>
          <w:spacing w:val="6"/>
        </w:rPr>
        <w:t>，合同金额为</w:t>
      </w:r>
      <w:r>
        <w:rPr/>
      </w:r>
    </w:p>
    <w:p>
      <w:pPr>
        <w:pStyle w:val="BodyText"/>
        <w:spacing w:line="300" w:lineRule="auto" w:before="63"/>
        <w:ind w:left="513" w:right="1133" w:hanging="361"/>
        <w:jc w:val="left"/>
      </w:pPr>
      <w:r>
        <w:rPr>
          <w:rFonts w:ascii="Times New Roman" w:hAnsi="Times New Roman" w:cs="Times New Roman" w:eastAsia="Times New Roman" w:hint="default"/>
        </w:rPr>
        <w:t>4,537,500.00</w:t>
      </w:r>
      <w:r>
        <w:rPr/>
        <w:t>元，按照二年三期分期收款，</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3,545,946.36</w:t>
      </w:r>
      <w:r>
        <w:rPr/>
        <w:t>元。 本公司与湄潭县城镇管理局签订的</w:t>
      </w:r>
      <w:r>
        <w:rPr>
          <w:rFonts w:ascii="Times New Roman" w:hAnsi="Times New Roman" w:cs="Times New Roman" w:eastAsia="Times New Roman" w:hint="default"/>
        </w:rPr>
        <w:t>LED</w:t>
      </w:r>
      <w:r>
        <w:rPr/>
        <w:t>路灯购销合同</w:t>
      </w:r>
      <w:r>
        <w:rPr>
          <w:rFonts w:ascii="Times New Roman" w:hAnsi="Times New Roman" w:cs="Times New Roman" w:eastAsia="Times New Roman" w:hint="default"/>
        </w:rPr>
        <w:t>(</w:t>
      </w:r>
      <w:r>
        <w:rPr/>
        <w:t>湄潭县大林桥至会展中心、象山桥、老花江桥、及游客接待中心</w:t>
      </w:r>
    </w:p>
    <w:p>
      <w:pPr>
        <w:pStyle w:val="BodyText"/>
        <w:spacing w:line="240" w:lineRule="auto" w:before="13"/>
        <w:ind w:right="0"/>
        <w:jc w:val="left"/>
      </w:pPr>
      <w:r>
        <w:rPr/>
        <w:t>长廊灯饰亮化工程</w:t>
      </w:r>
      <w:r>
        <w:rPr>
          <w:rFonts w:ascii="Times New Roman" w:hAnsi="Times New Roman" w:cs="Times New Roman" w:eastAsia="Times New Roman" w:hint="default"/>
        </w:rPr>
        <w:t>)</w:t>
      </w:r>
      <w:r>
        <w:rPr/>
        <w:t>，合同金额约为</w:t>
      </w:r>
      <w:r>
        <w:rPr>
          <w:rFonts w:ascii="Times New Roman" w:hAnsi="Times New Roman" w:cs="Times New Roman" w:eastAsia="Times New Roman" w:hint="default"/>
        </w:rPr>
        <w:t>1,389,295.50</w:t>
      </w:r>
      <w:r>
        <w:rPr/>
        <w:t>元，按照二年三期分期收款</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p>
    <w:p>
      <w:pPr>
        <w:pStyle w:val="BodyText"/>
        <w:spacing w:line="240" w:lineRule="auto" w:before="63"/>
        <w:ind w:right="1133"/>
        <w:jc w:val="left"/>
      </w:pPr>
      <w:r>
        <w:rPr>
          <w:rFonts w:ascii="Times New Roman" w:hAnsi="Times New Roman" w:cs="Times New Roman" w:eastAsia="Times New Roman" w:hint="default"/>
        </w:rPr>
        <w:t>865,095.50</w:t>
      </w:r>
      <w:r>
        <w:rPr/>
        <w:t>元。</w:t>
      </w:r>
    </w:p>
    <w:p>
      <w:pPr>
        <w:pStyle w:val="BodyText"/>
        <w:spacing w:line="300" w:lineRule="auto" w:before="63"/>
        <w:ind w:right="1131" w:firstLine="360"/>
        <w:jc w:val="both"/>
      </w:pPr>
      <w:r>
        <w:rPr/>
        <w:t>本公司与湄潭县城镇管理局签订的</w:t>
      </w:r>
      <w:r>
        <w:rPr>
          <w:rFonts w:ascii="Times New Roman" w:hAnsi="Times New Roman" w:cs="Times New Roman" w:eastAsia="Times New Roman" w:hint="default"/>
        </w:rPr>
        <w:t>LED</w:t>
      </w:r>
      <w:r>
        <w:rPr/>
        <w:t>路灯购销合同</w:t>
      </w:r>
      <w:r>
        <w:rPr>
          <w:rFonts w:ascii="Times New Roman" w:hAnsi="Times New Roman" w:cs="Times New Roman" w:eastAsia="Times New Roman" w:hint="default"/>
        </w:rPr>
        <w:t>(</w:t>
      </w:r>
      <w:r>
        <w:rPr/>
        <w:t>湄潭县高速路东出口、湄江步道景观亮化工程</w:t>
      </w:r>
      <w:r>
        <w:rPr>
          <w:rFonts w:ascii="Times New Roman" w:hAnsi="Times New Roman" w:cs="Times New Roman" w:eastAsia="Times New Roman" w:hint="default"/>
        </w:rPr>
        <w:t>EPC</w:t>
      </w:r>
      <w:r>
        <w:rPr/>
        <w:t>总承包项目</w:t>
      </w:r>
      <w:r>
        <w:rPr>
          <w:rFonts w:ascii="Times New Roman" w:hAnsi="Times New Roman" w:cs="Times New Roman" w:eastAsia="Times New Roman" w:hint="default"/>
        </w:rPr>
        <w:t>)</w:t>
      </w:r>
      <w:r>
        <w:rPr/>
        <w:t>， 合同金额约为</w:t>
      </w:r>
      <w:r>
        <w:rPr>
          <w:rFonts w:ascii="Times New Roman" w:hAnsi="Times New Roman" w:cs="Times New Roman" w:eastAsia="Times New Roman" w:hint="default"/>
        </w:rPr>
        <w:t>16,000,000.00</w:t>
      </w:r>
      <w:r>
        <w:rPr/>
        <w:t>元，按照三年三期分期收款</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11,500,000.00</w:t>
      </w:r>
      <w:r>
        <w:rPr/>
        <w:t>元。</w:t>
      </w:r>
    </w:p>
    <w:p>
      <w:pPr>
        <w:pStyle w:val="BodyText"/>
        <w:spacing w:line="300" w:lineRule="auto" w:before="13"/>
        <w:ind w:right="1128" w:firstLine="360"/>
        <w:jc w:val="both"/>
      </w:pPr>
      <w:r>
        <w:rPr/>
        <w:t>本公司与湄潭县城镇管理局签订的</w:t>
      </w:r>
      <w:r>
        <w:rPr>
          <w:rFonts w:ascii="Times New Roman" w:hAnsi="Times New Roman" w:cs="Times New Roman" w:eastAsia="Times New Roman" w:hint="default"/>
        </w:rPr>
        <w:t>LED</w:t>
      </w:r>
      <w:r>
        <w:rPr/>
        <w:t>路灯购销合同</w:t>
      </w:r>
      <w:r>
        <w:rPr>
          <w:rFonts w:ascii="Times New Roman" w:hAnsi="Times New Roman" w:cs="Times New Roman" w:eastAsia="Times New Roman" w:hint="default"/>
        </w:rPr>
        <w:t>(</w:t>
      </w:r>
      <w:r>
        <w:rPr/>
        <w:t>湄潭县城</w:t>
      </w:r>
      <w:r>
        <w:rPr>
          <w:rFonts w:ascii="Times New Roman" w:hAnsi="Times New Roman" w:cs="Times New Roman" w:eastAsia="Times New Roman" w:hint="default"/>
        </w:rPr>
        <w:t>2017</w:t>
      </w:r>
      <w:r>
        <w:rPr/>
        <w:t>年迎春氛围亮化工程</w:t>
      </w:r>
      <w:r>
        <w:rPr>
          <w:rFonts w:ascii="Times New Roman" w:hAnsi="Times New Roman" w:cs="Times New Roman" w:eastAsia="Times New Roman" w:hint="default"/>
        </w:rPr>
        <w:t>)</w:t>
      </w:r>
      <w:r>
        <w:rPr/>
        <w:t>，合同金额约为</w:t>
      </w:r>
      <w:r>
        <w:rPr>
          <w:rFonts w:ascii="Times New Roman" w:hAnsi="Times New Roman" w:cs="Times New Roman" w:eastAsia="Times New Roman" w:hint="default"/>
        </w:rPr>
        <w:t>1,990,000.00 </w:t>
      </w:r>
      <w:r>
        <w:rPr/>
        <w:t>元，按照二年三期分期收款</w:t>
      </w:r>
      <w:r>
        <w:rPr>
          <w:rFonts w:ascii="Times New Roman" w:hAnsi="Times New Roman" w:cs="Times New Roman" w:eastAsia="Times New Roman" w:hint="default"/>
        </w:rPr>
        <w:t>,2016</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1,186,669.59</w:t>
      </w:r>
      <w:r>
        <w:rPr/>
        <w:t>元。</w:t>
      </w:r>
    </w:p>
    <w:p>
      <w:pPr>
        <w:pStyle w:val="BodyText"/>
        <w:spacing w:line="300" w:lineRule="auto" w:before="13"/>
        <w:ind w:right="1131" w:firstLine="360"/>
        <w:jc w:val="both"/>
      </w:pPr>
      <w:r>
        <w:rPr>
          <w:spacing w:val="2"/>
        </w:rPr>
        <w:t>本公司子公司深圳市证通佳明光电有限公司与贵州省季皇房地产开发有限公司签订的贵州</w:t>
      </w:r>
      <w:r>
        <w:rPr>
          <w:rFonts w:ascii="Times New Roman" w:hAnsi="Times New Roman" w:cs="Times New Roman" w:eastAsia="Times New Roman" w:hint="default"/>
          <w:spacing w:val="2"/>
        </w:rPr>
        <w:t>(</w:t>
      </w:r>
      <w:r>
        <w:rPr>
          <w:spacing w:val="2"/>
        </w:rPr>
        <w:t>季皇</w:t>
      </w:r>
      <w:r>
        <w:rPr>
          <w:rFonts w:ascii="Times New Roman" w:hAnsi="Times New Roman" w:cs="Times New Roman" w:eastAsia="Times New Roman" w:hint="default"/>
          <w:spacing w:val="2"/>
        </w:rPr>
        <w:t>)</w:t>
      </w:r>
      <w:r>
        <w:rPr>
          <w:spacing w:val="2"/>
        </w:rPr>
        <w:t>农产品交易中心路灯</w:t>
      </w:r>
      <w:r>
        <w:rPr/>
        <w:t> </w:t>
      </w:r>
      <w:r>
        <w:rPr>
          <w:rFonts w:ascii="Times New Roman" w:hAnsi="Times New Roman" w:cs="Times New Roman" w:eastAsia="Times New Roman" w:hint="default"/>
          <w:spacing w:val="-1"/>
        </w:rPr>
        <w:t>LED</w:t>
      </w:r>
      <w:r>
        <w:rPr>
          <w:spacing w:val="-1"/>
        </w:rPr>
        <w:t>功能照明造型灯箱采购合同</w:t>
      </w:r>
      <w:r>
        <w:rPr>
          <w:rFonts w:ascii="Times New Roman" w:hAnsi="Times New Roman" w:cs="Times New Roman" w:eastAsia="Times New Roman" w:hint="default"/>
          <w:spacing w:val="-1"/>
        </w:rPr>
        <w:t>(</w:t>
      </w:r>
      <w:r>
        <w:rPr>
          <w:spacing w:val="-1"/>
        </w:rPr>
        <w:t>贵州季皇农产品交易中心灯饰亮化及智能化工程</w:t>
      </w:r>
      <w:r>
        <w:rPr>
          <w:rFonts w:ascii="Times New Roman" w:hAnsi="Times New Roman" w:cs="Times New Roman" w:eastAsia="Times New Roman" w:hint="default"/>
          <w:spacing w:val="-1"/>
        </w:rPr>
        <w:t>)</w:t>
      </w:r>
      <w:r>
        <w:rPr>
          <w:spacing w:val="-1"/>
        </w:rPr>
        <w:t>，合同含税金额约为</w:t>
      </w:r>
      <w:r>
        <w:rPr>
          <w:rFonts w:ascii="Times New Roman" w:hAnsi="Times New Roman" w:cs="Times New Roman" w:eastAsia="Times New Roman" w:hint="default"/>
          <w:spacing w:val="-1"/>
        </w:rPr>
        <w:t>4,237,698.74</w:t>
      </w:r>
      <w:r>
        <w:rPr>
          <w:spacing w:val="-1"/>
        </w:rPr>
        <w:t>元，按照</w:t>
      </w:r>
      <w:r>
        <w:rPr>
          <w:spacing w:val="-87"/>
        </w:rPr>
        <w:t> </w:t>
      </w:r>
      <w:r>
        <w:rPr>
          <w:spacing w:val="-87"/>
        </w:rPr>
      </w:r>
      <w:r>
        <w:rPr/>
        <w:t>三年三期分期收款，以实际结算确认收入</w:t>
      </w:r>
      <w:r>
        <w:rPr>
          <w:rFonts w:ascii="Times New Roman" w:hAnsi="Times New Roman" w:cs="Times New Roman" w:eastAsia="Times New Roman" w:hint="default"/>
        </w:rPr>
        <w:t>2,867,289.25</w:t>
      </w:r>
      <w:r>
        <w:rPr/>
        <w:t>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3,024,728.42</w:t>
      </w:r>
      <w:r>
        <w:rPr/>
        <w:t>元。</w:t>
      </w:r>
    </w:p>
    <w:p>
      <w:pPr>
        <w:pStyle w:val="BodyText"/>
        <w:spacing w:line="240" w:lineRule="auto" w:before="13"/>
        <w:ind w:left="513" w:right="1133"/>
        <w:jc w:val="left"/>
      </w:pPr>
      <w:r>
        <w:rPr>
          <w:rFonts w:ascii="Times New Roman" w:hAnsi="Times New Roman" w:cs="Times New Roman" w:eastAsia="Times New Roman" w:hint="default"/>
        </w:rPr>
        <w:t>(4)2017</w:t>
      </w:r>
      <w:r>
        <w:rPr/>
        <w:t>年度</w:t>
      </w:r>
    </w:p>
    <w:p>
      <w:pPr>
        <w:pStyle w:val="BodyText"/>
        <w:spacing w:line="300" w:lineRule="auto" w:before="63"/>
        <w:ind w:right="1131" w:firstLine="360"/>
        <w:jc w:val="both"/>
      </w:pPr>
      <w:r>
        <w:rPr>
          <w:spacing w:val="-1"/>
        </w:rPr>
        <w:t>本公司与丹寨县市政管理局签订丹寨县县城区建筑立面墙体灯安装协议书，工程审核报告金额为</w:t>
      </w:r>
      <w:r>
        <w:rPr>
          <w:rFonts w:ascii="Times New Roman" w:hAnsi="Times New Roman" w:cs="Times New Roman" w:eastAsia="Times New Roman" w:hint="default"/>
          <w:spacing w:val="-1"/>
        </w:rPr>
        <w:t>12,840,840.94</w:t>
      </w:r>
      <w:r>
        <w:rPr>
          <w:spacing w:val="-1"/>
        </w:rPr>
        <w:t>元，按项</w:t>
      </w:r>
      <w:r>
        <w:rPr/>
        <w:t> 目竣工验收合格当年年底支付项目工程回购款</w:t>
      </w:r>
      <w:r>
        <w:rPr>
          <w:rFonts w:ascii="Times New Roman" w:hAnsi="Times New Roman" w:cs="Times New Roman" w:eastAsia="Times New Roman" w:hint="default"/>
        </w:rPr>
        <w:t>50.00%</w:t>
      </w:r>
      <w:r>
        <w:rPr/>
        <w:t>；第三年年底支付</w:t>
      </w:r>
      <w:r>
        <w:rPr>
          <w:rFonts w:ascii="Times New Roman" w:hAnsi="Times New Roman" w:cs="Times New Roman" w:eastAsia="Times New Roman" w:hint="default"/>
        </w:rPr>
        <w:t>40.00%</w:t>
      </w:r>
      <w:r>
        <w:rPr/>
        <w:t>回购款，第五年年底全部付清的方式分期收</w:t>
      </w:r>
      <w:r>
        <w:rPr>
          <w:spacing w:val="-29"/>
        </w:rPr>
        <w:t> </w:t>
      </w:r>
      <w:r>
        <w:rPr>
          <w:spacing w:val="-29"/>
        </w:rPr>
      </w:r>
      <w:r>
        <w:rPr/>
        <w:t>款</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11,840,840.94</w:t>
      </w:r>
      <w:r>
        <w:rPr/>
        <w:t>元。</w:t>
      </w:r>
    </w:p>
    <w:p>
      <w:pPr>
        <w:pStyle w:val="BodyText"/>
        <w:spacing w:line="309" w:lineRule="auto" w:before="13"/>
        <w:ind w:right="1131" w:firstLine="360"/>
        <w:jc w:val="both"/>
      </w:pPr>
      <w:r>
        <w:rPr>
          <w:spacing w:val="12"/>
        </w:rPr>
        <w:t>本公司与遵义市播州区石板镇人民政府签订遵义市播州区石板镇景观灯饰亮化工程协议，工程审核报告金额为</w:t>
      </w:r>
      <w:r>
        <w:rPr/>
        <w:t> </w:t>
      </w:r>
      <w:r>
        <w:rPr>
          <w:rFonts w:ascii="Times New Roman" w:hAnsi="Times New Roman" w:cs="Times New Roman" w:eastAsia="Times New Roman" w:hint="default"/>
          <w:spacing w:val="-1"/>
        </w:rPr>
        <w:t>16,824,001.93</w:t>
      </w:r>
      <w:r>
        <w:rPr>
          <w:spacing w:val="-1"/>
        </w:rPr>
        <w:t>元，按项目竣工验收合格当年支付项目工程回购款</w:t>
      </w:r>
      <w:r>
        <w:rPr>
          <w:rFonts w:ascii="Times New Roman" w:hAnsi="Times New Roman" w:cs="Times New Roman" w:eastAsia="Times New Roman" w:hint="default"/>
          <w:spacing w:val="-1"/>
        </w:rPr>
        <w:t>20.00%</w:t>
      </w:r>
      <w:r>
        <w:rPr>
          <w:spacing w:val="-1"/>
        </w:rPr>
        <w:t>，以后均在各年度的第一季度以此计算支付工程回购</w:t>
      </w:r>
      <w:r>
        <w:rPr>
          <w:spacing w:val="-85"/>
        </w:rPr>
        <w:t> </w:t>
      </w:r>
      <w:r>
        <w:rPr>
          <w:spacing w:val="-85"/>
        </w:rPr>
      </w:r>
      <w:r>
        <w:rPr/>
        <w:t>款</w:t>
      </w:r>
      <w:r>
        <w:rPr>
          <w:rFonts w:ascii="Times New Roman" w:hAnsi="Times New Roman" w:cs="Times New Roman" w:eastAsia="Times New Roman" w:hint="default"/>
        </w:rPr>
        <w:t>20.00%</w:t>
      </w:r>
      <w:r>
        <w:rPr/>
        <w:t>，直至全部付清的方式分期收款</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15,824,001.93</w:t>
      </w:r>
      <w:r>
        <w:rPr/>
        <w:t>元。</w:t>
      </w:r>
    </w:p>
    <w:p>
      <w:pPr>
        <w:pStyle w:val="BodyText"/>
        <w:spacing w:line="309" w:lineRule="auto" w:before="5"/>
        <w:ind w:right="1132" w:firstLine="360"/>
        <w:jc w:val="both"/>
      </w:pPr>
      <w:r>
        <w:rPr>
          <w:spacing w:val="-2"/>
        </w:rPr>
        <w:t>本公司与施秉县城镇建设投资开发有限公司签订施秉县城区亮化一期工程项目投资合作框架协议，工程审核报告金额为</w:t>
      </w:r>
      <w:r>
        <w:rPr/>
        <w:t> </w:t>
      </w:r>
      <w:r>
        <w:rPr>
          <w:rFonts w:ascii="Times New Roman" w:hAnsi="Times New Roman" w:cs="Times New Roman" w:eastAsia="Times New Roman" w:hint="default"/>
        </w:rPr>
        <w:t>27,202,171.06</w:t>
      </w:r>
      <w:r>
        <w:rPr/>
        <w:t>元，工程结算方式按</w:t>
      </w:r>
      <w:r>
        <w:rPr>
          <w:rFonts w:ascii="Times New Roman" w:hAnsi="Times New Roman" w:cs="Times New Roman" w:eastAsia="Times New Roman" w:hint="default"/>
        </w:rPr>
        <w:t>30.00%</w:t>
      </w:r>
      <w:r>
        <w:rPr/>
        <w:t>、</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10.00%</w:t>
      </w:r>
      <w:r>
        <w:rPr/>
        <w:t>比例五年支付完毕的方式分期收款</w:t>
      </w:r>
      <w:r>
        <w:rPr>
          <w:rFonts w:ascii="Times New Roman" w:hAnsi="Times New Roman" w:cs="Times New Roman" w:eastAsia="Times New Roman" w:hint="default"/>
        </w:rPr>
        <w:t>,2017</w:t>
      </w:r>
      <w:r>
        <w:rPr/>
        <w:t>年确</w:t>
      </w:r>
      <w:r>
        <w:rPr>
          <w:spacing w:val="-83"/>
        </w:rPr>
        <w:t> </w:t>
      </w:r>
      <w:r>
        <w:rPr/>
        <w:t>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19,202,171.06</w:t>
      </w:r>
      <w:r>
        <w:rPr/>
        <w:t>元。</w:t>
      </w:r>
    </w:p>
    <w:p>
      <w:pPr>
        <w:pStyle w:val="BodyText"/>
        <w:spacing w:line="309" w:lineRule="auto" w:before="5"/>
        <w:ind w:right="1131" w:firstLine="360"/>
        <w:jc w:val="both"/>
      </w:pPr>
      <w:r>
        <w:rPr>
          <w:spacing w:val="-2"/>
        </w:rPr>
        <w:t>本公司与遵义市播州区新民镇人民政府签订遵义市播州区新民镇景观灯饰亮化工程建设框架协议书，工程审核报告金额</w:t>
      </w:r>
      <w:r>
        <w:rPr/>
        <w:t> </w:t>
      </w:r>
      <w:r>
        <w:rPr>
          <w:spacing w:val="-1"/>
        </w:rPr>
        <w:t>为</w:t>
      </w:r>
      <w:r>
        <w:rPr>
          <w:rFonts w:ascii="Times New Roman" w:hAnsi="Times New Roman" w:cs="Times New Roman" w:eastAsia="Times New Roman" w:hint="default"/>
          <w:spacing w:val="-1"/>
        </w:rPr>
        <w:t>34,640,368.00</w:t>
      </w:r>
      <w:r>
        <w:rPr>
          <w:spacing w:val="-1"/>
        </w:rPr>
        <w:t>元，按项目竣工验收合格当年支付项目工程回购款</w:t>
      </w:r>
      <w:r>
        <w:rPr>
          <w:rFonts w:ascii="Times New Roman" w:hAnsi="Times New Roman" w:cs="Times New Roman" w:eastAsia="Times New Roman" w:hint="default"/>
          <w:spacing w:val="-1"/>
        </w:rPr>
        <w:t>20.00%</w:t>
      </w:r>
      <w:r>
        <w:rPr>
          <w:spacing w:val="-1"/>
        </w:rPr>
        <w:t>，以后均在各年度的第一季度以此计算支付工程回</w:t>
      </w:r>
      <w:r>
        <w:rPr>
          <w:spacing w:val="-85"/>
        </w:rPr>
        <w:t> </w:t>
      </w:r>
      <w:r>
        <w:rPr>
          <w:spacing w:val="-85"/>
        </w:rPr>
      </w:r>
      <w:r>
        <w:rPr/>
        <w:t>购款</w:t>
      </w:r>
      <w:r>
        <w:rPr>
          <w:rFonts w:ascii="Times New Roman" w:hAnsi="Times New Roman" w:cs="Times New Roman" w:eastAsia="Times New Roman" w:hint="default"/>
        </w:rPr>
        <w:t>20.00%</w:t>
      </w:r>
      <w:r>
        <w:rPr/>
        <w:t>，直至全部付清的方式分期收款</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34,140,368.00</w:t>
      </w:r>
      <w:r>
        <w:rPr/>
        <w:t>元。</w:t>
      </w:r>
    </w:p>
    <w:p>
      <w:pPr>
        <w:pStyle w:val="BodyText"/>
        <w:spacing w:line="309" w:lineRule="auto" w:before="5"/>
        <w:ind w:right="1131" w:firstLine="360"/>
        <w:jc w:val="both"/>
      </w:pPr>
      <w:r>
        <w:rPr>
          <w:spacing w:val="5"/>
        </w:rPr>
        <w:t>本公司与惠水城投集团城市建设投资发展有限公司签订惠水县城区景观灯饰亮化工程投资合作协议，合同金额约为</w:t>
      </w:r>
      <w:r>
        <w:rPr/>
        <w:t> </w:t>
      </w:r>
      <w:r>
        <w:rPr>
          <w:rFonts w:ascii="Times New Roman" w:hAnsi="Times New Roman" w:cs="Times New Roman" w:eastAsia="Times New Roman" w:hint="default"/>
        </w:rPr>
        <w:t>37,760,000.00</w:t>
      </w:r>
      <w:r>
        <w:rPr/>
        <w:t>元，按每年支付工程总价的</w:t>
      </w:r>
      <w:r>
        <w:rPr>
          <w:rFonts w:ascii="Times New Roman" w:hAnsi="Times New Roman" w:cs="Times New Roman" w:eastAsia="Times New Roman" w:hint="default"/>
        </w:rPr>
        <w:t>20.00%</w:t>
      </w:r>
      <w:r>
        <w:rPr/>
        <w:t>，分五年付清的方式分期收款</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w:t>
      </w:r>
      <w:r>
        <w:rPr>
          <w:spacing w:val="-26"/>
        </w:rPr>
        <w:t> </w:t>
      </w:r>
      <w:r>
        <w:rPr>
          <w:spacing w:val="-26"/>
        </w:rPr>
      </w:r>
      <w:r>
        <w:rPr/>
        <w:t>余额</w:t>
      </w:r>
      <w:r>
        <w:rPr>
          <w:rFonts w:ascii="Times New Roman" w:hAnsi="Times New Roman" w:cs="Times New Roman" w:eastAsia="Times New Roman" w:hint="default"/>
        </w:rPr>
        <w:t>36,110,000.00</w:t>
      </w:r>
      <w:r>
        <w:rPr/>
        <w:t>元。</w:t>
      </w:r>
    </w:p>
    <w:p>
      <w:pPr>
        <w:pStyle w:val="BodyText"/>
        <w:spacing w:line="300" w:lineRule="auto" w:before="5"/>
        <w:ind w:right="1131" w:firstLine="360"/>
        <w:jc w:val="both"/>
      </w:pPr>
      <w:r>
        <w:rPr/>
        <w:t>本公司与义县市政管理处签订义县整城景观灯饰亮化工程项目投资合作框架协议，合同金额约为</w:t>
      </w:r>
      <w:r>
        <w:rPr>
          <w:rFonts w:ascii="Times New Roman" w:hAnsi="Times New Roman" w:cs="Times New Roman" w:eastAsia="Times New Roman" w:hint="default"/>
        </w:rPr>
        <w:t>6,667,500.00</w:t>
      </w:r>
      <w:r>
        <w:rPr/>
        <w:t>元，按项 目验收</w:t>
      </w:r>
      <w:r>
        <w:rPr>
          <w:rFonts w:ascii="Times New Roman" w:hAnsi="Times New Roman" w:cs="Times New Roman" w:eastAsia="Times New Roman" w:hint="default"/>
        </w:rPr>
        <w:t>60</w:t>
      </w:r>
      <w:r>
        <w:rPr/>
        <w:t>天内支付第一笔款，分</w:t>
      </w:r>
      <w:r>
        <w:rPr>
          <w:rFonts w:ascii="Times New Roman" w:hAnsi="Times New Roman" w:cs="Times New Roman" w:eastAsia="Times New Roman" w:hint="default"/>
        </w:rPr>
        <w:t>10</w:t>
      </w:r>
      <w:r>
        <w:rPr/>
        <w:t>年等额支付的方式分期收款</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6,667,500.00 </w:t>
      </w:r>
      <w:r>
        <w:rPr/>
        <w:t>元。</w:t>
      </w:r>
    </w:p>
    <w:p>
      <w:pPr>
        <w:pStyle w:val="BodyText"/>
        <w:spacing w:line="300" w:lineRule="auto" w:before="31"/>
        <w:ind w:right="1127" w:firstLine="360"/>
        <w:jc w:val="both"/>
      </w:pPr>
      <w:r>
        <w:rPr>
          <w:spacing w:val="6"/>
        </w:rPr>
        <w:t>本公司与铜川市耀州区诚基开发投资有限公司签订铜川市耀州区智慧城市建设项目</w:t>
      </w:r>
      <w:r>
        <w:rPr>
          <w:rFonts w:ascii="Times New Roman" w:hAnsi="Times New Roman" w:cs="Times New Roman" w:eastAsia="Times New Roman" w:hint="default"/>
          <w:spacing w:val="6"/>
        </w:rPr>
        <w:t>(</w:t>
      </w:r>
      <w:r>
        <w:rPr>
          <w:spacing w:val="6"/>
        </w:rPr>
        <w:t>第一期</w:t>
      </w:r>
      <w:r>
        <w:rPr>
          <w:rFonts w:ascii="Times New Roman" w:hAnsi="Times New Roman" w:cs="Times New Roman" w:eastAsia="Times New Roman" w:hint="default"/>
          <w:spacing w:val="6"/>
        </w:rPr>
        <w:t>)</w:t>
      </w:r>
      <w:r>
        <w:rPr>
          <w:spacing w:val="6"/>
        </w:rPr>
        <w:t>，工程审核报告金额为</w:t>
      </w:r>
      <w:r>
        <w:rPr/>
        <w:t> </w:t>
      </w:r>
      <w:r>
        <w:rPr>
          <w:rFonts w:ascii="Times New Roman" w:hAnsi="Times New Roman" w:cs="Times New Roman" w:eastAsia="Times New Roman" w:hint="default"/>
        </w:rPr>
        <w:t>161,759,540.00</w:t>
      </w:r>
      <w:r>
        <w:rPr/>
        <w:t>元，按项目竣工验收合格当年支付项目工程回购款</w:t>
      </w:r>
      <w:r>
        <w:rPr>
          <w:rFonts w:ascii="Times New Roman" w:hAnsi="Times New Roman" w:cs="Times New Roman" w:eastAsia="Times New Roman" w:hint="default"/>
        </w:rPr>
        <w:t>20.00%</w:t>
      </w:r>
      <w:r>
        <w:rPr/>
        <w:t>，以后均在各年度的第一季度以此计算支付工程回</w:t>
      </w:r>
      <w:r>
        <w:rPr>
          <w:spacing w:val="-60"/>
        </w:rPr>
        <w:t> </w:t>
      </w:r>
      <w:r>
        <w:rPr>
          <w:spacing w:val="-60"/>
        </w:rPr>
      </w:r>
      <w:r>
        <w:rPr/>
        <w:t>购款</w:t>
      </w:r>
      <w:r>
        <w:rPr>
          <w:rFonts w:ascii="Times New Roman" w:hAnsi="Times New Roman" w:cs="Times New Roman" w:eastAsia="Times New Roman" w:hint="default"/>
        </w:rPr>
        <w:t>20.00%</w:t>
      </w:r>
      <w:r>
        <w:rPr/>
        <w:t>，直至全部付清的方式分期收款</w:t>
      </w:r>
      <w:r>
        <w:rPr>
          <w:rFonts w:ascii="Times New Roman" w:hAnsi="Times New Roman" w:cs="Times New Roman" w:eastAsia="Times New Roman" w:hint="default"/>
        </w:rPr>
        <w:t>,2017</w:t>
      </w:r>
      <w:r>
        <w:rPr/>
        <w:t>年确认收入，截止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161,759,540.00</w:t>
      </w:r>
      <w:r>
        <w:rPr/>
        <w:t>元。</w:t>
      </w:r>
    </w:p>
    <w:p>
      <w:pPr>
        <w:pStyle w:val="BodyText"/>
        <w:spacing w:line="300" w:lineRule="auto" w:before="13"/>
        <w:ind w:right="1132" w:firstLine="360"/>
        <w:jc w:val="both"/>
      </w:pPr>
      <w:r>
        <w:rPr>
          <w:spacing w:val="-2"/>
          <w:w w:val="99"/>
        </w:rPr>
        <w:t>本公司子公司深圳市证通佳明光电有限公司与阿拉善盟高宇建工有限公司签订的</w:t>
      </w:r>
      <w:r>
        <w:rPr>
          <w:rFonts w:ascii="Times New Roman" w:hAnsi="Times New Roman" w:cs="Times New Roman" w:eastAsia="Times New Roman" w:hint="default"/>
          <w:spacing w:val="-2"/>
          <w:w w:val="99"/>
        </w:rPr>
        <w:t>LED</w:t>
      </w:r>
      <w:r>
        <w:rPr>
          <w:spacing w:val="-2"/>
          <w:w w:val="99"/>
        </w:rPr>
        <w:t>路灯销售合同，合同含税金额约为</w:t>
      </w:r>
      <w:r>
        <w:rPr/>
        <w:t> </w:t>
      </w:r>
      <w:r>
        <w:rPr>
          <w:rFonts w:ascii="Times New Roman" w:hAnsi="Times New Roman" w:cs="Times New Roman" w:eastAsia="Times New Roman" w:hint="default"/>
          <w:spacing w:val="-3"/>
        </w:rPr>
        <w:t>79,000,000.00</w:t>
      </w:r>
      <w:r>
        <w:rPr>
          <w:spacing w:val="-3"/>
        </w:rPr>
        <w:t>元，按照货物完成验收</w:t>
      </w:r>
      <w:r>
        <w:rPr>
          <w:rFonts w:ascii="Times New Roman" w:hAnsi="Times New Roman" w:cs="Times New Roman" w:eastAsia="Times New Roman" w:hint="default"/>
          <w:spacing w:val="-3"/>
        </w:rPr>
        <w:t>12</w:t>
      </w:r>
      <w:r>
        <w:rPr>
          <w:spacing w:val="-3"/>
        </w:rPr>
        <w:t>个月后支付</w:t>
      </w:r>
      <w:r>
        <w:rPr>
          <w:rFonts w:ascii="Times New Roman" w:hAnsi="Times New Roman" w:cs="Times New Roman" w:eastAsia="Times New Roman" w:hint="default"/>
          <w:spacing w:val="-3"/>
        </w:rPr>
        <w:t>25.00%</w:t>
      </w:r>
      <w:r>
        <w:rPr>
          <w:spacing w:val="-3"/>
        </w:rPr>
        <w:t>货款，货物完成验收</w:t>
      </w:r>
      <w:r>
        <w:rPr>
          <w:rFonts w:ascii="Times New Roman" w:hAnsi="Times New Roman" w:cs="Times New Roman" w:eastAsia="Times New Roman" w:hint="default"/>
          <w:spacing w:val="-3"/>
        </w:rPr>
        <w:t>24</w:t>
      </w:r>
      <w:r>
        <w:rPr>
          <w:spacing w:val="-3"/>
        </w:rPr>
        <w:t>个月后支付全部货款</w:t>
      </w:r>
      <w:r>
        <w:rPr>
          <w:rFonts w:ascii="Times New Roman" w:hAnsi="Times New Roman" w:cs="Times New Roman" w:eastAsia="Times New Roman" w:hint="default"/>
          <w:spacing w:val="-3"/>
        </w:rPr>
        <w:t>70.00%</w:t>
      </w:r>
      <w:r>
        <w:rPr>
          <w:spacing w:val="-3"/>
        </w:rPr>
        <w:t>；预留合同</w:t>
      </w:r>
      <w:r>
        <w:rPr>
          <w:rFonts w:ascii="Times New Roman" w:hAnsi="Times New Roman" w:cs="Times New Roman" w:eastAsia="Times New Roman" w:hint="default"/>
          <w:spacing w:val="-3"/>
        </w:rPr>
        <w:t>5.00%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作为质保金，质保金在二年质保期满后全部付清，截止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56,449,800.00</w:t>
      </w:r>
      <w:r>
        <w:rPr/>
        <w:t>元。</w:t>
      </w:r>
    </w:p>
    <w:p>
      <w:pPr>
        <w:pStyle w:val="BodyText"/>
        <w:spacing w:line="240" w:lineRule="auto" w:before="13"/>
        <w:ind w:left="513" w:right="1133"/>
        <w:jc w:val="left"/>
      </w:pPr>
      <w:r>
        <w:rPr>
          <w:rFonts w:ascii="Times New Roman" w:hAnsi="Times New Roman" w:cs="Times New Roman" w:eastAsia="Times New Roman" w:hint="default"/>
        </w:rPr>
        <w:t>(5)2019</w:t>
      </w:r>
      <w:r>
        <w:rPr/>
        <w:t>年度</w:t>
      </w:r>
    </w:p>
    <w:p>
      <w:pPr>
        <w:pStyle w:val="BodyText"/>
        <w:spacing w:line="240" w:lineRule="auto" w:before="63"/>
        <w:ind w:left="513" w:right="0"/>
        <w:jc w:val="left"/>
      </w:pPr>
      <w:r>
        <w:rPr>
          <w:spacing w:val="13"/>
        </w:rPr>
        <w:t>本公司与韶关市曲江区路灯管理所签订曲江城区部分建筑景观灯安装工程合同，</w:t>
      </w:r>
      <w:r>
        <w:rPr>
          <w:spacing w:val="-62"/>
        </w:rPr>
        <w:t> </w:t>
      </w:r>
      <w:r>
        <w:rPr>
          <w:rFonts w:ascii="Times New Roman" w:hAnsi="Times New Roman" w:cs="Times New Roman" w:eastAsia="Times New Roman" w:hint="default"/>
          <w:spacing w:val="9"/>
        </w:rPr>
        <w:t>2019</w:t>
      </w:r>
      <w:r>
        <w:rPr>
          <w:spacing w:val="9"/>
        </w:rPr>
        <w:t>年度确认应收款项金额为</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20,080,852.07</w:t>
      </w:r>
      <w:r>
        <w:rPr/>
        <w:t>元，项目完工后，以监理单体和韶关市曲江区路灯管理所确认支付预算审核价的</w:t>
      </w:r>
      <w:r>
        <w:rPr>
          <w:rFonts w:ascii="Times New Roman" w:hAnsi="Times New Roman" w:cs="Times New Roman" w:eastAsia="Times New Roman" w:hint="default"/>
        </w:rPr>
        <w:t>40%</w:t>
      </w:r>
      <w:r>
        <w:rPr/>
        <w:t>，项目验收合格后第</w:t>
      </w:r>
      <w:r>
        <w:rPr>
          <w:rFonts w:ascii="Times New Roman" w:hAnsi="Times New Roman" w:cs="Times New Roman" w:eastAsia="Times New Roman" w:hint="default"/>
        </w:rPr>
        <w:t>12</w:t>
      </w:r>
      <w:r>
        <w:rPr/>
        <w:t>、</w:t>
      </w:r>
    </w:p>
    <w:p>
      <w:pPr>
        <w:pStyle w:val="BodyText"/>
        <w:spacing w:line="300" w:lineRule="auto" w:before="63"/>
        <w:ind w:left="513" w:right="0" w:hanging="361"/>
        <w:jc w:val="left"/>
      </w:pPr>
      <w:r>
        <w:rPr>
          <w:rFonts w:ascii="Times New Roman" w:hAnsi="Times New Roman" w:cs="Times New Roman" w:eastAsia="Times New Roman" w:hint="default"/>
        </w:rPr>
        <w:t>24</w:t>
      </w:r>
      <w:r>
        <w:rPr/>
        <w:t>、</w:t>
      </w:r>
      <w:r>
        <w:rPr>
          <w:rFonts w:ascii="Times New Roman" w:hAnsi="Times New Roman" w:cs="Times New Roman" w:eastAsia="Times New Roman" w:hint="default"/>
        </w:rPr>
        <w:t>36</w:t>
      </w:r>
      <w:r>
        <w:rPr/>
        <w:t>个月分别支付结算价的</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10%</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20,080,852.07</w:t>
      </w:r>
      <w:r>
        <w:rPr/>
        <w:t>元。 </w:t>
      </w:r>
      <w:r>
        <w:rPr>
          <w:spacing w:val="-2"/>
        </w:rPr>
        <w:t>本公司与阿荣旗工业园区管理委员会签字阿荣旗工业园区道路照明亮化工程</w:t>
      </w:r>
      <w:r>
        <w:rPr>
          <w:rFonts w:ascii="Times New Roman" w:hAnsi="Times New Roman" w:cs="Times New Roman" w:eastAsia="Times New Roman" w:hint="default"/>
          <w:spacing w:val="-2"/>
        </w:rPr>
        <w:t>BOT</w:t>
      </w:r>
      <w:r>
        <w:rPr>
          <w:spacing w:val="-2"/>
        </w:rPr>
        <w:t>项目合作合同，</w:t>
      </w:r>
      <w:r>
        <w:rPr>
          <w:rFonts w:ascii="Times New Roman" w:hAnsi="Times New Roman" w:cs="Times New Roman" w:eastAsia="Times New Roman" w:hint="default"/>
          <w:spacing w:val="-2"/>
        </w:rPr>
        <w:t>2019</w:t>
      </w:r>
      <w:r>
        <w:rPr>
          <w:spacing w:val="-2"/>
        </w:rPr>
        <w:t>年度确认应收款项</w:t>
      </w:r>
    </w:p>
    <w:p>
      <w:pPr>
        <w:pStyle w:val="BodyText"/>
        <w:spacing w:line="300" w:lineRule="auto" w:before="13"/>
        <w:ind w:right="1133"/>
        <w:jc w:val="left"/>
      </w:pPr>
      <w:r>
        <w:rPr/>
        <w:t>金额</w:t>
      </w:r>
      <w:r>
        <w:rPr>
          <w:rFonts w:ascii="Times New Roman" w:hAnsi="Times New Roman" w:cs="Times New Roman" w:eastAsia="Times New Roman" w:hint="default"/>
        </w:rPr>
        <w:t>32,346,940.84</w:t>
      </w:r>
      <w:r>
        <w:rPr/>
        <w:t>元，项目竣工验收后按</w:t>
      </w:r>
      <w:r>
        <w:rPr>
          <w:rFonts w:ascii="Times New Roman" w:hAnsi="Times New Roman" w:cs="Times New Roman" w:eastAsia="Times New Roman" w:hint="default"/>
        </w:rPr>
        <w:t>7.5</w:t>
      </w:r>
      <w:r>
        <w:rPr/>
        <w:t>年平均支付工程款，每半年支付一次，每次支付</w:t>
      </w:r>
      <w:r>
        <w:rPr>
          <w:rFonts w:ascii="Times New Roman" w:hAnsi="Times New Roman" w:cs="Times New Roman" w:eastAsia="Times New Roman" w:hint="default"/>
        </w:rPr>
        <w:t>2,156,462.72</w:t>
      </w:r>
      <w:r>
        <w:rPr/>
        <w:t>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31</w:t>
      </w:r>
      <w:r>
        <w:rPr/>
        <w:t>日应收余额</w:t>
      </w:r>
      <w:r>
        <w:rPr>
          <w:rFonts w:ascii="Times New Roman" w:hAnsi="Times New Roman" w:cs="Times New Roman" w:eastAsia="Times New Roman" w:hint="default"/>
        </w:rPr>
        <w:t>32,346,940.84</w:t>
      </w:r>
      <w:r>
        <w:rPr/>
        <w:t>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24,371,53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-362,931.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626,337.4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24,634,94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深圳盛灿 科技股份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50,340,94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67,657.44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50,408,60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广州水晶 智联科技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2,240,542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2,148,933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深圳市前 海友胜资 本管理有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2,997,641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-725,541.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2,272,099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79,950,66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-1,112,42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626,337.4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79,464,57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79,950,66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-1,112,42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626,337.4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79,464,57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6.44</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300" w:lineRule="auto" w:before="117"/>
        <w:ind w:left="513" w:right="1133"/>
        <w:jc w:val="left"/>
      </w:pPr>
      <w:r>
        <w:rPr>
          <w:rFonts w:ascii="Times New Roman" w:hAnsi="Times New Roman" w:cs="Times New Roman" w:eastAsia="Times New Roman" w:hint="default"/>
        </w:rPr>
        <w:t>(1)</w:t>
      </w:r>
      <w:r>
        <w:rPr/>
        <w:t>公司现持深圳市通新源物业管理有限公司</w:t>
      </w:r>
      <w:r>
        <w:rPr>
          <w:rFonts w:ascii="Times New Roman" w:hAnsi="Times New Roman" w:cs="Times New Roman" w:eastAsia="Times New Roman" w:hint="default"/>
        </w:rPr>
        <w:t>32.29%</w:t>
      </w:r>
      <w:r>
        <w:rPr/>
        <w:t>的股权。</w:t>
      </w:r>
      <w:r>
        <w:rPr>
          <w:w w:val="99"/>
        </w:rPr>
        <w:t> </w:t>
      </w:r>
      <w:r>
        <w:rPr>
          <w:rFonts w:ascii="Times New Roman" w:hAnsi="Times New Roman" w:cs="Times New Roman" w:eastAsia="Times New Roman" w:hint="default"/>
        </w:rPr>
        <w:t>(2)</w:t>
      </w:r>
      <w:r>
        <w:rPr/>
        <w:t>公司现持广州水晶智联科技有限公司</w:t>
      </w:r>
      <w:r>
        <w:rPr>
          <w:rFonts w:ascii="Times New Roman" w:hAnsi="Times New Roman" w:cs="Times New Roman" w:eastAsia="Times New Roman" w:hint="default"/>
        </w:rPr>
        <w:t>15.00%</w:t>
      </w:r>
      <w:r>
        <w:rPr/>
        <w:t>的股权，向其派出一名董事，对广州水晶智联科技有限公司的财务和经</w:t>
      </w:r>
    </w:p>
    <w:p>
      <w:pPr>
        <w:pStyle w:val="BodyText"/>
        <w:spacing w:line="240" w:lineRule="auto" w:before="13"/>
        <w:ind w:right="1133"/>
        <w:jc w:val="left"/>
      </w:pPr>
      <w:r>
        <w:rPr/>
        <w:t>营政策有参与决策的权力，能够对被投资单位施加重大影响，采用权益法核算。</w:t>
      </w:r>
    </w:p>
    <w:p>
      <w:pPr>
        <w:pStyle w:val="BodyText"/>
        <w:spacing w:line="300" w:lineRule="auto" w:before="76"/>
        <w:ind w:right="1133" w:firstLine="360"/>
        <w:jc w:val="left"/>
      </w:pPr>
      <w:r>
        <w:rPr>
          <w:rFonts w:ascii="Times New Roman" w:hAnsi="Times New Roman" w:cs="Times New Roman" w:eastAsia="Times New Roman" w:hint="default"/>
        </w:rPr>
        <w:t>(3)</w:t>
      </w:r>
      <w:r>
        <w:rPr/>
        <w:t>公司现持盛灿科技</w:t>
      </w:r>
      <w:r>
        <w:rPr>
          <w:rFonts w:ascii="Times New Roman" w:hAnsi="Times New Roman" w:cs="Times New Roman" w:eastAsia="Times New Roman" w:hint="default"/>
        </w:rPr>
        <w:t>12.5834%</w:t>
      </w:r>
      <w:r>
        <w:rPr/>
        <w:t>的股权，向其派出一名董事，对盛灿科技的财务和经营政策有参与决策的权力，能够对</w:t>
      </w:r>
      <w:r>
        <w:rPr>
          <w:w w:val="99"/>
        </w:rPr>
        <w:t> </w:t>
      </w:r>
      <w:r>
        <w:rPr/>
        <w:t>被投资单位施加重大影响，故对盛灿科技采用权益法核算。</w:t>
      </w:r>
    </w:p>
    <w:p>
      <w:pPr>
        <w:pStyle w:val="BodyText"/>
        <w:spacing w:line="240" w:lineRule="auto" w:before="32"/>
        <w:ind w:left="513" w:right="1133"/>
        <w:jc w:val="left"/>
      </w:pPr>
      <w:r>
        <w:rPr>
          <w:rFonts w:ascii="Times New Roman" w:hAnsi="Times New Roman" w:cs="Times New Roman" w:eastAsia="Times New Roman" w:hint="default"/>
        </w:rPr>
        <w:t>(4)</w:t>
      </w:r>
      <w:r>
        <w:rPr/>
        <w:t>公司现持深圳市前海友胜资本管理有限公司</w:t>
      </w:r>
      <w:r>
        <w:rPr>
          <w:rFonts w:ascii="Times New Roman" w:hAnsi="Times New Roman" w:cs="Times New Roman" w:eastAsia="Times New Roman" w:hint="default"/>
        </w:rPr>
        <w:t>30.00%</w:t>
      </w:r>
      <w:r>
        <w:rPr/>
        <w:t>的股权。</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13</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分类以公允价值计量且其变动计入当期 损益的金融资产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197,524,901.78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87,482,905.13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197,524,901.78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87,482,905.13</w:t>
            </w:r>
          </w:p>
        </w:tc>
      </w:tr>
    </w:tbl>
    <w:p>
      <w:pPr>
        <w:pStyle w:val="BodyText"/>
        <w:spacing w:line="240" w:lineRule="auto" w:before="8"/>
        <w:ind w:right="1133"/>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55,602,277.60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55,602,277.60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5,765,898.19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5,765,898.19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5,765,898.19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5,765,898.19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49,836,379.41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49,836,379.41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12,977,763.79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12,977,763.79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1,344,581.58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1,344,581.58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1,344,581.58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1,344,581.58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3,857,145.69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3,857,145.69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3,857,145.69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3,857,145.69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10,465,199.68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10,465,199.68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39,371,179.73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39,371,179.73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42,624,513.81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42,624,513.81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1,461,086,842.30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1,339,127,830.85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1,461,086,842.30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1,339,127,830.85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116.779999pt;margin-top:39.411709pt;width:58.1pt;height:20.65pt;mso-position-horizontal-relative:page;mso-position-vertical-relative:paragraph;z-index:-1320736" coordorigin="2336,788" coordsize="1162,413">
            <v:group style="position:absolute;left:2346;top:799;width:2;height:392" coordorigin="2346,799" coordsize="2,392">
              <v:shape style="position:absolute;left:2346;top:799;width:2;height:392" coordorigin="2346,799" coordsize="0,392" path="m2346,799l2346,1190e" filled="false" stroked="true" strokeweight="1.08pt" strokecolor="#ffffff">
                <v:path arrowok="t"/>
              </v:shape>
            </v:group>
            <v:group style="position:absolute;left:2357;top:799;width:1140;height:392" coordorigin="2357,799" coordsize="1140,392">
              <v:shape style="position:absolute;left:2357;top:799;width:1140;height:392" coordorigin="2357,799" coordsize="1140,392" path="m2357,1190l3497,1190,3497,799,2357,799,2357,1190xe" filled="true" fillcolor="#ffffff" stroked="false">
                <v:path arrowok="t"/>
                <v:fill type="solid"/>
              </v:shape>
            </v:group>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848,278,072.65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137,652,136.96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567,568,998.92</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29,647,513.73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7,571,465.53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67,955,967.76</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1,658,674,155.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71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129,457,690.46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62,908,432.71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1,783,463.68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13,394.99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43,490,938.66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237,663,720.50</w:t>
            </w: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10,442,911.64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1,783,463.68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13,394.99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1,061,111.49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13,310,681.80</w:t>
            </w:r>
          </w:p>
        </w:tc>
      </w:tr>
      <w:tr>
        <w:trPr>
          <w:trHeight w:val="71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119,014,778.82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62,908,432.71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42,429,827.17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224,353,038.70</w:t>
            </w: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36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6,330,175.12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12,326,167.22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3,640,242.05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1,492,523.96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8,240.00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2,471,852.67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26,269,201.02</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6,330,175.12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12,326,167.22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3,640,242.05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1,492,523.96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8,240.00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2,471,852.67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26,269,201.02</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971,405,587.99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125,335,769.74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626,837,189.58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29,938,453.45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7,576,620.52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108,975,053.75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1,870,068,675.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77,283,495.56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57,426,444.72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123,791,243.86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19,452,031.29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5,809,416.62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35,783,692.65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319,546,324.70</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28,593,732.93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16,611,441.44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49,720,369.83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2,852,176.28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390,419.69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9,259,464.58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107,427,604.75</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28,593,732.93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16,611,441.44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49,720,369.83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2,852,176.28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390,419.69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9,259,464.58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107,427,604.75</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3,354,332.96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9,884,993.98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1,233,119.79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1,210,436.93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7,828.00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2,301,385.06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17,992,096.72</w:t>
            </w: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3,354,332.96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9,884,993.98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1,233,119.79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1,210,436.93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7,828.00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2,301,385.06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17,992,096.72</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102,522,895.53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64,152,892.18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172,278,493.90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21,093,770.64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6,192,008.31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42,741,772.17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408,981,832.73</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firstLine="3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868,882,692.46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61,182,877.56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454,558,695.68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8,844,682.81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1,384,612.21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66,233,281.58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1,461,086,842.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770,994,577.09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80,225,692.24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443,777,755.06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10,195,482.44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1,762,048.91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32,172,275.11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1,339,127,830.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36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33"/>
        <w:jc w:val="left"/>
      </w:pPr>
      <w:r>
        <w:rPr/>
        <w:t>其他说明</w:t>
      </w:r>
    </w:p>
    <w:p>
      <w:pPr>
        <w:pStyle w:val="BodyText"/>
        <w:spacing w:line="240" w:lineRule="auto" w:before="115"/>
        <w:ind w:left="513" w:right="1133"/>
        <w:jc w:val="left"/>
      </w:pPr>
      <w:r>
        <w:rPr>
          <w:rFonts w:ascii="Times New Roman" w:hAnsi="Times New Roman" w:cs="Times New Roman" w:eastAsia="Times New Roman" w:hint="default"/>
        </w:rPr>
        <w:t>1</w:t>
      </w:r>
      <w:r>
        <w:rPr/>
        <w:t>、期末用于抵押的固定资产价值为</w:t>
      </w:r>
      <w:r>
        <w:rPr>
          <w:rFonts w:ascii="Times New Roman" w:hAnsi="Times New Roman" w:cs="Times New Roman" w:eastAsia="Times New Roman" w:hint="default"/>
        </w:rPr>
        <w:t>277,741,536.19</w:t>
      </w:r>
      <w:r>
        <w:rPr/>
        <w:t>元。</w:t>
      </w:r>
    </w:p>
    <w:p>
      <w:pPr>
        <w:pStyle w:val="BodyText"/>
        <w:spacing w:line="300" w:lineRule="auto" w:before="63"/>
        <w:ind w:right="1124" w:firstLine="360"/>
        <w:jc w:val="left"/>
      </w:pPr>
      <w:r>
        <w:rPr>
          <w:rFonts w:ascii="Times New Roman" w:hAnsi="Times New Roman" w:cs="Times New Roman" w:eastAsia="Times New Roman" w:hint="default"/>
        </w:rPr>
        <w:t>2</w:t>
      </w:r>
      <w:r>
        <w:rPr/>
        <w:t>、本期已提足折旧仍继续使用的固定资产原值</w:t>
      </w:r>
      <w:r>
        <w:rPr>
          <w:rFonts w:ascii="Times New Roman" w:hAnsi="Times New Roman" w:cs="Times New Roman" w:eastAsia="Times New Roman" w:hint="default"/>
        </w:rPr>
        <w:t>54,041,270.62</w:t>
      </w:r>
      <w:r>
        <w:rPr/>
        <w:t>元。本期计提的折旧额</w:t>
      </w:r>
      <w:r>
        <w:rPr>
          <w:rFonts w:ascii="Times New Roman" w:hAnsi="Times New Roman" w:cs="Times New Roman" w:eastAsia="Times New Roman" w:hint="default"/>
        </w:rPr>
        <w:t>107,427,604.75</w:t>
      </w:r>
      <w:r>
        <w:rPr/>
        <w:t>元，本期由在建工程 转入的固定资产</w:t>
      </w:r>
      <w:r>
        <w:rPr>
          <w:rFonts w:ascii="Times New Roman" w:hAnsi="Times New Roman" w:cs="Times New Roman" w:eastAsia="Times New Roman" w:hint="default"/>
        </w:rPr>
        <w:t>224,353,038.70</w:t>
      </w:r>
      <w:r>
        <w:rPr/>
        <w:t>元。</w:t>
      </w:r>
    </w:p>
    <w:p>
      <w:pPr>
        <w:pStyle w:val="BodyText"/>
        <w:spacing w:line="240" w:lineRule="auto" w:before="13"/>
        <w:ind w:left="513" w:right="1133"/>
        <w:jc w:val="left"/>
      </w:pPr>
      <w:r>
        <w:rPr>
          <w:rFonts w:ascii="Times New Roman" w:hAnsi="Times New Roman" w:cs="Times New Roman" w:eastAsia="Times New Roman" w:hint="default"/>
        </w:rPr>
        <w:t>3</w:t>
      </w:r>
      <w:r>
        <w:rPr/>
        <w:t>、本期无未办妥产权证书的固定资产。</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819,647,829.04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370,019,094.58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819,647,829.04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370,019,094.58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万台符合 中国人民银行 </w:t>
            </w:r>
            <w:r>
              <w:rPr>
                <w:rFonts w:ascii="Times New Roman" w:hAnsi="Times New Roman" w:cs="Times New Roman" w:eastAsia="Times New Roman" w:hint="default"/>
                <w:sz w:val="18"/>
                <w:szCs w:val="18"/>
              </w:rPr>
              <w:t>PBOC2.0 </w:t>
            </w:r>
            <w:r>
              <w:rPr>
                <w:rFonts w:ascii="宋体" w:hAnsi="宋体" w:cs="宋体" w:eastAsia="宋体" w:hint="default"/>
                <w:sz w:val="18"/>
                <w:szCs w:val="18"/>
              </w:rPr>
              <w:t>新标准</w:t>
            </w:r>
            <w:r>
              <w:rPr>
                <w:rFonts w:ascii="宋体" w:hAnsi="宋体" w:cs="宋体" w:eastAsia="宋体" w:hint="default"/>
                <w:w w:val="99"/>
                <w:sz w:val="18"/>
                <w:szCs w:val="18"/>
              </w:rPr>
              <w:t> </w:t>
            </w:r>
            <w:r>
              <w:rPr>
                <w:rFonts w:ascii="宋体" w:hAnsi="宋体" w:cs="宋体" w:eastAsia="宋体" w:hint="default"/>
                <w:sz w:val="18"/>
                <w:szCs w:val="18"/>
              </w:rPr>
              <w:t>的金融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终端产能建设项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346,376.75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346,376.75</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证通电子大数据 云计算产业园 </w:t>
            </w:r>
            <w:r>
              <w:rPr>
                <w:rFonts w:ascii="Times New Roman" w:hAnsi="Times New Roman" w:cs="Times New Roman" w:eastAsia="Times New Roman" w:hint="default"/>
                <w:sz w:val="18"/>
                <w:szCs w:val="18"/>
              </w:rPr>
              <w:t>(</w:t>
            </w:r>
            <w:r>
              <w:rPr>
                <w:rFonts w:ascii="宋体" w:hAnsi="宋体" w:cs="宋体" w:eastAsia="宋体" w:hint="default"/>
                <w:sz w:val="18"/>
                <w:szCs w:val="18"/>
              </w:rPr>
              <w:t>光明云谷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1,358,620.69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1,358,620.69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1,358,620.69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1,358,620.69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证通产业园二期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1,127,461.67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1,127,461.67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研发中心扩建项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28,901,259.03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28,901,259.03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证通云项目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21,096,840.18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21,096,840.18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证通金融设备智 能工程实验室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2,114,861.77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2,114,861.77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2,525,011.20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2,525,011.20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长沙云谷数据中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129,412,899.57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129,412,899.57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53,860,355.93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53,860,355.93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心项目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长沙软件研发中 心项目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116,215,794.58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116,215,794.58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86,617,860.93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86,617,860.93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549,391,973.94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549,391,973.94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172,948,410.84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172,948,410.84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广州南沙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工 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11,115,179.82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11,115,179.82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深圳共济动环系 统监控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1,236,897.36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1,236,897.36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智慧光明</w:t>
            </w:r>
            <w:r>
              <w:rPr>
                <w:rFonts w:ascii="Times New Roman" w:hAnsi="Times New Roman" w:cs="Times New Roman" w:eastAsia="Times New Roman" w:hint="default"/>
                <w:sz w:val="18"/>
                <w:szCs w:val="18"/>
              </w:rPr>
              <w:t>"</w:t>
            </w:r>
            <w:r>
              <w:rPr>
                <w:rFonts w:ascii="宋体" w:hAnsi="宋体" w:cs="宋体" w:eastAsia="宋体" w:hint="default"/>
                <w:sz w:val="18"/>
                <w:szCs w:val="18"/>
              </w:rPr>
              <w:t>云存 储设备采购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10,038,498.67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10,038,498.67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819,647,829.04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819,647,829.04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370,019,094.58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370,019,094.58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研发中 心扩建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75,160,0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28,901,2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11,107,0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40,008,3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19.33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96.56%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96.56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证通云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47,312,5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21,096,8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19,330,7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40,427,6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35.74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99.71%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99.71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长沙云 谷数据 中心项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730,000,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118,720,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310.92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188,381,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383.94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177,688,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795.29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129,412,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899.57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64.42%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64.62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5,544,32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5,544,32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4" w:right="110"/>
              <w:jc w:val="both"/>
              <w:rPr>
                <w:rFonts w:ascii="宋体" w:hAnsi="宋体" w:cs="宋体" w:eastAsia="宋体" w:hint="default"/>
                <w:sz w:val="18"/>
                <w:szCs w:val="18"/>
              </w:rPr>
            </w:pPr>
            <w:r>
              <w:rPr>
                <w:rFonts w:ascii="宋体" w:hAnsi="宋体" w:cs="宋体" w:eastAsia="宋体" w:hint="default"/>
                <w:sz w:val="18"/>
                <w:szCs w:val="18"/>
              </w:rPr>
              <w:t>募股资 金</w:t>
            </w:r>
            <w:r>
              <w:rPr>
                <w:rFonts w:ascii="Times New Roman" w:hAnsi="Times New Roman" w:cs="Times New Roman" w:eastAsia="Times New Roman" w:hint="default"/>
                <w:sz w:val="18"/>
                <w:szCs w:val="18"/>
              </w:rPr>
              <w:t>/</w:t>
            </w:r>
            <w:r>
              <w:rPr>
                <w:rFonts w:ascii="宋体" w:hAnsi="宋体" w:cs="宋体" w:eastAsia="宋体" w:hint="default"/>
                <w:sz w:val="18"/>
                <w:szCs w:val="18"/>
              </w:rPr>
              <w:t>自有 资金</w:t>
            </w:r>
          </w:p>
        </w:tc>
      </w:tr>
      <w:tr>
        <w:trPr>
          <w:trHeight w:val="134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长沙软 件研发 中心项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333,576,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21,757,9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94,457,8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116,215,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794.58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34.84%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34.84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4" w:right="110"/>
              <w:jc w:val="both"/>
              <w:rPr>
                <w:rFonts w:ascii="宋体" w:hAnsi="宋体" w:cs="宋体" w:eastAsia="宋体" w:hint="default"/>
                <w:sz w:val="18"/>
                <w:szCs w:val="18"/>
              </w:rPr>
            </w:pPr>
            <w:r>
              <w:rPr>
                <w:rFonts w:ascii="宋体" w:hAnsi="宋体" w:cs="宋体" w:eastAsia="宋体" w:hint="default"/>
                <w:sz w:val="18"/>
                <w:szCs w:val="18"/>
              </w:rPr>
              <w:t>募股资 金</w:t>
            </w:r>
            <w:r>
              <w:rPr>
                <w:rFonts w:ascii="Times New Roman" w:hAnsi="Times New Roman" w:cs="Times New Roman" w:eastAsia="Times New Roman" w:hint="default"/>
                <w:sz w:val="18"/>
                <w:szCs w:val="18"/>
              </w:rPr>
              <w:t>/</w:t>
            </w:r>
            <w:r>
              <w:rPr>
                <w:rFonts w:ascii="宋体" w:hAnsi="宋体" w:cs="宋体" w:eastAsia="宋体" w:hint="default"/>
                <w:sz w:val="18"/>
                <w:szCs w:val="18"/>
              </w:rPr>
              <w:t>自有 资金</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宏达</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703,000,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172,948,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410.84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376,443,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563.10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549,391,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973.94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85.60%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95.00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68,714,4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45,726,4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自有和 自筹资 金</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广州南 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37,573,8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12,227,9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1,112,73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11,115,1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38.74%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38.74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自有和 自筹资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1,926,62</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2,700.00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363,424,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726.91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701,948,</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602.25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259,237,</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481.25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806,135,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847.91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74,258,7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29.73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51,270,7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43.48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03" w:right="20" w:hanging="48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项目收益 权</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其他特许权</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196" w:type="dxa"/>
            <w:vMerge/>
            <w:tcBorders>
              <w:left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121,624,942.83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56,500,668.93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441,025.64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16,481,431.73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135,442,718.23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330,490,787.36</w:t>
            </w: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47,803,698.03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6,789,040.37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54,592,738.40</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8,035,606.09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5,649,886.14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13,685,492.23</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开发 支出转入</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39,768,091.94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1,139,154.23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40,907,246.17</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3,999,399.30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3,999,399.30</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3,999,399.30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3,999,399.30</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121,624,942.83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104,304,366.96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441,025.64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19,271,072.80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135,442,718.23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381,084,126.46</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13,944,535.23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10,211,877.16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7,350.42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7,645,972.52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54,132,890.07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85,942,625.40</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2,513,671.32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8,598,393.45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44,102.52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2,819,443.21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11,578,228.65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25,553,839.15</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2,513,671.32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8,598,393.45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44,102.52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2,819,443.21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11,578,228.65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25,553,839.15</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866,536.58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866,536.58</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866,536.58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866,536.58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16,458,206.55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18,810,270.61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51,452.94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9,598,879.15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65,711,118.72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110,629,927.97</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1"/>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105,166,736.28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85,494,096.35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389,572.70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9,672,193.65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69,731,599.51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270,454,198.49</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107,680,407.60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46,288,791.77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433,675.22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8,835,459.21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81,309,828.16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244,548,161.96</w:t>
            </w:r>
          </w:p>
        </w:tc>
      </w:tr>
    </w:tbl>
    <w:p>
      <w:pPr>
        <w:pStyle w:val="BodyText"/>
        <w:spacing w:line="240" w:lineRule="auto" w:before="49"/>
        <w:ind w:right="1133"/>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15.13%</w:t>
      </w:r>
      <w:r>
        <w:rPr/>
        <w:t>。本期摊销</w:t>
      </w:r>
      <w:r>
        <w:rPr>
          <w:spacing w:val="-49"/>
        </w:rPr>
        <w:t> </w:t>
      </w:r>
      <w:r>
        <w:rPr>
          <w:rFonts w:ascii="宋体" w:hAnsi="宋体" w:cs="宋体" w:eastAsia="宋体" w:hint="default"/>
        </w:rPr>
        <w:t>25,553,839.15</w:t>
      </w:r>
      <w:r>
        <w:rPr>
          <w:rFonts w:ascii="宋体" w:hAnsi="宋体" w:cs="宋体" w:eastAsia="宋体" w:hint="default"/>
          <w:spacing w:val="-44"/>
        </w:rPr>
        <w:t> </w:t>
      </w:r>
      <w:r>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702"/>
        <w:gridCol w:w="991"/>
        <w:gridCol w:w="497"/>
        <w:gridCol w:w="1346"/>
        <w:gridCol w:w="1277"/>
        <w:gridCol w:w="564"/>
        <w:gridCol w:w="1063"/>
      </w:tblGrid>
      <w:tr>
        <w:trPr>
          <w:trHeight w:val="206"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vMerge/>
            <w:tcBorders>
              <w:left w:val="single" w:sz="4" w:space="0" w:color="000000"/>
              <w:bottom w:val="single" w:sz="4" w:space="0" w:color="000000"/>
              <w:right w:val="single" w:sz="4" w:space="0" w:color="000000"/>
            </w:tcBorders>
            <w:shd w:val="clear" w:color="auto" w:fill="D2D2D2"/>
          </w:tcPr>
          <w:p>
            <w:pPr/>
          </w:p>
        </w:tc>
        <w:tc>
          <w:tcPr>
            <w:tcW w:w="3188" w:type="dxa"/>
            <w:gridSpan w:val="3"/>
            <w:vMerge/>
            <w:tcBorders>
              <w:left w:val="single" w:sz="4" w:space="0" w:color="000000"/>
              <w:bottom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7" w:type="dxa"/>
            <w:vMerge w:val="restart"/>
            <w:tcBorders>
              <w:top w:val="single" w:sz="4" w:space="0" w:color="000000"/>
              <w:left w:val="single" w:sz="4" w:space="0" w:color="000000"/>
              <w:right w:val="single" w:sz="4" w:space="0" w:color="000000"/>
            </w:tcBorders>
            <w:shd w:val="clear" w:color="auto" w:fill="D2D2D2"/>
          </w:tcPr>
          <w:p>
            <w:pP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564"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497"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5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9"/>
              <w:jc w:val="left"/>
              <w:rPr>
                <w:rFonts w:ascii="宋体" w:hAnsi="宋体" w:cs="宋体" w:eastAsia="宋体" w:hint="default"/>
                <w:sz w:val="18"/>
                <w:szCs w:val="18"/>
              </w:rPr>
            </w:pPr>
            <w:r>
              <w:rPr>
                <w:rFonts w:ascii="宋体" w:hAnsi="宋体" w:cs="宋体" w:eastAsia="宋体" w:hint="default"/>
                <w:sz w:val="18"/>
                <w:szCs w:val="18"/>
              </w:rPr>
              <w:t>人工智能开 放平台项目</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1,863,588.67</w:t>
            </w:r>
          </w:p>
        </w:tc>
        <w:tc>
          <w:tcPr>
            <w:tcW w:w="991"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1,863,588.67</w:t>
            </w: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1,863,588.67</w:t>
            </w:r>
          </w:p>
        </w:tc>
        <w:tc>
          <w:tcPr>
            <w:tcW w:w="991"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1,863,588.67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1,907,105.44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450,723.94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1,761,658.69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596,170.69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22,751,419.14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2,843,927.40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19,907,491.74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预付融资款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34,658,524.58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450,723.94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4,605,586.09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20,503,662.43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4"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468,601,760.14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70,934,045.03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405,851,482.63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61,298,037.29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6,461,454.45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969,218.13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7,613,433.67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1,142,015.05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24,158,914.37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3,623,837.16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23,285,440.34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3,492,816.05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37,342,762.94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5,601,414.44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28,847,160.34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4,327,074.05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536,564,891.90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81,128,514.76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465,597,516.98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70,259,942.44</w:t>
            </w:r>
          </w:p>
        </w:tc>
      </w:tr>
    </w:tbl>
    <w:p>
      <w:pPr>
        <w:pStyle w:val="BodyText"/>
        <w:spacing w:line="240" w:lineRule="auto" w:before="8"/>
        <w:ind w:right="1133"/>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5,513,584.10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827,037.62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2,687,056.98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403,058.55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18,356,805.88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4,589,201.47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20,455,834.57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5,113,958.64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23,870,389.98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5,416,239.09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23,142,891.55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5,517,017.19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148,302,111.14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136,353,107.91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10,432,858.71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7,019,071.49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158,734,969.85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143,372,179.40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5,258,941.11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6,041,638.08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15,923,117.30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14,509,138.07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14,509,138.07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49,107,311.56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49,188,412.68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49,671,752.89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51,473,498.75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28,972,270.54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148,302,111.14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136,353,107.91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35,908,262.40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547,437,450.00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1,213,103.47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2,314,637.75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减：票据贴现息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-3,580,263.87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-7,360,318.13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1,020,632,839.60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1,468,300,032.02</w:t>
            </w:r>
          </w:p>
        </w:tc>
      </w:tr>
    </w:tbl>
    <w:p>
      <w:pPr>
        <w:pStyle w:val="BodyText"/>
        <w:spacing w:line="240" w:lineRule="auto" w:before="49"/>
        <w:ind w:right="1133"/>
        <w:jc w:val="left"/>
      </w:pPr>
      <w:r>
        <w:rPr/>
        <w:t>注：期初余额与上期期末余额</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之说明。</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69,119,235.72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23,634,787.22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30,141,520.41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21,539,244.58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99,260,756.13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45,174,031.80</w:t>
            </w:r>
          </w:p>
        </w:tc>
      </w:tr>
    </w:tbl>
    <w:p>
      <w:pPr>
        <w:pStyle w:val="BodyText"/>
        <w:spacing w:line="240" w:lineRule="auto" w:before="49"/>
        <w:ind w:right="1133"/>
        <w:jc w:val="left"/>
      </w:pPr>
      <w:r>
        <w:rPr/>
        <w:t>本期末已到期未支付的应付票据总额为</w:t>
      </w:r>
      <w:r>
        <w:rPr>
          <w:spacing w:val="-47"/>
        </w:rPr>
        <w:t> </w:t>
      </w:r>
      <w:r>
        <w:rPr>
          <w:rFonts w:ascii="Times New Roman" w:hAnsi="Times New Roman" w:cs="Times New Roman" w:eastAsia="Times New Roman" w:hint="default"/>
        </w:rPr>
        <w:t>3,060,000.00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370,508,230.40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455,936,047.41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148,087,867.73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128,483,901.85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58,489,989.43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80,497,394.43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29,375,486.61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2,647,060.58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606,461,574.17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667,564,404.27</w:t>
            </w:r>
          </w:p>
        </w:tc>
      </w:tr>
    </w:tbl>
    <w:p>
      <w:pPr>
        <w:pStyle w:val="BodyText"/>
        <w:spacing w:line="240" w:lineRule="auto" w:before="8"/>
        <w:ind w:right="1133"/>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0"/>
      </w:tblGrid>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湖南博信创远信息科技有限公司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26,742,173.00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正在结算</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长沙泰和英杰系统集成工程有限责任公司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25,480,862.07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正在结算</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深圳中建集团有限公司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22,978,830.64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正在结算</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广东永和建设集团有限公司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正在结算</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深圳东海建设集团有限公司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13,422,428.50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正在结算</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102,814,294.21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pStyle w:val="BodyText"/>
        <w:spacing w:line="240" w:lineRule="auto" w:before="115"/>
        <w:ind w:right="1133"/>
        <w:jc w:val="left"/>
      </w:pPr>
      <w:r>
        <w:rPr>
          <w:rFonts w:ascii="Times New Roman" w:hAnsi="Times New Roman" w:cs="Times New Roman" w:eastAsia="Times New Roman" w:hint="default"/>
        </w:rPr>
        <w:t>1</w:t>
      </w:r>
      <w:r>
        <w:rPr/>
        <w:t>、期末余额中无欠持本公司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表决权股份的股东单位款项。</w:t>
      </w:r>
    </w:p>
    <w:p>
      <w:pPr>
        <w:pStyle w:val="BodyText"/>
        <w:spacing w:line="240" w:lineRule="auto" w:before="63"/>
        <w:ind w:right="1133"/>
        <w:jc w:val="left"/>
      </w:pPr>
      <w:r>
        <w:rPr>
          <w:rFonts w:ascii="Times New Roman" w:hAnsi="Times New Roman" w:cs="Times New Roman" w:eastAsia="Times New Roman" w:hint="default"/>
        </w:rPr>
        <w:t>2</w:t>
      </w:r>
      <w:r>
        <w:rPr/>
        <w:t>、期末余额中欠关联方情况，详见附注九</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25,803,861.01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30,475,660.63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3,690,674.32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1,702,597.23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242,631.06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1,274,473.35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467,952.12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736,212.00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30,205,118.51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34,188,943.21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1776"/>
        <w:gridCol w:w="460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年以上的预收账款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4,401,257.50</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占预收账款总额的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14.57%</w:t>
            </w:r>
            <w:r>
              <w:rPr>
                <w:rFonts w:ascii="宋体" w:hAnsi="宋体" w:cs="宋体" w:eastAsia="宋体" w:hint="default"/>
                <w:sz w:val="18"/>
                <w:szCs w:val="18"/>
              </w:rPr>
              <w:t>，公司预收客户购货定金。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4,401,257.50</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713"/>
        <w:gridCol w:w="1632"/>
        <w:gridCol w:w="1913"/>
        <w:gridCol w:w="1916"/>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26,679,023.08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207,767,693.31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207,244,833.75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27,201,882.64</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8,528,004.28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8,507,355.19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20,649.09</w:t>
            </w: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4,192,605.61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4,192,605.61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26,679,023.08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220,488,303.20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219,944,794.55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27,222,531.73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571"/>
        <w:gridCol w:w="1632"/>
        <w:gridCol w:w="1913"/>
        <w:gridCol w:w="1916"/>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26,672,558.08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195,931,027.13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195,426,776.31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27,176,808.90</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4,719,702.37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4,719,702.37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3,040,921.62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3,032,335.76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8,585.86</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2,478,398.65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2,471,037.43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7,361.22</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194,258.55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194,198.88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59.67</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332,657.18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331,492.21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1,164.97</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其他保险</w:t>
            </w:r>
          </w:p>
        </w:tc>
        <w:tc>
          <w:tcPr>
            <w:tcW w:w="157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35,607.24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35,607.24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6,465.00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4,054,333.03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4,044,310.15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16,487.88</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21,709.16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26,679,023.08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207,767,693.31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207,244,833.75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27,201,882.64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8,194,103.95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8,173,877.98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20,225.97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333,900.33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333,477.21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8,528,004.28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8,507,355.19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20,649.09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8,719,051.02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25,511,539.59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623,900.54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1,149,734.59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694,603.90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483,722.33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659,581.62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1,034,966.77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346,759.23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503,734.56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231,020.21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324,534.53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308,108.88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207,627.82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11,583,030.99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29,215,927.43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27,190,983.02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40,487,687.78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51,473,101.19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40,487,687.78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78,664,084.21</w:t>
            </w:r>
          </w:p>
        </w:tc>
      </w:tr>
    </w:tbl>
    <w:p>
      <w:pPr>
        <w:pStyle w:val="BodyText"/>
        <w:spacing w:line="240" w:lineRule="auto" w:before="8"/>
        <w:ind w:right="1133"/>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)1(4)</w:t>
      </w:r>
      <w:r>
        <w:rPr/>
        <w:t>之说明。</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应付诉讼利息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27,190,983.02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27,190,983.02</w:t>
            </w:r>
          </w:p>
        </w:tc>
      </w:tr>
    </w:tbl>
    <w:p>
      <w:pPr>
        <w:pStyle w:val="BodyText"/>
        <w:spacing w:line="240" w:lineRule="auto" w:before="49"/>
        <w:ind w:right="1133"/>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60" w:lineRule="auto" w:before="49"/>
        <w:ind w:right="3224"/>
        <w:jc w:val="left"/>
      </w:pPr>
      <w:r>
        <w:rPr/>
        <w:t>其他说明： 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)4</w:t>
      </w:r>
      <w:r>
        <w:rPr/>
        <w:t>之说明。</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8,263,487.18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5,200,237.26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5,203,102.85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6,419,027.46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27,021,097.75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23,153,836.47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40,487,687.78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51,473,101.19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4,657,261.42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合同规定暂扣的保证金及押金所致，占 其他应付款总额的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w:t>
            </w:r>
            <w:r>
              <w:rPr>
                <w:rFonts w:ascii="宋体" w:hAnsi="宋体" w:cs="宋体" w:eastAsia="宋体" w:hint="default"/>
                <w:sz w:val="18"/>
                <w:szCs w:val="18"/>
              </w:rPr>
              <w:t>。</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4,657,261.42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28</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229,931,164.46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199,684,179.61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一年内到期的长期借款计提利息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268,066.46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158,491.67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一年内到期的应付债券计提利息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2,607,777.91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432,491,188.44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92,558,491.67</w:t>
            </w:r>
          </w:p>
        </w:tc>
      </w:tr>
    </w:tbl>
    <w:p>
      <w:pPr>
        <w:pStyle w:val="BodyText"/>
        <w:spacing w:line="240" w:lineRule="auto" w:before="8"/>
        <w:ind w:right="1133"/>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)4</w:t>
      </w:r>
      <w:r>
        <w:rPr/>
        <w:t>之说明。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29</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452,760,705.59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33,333,333.32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长期借款应计利息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2,385,600.50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58,055.53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1,243,146,306.09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33,391,388.85</w:t>
            </w:r>
          </w:p>
        </w:tc>
      </w:tr>
    </w:tbl>
    <w:p>
      <w:pPr>
        <w:pStyle w:val="BodyText"/>
        <w:spacing w:line="360" w:lineRule="auto" w:before="49"/>
        <w:ind w:right="3224"/>
        <w:jc w:val="left"/>
      </w:pPr>
      <w:r>
        <w:rPr/>
        <w:t>长期借款分类的说明： 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)4</w:t>
      </w:r>
      <w:r>
        <w:rPr/>
        <w:t>之说明。</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179,379,217.72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19,931,747.49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2,607,777.91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201,918,743.12</w:t>
            </w:r>
          </w:p>
        </w:tc>
      </w:tr>
    </w:tbl>
    <w:p>
      <w:pPr>
        <w:pStyle w:val="BodyText"/>
        <w:spacing w:line="240" w:lineRule="auto" w:before="8"/>
        <w:ind w:right="1133"/>
        <w:jc w:val="left"/>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)4</w:t>
      </w:r>
      <w:r>
        <w:rPr/>
        <w:t>之说明。</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952"/>
        <w:gridCol w:w="1192"/>
        <w:gridCol w:w="992"/>
        <w:gridCol w:w="521"/>
        <w:gridCol w:w="1181"/>
        <w:gridCol w:w="1277"/>
        <w:gridCol w:w="504"/>
        <w:gridCol w:w="917"/>
        <w:gridCol w:w="992"/>
        <w:gridCol w:w="569"/>
        <w:gridCol w:w="590"/>
      </w:tblGrid>
      <w:tr>
        <w:trPr>
          <w:trHeight w:val="163" w:hRule="exact"/>
        </w:trPr>
        <w:tc>
          <w:tcPr>
            <w:tcW w:w="9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74" w:right="74"/>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0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69" w:right="62"/>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184" w:right="9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100" w:right="96"/>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5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110" w:right="108"/>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392" w:hRule="exact"/>
        </w:trPr>
        <w:tc>
          <w:tcPr>
            <w:tcW w:w="9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1"/>
              <w:jc w:val="right"/>
              <w:rPr>
                <w:rFonts w:ascii="宋体" w:hAnsi="宋体" w:cs="宋体" w:eastAsia="宋体" w:hint="default"/>
                <w:sz w:val="18"/>
                <w:szCs w:val="18"/>
              </w:rPr>
            </w:pPr>
            <w:r>
              <w:rPr>
                <w:rFonts w:ascii="宋体" w:hAnsi="宋体" w:cs="宋体" w:eastAsia="宋体" w:hint="default"/>
                <w:sz w:val="18"/>
                <w:szCs w:val="18"/>
              </w:rPr>
              <w:t>债券名称</w:t>
            </w:r>
          </w:p>
        </w:tc>
        <w:tc>
          <w:tcPr>
            <w:tcW w:w="11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8"/>
              <w:jc w:val="right"/>
              <w:rPr>
                <w:rFonts w:ascii="宋体" w:hAnsi="宋体" w:cs="宋体" w:eastAsia="宋体" w:hint="default"/>
                <w:sz w:val="18"/>
                <w:szCs w:val="18"/>
              </w:rPr>
            </w:pPr>
            <w:r>
              <w:rPr>
                <w:rFonts w:ascii="宋体" w:hAnsi="宋体" w:cs="宋体" w:eastAsia="宋体" w:hint="default"/>
                <w:sz w:val="18"/>
                <w:szCs w:val="18"/>
              </w:rPr>
              <w:t>发行日期</w:t>
            </w:r>
          </w:p>
        </w:tc>
        <w:tc>
          <w:tcPr>
            <w:tcW w:w="521" w:type="dxa"/>
            <w:vMerge/>
            <w:tcBorders>
              <w:left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4" w:type="dxa"/>
            <w:vMerge/>
            <w:tcBorders>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溢折价摊销</w:t>
            </w:r>
          </w:p>
        </w:tc>
        <w:tc>
          <w:tcPr>
            <w:tcW w:w="569" w:type="dxa"/>
            <w:vMerge/>
            <w:tcBorders>
              <w:left w:val="single" w:sz="4" w:space="0" w:color="000000"/>
              <w:right w:val="single" w:sz="4" w:space="0" w:color="000000"/>
            </w:tcBorders>
            <w:shd w:val="clear" w:color="auto" w:fill="D2D2D2"/>
          </w:tcPr>
          <w:p>
            <w:pPr/>
          </w:p>
        </w:tc>
        <w:tc>
          <w:tcPr>
            <w:tcW w:w="590" w:type="dxa"/>
            <w:vMerge/>
            <w:tcBorders>
              <w:left w:val="single" w:sz="4" w:space="0" w:color="000000"/>
              <w:right w:val="single" w:sz="4" w:space="0" w:color="000000"/>
            </w:tcBorders>
            <w:shd w:val="clear" w:color="auto" w:fill="D2D2D2"/>
          </w:tcPr>
          <w:p>
            <w:pPr/>
          </w:p>
        </w:tc>
      </w:tr>
      <w:tr>
        <w:trPr>
          <w:trHeight w:val="161" w:hRule="exact"/>
        </w:trPr>
        <w:tc>
          <w:tcPr>
            <w:tcW w:w="9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tc>
        <w:tc>
          <w:tcPr>
            <w:tcW w:w="1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4"/>
              <w:jc w:val="right"/>
              <w:rPr>
                <w:rFonts w:ascii="Times New Roman" w:hAnsi="Times New Roman" w:cs="Times New Roman" w:eastAsia="Times New Roman" w:hint="default"/>
                <w:sz w:val="18"/>
                <w:szCs w:val="18"/>
              </w:rPr>
            </w:pPr>
            <w:r>
              <w:rPr>
                <w:rFonts w:ascii="Times New Roman"/>
                <w:w w:val="95"/>
                <w:sz w:val="18"/>
              </w:rPr>
              <w:t>2015.10.21</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center"/>
              <w:rPr>
                <w:rFonts w:ascii="宋体" w:hAnsi="宋体" w:cs="宋体" w:eastAsia="宋体" w:hint="default"/>
                <w:sz w:val="18"/>
                <w:szCs w:val="18"/>
              </w:rPr>
            </w:pPr>
            <w:r>
              <w:rPr>
                <w:rFonts w:ascii="宋体" w:hAnsi="宋体" w:cs="宋体" w:eastAsia="宋体" w:hint="default"/>
                <w:sz w:val="18"/>
                <w:szCs w:val="18"/>
              </w:rPr>
              <w:t>五年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317,190,000.00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179,379,217.72</w:t>
            </w:r>
          </w:p>
        </w:tc>
        <w:tc>
          <w:tcPr>
            <w:tcW w:w="50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336,968.45</w:t>
            </w:r>
          </w:p>
        </w:tc>
        <w:tc>
          <w:tcPr>
            <w:tcW w:w="56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tc>
        <w:tc>
          <w:tcPr>
            <w:tcW w:w="1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4"/>
              <w:jc w:val="right"/>
              <w:rPr>
                <w:rFonts w:ascii="Times New Roman" w:hAnsi="Times New Roman" w:cs="Times New Roman" w:eastAsia="Times New Roman" w:hint="default"/>
                <w:sz w:val="18"/>
                <w:szCs w:val="18"/>
              </w:rPr>
            </w:pPr>
            <w:r>
              <w:rPr>
                <w:rFonts w:ascii="Times New Roman"/>
                <w:w w:val="95"/>
                <w:sz w:val="18"/>
              </w:rPr>
              <w:t>2015.10.30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center"/>
              <w:rPr>
                <w:rFonts w:ascii="宋体" w:hAnsi="宋体" w:cs="宋体" w:eastAsia="宋体" w:hint="default"/>
                <w:sz w:val="18"/>
                <w:szCs w:val="18"/>
              </w:rPr>
            </w:pPr>
            <w:r>
              <w:rPr>
                <w:rFonts w:ascii="宋体" w:hAnsi="宋体" w:cs="宋体" w:eastAsia="宋体" w:hint="default"/>
                <w:sz w:val="18"/>
                <w:szCs w:val="18"/>
              </w:rPr>
              <w:t>五年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79,440,000.00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19,931,747.49</w:t>
            </w:r>
          </w:p>
        </w:tc>
        <w:tc>
          <w:tcPr>
            <w:tcW w:w="50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36,245.95</w:t>
            </w:r>
          </w:p>
        </w:tc>
        <w:tc>
          <w:tcPr>
            <w:tcW w:w="56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396,630,000.00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199,310,965.21</w:t>
            </w:r>
          </w:p>
        </w:tc>
        <w:tc>
          <w:tcPr>
            <w:tcW w:w="50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373,214.40</w:t>
            </w:r>
          </w:p>
        </w:tc>
        <w:tc>
          <w:tcPr>
            <w:tcW w:w="56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31</w:t>
      </w:r>
      <w:r>
        <w:rPr/>
        <w:t>、长期应付款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53,790,893.91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53,790,893.91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售后回租融资租赁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53,790,893.91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32</w:t>
      </w:r>
      <w:r>
        <w:rPr/>
        <w:t>、预计负债</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24,158,914.37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23,285,440.34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维护费</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24,158,914.37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23,285,440.34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33</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28,847,160.34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8,394,397.40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37,342,762.94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政府补助项目</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28,847,160.34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8,394,397.40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37,342,762.94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7"/>
        <w:ind w:left="0" w:right="1131"/>
        <w:jc w:val="right"/>
      </w:pPr>
      <w:r>
        <w:rPr/>
        <w:pict>
          <v:shape style="position:absolute;margin-left:74.397003pt;margin-top:74.831711pt;width:95.2pt;height:54.6pt;mso-position-horizontal-relative:page;mso-position-vertical-relative:paragraph;z-index:-132071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互联网、</w:t>
                  </w:r>
                </w:p>
              </w:txbxContent>
            </v:textbox>
            <w10:wrap type="none"/>
          </v:shape>
        </w:pict>
      </w:r>
      <w:r>
        <w:rPr/>
        <w:pict>
          <v:group style="position:absolute;margin-left:107.540001pt;margin-top:74.831711pt;width:62.05pt;height:54.6pt;mso-position-horizontal-relative:page;mso-position-vertical-relative:paragraph;z-index:-1320688" coordorigin="2151,1497" coordsize="1241,1092">
            <v:shape style="position:absolute;left:2151;top:1497;width:1241;height:1092" coordorigin="2151,1497" coordsize="1241,1092" path="m2151,2589l3392,2589,3392,1497,2151,1497,2151,2589xe" filled="true" fillcolor="#ffffff" stroked="false">
              <v:path arrowok="t"/>
              <v:fill type="solid"/>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69"/>
        <w:gridCol w:w="1079"/>
        <w:gridCol w:w="1011"/>
        <w:gridCol w:w="1010"/>
        <w:gridCol w:w="1011"/>
        <w:gridCol w:w="1008"/>
        <w:gridCol w:w="1010"/>
        <w:gridCol w:w="1249"/>
        <w:gridCol w:w="1010"/>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58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深圳市生 物、 新能源产业 发展专项资 金基于云计 算的安全支 付平台关键 技术研究</w:t>
            </w:r>
          </w:p>
        </w:tc>
        <w:tc>
          <w:tcPr>
            <w:tcW w:w="169" w:type="dxa"/>
            <w:tcBorders>
              <w:top w:val="single" w:sz="4" w:space="0" w:color="000000"/>
              <w:left w:val="single" w:sz="4" w:space="0" w:color="000000"/>
              <w:bottom w:val="single" w:sz="4" w:space="0" w:color="000000"/>
              <w:right w:val="nil" w:sz="6" w:space="0" w:color="auto"/>
            </w:tcBorders>
          </w:tcPr>
          <w:p>
            <w:pPr/>
          </w:p>
        </w:tc>
        <w:tc>
          <w:tcPr>
            <w:tcW w:w="10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2,080,000.00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高性能嵌入 式金融安全</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53,000.03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17,666.64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35,333.39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29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设计及 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广 东产学研资 助项目</w:t>
            </w:r>
            <w:r>
              <w:rPr>
                <w:rFonts w:ascii="Times New Roman" w:hAnsi="Times New Roman" w:cs="Times New Roman" w:eastAsia="Times New Roman"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基于云计算 平台的金融 电子透明支 付关键技术 研发与应用 示范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基于超级计 算的金融安 全云支付平 台研发与产 业化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万套太阳能</w:t>
            </w:r>
          </w:p>
          <w:p>
            <w:pPr>
              <w:pStyle w:val="TableParagraph"/>
              <w:spacing w:line="300" w:lineRule="auto" w:before="76"/>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-LED </w:t>
            </w:r>
            <w:r>
              <w:rPr>
                <w:rFonts w:ascii="宋体" w:hAnsi="宋体" w:cs="宋体" w:eastAsia="宋体" w:hint="default"/>
                <w:sz w:val="18"/>
                <w:szCs w:val="18"/>
              </w:rPr>
              <w:t>路灯</w:t>
            </w:r>
            <w:r>
              <w:rPr>
                <w:rFonts w:ascii="宋体" w:hAnsi="宋体" w:cs="宋体" w:eastAsia="宋体" w:hint="default"/>
                <w:w w:val="99"/>
                <w:sz w:val="18"/>
                <w:szCs w:val="18"/>
              </w:rPr>
              <w:t> </w:t>
            </w:r>
            <w:r>
              <w:rPr>
                <w:rFonts w:ascii="宋体" w:hAnsi="宋体" w:cs="宋体" w:eastAsia="宋体" w:hint="default"/>
                <w:sz w:val="18"/>
                <w:szCs w:val="18"/>
              </w:rPr>
              <w:t>产业化项目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4,583,333.35</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999,999.99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3,583,333.36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基于国密标 准的金融数 据安全集群 加密服务平 台研发项目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基于国密算 法的高安全 性移动智能 支付终端产 品产业化项 目资金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面向金融领 域的密码安 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芯片 产业化项目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年技术 改造投资补 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6,165,500.00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4,867,500.00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深圳市科技 研发技术创 新资金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湖南省创新 创业技术投 资项目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3,485,326.96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54,064.08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3,431,262.88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基于新零售 自助服务终 端生产线智 能化改造项 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12,640,000.0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1,474,666.69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11,165,333.31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智能导医机 器人关键技 术研发项目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证通金融设 备智能工程 实验室</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28,847,160.34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8,394,397.40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37,342,762.94</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34</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分期收款销售商品待确认销项税额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4,980,008.79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4,332,984.48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4,980,008.79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4,332,984.48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35</w:t>
      </w:r>
      <w:r>
        <w:rPr/>
        <w:t>、股本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515,156,948.00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515,156,948.00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36</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1,739,548,384.02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2,626,337.44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1,742,174,721.46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1,739,548,384.02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2,626,337.44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1,742,174,721.46</w:t>
            </w:r>
          </w:p>
        </w:tc>
      </w:tr>
    </w:tbl>
    <w:p>
      <w:pPr>
        <w:pStyle w:val="BodyText"/>
        <w:spacing w:line="357" w:lineRule="auto" w:before="49"/>
        <w:ind w:left="513" w:right="1129" w:hanging="361"/>
        <w:jc w:val="left"/>
      </w:pPr>
      <w:r>
        <w:rPr/>
        <w:t>其他说明，包括本期增减变动情况、变动原因说明： 本期资本公积增加主要系子公司长沙证通云收到</w:t>
      </w:r>
      <w:r>
        <w:rPr>
          <w:rFonts w:ascii="Times New Roman" w:hAnsi="Times New Roman" w:cs="Times New Roman" w:eastAsia="Times New Roman" w:hint="default"/>
        </w:rPr>
        <w:t>2017</w:t>
      </w:r>
      <w:r>
        <w:rPr/>
        <w:t>年国家服务业发展引导资金中央预算内投资用于</w:t>
      </w:r>
      <w:r>
        <w:rPr>
          <w:rFonts w:ascii="Times New Roman" w:hAnsi="Times New Roman" w:cs="Times New Roman" w:eastAsia="Times New Roman" w:hint="default"/>
        </w:rPr>
        <w:t>“</w:t>
      </w:r>
      <w:r>
        <w:rPr/>
        <w:t>数据驱动的园区</w:t>
      </w:r>
    </w:p>
    <w:p>
      <w:pPr>
        <w:pStyle w:val="BodyText"/>
        <w:spacing w:line="214" w:lineRule="exact"/>
        <w:ind w:right="1133"/>
        <w:jc w:val="left"/>
      </w:pPr>
      <w:r>
        <w:rPr/>
        <w:t>企业产业链价值发现公共服务平台</w:t>
      </w:r>
      <w:r>
        <w:rPr>
          <w:rFonts w:ascii="Times New Roman" w:hAnsi="Times New Roman" w:cs="Times New Roman" w:eastAsia="Times New Roman" w:hint="default"/>
        </w:rPr>
        <w:t>”</w:t>
      </w:r>
      <w:r>
        <w:rPr/>
        <w:t>，金额</w:t>
      </w:r>
      <w:r>
        <w:rPr>
          <w:rFonts w:ascii="Times New Roman" w:hAnsi="Times New Roman" w:cs="Times New Roman" w:eastAsia="Times New Roman" w:hint="default"/>
        </w:rPr>
        <w:t>200.00</w:t>
      </w:r>
      <w:r>
        <w:rPr/>
        <w:t>万元。</w:t>
      </w:r>
    </w:p>
    <w:p>
      <w:pPr>
        <w:pStyle w:val="BodyText"/>
        <w:spacing w:line="240" w:lineRule="auto" w:before="63"/>
        <w:ind w:left="513" w:right="1133"/>
        <w:jc w:val="left"/>
      </w:pPr>
      <w:r>
        <w:rPr/>
        <w:t>参股公司深圳市通新源物业管理有限公司其他权益变动增加资本公积金额为</w:t>
      </w:r>
      <w:r>
        <w:rPr>
          <w:rFonts w:ascii="Times New Roman" w:hAnsi="Times New Roman" w:cs="Times New Roman" w:eastAsia="Times New Roman" w:hint="default"/>
        </w:rPr>
        <w:t>626,337.44</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37</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27,883,032.00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33,190,744.57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61,073,776.57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27,883,032.00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33,190,744.57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61,073,776.57</w:t>
            </w:r>
          </w:p>
        </w:tc>
      </w:tr>
    </w:tbl>
    <w:p>
      <w:pPr>
        <w:pStyle w:val="BodyText"/>
        <w:spacing w:line="360" w:lineRule="auto" w:before="49"/>
        <w:ind w:left="513" w:right="1123" w:hanging="361"/>
        <w:jc w:val="left"/>
      </w:pPr>
      <w:r>
        <w:rPr/>
        <w:t>其他说明，包括本期增减变动情况、变动原因说明：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日分别召开了第四届董事会第二十六（临时）会议、</w:t>
      </w:r>
      <w:r>
        <w:rPr>
          <w:rFonts w:ascii="Times New Roman" w:hAnsi="Times New Roman" w:cs="Times New Roman" w:eastAsia="Times New Roman" w:hint="default"/>
        </w:rPr>
        <w:t>2018</w:t>
      </w:r>
      <w:r>
        <w:rPr/>
        <w:t>年第二次临时股东大会，</w:t>
      </w:r>
    </w:p>
    <w:p>
      <w:pPr>
        <w:pStyle w:val="BodyText"/>
        <w:spacing w:line="212" w:lineRule="exact"/>
        <w:ind w:right="0"/>
        <w:jc w:val="both"/>
      </w:pPr>
      <w:r>
        <w:rPr/>
        <w:t>审议通过了《关于回购公司股份的预案》拟使用不低于人民币</w:t>
      </w:r>
      <w:r>
        <w:rPr>
          <w:rFonts w:ascii="Times New Roman" w:hAnsi="Times New Roman" w:cs="Times New Roman" w:eastAsia="Times New Roman" w:hint="default"/>
        </w:rPr>
        <w:t>5,000.00</w:t>
      </w:r>
      <w:r>
        <w:rPr/>
        <w:t>万元，不超过人民币</w:t>
      </w:r>
      <w:r>
        <w:rPr>
          <w:rFonts w:ascii="Times New Roman" w:hAnsi="Times New Roman" w:cs="Times New Roman" w:eastAsia="Times New Roman" w:hint="default"/>
        </w:rPr>
        <w:t>3.00</w:t>
      </w:r>
      <w:r>
        <w:rPr/>
        <w:t>亿元的资金以集中竞价交易、</w:t>
      </w:r>
    </w:p>
    <w:p>
      <w:pPr>
        <w:pStyle w:val="BodyText"/>
        <w:spacing w:line="304" w:lineRule="auto" w:before="63"/>
        <w:ind w:right="1129"/>
        <w:jc w:val="both"/>
      </w:pPr>
      <w:r>
        <w:rPr/>
        <w:t>大宗交易或其他监管允许的方式回购公司股份，回购股份价格不超过人民币</w:t>
      </w:r>
      <w:r>
        <w:rPr>
          <w:rFonts w:ascii="Times New Roman" w:hAnsi="Times New Roman" w:cs="Times New Roman" w:eastAsia="Times New Roman" w:hint="default"/>
        </w:rPr>
        <w:t>14</w:t>
      </w:r>
      <w:r>
        <w:rPr/>
        <w:t>元</w:t>
      </w:r>
      <w:r>
        <w:rPr>
          <w:rFonts w:ascii="Times New Roman" w:hAnsi="Times New Roman" w:cs="Times New Roman" w:eastAsia="Times New Roman" w:hint="default"/>
        </w:rPr>
        <w:t>/</w:t>
      </w:r>
      <w:r>
        <w:rPr/>
        <w:t>股，按回购金额上限测算，预计回购股份 数量约为</w:t>
      </w:r>
      <w:r>
        <w:rPr>
          <w:rFonts w:ascii="Times New Roman" w:hAnsi="Times New Roman" w:cs="Times New Roman" w:eastAsia="Times New Roman" w:hint="default"/>
        </w:rPr>
        <w:t>2,142.86</w:t>
      </w:r>
      <w:r>
        <w:rPr/>
        <w:t>万股，约占公司目前已发行总股本的</w:t>
      </w:r>
      <w:r>
        <w:rPr>
          <w:rFonts w:ascii="Times New Roman" w:hAnsi="Times New Roman" w:cs="Times New Roman" w:eastAsia="Times New Roman" w:hint="default"/>
        </w:rPr>
        <w:t>4.16%</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日分别召开了第四届董 事会第三十六次（临时）会议、</w:t>
      </w:r>
      <w:r>
        <w:rPr>
          <w:rFonts w:ascii="Times New Roman" w:hAnsi="Times New Roman" w:cs="Times New Roman" w:eastAsia="Times New Roman" w:hint="default"/>
        </w:rPr>
        <w:t>2019</w:t>
      </w:r>
      <w:r>
        <w:rPr/>
        <w:t>年第二次临时股东大会审议通过了《关于修订</w:t>
      </w:r>
      <w:r>
        <w:rPr>
          <w:rFonts w:ascii="Times New Roman" w:hAnsi="Times New Roman" w:cs="Times New Roman" w:eastAsia="Times New Roman" w:hint="default"/>
        </w:rPr>
        <w:t>&lt;</w:t>
      </w:r>
      <w:r>
        <w:rPr/>
        <w:t>回购公司股份的预案</w:t>
      </w:r>
      <w:r>
        <w:rPr>
          <w:rFonts w:ascii="Times New Roman" w:hAnsi="Times New Roman" w:cs="Times New Roman" w:eastAsia="Times New Roman" w:hint="default"/>
        </w:rPr>
        <w:t>&gt;</w:t>
      </w:r>
      <w:r>
        <w:rPr/>
        <w:t>的议案》，公司 </w:t>
      </w:r>
      <w:r>
        <w:rPr>
          <w:spacing w:val="-2"/>
        </w:rPr>
        <w:t>本次回购股份的用途将用于公司股权激励计划、员工持股计划，如未能在股份回购完成之后</w:t>
      </w:r>
      <w:r>
        <w:rPr>
          <w:rFonts w:ascii="Times New Roman" w:hAnsi="Times New Roman" w:cs="Times New Roman" w:eastAsia="Times New Roman" w:hint="default"/>
          <w:spacing w:val="-2"/>
        </w:rPr>
        <w:t>36</w:t>
      </w:r>
      <w:r>
        <w:rPr>
          <w:spacing w:val="-2"/>
        </w:rPr>
        <w:t>个月内实施前述用途，回购股</w:t>
      </w:r>
      <w:r>
        <w:rPr>
          <w:spacing w:val="-61"/>
        </w:rPr>
        <w:t> </w:t>
      </w:r>
      <w:r>
        <w:rPr>
          <w:spacing w:val="-61"/>
        </w:rPr>
      </w:r>
      <w:r>
        <w:rPr>
          <w:spacing w:val="-2"/>
        </w:rPr>
        <w:t>份应全部予以注销。公司回购金额已达回购预案中的回购金额下限，且不超过回购预案中回购金额的上限，本次回购方案于</w:t>
      </w:r>
      <w:r>
        <w:rPr>
          <w:spacing w:val="-63"/>
        </w:rPr>
        <w:t> </w:t>
      </w:r>
      <w:r>
        <w:rPr>
          <w:spacing w:val="-63"/>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日已实施完毕，累计回购股份</w:t>
      </w:r>
      <w:r>
        <w:rPr>
          <w:rFonts w:ascii="Times New Roman" w:hAnsi="Times New Roman" w:cs="Times New Roman" w:eastAsia="Times New Roman" w:hint="default"/>
        </w:rPr>
        <w:t>7,802,746</w:t>
      </w:r>
      <w:r>
        <w:rPr/>
        <w:t>股。</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38</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6"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8"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9"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1,126,935.3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-692,669.3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r>
      <w:tr>
        <w:trPr>
          <w:trHeight w:val="163"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1,126,935.3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-692,669.3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-692,669.3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434,265.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93</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1,126,935.3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-692,669.3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3"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其他说明，包括对现金流量套期损益的有效部分转为被套期项目初始确认金额调整：</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36,442,010.41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36,442,010.41</w:t>
            </w:r>
          </w:p>
        </w:tc>
      </w:tr>
    </w:tbl>
    <w:p>
      <w:pPr>
        <w:pStyle w:val="BodyText"/>
        <w:spacing w:line="357" w:lineRule="auto" w:before="49"/>
        <w:ind w:right="3194"/>
        <w:jc w:val="left"/>
      </w:pPr>
      <w:r>
        <w:rPr/>
        <w:t>盈余公积说明，包括本期增减变动情况、变动原因说明： 根据《公司法》和公司章程规定，本公司本期按母公司净利润弥补亏损后，提取法定盈余公积。</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40</w:t>
      </w:r>
      <w:r>
        <w:rPr/>
        <w:t>、未分配利润</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143,102,629.08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410,061,468.61</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-2,823,175.68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140,279,453.40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20,355,219.82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-241,200,992.13</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25,757,847.40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160,634,673.22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143,102,629.08</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-2,823,175.68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41</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1,339,613,939.45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925,868,784.38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1,332,398,508.95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1,032,499,092.44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1,339,613,939.45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925,868,784.38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1,332,398,508.95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1,032,499,092.44</w:t>
            </w:r>
          </w:p>
        </w:tc>
      </w:tr>
    </w:tbl>
    <w:p>
      <w:pPr>
        <w:pStyle w:val="BodyText"/>
        <w:spacing w:line="240" w:lineRule="auto" w:before="49"/>
        <w:ind w:right="1133"/>
        <w:jc w:val="left"/>
      </w:pPr>
      <w:r>
        <w:rPr/>
        <w:t>是否已执行新收入准则</w:t>
      </w:r>
    </w:p>
    <w:p>
      <w:pPr>
        <w:pStyle w:val="BodyText"/>
        <w:spacing w:line="338" w:lineRule="auto" w:before="117"/>
        <w:ind w:right="940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after="0" w:line="338"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1,453,797.28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2,437,162.47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631,348.18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1,034,474.75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1,851,533.53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1,697,947.65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265,865.61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400,785.21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20,936.56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1,015,055.24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1,031,805.84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420,073.26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729,053.23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3,916,041.93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436,837.53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10,001,319.12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7,352,325.01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49,077,825.12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56,383,132.85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8,107,666.46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9,215,727.47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12,078,858.05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14,280,690.90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5,547,347.03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8,661,551.00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2,121,113.17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6,047,349.02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944,710.34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2,608,341.18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1,999,429.75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1,933,073.88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819,656.84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2,418,257.93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1,458,909.99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2,395,363.22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2,347,064.18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2,426,511.76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789,240.56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534,965.30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19,502,444.30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14,789,774.24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104,794,265.79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121,694,738.75</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33,974,750.15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33,973,936.08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19,721,460.72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16,696,929.13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1,590,055.66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2,774,379.44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2,670,045.69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4,828,409.40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2,757,639.78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4,413,857.76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2,464,636.45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2,652,644.77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6,416,370.79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12,180,621.70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顾问咨询费用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6,888,254.75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8,398,658.51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8,561,091.14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13,289,240.32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85,044,305.13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99,208,677.11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41,756,038.99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53,178,312.72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1,939,008.62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3,295,876.52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4,598,994.87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4,819,195.02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4,054,810.43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1,164,385.07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790,035.35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514,511.95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1,725,442.20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1,701,273.88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3,191,158.92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6,040,751.62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561,146.68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812,546.68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13,125,878.25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14,327,080.08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4,479,608.35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2,425,615.66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76,222,122.66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88,279,549.20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89,841,362.42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98,099,766.49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24,905,174.09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42,859,102.36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-1,869,063.66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-24,985.82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10,298,922.58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19,846,891.74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债券折价摊销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373,214.40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1,325,289.59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73,739,261.65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76,387,859.64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47</w:t>
      </w:r>
      <w:r>
        <w:rPr/>
        <w:t>、其他收益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软件退税款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224,285.54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31,274,757.91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20,513,558.42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增值税减免收入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1,144,897.19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32,419,655.10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20,737,843.96</w:t>
            </w:r>
          </w:p>
        </w:tc>
      </w:tr>
    </w:tbl>
    <w:p>
      <w:pPr>
        <w:pStyle w:val="BodyText"/>
        <w:spacing w:line="240" w:lineRule="auto" w:before="8"/>
        <w:ind w:right="1133"/>
        <w:jc w:val="left"/>
      </w:pPr>
      <w:r>
        <w:rPr/>
        <w:t>注：本期计入其他收益的政府补助情况详见本财务报表附注五</w:t>
      </w:r>
      <w:r>
        <w:rPr>
          <w:rFonts w:ascii="Times New Roman" w:hAnsi="Times New Roman" w:cs="Times New Roman" w:eastAsia="Times New Roman" w:hint="default"/>
        </w:rPr>
        <w:t>(</w:t>
      </w:r>
      <w:r>
        <w:rPr/>
        <w:t>五十九</w:t>
      </w:r>
      <w:r>
        <w:rPr>
          <w:rFonts w:ascii="Times New Roman" w:hAnsi="Times New Roman" w:cs="Times New Roman" w:eastAsia="Times New Roman" w:hint="default"/>
        </w:rPr>
        <w:t>)3</w:t>
      </w:r>
      <w:r>
        <w:rPr/>
        <w:t>之说明。</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-1,112,426.12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36,673.06</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25,397,970.81</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4"/>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571,196.07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-541,230.05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25,434,643.87</w:t>
            </w:r>
          </w:p>
        </w:tc>
      </w:tr>
    </w:tbl>
    <w:p>
      <w:pPr>
        <w:pStyle w:val="BodyText"/>
        <w:spacing w:line="357" w:lineRule="auto" w:before="49"/>
        <w:ind w:right="8054"/>
        <w:jc w:val="left"/>
      </w:pPr>
      <w:r>
        <w:rPr/>
        <w:t>其他说明： 按权益法核算的长期股权投资收益</w:t>
      </w:r>
    </w:p>
    <w:tbl>
      <w:tblPr>
        <w:tblW w:w="0" w:type="auto"/>
        <w:jc w:val="left"/>
        <w:tblInd w:w="148" w:type="dxa"/>
        <w:tblLayout w:type="fixed"/>
        <w:tblCellMar>
          <w:top w:w="0" w:type="dxa"/>
          <w:left w:w="0" w:type="dxa"/>
          <w:bottom w:w="0" w:type="dxa"/>
          <w:right w:w="0" w:type="dxa"/>
        </w:tblCellMar>
        <w:tblLook w:val="01E0"/>
      </w:tblPr>
      <w:tblGrid>
        <w:gridCol w:w="5536"/>
        <w:gridCol w:w="2090"/>
        <w:gridCol w:w="1935"/>
      </w:tblGrid>
      <w:tr>
        <w:trPr>
          <w:trHeight w:val="482"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5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51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2"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-362,931.83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-289,535.27</w:t>
            </w:r>
          </w:p>
        </w:tc>
      </w:tr>
      <w:tr>
        <w:trPr>
          <w:trHeight w:val="48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67,657.44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338,023.71</w:t>
            </w:r>
          </w:p>
        </w:tc>
      </w:tr>
      <w:tr>
        <w:trPr>
          <w:trHeight w:val="497"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广州水晶智联科技有限公司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spacing w:val="-1"/>
                <w:sz w:val="18"/>
              </w:rPr>
              <w:t>-91,609.92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spacing w:val="-1"/>
                <w:sz w:val="18"/>
              </w:rPr>
              <w:t>-9,457.07</w:t>
            </w:r>
          </w:p>
        </w:tc>
      </w:tr>
      <w:tr>
        <w:trPr>
          <w:trHeight w:val="482"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深圳市前海友胜资本管理有限公司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-725,541.81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spacing w:val="-1"/>
                <w:sz w:val="18"/>
              </w:rPr>
              <w:t>-2,358.31</w:t>
            </w:r>
          </w:p>
        </w:tc>
      </w:tr>
      <w:tr>
        <w:trPr>
          <w:trHeight w:val="500"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-1,112,426.12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36,673.06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49</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2,310,527.12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2,826,527.12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50</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-4,273,959.28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-4,216,786.80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312,209.66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-95,746,029.93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-834,529.18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-104,759,095.53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51</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-111,887,635.38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-9,194,057.66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-114,006,975.38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-9,194,057.66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-225,894,610.76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52</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处置非流动资产净收益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31,906,233.21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-281,465.09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31,906,233.21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-281,465.09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12,273.16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576,598.44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12,273.16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15,001.00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37,190.00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3,313,020.50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37,190.00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384,374.41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614,597.70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384,374.41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448,838.57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6,374,216.64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448,838.57</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144,450.00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144,450.00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2,308,725.39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4,770.18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2,308,725.39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212,162.36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696,938.83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212,162.36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诉讼利息及费用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7,492,243.83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21,815,559.98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7,492,243.83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182,545.85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182,545.85</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10,340,127.43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22,627,005.33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10,340,127.43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2,528,548.73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1,823,274.35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-10,969,350.45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-36,712,387.58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-8,440,801.72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9" w:right="0"/>
              <w:jc w:val="left"/>
              <w:rPr>
                <w:rFonts w:ascii="Times New Roman" w:hAnsi="Times New Roman" w:cs="Times New Roman" w:eastAsia="Times New Roman" w:hint="default"/>
                <w:sz w:val="18"/>
                <w:szCs w:val="18"/>
              </w:rPr>
            </w:pPr>
            <w:r>
              <w:rPr>
                <w:rFonts w:ascii="Times New Roman"/>
                <w:sz w:val="18"/>
              </w:rPr>
              <w:t>-34,889,113.23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358"/>
        <w:gridCol w:w="3201"/>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6,710,624.05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1,006,593.61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-108,894.67</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-320,697.25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132,165.86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1,433,322.56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-2,832,252.09</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-3,913,013.20</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-6,625,144.41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2,787,117.87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-8,440,801.72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82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三十八</w:t>
      </w:r>
      <w:r>
        <w:rPr>
          <w:rFonts w:ascii="Times New Roman" w:hAnsi="Times New Roman" w:cs="Times New Roman" w:eastAsia="Times New Roman" w:hint="default"/>
          <w:sz w:val="18"/>
          <w:szCs w:val="18"/>
        </w:rPr>
        <w:t>)</w:t>
      </w:r>
      <w:r>
        <w:rPr>
          <w:rFonts w:ascii="宋体" w:hAnsi="宋体" w:cs="宋体" w:eastAsia="宋体" w:hint="default"/>
          <w:sz w:val="18"/>
          <w:szCs w:val="18"/>
        </w:rPr>
        <w:t>之阐述。 </w:t>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4,501,920.65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17,850,986.17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40,286,934.38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23,126,622.98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收现往来款净额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13,986,700.58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13,606,428.54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436,565.41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5,727,618.20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59,212,121.02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60,311,655.89</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54,107,543.27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62,862,388.55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24,688,221.46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34,885,629.44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付现研发费用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23,873,269.75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25,821,779.87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8,213,073.52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17,721,448.35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滞纳金等营业外支出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647,680.09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806,675.17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付现往来款净额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15,985,225.96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法院冻结的资金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22,816,552.97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134,346,341.06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169,083,147.34</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理财产品到期收回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369,500,000.00</w:t>
            </w: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74,500,000.00</w:t>
            </w:r>
          </w:p>
        </w:tc>
      </w:tr>
    </w:tbl>
    <w:p>
      <w:pPr>
        <w:pStyle w:val="BodyText"/>
        <w:spacing w:line="240" w:lineRule="auto" w:before="49"/>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28,924,800.00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11,924,314.26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中央预算内投资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30,924,800.00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21,924,314.26</w:t>
            </w:r>
          </w:p>
        </w:tc>
      </w:tr>
    </w:tbl>
    <w:p>
      <w:pPr>
        <w:pStyle w:val="BodyText"/>
        <w:spacing w:line="240" w:lineRule="auto" w:before="49"/>
        <w:ind w:right="1133"/>
        <w:jc w:val="left"/>
      </w:pPr>
      <w:r>
        <w:rPr/>
        <w:t>收到的其他与筹资活动有关的现金说明：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370.029999pt;margin-top:554.476013pt;width:89.45pt;height:19.6pt;mso-position-horizontal-relative:page;mso-position-vertical-relative:page;z-index:-1320664" coordorigin="7401,11090" coordsize="1789,392">
            <v:shape style="position:absolute;left:7401;top:11090;width:1789;height:392" coordorigin="7401,11090" coordsize="1789,392" path="m7401,11481l9189,11481,9189,11090,7401,11090,7401,11481xe" filled="true" fillcolor="#ffffff" stroked="false">
              <v:path arrowok="t"/>
              <v:fill type="solid"/>
            </v:shape>
            <w10:wrap type="none"/>
          </v:group>
        </w:pict>
      </w: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7,880,368.37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3,423,508.53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银行承兑汇票及履约保函保证金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63,210,462.36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167,855,704.13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售后回购所支付的租金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59,048,109.84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39,365,206.57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债券担保费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2,085,849.06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预付融资款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6,202,830.06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33,190,744.57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27,883,032.00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偿还关联方借款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181,618,364.26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251,183,451.23</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211"/>
        <w:gridCol w:w="1859"/>
        <w:gridCol w:w="1488"/>
      </w:tblGrid>
      <w:tr>
        <w:trPr>
          <w:trHeight w:val="403"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15,151,425.77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-254,390,996.68</w:t>
            </w:r>
          </w:p>
        </w:tc>
      </w:tr>
      <w:tr>
        <w:trPr>
          <w:trHeight w:val="401"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113,953,153.19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225,894,610.76</w:t>
            </w:r>
          </w:p>
        </w:tc>
      </w:tr>
      <w:tr>
        <w:trPr>
          <w:trHeight w:val="403"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108,772,186.33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111,287,434.11</w:t>
            </w:r>
          </w:p>
        </w:tc>
      </w:tr>
      <w:tr>
        <w:trPr>
          <w:trHeight w:val="401"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25,105,583.11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24,556,198.33</w:t>
            </w:r>
          </w:p>
        </w:tc>
      </w:tr>
      <w:tr>
        <w:trPr>
          <w:trHeight w:val="403"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4,605,586.09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4,926,023.44</w:t>
            </w:r>
          </w:p>
        </w:tc>
      </w:tr>
      <w:tr>
        <w:trPr>
          <w:trHeight w:val="401" w:hRule="exact"/>
        </w:trPr>
        <w:tc>
          <w:tcPr>
            <w:tcW w:w="6211"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9" w:type="dxa"/>
            <w:tcBorders>
              <w:top w:val="single" w:sz="4" w:space="0" w:color="000000"/>
              <w:left w:val="single" w:sz="22" w:space="0" w:color="FFFFFF"/>
              <w:bottom w:val="single" w:sz="4" w:space="0" w:color="000000"/>
              <w:right w:val="single" w:sz="4" w:space="0" w:color="000000"/>
            </w:tcBorders>
          </w:tcPr>
          <w:p>
            <w:pPr>
              <w:pStyle w:val="TableParagraph"/>
              <w:tabs>
                <w:tab w:pos="710" w:val="left" w:leader="none"/>
              </w:tabs>
              <w:spacing w:line="240" w:lineRule="auto" w:before="49"/>
              <w:ind w:left="-132"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-31,906,233.21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281,465.09</w:t>
            </w:r>
          </w:p>
        </w:tc>
      </w:tr>
      <w:tr>
        <w:trPr>
          <w:trHeight w:val="403"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2,296,452.23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-571,828.26</w:t>
            </w:r>
          </w:p>
        </w:tc>
      </w:tr>
      <w:tr>
        <w:trPr>
          <w:trHeight w:val="401"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99,189,184.70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101,525,513.65</w:t>
            </w:r>
          </w:p>
        </w:tc>
      </w:tr>
      <w:tr>
        <w:trPr>
          <w:trHeight w:val="403"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-2,285,297.07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-25,434,643.87</w:t>
            </w:r>
          </w:p>
        </w:tc>
      </w:tr>
      <w:tr>
        <w:trPr>
          <w:trHeight w:val="401"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-10,868,572.32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-34,515,506.83</w:t>
            </w:r>
          </w:p>
        </w:tc>
      </w:tr>
      <w:tr>
        <w:trPr>
          <w:trHeight w:val="403"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-100,778.10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-2,196,880.75</w:t>
            </w:r>
          </w:p>
        </w:tc>
      </w:tr>
      <w:tr>
        <w:trPr>
          <w:trHeight w:val="401"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58,182,292.50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-17,970,036.09</w:t>
            </w:r>
          </w:p>
        </w:tc>
      </w:tr>
      <w:tr>
        <w:trPr>
          <w:trHeight w:val="403"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-313,908,499.12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-130,921,696.16</w:t>
            </w:r>
          </w:p>
        </w:tc>
      </w:tr>
      <w:tr>
        <w:trPr>
          <w:trHeight w:val="401"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28,164,269.37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16,642,281.12</w:t>
            </w:r>
          </w:p>
        </w:tc>
      </w:tr>
      <w:tr>
        <w:trPr>
          <w:trHeight w:val="403" w:hRule="exact"/>
        </w:trPr>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8,495,602.60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4,841,493.67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6216"/>
        <w:gridCol w:w="1855"/>
        <w:gridCol w:w="1488"/>
      </w:tblGrid>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104,846,356.07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23,953,431.53</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177,260,935.53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218,841,777.05</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218,841,777.05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409,022,972.53</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-41,580,841.52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-190,181,195.48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177,260,935.53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218,841,777.05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131,995.51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64,495.23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177,128,063.22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218,576,294.13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876.80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200,987.69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177,260,935.53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218,841,777.05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4" w:lineRule="auto" w:before="118"/>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5"/>
        <w:gridCol w:w="3058"/>
        <w:gridCol w:w="3185"/>
      </w:tblGrid>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284,893,661.16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保证金及法院诉讼冻结</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277,741,536.19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183,452,075.44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83,710,000.00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829,797,272.79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7,512,143.88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956,724.55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6,674,301.81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67,069.57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524,182.22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273,293.00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244,815.87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139,275.70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0.4943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68,843.98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63,612,813.26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8,816,470.37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61,505,460.60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17,555.94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137,208.45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2,506.92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2,245.70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3,981,182.51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1,967,898.51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1,117,981.92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126,230.96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880,612.42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480,213.44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0.4943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237,369.50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340" w:lineRule="auto"/>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证通国际投资有限公司，主要经营地在香港，记账本位币为企业根据公司业务主要结算货币确定的人民币，当地政府规</w:t>
      </w:r>
    </w:p>
    <w:p>
      <w:pPr>
        <w:pStyle w:val="BodyText"/>
        <w:spacing w:line="300" w:lineRule="auto" w:before="1"/>
        <w:ind w:right="1133"/>
        <w:jc w:val="left"/>
      </w:pPr>
      <w:r>
        <w:rPr/>
        <w:t>定记账本位币由企业自行选择，选定后不得随意变更。</w:t>
      </w:r>
      <w:r>
        <w:rPr>
          <w:rFonts w:ascii="Times New Roman" w:hAnsi="Times New Roman" w:cs="Times New Roman" w:eastAsia="Times New Roman" w:hint="default"/>
        </w:rPr>
        <w:t>SZZT SOUTH</w:t>
      </w:r>
      <w:r>
        <w:rPr>
          <w:rFonts w:ascii="Times New Roman" w:hAnsi="Times New Roman" w:cs="Times New Roman" w:eastAsia="Times New Roman" w:hint="default"/>
          <w:spacing w:val="10"/>
        </w:rPr>
        <w:t> </w:t>
      </w:r>
      <w:r>
        <w:rPr>
          <w:rFonts w:ascii="Times New Roman" w:hAnsi="Times New Roman" w:cs="Times New Roman" w:eastAsia="Times New Roman" w:hint="default"/>
        </w:rPr>
        <w:t>Africa(PTY).,Ltd</w:t>
      </w:r>
      <w:r>
        <w:rPr/>
        <w:t>，主要经营地在南非，记账本位币为 企业根据公司业务主要结算货币确定的南非兰特，当地政府规定记账本位币由企业自行选择，选定后不得随意变更。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1133"/>
        <w:jc w:val="left"/>
        <w:rPr>
          <w:b w:val="0"/>
          <w:bCs w:val="0"/>
        </w:rPr>
      </w:pPr>
      <w:r>
        <w:rPr>
          <w:rFonts w:ascii="Times New Roman" w:hAnsi="Times New Roman" w:cs="Times New Roman" w:eastAsia="Times New Roman" w:hint="default"/>
        </w:rPr>
        <w:t>62</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31"/>
        <w:gridCol w:w="1274"/>
        <w:gridCol w:w="994"/>
        <w:gridCol w:w="1771"/>
      </w:tblGrid>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8,394,397.40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8,394,397.40</w:t>
            </w:r>
          </w:p>
        </w:tc>
      </w:tr>
      <w:tr>
        <w:trPr>
          <w:trHeight w:val="404"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22,880,360.51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22,880,360.51</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直接取得的财政贴息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736,485.00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736,485.00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5531"/>
        <w:gridCol w:w="1274"/>
        <w:gridCol w:w="994"/>
        <w:gridCol w:w="1771"/>
      </w:tblGrid>
      <w:tr>
        <w:trPr>
          <w:trHeight w:val="404"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32,011,242.91</w:t>
            </w:r>
          </w:p>
        </w:tc>
        <w:tc>
          <w:tcPr>
            <w:tcW w:w="99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0" w:right="0"/>
              <w:jc w:val="left"/>
              <w:rPr>
                <w:rFonts w:ascii="Times New Roman" w:hAnsi="Times New Roman" w:cs="Times New Roman" w:eastAsia="Times New Roman" w:hint="default"/>
                <w:sz w:val="18"/>
                <w:szCs w:val="18"/>
              </w:rPr>
            </w:pPr>
            <w:r>
              <w:rPr>
                <w:rFonts w:ascii="Times New Roman"/>
                <w:sz w:val="18"/>
              </w:rPr>
              <w:t>32,011,242.91</w:t>
            </w:r>
          </w:p>
        </w:tc>
      </w:tr>
    </w:tbl>
    <w:p>
      <w:pPr>
        <w:spacing w:line="240" w:lineRule="auto" w:before="3"/>
        <w:rPr>
          <w:rFonts w:ascii="宋体" w:hAnsi="宋体" w:cs="宋体" w:eastAsia="宋体" w:hint="default"/>
          <w:sz w:val="19"/>
          <w:szCs w:val="19"/>
        </w:rPr>
      </w:pPr>
    </w:p>
    <w:p>
      <w:pPr>
        <w:pStyle w:val="Heading3"/>
        <w:spacing w:line="240" w:lineRule="auto" w:before="36"/>
        <w:ind w:left="212" w:right="1034"/>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350" w:lineRule="auto"/>
        <w:ind w:left="212" w:right="8804"/>
        <w:jc w:val="left"/>
      </w:pPr>
      <w:r>
        <w:rPr/>
        <w:pict>
          <v:shape style="position:absolute;margin-left:51pt;margin-top:50.471699pt;width:493.55pt;height:429.7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3"/>
                    <w:gridCol w:w="1375"/>
                    <w:gridCol w:w="1400"/>
                    <w:gridCol w:w="1294"/>
                    <w:gridCol w:w="1400"/>
                    <w:gridCol w:w="1006"/>
                    <w:gridCol w:w="439"/>
                  </w:tblGrid>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期初递延收益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3"/>
                          <w:jc w:val="right"/>
                          <w:rPr>
                            <w:rFonts w:ascii="宋体" w:hAnsi="宋体" w:cs="宋体" w:eastAsia="宋体" w:hint="default"/>
                            <w:sz w:val="18"/>
                            <w:szCs w:val="18"/>
                          </w:rPr>
                        </w:pPr>
                        <w:r>
                          <w:rPr>
                            <w:rFonts w:ascii="宋体" w:hAnsi="宋体" w:cs="宋体" w:eastAsia="宋体" w:hint="default"/>
                            <w:sz w:val="18"/>
                            <w:szCs w:val="18"/>
                          </w:rPr>
                          <w:t>本期新增补助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期末递延收益</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9" w:right="134"/>
                          <w:jc w:val="left"/>
                          <w:rPr>
                            <w:rFonts w:ascii="宋体" w:hAnsi="宋体" w:cs="宋体" w:eastAsia="宋体" w:hint="default"/>
                            <w:sz w:val="18"/>
                            <w:szCs w:val="18"/>
                          </w:rPr>
                        </w:pPr>
                        <w:r>
                          <w:rPr>
                            <w:rFonts w:ascii="宋体" w:hAnsi="宋体" w:cs="宋体" w:eastAsia="宋体" w:hint="default"/>
                            <w:sz w:val="18"/>
                            <w:szCs w:val="18"/>
                          </w:rPr>
                          <w:t>本期摊销 列报项目</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7" w:right="120"/>
                          <w:jc w:val="left"/>
                          <w:rPr>
                            <w:rFonts w:ascii="宋体" w:hAnsi="宋体" w:cs="宋体" w:eastAsia="宋体" w:hint="default"/>
                            <w:sz w:val="18"/>
                            <w:szCs w:val="18"/>
                          </w:rPr>
                        </w:pPr>
                        <w:r>
                          <w:rPr>
                            <w:rFonts w:ascii="宋体" w:hAnsi="宋体" w:cs="宋体" w:eastAsia="宋体" w:hint="default"/>
                            <w:sz w:val="18"/>
                            <w:szCs w:val="18"/>
                          </w:rPr>
                          <w:t>说 明</w:t>
                        </w:r>
                      </w:p>
                    </w:tc>
                  </w:tr>
                  <w:tr>
                    <w:trPr>
                      <w:trHeight w:val="94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4"/>
                          <w:jc w:val="both"/>
                          <w:rPr>
                            <w:rFonts w:ascii="宋体" w:hAnsi="宋体" w:cs="宋体" w:eastAsia="宋体" w:hint="default"/>
                            <w:sz w:val="18"/>
                            <w:szCs w:val="18"/>
                          </w:rPr>
                        </w:pPr>
                        <w:r>
                          <w:rPr>
                            <w:rFonts w:ascii="宋体" w:hAnsi="宋体" w:cs="宋体" w:eastAsia="宋体" w:hint="default"/>
                            <w:sz w:val="18"/>
                            <w:szCs w:val="18"/>
                          </w:rPr>
                          <w:t>深圳市生物、互联网、新能源产业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发展专项紫金香基于云计算的安全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支付平台关键技术研究</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8" w:right="0"/>
                          <w:jc w:val="left"/>
                          <w:rPr>
                            <w:rFonts w:ascii="Times New Roman" w:hAnsi="Times New Roman" w:cs="Times New Roman" w:eastAsia="Times New Roman" w:hint="default"/>
                            <w:sz w:val="18"/>
                            <w:szCs w:val="18"/>
                          </w:rPr>
                        </w:pPr>
                        <w:r>
                          <w:rPr>
                            <w:rFonts w:ascii="Times New Roman"/>
                            <w:sz w:val="18"/>
                          </w:rPr>
                          <w:t>2,080,000.00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7" w:right="0"/>
                          <w:jc w:val="left"/>
                          <w:rPr>
                            <w:rFonts w:ascii="Times New Roman" w:hAnsi="Times New Roman" w:cs="Times New Roman" w:eastAsia="Times New Roman" w:hint="default"/>
                            <w:sz w:val="18"/>
                            <w:szCs w:val="18"/>
                          </w:rPr>
                        </w:pPr>
                        <w:r>
                          <w:rPr>
                            <w:rFonts w:ascii="Times New Roman"/>
                            <w:sz w:val="18"/>
                          </w:rPr>
                          <w:t>960,000.00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0" w:right="0"/>
                          <w:jc w:val="left"/>
                          <w:rPr>
                            <w:rFonts w:ascii="Times New Roman" w:hAnsi="Times New Roman" w:cs="Times New Roman" w:eastAsia="Times New Roman" w:hint="default"/>
                            <w:sz w:val="18"/>
                            <w:szCs w:val="18"/>
                          </w:rPr>
                        </w:pPr>
                        <w:r>
                          <w:rPr>
                            <w:rFonts w:ascii="Times New Roman"/>
                            <w:sz w:val="18"/>
                          </w:rPr>
                          <w:t>1,120,000.00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9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高性能嵌入式金融安全</w:t>
                        </w:r>
                        <w:r>
                          <w:rPr>
                            <w:rFonts w:ascii="Times New Roman" w:hAnsi="Times New Roman" w:cs="Times New Roman" w:eastAsia="Times New Roman" w:hint="default"/>
                            <w:spacing w:val="2"/>
                            <w:sz w:val="18"/>
                            <w:szCs w:val="18"/>
                          </w:rPr>
                          <w:t>CPU</w:t>
                        </w:r>
                        <w:r>
                          <w:rPr>
                            <w:rFonts w:ascii="宋体" w:hAnsi="宋体" w:cs="宋体" w:eastAsia="宋体" w:hint="default"/>
                            <w:spacing w:val="2"/>
                            <w:sz w:val="18"/>
                            <w:szCs w:val="18"/>
                          </w:rPr>
                          <w:t>设计及 </w:t>
                        </w:r>
                        <w:r>
                          <w:rPr>
                            <w:rFonts w:ascii="宋体" w:hAnsi="宋体" w:cs="宋体" w:eastAsia="宋体" w:hint="default"/>
                            <w:sz w:val="18"/>
                            <w:szCs w:val="18"/>
                          </w:rPr>
                          <w:t>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广东产学研资助项目</w:t>
                        </w:r>
                        <w:r>
                          <w:rPr>
                            <w:rFonts w:ascii="Times New Roman" w:hAnsi="Times New Roman" w:cs="Times New Roman" w:eastAsia="Times New Roman" w:hint="default"/>
                            <w:sz w:val="18"/>
                            <w:szCs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53,000.03</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17,666.64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35,333.39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基于云计算平台的金融电子透明支</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付关键技术研发与应用示范</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650,000.00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350,000.00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基于超级计算的金融安全云支付平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台研发与产业化</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325,000.00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150,000.00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175,000.00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2"/>
                          <w:jc w:val="left"/>
                          <w:rPr>
                            <w:rFonts w:ascii="宋体" w:hAnsi="宋体" w:cs="宋体" w:eastAsia="宋体" w:hint="default"/>
                            <w:sz w:val="18"/>
                            <w:szCs w:val="18"/>
                          </w:rPr>
                        </w:pPr>
                        <w:r>
                          <w:rPr>
                            <w:rFonts w:ascii="宋体" w:hAnsi="宋体" w:cs="宋体" w:eastAsia="宋体" w:hint="default"/>
                            <w:spacing w:val="9"/>
                            <w:sz w:val="18"/>
                            <w:szCs w:val="18"/>
                          </w:rPr>
                          <w:t>关于年产</w:t>
                        </w:r>
                        <w:r>
                          <w:rPr>
                            <w:rFonts w:ascii="Times New Roman" w:hAnsi="Times New Roman" w:cs="Times New Roman" w:eastAsia="Times New Roman" w:hint="default"/>
                            <w:spacing w:val="9"/>
                            <w:sz w:val="18"/>
                            <w:szCs w:val="18"/>
                          </w:rPr>
                          <w:t>30</w:t>
                        </w:r>
                        <w:r>
                          <w:rPr>
                            <w:rFonts w:ascii="宋体" w:hAnsi="宋体" w:cs="宋体" w:eastAsia="宋体" w:hint="default"/>
                            <w:spacing w:val="9"/>
                            <w:sz w:val="18"/>
                            <w:szCs w:val="18"/>
                          </w:rPr>
                          <w:t>万套太阳能</w:t>
                        </w:r>
                        <w:r>
                          <w:rPr>
                            <w:rFonts w:ascii="Times New Roman" w:hAnsi="Times New Roman" w:cs="Times New Roman" w:eastAsia="Times New Roman" w:hint="default"/>
                            <w:spacing w:val="9"/>
                            <w:sz w:val="18"/>
                            <w:szCs w:val="18"/>
                          </w:rPr>
                          <w:t>-LED</w:t>
                        </w:r>
                        <w:r>
                          <w:rPr>
                            <w:rFonts w:ascii="宋体" w:hAnsi="宋体" w:cs="宋体" w:eastAsia="宋体" w:hint="default"/>
                            <w:spacing w:val="9"/>
                            <w:sz w:val="18"/>
                            <w:szCs w:val="18"/>
                          </w:rPr>
                          <w:t>路灯</w:t>
                        </w:r>
                        <w:r>
                          <w:rPr>
                            <w:rFonts w:ascii="宋体" w:hAnsi="宋体" w:cs="宋体" w:eastAsia="宋体" w:hint="default"/>
                            <w:spacing w:val="-85"/>
                            <w:sz w:val="18"/>
                            <w:szCs w:val="18"/>
                          </w:rPr>
                          <w:t> </w:t>
                        </w:r>
                        <w:r>
                          <w:rPr>
                            <w:rFonts w:ascii="宋体" w:hAnsi="宋体" w:cs="宋体" w:eastAsia="宋体" w:hint="default"/>
                            <w:sz w:val="18"/>
                            <w:szCs w:val="18"/>
                          </w:rPr>
                          <w:t>产业化项目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4,583,333.35</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999,999.99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3,583,333.36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基于国密标准的金融数据安全集群</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加密服务平台研发项目资金</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1,375,000.00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1,075,000.00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基于国密算法的高安全性移动智能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支付终端产品产业化项目资金</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7,200,000.00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1,800,000.00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5,400,000.00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99"/>
                          <w:jc w:val="left"/>
                          <w:rPr>
                            <w:rFonts w:ascii="宋体" w:hAnsi="宋体" w:cs="宋体" w:eastAsia="宋体" w:hint="default"/>
                            <w:sz w:val="18"/>
                            <w:szCs w:val="18"/>
                          </w:rPr>
                        </w:pPr>
                        <w:r>
                          <w:rPr>
                            <w:rFonts w:ascii="宋体" w:hAnsi="宋体" w:cs="宋体" w:eastAsia="宋体" w:hint="default"/>
                            <w:spacing w:val="2"/>
                            <w:sz w:val="18"/>
                            <w:szCs w:val="18"/>
                          </w:rPr>
                          <w:t>面向金融领域的密码安全</w:t>
                        </w:r>
                        <w:r>
                          <w:rPr>
                            <w:rFonts w:ascii="Times New Roman" w:hAnsi="Times New Roman" w:cs="Times New Roman" w:eastAsia="Times New Roman" w:hint="default"/>
                            <w:spacing w:val="2"/>
                            <w:sz w:val="18"/>
                            <w:szCs w:val="18"/>
                          </w:rPr>
                          <w:t>SOC</w:t>
                        </w:r>
                        <w:r>
                          <w:rPr>
                            <w:rFonts w:ascii="宋体" w:hAnsi="宋体" w:cs="宋体" w:eastAsia="宋体" w:hint="default"/>
                            <w:spacing w:val="2"/>
                            <w:sz w:val="18"/>
                            <w:szCs w:val="18"/>
                          </w:rPr>
                          <w:t>芯片 </w:t>
                        </w:r>
                        <w:r>
                          <w:rPr>
                            <w:rFonts w:ascii="宋体" w:hAnsi="宋体" w:cs="宋体" w:eastAsia="宋体" w:hint="default"/>
                            <w:sz w:val="18"/>
                            <w:szCs w:val="18"/>
                          </w:rPr>
                          <w:t>产业化项目资金</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2,730,000.00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840,000.00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1,890,000.00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年技术改造投资补助</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6,165,500.00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0" w:right="0"/>
                          <w:jc w:val="left"/>
                          <w:rPr>
                            <w:rFonts w:ascii="Times New Roman" w:hAnsi="Times New Roman" w:cs="Times New Roman" w:eastAsia="Times New Roman" w:hint="default"/>
                            <w:sz w:val="18"/>
                            <w:szCs w:val="18"/>
                          </w:rPr>
                        </w:pPr>
                        <w:r>
                          <w:rPr>
                            <w:rFonts w:ascii="Times New Roman"/>
                            <w:sz w:val="18"/>
                          </w:rPr>
                          <w:t>1,298,000.00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4,867,500.00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家用金融多媒体云支付终端项目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6" w:right="0"/>
                          <w:jc w:val="left"/>
                          <w:rPr>
                            <w:rFonts w:ascii="Times New Roman" w:hAnsi="Times New Roman" w:cs="Times New Roman" w:eastAsia="Times New Roman" w:hint="default"/>
                            <w:sz w:val="18"/>
                            <w:szCs w:val="18"/>
                          </w:rPr>
                        </w:pPr>
                        <w:r>
                          <w:rPr>
                            <w:rFonts w:ascii="Times New Roman"/>
                            <w:sz w:val="18"/>
                          </w:rPr>
                          <w:t>200,000.00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200,000.00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湖南省创新创业技术投资项目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8" w:right="0"/>
                          <w:jc w:val="left"/>
                          <w:rPr>
                            <w:rFonts w:ascii="Times New Roman" w:hAnsi="Times New Roman" w:cs="Times New Roman" w:eastAsia="Times New Roman" w:hint="default"/>
                            <w:sz w:val="18"/>
                            <w:szCs w:val="18"/>
                          </w:rPr>
                        </w:pPr>
                        <w:r>
                          <w:rPr>
                            <w:rFonts w:ascii="Times New Roman"/>
                            <w:sz w:val="18"/>
                          </w:rPr>
                          <w:t>3,485,326.96</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3" w:right="0"/>
                          <w:jc w:val="left"/>
                          <w:rPr>
                            <w:rFonts w:ascii="Times New Roman" w:hAnsi="Times New Roman" w:cs="Times New Roman" w:eastAsia="Times New Roman" w:hint="default"/>
                            <w:sz w:val="18"/>
                            <w:szCs w:val="18"/>
                          </w:rPr>
                        </w:pPr>
                        <w:r>
                          <w:rPr>
                            <w:rFonts w:ascii="Times New Roman"/>
                            <w:sz w:val="18"/>
                          </w:rPr>
                          <w:t>54,064.08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0" w:right="0"/>
                          <w:jc w:val="left"/>
                          <w:rPr>
                            <w:rFonts w:ascii="Times New Roman" w:hAnsi="Times New Roman" w:cs="Times New Roman" w:eastAsia="Times New Roman" w:hint="default"/>
                            <w:sz w:val="18"/>
                            <w:szCs w:val="18"/>
                          </w:rPr>
                        </w:pPr>
                        <w:r>
                          <w:rPr>
                            <w:rFonts w:ascii="Times New Roman"/>
                            <w:sz w:val="18"/>
                          </w:rPr>
                          <w:t>3,431,262.88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基于新零售自助服务终端生产线智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能化改造项目</w:t>
                        </w:r>
                      </w:p>
                    </w:tc>
                    <w:tc>
                      <w:tcPr>
                        <w:tcW w:w="1375"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pacing w:val="-1"/>
                            <w:sz w:val="18"/>
                          </w:rPr>
                          <w:t>12,640,000.00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1,474,666.69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11,165,333.31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智能导医机器人关键技术研发项目</w:t>
                        </w:r>
                      </w:p>
                    </w:tc>
                    <w:tc>
                      <w:tcPr>
                        <w:tcW w:w="1375"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2,250,000.00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2,250,000.00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证通金融设备智能工程实验室</w:t>
                        </w:r>
                      </w:p>
                    </w:tc>
                    <w:tc>
                      <w:tcPr>
                        <w:tcW w:w="1375"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28,847,160.34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16,890,000.00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8,394,397.40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37,342,762.94</w:t>
                        </w:r>
                      </w:p>
                    </w:tc>
                    <w:tc>
                      <w:tcPr>
                        <w:tcW w:w="1006"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 </w:t>
      </w:r>
      <w:r>
        <w:rPr>
          <w:rFonts w:ascii="Times New Roman" w:hAnsi="Times New Roman" w:cs="Times New Roman" w:eastAsia="Times New Roman" w:hint="default"/>
        </w:rPr>
        <w:t>1)</w:t>
      </w:r>
      <w:r>
        <w:rPr/>
        <w:t>与资产相关的政府补助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12" w:right="1034"/>
        <w:jc w:val="left"/>
      </w:pPr>
      <w:r>
        <w:rPr>
          <w:rFonts w:ascii="Times New Roman" w:hAnsi="Times New Roman" w:cs="Times New Roman" w:eastAsia="Times New Roman" w:hint="default"/>
        </w:rPr>
        <w:t>2)</w:t>
      </w:r>
      <w:r>
        <w:rPr/>
        <w:t>与收益相关，且用于补偿公司已发生的相关成本费用或损失的政府补助</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6774"/>
        <w:gridCol w:w="1275"/>
        <w:gridCol w:w="1133"/>
        <w:gridCol w:w="674"/>
      </w:tblGrid>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24"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电费补贴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5" w:right="0"/>
              <w:jc w:val="left"/>
              <w:rPr>
                <w:rFonts w:ascii="Times New Roman" w:hAnsi="Times New Roman" w:cs="Times New Roman" w:eastAsia="Times New Roman" w:hint="default"/>
                <w:sz w:val="18"/>
                <w:szCs w:val="18"/>
              </w:rPr>
            </w:pPr>
            <w:r>
              <w:rPr>
                <w:rFonts w:ascii="Times New Roman"/>
                <w:sz w:val="18"/>
              </w:rPr>
              <w:t>4,595,865.26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年度企业研究开发资助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3,175,000.00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7"/>
              <w:jc w:val="left"/>
              <w:rPr>
                <w:rFonts w:ascii="宋体" w:hAnsi="宋体" w:cs="宋体" w:eastAsia="宋体" w:hint="default"/>
                <w:sz w:val="18"/>
                <w:szCs w:val="18"/>
              </w:rPr>
            </w:pPr>
            <w:r>
              <w:rPr>
                <w:rFonts w:ascii="宋体" w:hAnsi="宋体" w:cs="宋体" w:eastAsia="宋体" w:hint="default"/>
                <w:sz w:val="18"/>
                <w:szCs w:val="18"/>
              </w:rPr>
              <w:t>深圳市投资推广署证通金融云数据中心建设及产业化运营深圳市产业链薄弱环节投</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资项目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深圳市经济贸易和信息化委员会智慧园区中的云计算规模化应用项目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收到广州南沙开发区财政局拨付</w:t>
            </w:r>
            <w:r>
              <w:rPr>
                <w:rFonts w:ascii="Times New Roman" w:hAnsi="Times New Roman" w:cs="Times New Roman" w:eastAsia="Times New Roman" w:hint="default"/>
                <w:sz w:val="18"/>
                <w:szCs w:val="18"/>
              </w:rPr>
              <w:t>“</w:t>
            </w:r>
            <w:r>
              <w:rPr>
                <w:rFonts w:ascii="宋体" w:hAnsi="宋体" w:cs="宋体" w:eastAsia="宋体" w:hint="default"/>
                <w:sz w:val="18"/>
                <w:szCs w:val="18"/>
              </w:rPr>
              <w:t>产业创新能力提升专题</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年创新平台奖励款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深圳市南山区经济促进局南山区产业链薄弱环节投资项目证通金融云数据中心建设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1,500,000.00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745"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6774"/>
        <w:gridCol w:w="1275"/>
        <w:gridCol w:w="1133"/>
        <w:gridCol w:w="674"/>
      </w:tblGrid>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及产业化运营</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107"/>
              <w:jc w:val="left"/>
              <w:rPr>
                <w:rFonts w:ascii="宋体" w:hAnsi="宋体" w:cs="宋体" w:eastAsia="宋体" w:hint="default"/>
                <w:sz w:val="18"/>
                <w:szCs w:val="18"/>
              </w:rPr>
            </w:pPr>
            <w:r>
              <w:rPr>
                <w:rFonts w:ascii="宋体" w:hAnsi="宋体" w:cs="宋体" w:eastAsia="宋体" w:hint="default"/>
                <w:sz w:val="18"/>
                <w:szCs w:val="18"/>
              </w:rPr>
              <w:t>深圳市工业和信息化局</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年度深圳市战略性新兴产业新一代信息技术信息安全专</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项扶持计划资助项目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高新企业补助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546,000.00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湖南湘江新区管理委员会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年度高端制造业发展</w:t>
            </w:r>
            <w:r>
              <w:rPr>
                <w:rFonts w:ascii="Times New Roman" w:hAnsi="Times New Roman" w:cs="Times New Roman" w:eastAsia="Times New Roman"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年长沙市创新平台建设专项资金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年湖南省预算内基建资金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光明区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年经济发展专项资金补助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270,468.12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年经发资金研发投入资助金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科技创新奖励</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219,911.13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展会补贴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215,824.00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两化融合资助项目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年东莞市经济和信息化专项资金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年度认定高新技术企业研发经费补贴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年度企业研发投入资助奖励</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179,000.00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收到南沙区财政局拨付</w:t>
            </w:r>
            <w:r>
              <w:rPr>
                <w:rFonts w:ascii="Times New Roman" w:hAnsi="Times New Roman" w:cs="Times New Roman" w:eastAsia="Times New Roman" w:hint="default"/>
                <w:sz w:val="18"/>
                <w:szCs w:val="18"/>
              </w:rPr>
              <w:t>2017</w:t>
            </w:r>
            <w:r>
              <w:rPr>
                <w:rFonts w:ascii="宋体" w:hAnsi="宋体" w:cs="宋体" w:eastAsia="宋体" w:hint="default"/>
                <w:sz w:val="18"/>
                <w:szCs w:val="18"/>
              </w:rPr>
              <w:t>年企业研发后补助专题项目市补助经费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157,800.00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产业扶持资金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税收奖励款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年度高新技术企业奖补项目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新型工业化奖励资金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生育津贴补助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19,792.00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年服务业发展综合考核奖励资金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年第二批计算机软件著作权资助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泸州市场拓展资金补助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center"/>
              <w:rPr>
                <w:rFonts w:ascii="Times New Roman" w:hAnsi="Times New Roman" w:cs="Times New Roman" w:eastAsia="Times New Roman" w:hint="default"/>
                <w:sz w:val="18"/>
                <w:szCs w:val="18"/>
              </w:rPr>
            </w:pPr>
            <w:r>
              <w:rPr>
                <w:rFonts w:ascii="Times New Roman"/>
                <w:sz w:val="18"/>
              </w:rPr>
              <w:t>22,880,360.51</w:t>
            </w:r>
          </w:p>
        </w:tc>
        <w:tc>
          <w:tcPr>
            <w:tcW w:w="113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left="212" w:right="1034"/>
        <w:jc w:val="left"/>
      </w:pPr>
      <w:r>
        <w:rPr>
          <w:rFonts w:ascii="Times New Roman" w:hAnsi="Times New Roman" w:cs="Times New Roman" w:eastAsia="Times New Roman" w:hint="default"/>
        </w:rPr>
        <w:t>3)</w:t>
      </w:r>
      <w:r>
        <w:rPr/>
        <w:t>公司直接取得的财政贴息</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851"/>
        <w:gridCol w:w="1681"/>
        <w:gridCol w:w="1176"/>
        <w:gridCol w:w="1181"/>
        <w:gridCol w:w="1344"/>
        <w:gridCol w:w="1179"/>
        <w:gridCol w:w="1445"/>
      </w:tblGrid>
      <w:tr>
        <w:trPr>
          <w:trHeight w:val="634"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期初递延收益</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期末递延收益</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3" w:right="224"/>
              <w:jc w:val="left"/>
              <w:rPr>
                <w:rFonts w:ascii="宋体" w:hAnsi="宋体" w:cs="宋体" w:eastAsia="宋体" w:hint="default"/>
                <w:sz w:val="18"/>
                <w:szCs w:val="18"/>
              </w:rPr>
            </w:pPr>
            <w:r>
              <w:rPr>
                <w:rFonts w:ascii="宋体" w:hAnsi="宋体" w:cs="宋体" w:eastAsia="宋体" w:hint="default"/>
                <w:sz w:val="18"/>
                <w:szCs w:val="18"/>
              </w:rPr>
              <w:t>本期结转 列报项目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34"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18"/>
                <w:sz w:val="18"/>
                <w:szCs w:val="18"/>
              </w:rPr>
              <w:t>深圳市</w:t>
            </w:r>
            <w:r>
              <w:rPr>
                <w:rFonts w:ascii="宋体" w:hAnsi="宋体" w:cs="宋体" w:eastAsia="宋体" w:hint="default"/>
                <w:spacing w:val="-64"/>
                <w:sz w:val="18"/>
                <w:szCs w:val="18"/>
              </w:rPr>
              <w:t> </w:t>
            </w:r>
            <w:r>
              <w:rPr>
                <w:rFonts w:ascii="宋体" w:hAnsi="宋体" w:cs="宋体" w:eastAsia="宋体" w:hint="default"/>
                <w:sz w:val="18"/>
                <w:szCs w:val="18"/>
              </w:rPr>
              <w:t>光</w:t>
            </w:r>
            <w:r>
              <w:rPr>
                <w:rFonts w:ascii="宋体" w:hAnsi="宋体" w:cs="宋体" w:eastAsia="宋体" w:hint="default"/>
                <w:spacing w:val="-62"/>
                <w:sz w:val="18"/>
                <w:szCs w:val="18"/>
              </w:rPr>
              <w:t> </w:t>
            </w:r>
            <w:r>
              <w:rPr>
                <w:rFonts w:ascii="宋体" w:hAnsi="宋体" w:cs="宋体" w:eastAsia="宋体" w:hint="default"/>
                <w:sz w:val="18"/>
                <w:szCs w:val="18"/>
              </w:rPr>
              <w:t>明</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pacing w:val="-62"/>
                <w:sz w:val="18"/>
                <w:szCs w:val="18"/>
              </w:rPr>
              <w:t> </w:t>
            </w:r>
            <w:r>
              <w:rPr>
                <w:rFonts w:ascii="宋体" w:hAnsi="宋体" w:cs="宋体" w:eastAsia="宋体" w:hint="default"/>
                <w:sz w:val="18"/>
                <w:szCs w:val="18"/>
              </w:rPr>
              <w:t>财</w:t>
            </w:r>
            <w:r>
              <w:rPr>
                <w:rFonts w:ascii="宋体" w:hAnsi="宋体" w:cs="宋体" w:eastAsia="宋体" w:hint="default"/>
                <w:spacing w:val="-62"/>
                <w:sz w:val="18"/>
                <w:szCs w:val="18"/>
              </w:rPr>
              <w:t> </w:t>
            </w:r>
            <w:r>
              <w:rPr>
                <w:rFonts w:ascii="宋体" w:hAnsi="宋体" w:cs="宋体" w:eastAsia="宋体" w:hint="default"/>
                <w:sz w:val="18"/>
                <w:szCs w:val="18"/>
              </w:rPr>
              <w:t>政</w:t>
            </w:r>
            <w:r>
              <w:rPr>
                <w:rFonts w:ascii="宋体" w:hAnsi="宋体" w:cs="宋体" w:eastAsia="宋体" w:hint="default"/>
                <w:sz w:val="18"/>
                <w:szCs w:val="18"/>
              </w:rPr>
              <w:t> 局，光明区贴息补助</w:t>
            </w:r>
          </w:p>
        </w:tc>
        <w:tc>
          <w:tcPr>
            <w:tcW w:w="168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736,485.00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736,485.00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68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1" w:right="0"/>
              <w:jc w:val="left"/>
              <w:rPr>
                <w:rFonts w:ascii="Times New Roman" w:hAnsi="Times New Roman" w:cs="Times New Roman" w:eastAsia="Times New Roman" w:hint="default"/>
                <w:sz w:val="18"/>
                <w:szCs w:val="18"/>
              </w:rPr>
            </w:pPr>
            <w:r>
              <w:rPr>
                <w:rFonts w:ascii="Times New Roman"/>
                <w:sz w:val="18"/>
              </w:rPr>
              <w:t>736,485.00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6" w:right="0"/>
              <w:jc w:val="left"/>
              <w:rPr>
                <w:rFonts w:ascii="Times New Roman" w:hAnsi="Times New Roman" w:cs="Times New Roman" w:eastAsia="Times New Roman" w:hint="default"/>
                <w:sz w:val="18"/>
                <w:szCs w:val="18"/>
              </w:rPr>
            </w:pPr>
            <w:r>
              <w:rPr>
                <w:rFonts w:ascii="Times New Roman"/>
                <w:sz w:val="18"/>
              </w:rPr>
              <w:t>736,485.00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left="212" w:right="1034"/>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1034"/>
        <w:jc w:val="left"/>
        <w:rPr>
          <w:b w:val="0"/>
          <w:bCs w:val="0"/>
        </w:rPr>
      </w:pPr>
      <w:r>
        <w:rPr>
          <w:rFonts w:ascii="Times New Roman" w:hAnsi="Times New Roman" w:cs="Times New Roman" w:eastAsia="Times New Roman" w:hint="default"/>
        </w:rPr>
        <w:t>1</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1034"/>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9"/>
          <w:szCs w:val="9"/>
        </w:rPr>
      </w:pPr>
    </w:p>
    <w:tbl>
      <w:tblPr>
        <w:tblW w:w="0" w:type="auto"/>
        <w:jc w:val="left"/>
        <w:tblInd w:w="220" w:type="dxa"/>
        <w:tblLayout w:type="fixed"/>
        <w:tblCellMar>
          <w:top w:w="0" w:type="dxa"/>
          <w:left w:w="0" w:type="dxa"/>
          <w:bottom w:w="0" w:type="dxa"/>
          <w:right w:w="0" w:type="dxa"/>
        </w:tblCellMar>
        <w:tblLook w:val="01E0"/>
      </w:tblPr>
      <w:tblGrid>
        <w:gridCol w:w="1050"/>
        <w:gridCol w:w="1061"/>
        <w:gridCol w:w="1064"/>
        <w:gridCol w:w="1064"/>
        <w:gridCol w:w="1065"/>
        <w:gridCol w:w="1063"/>
        <w:gridCol w:w="1064"/>
        <w:gridCol w:w="1065"/>
        <w:gridCol w:w="1051"/>
      </w:tblGrid>
      <w:tr>
        <w:trPr>
          <w:trHeight w:val="382" w:hRule="exact"/>
        </w:trPr>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 w:right="0"/>
              <w:jc w:val="left"/>
              <w:rPr>
                <w:rFonts w:ascii="宋体" w:hAnsi="宋体" w:cs="宋体" w:eastAsia="宋体" w:hint="default"/>
                <w:sz w:val="18"/>
                <w:szCs w:val="18"/>
              </w:rPr>
            </w:pPr>
            <w:r>
              <w:rPr>
                <w:rFonts w:ascii="宋体" w:hAnsi="宋体" w:cs="宋体" w:eastAsia="宋体" w:hint="default"/>
                <w:sz w:val="18"/>
                <w:szCs w:val="18"/>
              </w:rPr>
              <w:t>被合并方名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企业合并中</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构成同一控</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55"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合并日的确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合并当期期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合并当期期</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比较期间被</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比较期间被</w:t>
            </w:r>
          </w:p>
        </w:tc>
      </w:tr>
    </w:tbl>
    <w:p>
      <w:pPr>
        <w:spacing w:after="0" w:line="240" w:lineRule="auto"/>
        <w:jc w:val="left"/>
        <w:rPr>
          <w:rFonts w:ascii="宋体" w:hAnsi="宋体" w:cs="宋体" w:eastAsia="宋体" w:hint="default"/>
          <w:sz w:val="18"/>
          <w:szCs w:val="18"/>
        </w:rPr>
        <w:sectPr>
          <w:footerReference w:type="default" r:id="rId22"/>
          <w:pgSz w:w="11910" w:h="16840"/>
          <w:pgMar w:footer="979" w:header="745" w:top="1060" w:bottom="1160" w:left="920" w:right="0"/>
          <w:pgNumType w:start="2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6"/>
        <w:gridCol w:w="1063"/>
      </w:tblGrid>
      <w:tr>
        <w:trPr>
          <w:trHeight w:val="98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5" w:right="72" w:hanging="269"/>
              <w:jc w:val="left"/>
              <w:rPr>
                <w:rFonts w:ascii="宋体" w:hAnsi="宋体" w:cs="宋体" w:eastAsia="宋体" w:hint="default"/>
                <w:sz w:val="18"/>
                <w:szCs w:val="18"/>
              </w:rPr>
            </w:pPr>
            <w:r>
              <w:rPr>
                <w:rFonts w:ascii="宋体" w:hAnsi="宋体" w:cs="宋体" w:eastAsia="宋体" w:hint="default"/>
                <w:sz w:val="18"/>
                <w:szCs w:val="18"/>
              </w:rPr>
              <w:t>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67" w:right="75" w:hanging="92"/>
              <w:jc w:val="left"/>
              <w:rPr>
                <w:rFonts w:ascii="宋体" w:hAnsi="宋体" w:cs="宋体" w:eastAsia="宋体" w:hint="default"/>
                <w:sz w:val="18"/>
                <w:szCs w:val="18"/>
              </w:rPr>
            </w:pPr>
            <w:r>
              <w:rPr>
                <w:rFonts w:ascii="宋体" w:hAnsi="宋体" w:cs="宋体" w:eastAsia="宋体" w:hint="default"/>
                <w:sz w:val="18"/>
                <w:szCs w:val="18"/>
              </w:rPr>
              <w:t>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6" w:right="74"/>
              <w:jc w:val="center"/>
              <w:rPr>
                <w:rFonts w:ascii="宋体" w:hAnsi="宋体" w:cs="宋体" w:eastAsia="宋体" w:hint="default"/>
                <w:sz w:val="18"/>
                <w:szCs w:val="18"/>
              </w:rPr>
            </w:pPr>
            <w:r>
              <w:rPr>
                <w:rFonts w:ascii="宋体" w:hAnsi="宋体" w:cs="宋体" w:eastAsia="宋体" w:hint="default"/>
                <w:sz w:val="18"/>
                <w:szCs w:val="18"/>
              </w:rPr>
              <w:t>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6" w:right="74"/>
              <w:jc w:val="center"/>
              <w:rPr>
                <w:rFonts w:ascii="宋体" w:hAnsi="宋体" w:cs="宋体" w:eastAsia="宋体" w:hint="default"/>
                <w:sz w:val="18"/>
                <w:szCs w:val="18"/>
              </w:rPr>
            </w:pPr>
            <w:r>
              <w:rPr>
                <w:rFonts w:ascii="宋体" w:hAnsi="宋体" w:cs="宋体" w:eastAsia="宋体" w:hint="default"/>
                <w:sz w:val="18"/>
                <w:szCs w:val="18"/>
              </w:rPr>
              <w:t>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39" w:right="75" w:hanging="361"/>
              <w:jc w:val="left"/>
              <w:rPr>
                <w:rFonts w:ascii="宋体" w:hAnsi="宋体" w:cs="宋体" w:eastAsia="宋体" w:hint="default"/>
                <w:sz w:val="18"/>
                <w:szCs w:val="18"/>
              </w:rPr>
            </w:pPr>
            <w:r>
              <w:rPr>
                <w:rFonts w:ascii="宋体" w:hAnsi="宋体" w:cs="宋体" w:eastAsia="宋体" w:hint="default"/>
                <w:sz w:val="18"/>
                <w:szCs w:val="18"/>
              </w:rPr>
              <w:t>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7" w:right="74" w:hanging="272"/>
              <w:jc w:val="left"/>
              <w:rPr>
                <w:rFonts w:ascii="宋体" w:hAnsi="宋体" w:cs="宋体" w:eastAsia="宋体" w:hint="default"/>
                <w:sz w:val="18"/>
                <w:szCs w:val="18"/>
              </w:rPr>
            </w:pPr>
            <w:r>
              <w:rPr>
                <w:rFonts w:ascii="宋体" w:hAnsi="宋体" w:cs="宋体" w:eastAsia="宋体" w:hint="default"/>
                <w:sz w:val="18"/>
                <w:szCs w:val="18"/>
              </w:rPr>
              <w:t>合并方的净 利润</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东莞宏腾数 字科技有限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55.78%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深圳市证通普润 电子有限公司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深圳市证通数码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深圳市证通金信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深圳市证通佳明 光电有限公司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工程建筑业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定州市中标节能 技术服务有限公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工程建筑业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证通国际投资有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广州证通网络科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广州云硕科技发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广东宏达通信有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SZZT</w:t>
            </w:r>
            <w:r>
              <w:rPr>
                <w:rFonts w:ascii="Times New Roman"/>
                <w:spacing w:val="-8"/>
                <w:sz w:val="18"/>
              </w:rPr>
              <w:t> </w:t>
            </w:r>
            <w:r>
              <w:rPr>
                <w:rFonts w:ascii="Times New Roman"/>
                <w:sz w:val="18"/>
              </w:rPr>
              <w:t>SOUTH</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Africa(PTY).,Ltd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纽卡斯尔区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长沙证通云计算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四川蜀信易电子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软件和信息技术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商务有限公司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深圳市证通云计 算有限公司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贵州证通光电有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工程建筑业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东莞宏腾数字科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769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6" w:right="0"/>
              <w:jc w:val="left"/>
              <w:rPr>
                <w:rFonts w:ascii="Times New Roman" w:hAnsi="Times New Roman" w:cs="Times New Roman" w:eastAsia="Times New Roman" w:hint="default"/>
                <w:sz w:val="18"/>
                <w:szCs w:val="18"/>
              </w:rPr>
            </w:pPr>
            <w:r>
              <w:rPr>
                <w:rFonts w:ascii="Times New Roman"/>
                <w:sz w:val="18"/>
              </w:rPr>
              <w:t>-1,060,757.38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9,397,601.31</w:t>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广东宏 达通信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156,036,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304.95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369,403,</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456.93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525,439,</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761.88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117,189,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374.04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386,998,</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462.68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504,187,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836.72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34,856,3</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56.86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283,912,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154.93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318,768,</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511.79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295,117,</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768.50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295,117,</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768.50</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 w:right="125"/>
              <w:jc w:val="left"/>
              <w:rPr>
                <w:rFonts w:ascii="宋体" w:hAnsi="宋体" w:cs="宋体" w:eastAsia="宋体" w:hint="default"/>
                <w:sz w:val="18"/>
                <w:szCs w:val="18"/>
              </w:rPr>
            </w:pPr>
            <w:r>
              <w:rPr>
                <w:rFonts w:ascii="宋体" w:hAnsi="宋体" w:cs="宋体" w:eastAsia="宋体" w:hint="default"/>
                <w:sz w:val="18"/>
                <w:szCs w:val="18"/>
              </w:rPr>
              <w:t>广东宏达通 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37,396,813.0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-2,398,818.13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-2,398,818.13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-409,151,347.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44,078,096.7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-2,618,462.91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-2,618,462.91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2,585,616.38</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深圳市通新源物 业管理有限公司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32.29%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33"/>
        <w:jc w:val="left"/>
      </w:pPr>
      <w:r>
        <w:rPr/>
        <w:t>在合营企业或联营企业的持股比例不同于表决权比例的说明：</w:t>
      </w:r>
    </w:p>
    <w:p>
      <w:pPr>
        <w:pStyle w:val="BodyText"/>
        <w:spacing w:line="240" w:lineRule="auto" w:before="118"/>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5,041,161.30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3,570,254.99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71,405,574.14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74,054,070.86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76,446,735.44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77,624,325.85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153,947.63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207,562.11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153,947.63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207,562.11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76,292,787.81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77,416,763.74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24,634,941.18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24,997,873.01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24,634,941.17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24,997,873.01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3,680,685.85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3,547,144.44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-1,123,975.93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-896,671.61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-1,123,975.93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-896,671.61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4"/>
        <w:gridCol w:w="3059"/>
        <w:gridCol w:w="3175"/>
      </w:tblGrid>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985" w:right="0"/>
              <w:jc w:val="left"/>
              <w:rPr>
                <w:rFonts w:ascii="Times New Roman" w:hAnsi="Times New Roman" w:cs="Times New Roman" w:eastAsia="Times New Roman" w:hint="default"/>
                <w:sz w:val="18"/>
                <w:szCs w:val="18"/>
              </w:rPr>
            </w:pPr>
            <w:r>
              <w:rPr>
                <w:rFonts w:ascii="Times New Roman"/>
                <w:sz w:val="18"/>
              </w:rPr>
              <w:t>54,829,635.27</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55,579,129.56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2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-749,494.29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326,208.33</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-749,494.29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326,208.33</w:t>
            </w:r>
          </w:p>
        </w:tc>
      </w:tr>
    </w:tbl>
    <w:p>
      <w:pPr>
        <w:pStyle w:val="BodyText"/>
        <w:spacing w:line="240" w:lineRule="auto" w:before="49"/>
        <w:ind w:left="212" w:right="1034"/>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left="212" w:right="1034"/>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212" w:right="1034" w:firstLine="360"/>
        <w:jc w:val="left"/>
      </w:pPr>
      <w:r>
        <w:rPr>
          <w:spacing w:val="-2"/>
        </w:rPr>
        <w:t>本公司从事风险管理的目标是在风险和收益之间取得平衡，将风险对本公司经营业绩的负面影响降至最低水平，使股东</w:t>
      </w:r>
      <w:r>
        <w:rPr/>
        <w:t>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BodyText"/>
        <w:spacing w:line="316" w:lineRule="auto" w:before="19"/>
        <w:ind w:left="212" w:right="1034" w:firstLine="360"/>
        <w:jc w:val="left"/>
      </w:pPr>
      <w:r>
        <w:rPr>
          <w:spacing w:val="-2"/>
        </w:rPr>
        <w:t>本公司在日常活动中面临各种与金融工具相关的风险，主要包括信用风险、流动风险及市场风险。管理层已审议并批准</w:t>
      </w:r>
      <w:r>
        <w:rPr/>
        <w:t> 管理这些风险的政策，概括如下。</w:t>
      </w:r>
    </w:p>
    <w:p>
      <w:pPr>
        <w:pStyle w:val="BodyText"/>
        <w:spacing w:line="300" w:lineRule="auto" w:before="19"/>
        <w:ind w:left="573" w:right="103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w w:val="99"/>
        </w:rPr>
        <w:t> </w:t>
      </w:r>
      <w:r>
        <w:rPr>
          <w:rFonts w:ascii="Times New Roman" w:hAnsi="Times New Roman" w:cs="Times New Roman" w:eastAsia="Times New Roman" w:hint="default"/>
          <w:spacing w:val="-2"/>
          <w:w w:val="99"/>
        </w:rPr>
        <w:t>2019</w:t>
      </w:r>
      <w:r>
        <w:rPr>
          <w:spacing w:val="-2"/>
          <w:w w:val="99"/>
        </w:rPr>
        <w:t>年</w:t>
      </w:r>
      <w:r>
        <w:rPr>
          <w:rFonts w:ascii="Times New Roman" w:hAnsi="Times New Roman" w:cs="Times New Roman" w:eastAsia="Times New Roman" w:hint="default"/>
          <w:spacing w:val="-2"/>
          <w:w w:val="99"/>
        </w:rPr>
        <w:t>12</w:t>
      </w:r>
      <w:r>
        <w:rPr>
          <w:spacing w:val="-2"/>
          <w:w w:val="99"/>
        </w:rPr>
        <w:t>月</w:t>
      </w:r>
      <w:r>
        <w:rPr>
          <w:rFonts w:ascii="Times New Roman" w:hAnsi="Times New Roman" w:cs="Times New Roman" w:eastAsia="Times New Roman" w:hint="default"/>
          <w:spacing w:val="-2"/>
          <w:w w:val="99"/>
        </w:rPr>
        <w:t>31</w:t>
      </w:r>
      <w:r>
        <w:rPr>
          <w:spacing w:val="-2"/>
          <w:w w:val="99"/>
        </w:rPr>
        <w:t>日，可能引起本集团财务损失的最大信用风险敞口主要来自于合同另一方未能履行义务而导致本集团金融</w:t>
      </w:r>
      <w:r>
        <w:rPr>
          <w:spacing w:val="-2"/>
        </w:rPr>
      </w:r>
    </w:p>
    <w:p>
      <w:pPr>
        <w:pStyle w:val="BodyText"/>
        <w:spacing w:line="309" w:lineRule="auto" w:before="13"/>
        <w:ind w:left="573" w:right="2023" w:hanging="361"/>
        <w:jc w:val="left"/>
      </w:pPr>
      <w:r>
        <w:rPr/>
        <w:t>资产产生的损失以及本集团承担的财务担保，具体包括 </w:t>
      </w:r>
      <w:r>
        <w:rPr>
          <w:rFonts w:ascii="Times New Roman" w:hAnsi="Times New Roman" w:cs="Times New Roman" w:eastAsia="Times New Roman" w:hint="default"/>
        </w:rPr>
        <w:t>1</w:t>
      </w:r>
      <w:r>
        <w:rPr/>
        <w:t>、本公司的信用风险主要来自银行存款和应收账款。为控制上述相关风险，本公司分别采取了以下措施。 </w:t>
      </w:r>
      <w:r>
        <w:rPr>
          <w:rFonts w:ascii="Times New Roman" w:hAnsi="Times New Roman" w:cs="Times New Roman" w:eastAsia="Times New Roman" w:hint="default"/>
        </w:rPr>
        <w:t>(1)</w:t>
      </w:r>
      <w:r>
        <w:rPr/>
        <w:t>银行存款</w:t>
      </w:r>
    </w:p>
    <w:p>
      <w:pPr>
        <w:pStyle w:val="BodyText"/>
        <w:spacing w:line="240" w:lineRule="auto" w:before="5"/>
        <w:ind w:left="573" w:right="1034"/>
        <w:jc w:val="left"/>
      </w:pPr>
      <w:r>
        <w:rPr/>
        <w:t>本公司将银行存款存放于信用评级较高的金融机构，故其信用风险较低。</w:t>
      </w:r>
    </w:p>
    <w:p>
      <w:pPr>
        <w:pStyle w:val="BodyText"/>
        <w:spacing w:line="300" w:lineRule="auto" w:before="76"/>
        <w:ind w:left="573" w:right="1034"/>
        <w:jc w:val="left"/>
      </w:pPr>
      <w:r>
        <w:rPr>
          <w:rFonts w:ascii="Times New Roman" w:hAnsi="Times New Roman" w:cs="Times New Roman" w:eastAsia="Times New Roman" w:hint="default"/>
        </w:rPr>
        <w:t>(2)</w:t>
      </w:r>
      <w:r>
        <w:rPr/>
        <w:t>应收款项</w:t>
      </w:r>
      <w:r>
        <w:rPr>
          <w:w w:val="99"/>
        </w:rPr>
        <w:t> </w:t>
      </w:r>
      <w:r>
        <w:rPr/>
        <w:t>在签订新合同之前，本公司会对新客户的信用风险进行评估，包括外部信用评级和在某些情况下的银行资信证明</w:t>
      </w:r>
      <w:r>
        <w:rPr>
          <w:rFonts w:ascii="Times New Roman" w:hAnsi="Times New Roman" w:cs="Times New Roman" w:eastAsia="Times New Roman" w:hint="default"/>
        </w:rPr>
        <w:t>(</w:t>
      </w:r>
      <w:r>
        <w:rPr/>
        <w:t>当此</w:t>
      </w:r>
    </w:p>
    <w:p>
      <w:pPr>
        <w:pStyle w:val="BodyText"/>
        <w:spacing w:line="300" w:lineRule="auto" w:before="13"/>
        <w:ind w:left="573" w:right="1034" w:hanging="361"/>
        <w:jc w:val="left"/>
      </w:pPr>
      <w:r>
        <w:rPr/>
        <w:t>信息可获取时</w:t>
      </w:r>
      <w:r>
        <w:rPr>
          <w:rFonts w:ascii="Times New Roman" w:hAnsi="Times New Roman" w:cs="Times New Roman" w:eastAsia="Times New Roman" w:hint="default"/>
        </w:rPr>
        <w:t>)</w:t>
      </w:r>
      <w:r>
        <w:rPr/>
        <w:t>。公司对每一客户均设置了赊销限额，该限额为无需获得额外批准的最大额度。 公司通过对已有客户信用评级的季度监控以及应收账款账龄分析的月度审核来确保公司的整体信用风险在可控的范围</w:t>
      </w:r>
    </w:p>
    <w:p>
      <w:pPr>
        <w:pStyle w:val="BodyText"/>
        <w:spacing w:line="300" w:lineRule="auto" w:before="31"/>
        <w:ind w:left="212" w:right="1034"/>
        <w:jc w:val="left"/>
      </w:pP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BodyText"/>
        <w:spacing w:line="300" w:lineRule="auto" w:before="31"/>
        <w:ind w:left="212" w:right="1034" w:firstLine="360"/>
        <w:jc w:val="left"/>
      </w:pPr>
      <w:r>
        <w:rPr/>
        <w:t>由于本公司的应收账款风险点分布于多个合作方和多个客户，截至期末余额，本公司应收账款的</w:t>
      </w:r>
      <w:r>
        <w:rPr>
          <w:rFonts w:ascii="Times New Roman" w:hAnsi="Times New Roman" w:cs="Times New Roman" w:eastAsia="Times New Roman" w:hint="default"/>
        </w:rPr>
        <w:t>28.80%(2018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30.66%)</w:t>
      </w:r>
      <w:r>
        <w:rPr/>
        <w:t>源于余额前五名客户，本公司不存在重大的信用集中风险。</w:t>
      </w:r>
    </w:p>
    <w:p>
      <w:pPr>
        <w:pStyle w:val="BodyText"/>
        <w:spacing w:line="240" w:lineRule="auto" w:before="13"/>
        <w:ind w:left="573" w:right="1034"/>
        <w:jc w:val="left"/>
      </w:pPr>
      <w:r>
        <w:rPr/>
        <w:t>本公司所承受的最大信用风险敞口为资产负债表中每项金融资产的账面价值。</w:t>
      </w:r>
    </w:p>
    <w:p>
      <w:pPr>
        <w:pStyle w:val="BodyText"/>
        <w:spacing w:line="300" w:lineRule="auto" w:before="76"/>
        <w:ind w:left="573" w:right="103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流动性风险</w:t>
      </w:r>
      <w:r>
        <w:rPr>
          <w:w w:val="99"/>
        </w:rPr>
        <w:t> </w:t>
      </w:r>
      <w:r>
        <w:rPr>
          <w:spacing w:val="-2"/>
        </w:rPr>
        <w:t>流动风险，是指企业在履行以交付现金或其他金融资产的方式结算的义务时发生资金短缺的风险。流动风险可能源于无</w:t>
      </w:r>
    </w:p>
    <w:p>
      <w:pPr>
        <w:pStyle w:val="BodyText"/>
        <w:spacing w:line="316" w:lineRule="auto" w:before="31"/>
        <w:ind w:left="212" w:right="1034"/>
        <w:jc w:val="left"/>
      </w:pPr>
      <w:r>
        <w:rPr>
          <w:spacing w:val="-2"/>
        </w:rPr>
        <w:t>法尽快以公允价值售出金融资产；或者源于对方无法偿还其合同债务；或者源于提前到期的债务；或者源于无法产生预期的</w:t>
      </w:r>
      <w:r>
        <w:rPr>
          <w:spacing w:val="-63"/>
        </w:rPr>
        <w:t> </w:t>
      </w:r>
      <w:r>
        <w:rPr>
          <w:spacing w:val="-63"/>
        </w:rPr>
      </w:r>
      <w:r>
        <w:rPr/>
        <w:t>现金流量。</w:t>
      </w:r>
    </w:p>
    <w:p>
      <w:pPr>
        <w:pStyle w:val="BodyText"/>
        <w:spacing w:line="316" w:lineRule="auto" w:before="19"/>
        <w:ind w:left="212" w:right="1133" w:firstLine="360"/>
        <w:jc w:val="both"/>
      </w:pPr>
      <w:r>
        <w:rPr>
          <w:spacing w:val="-2"/>
        </w:rPr>
        <w:t>为控制该项风险，本公司综合运用票据结算、银行借款等多种融资手段，并采取长、短期融资方式适当结合，优化融资</w:t>
      </w:r>
      <w:r>
        <w:rPr/>
        <w:t> </w:t>
      </w:r>
      <w:r>
        <w:rPr>
          <w:spacing w:val="-2"/>
        </w:rPr>
        <w:t>结构的方法，保持融资持续性与灵活性之间的平衡。本公司已从多家商业银行取得银行授信额度以满足营运资金需求和资本</w:t>
      </w:r>
      <w:r>
        <w:rPr>
          <w:spacing w:val="-64"/>
        </w:rPr>
        <w:t> </w:t>
      </w:r>
      <w:r>
        <w:rPr>
          <w:spacing w:val="-64"/>
        </w:rPr>
      </w:r>
      <w:r>
        <w:rPr/>
        <w:t>开支。</w:t>
      </w:r>
    </w:p>
    <w:p>
      <w:pPr>
        <w:pStyle w:val="BodyText"/>
        <w:spacing w:line="240" w:lineRule="auto" w:before="19"/>
        <w:ind w:left="573" w:right="1034"/>
        <w:jc w:val="left"/>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376"/>
        <w:gridCol w:w="1561"/>
        <w:gridCol w:w="1700"/>
        <w:gridCol w:w="1536"/>
        <w:gridCol w:w="1342"/>
        <w:gridCol w:w="1342"/>
      </w:tblGrid>
      <w:tr>
        <w:trPr>
          <w:trHeight w:val="322" w:hRule="exact"/>
        </w:trPr>
        <w:tc>
          <w:tcPr>
            <w:tcW w:w="23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76"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6"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1,020,632,839.60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1,038,738,329.49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1,038,738,329.49</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99,260,756.13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99,260,756.13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99,260,756.13</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606,461,574.17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606,461,574.17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606,461,574.17</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40,487,687.78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40,487,687.78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40,487,687.78</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2376"/>
        <w:gridCol w:w="1561"/>
        <w:gridCol w:w="1700"/>
        <w:gridCol w:w="1536"/>
        <w:gridCol w:w="1342"/>
        <w:gridCol w:w="1342"/>
      </w:tblGrid>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一年以内到期的非流动负债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432,491,188.44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460,232,883.74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460,232,883.74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1,243,146,306.09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1,576,760,574.58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79,999,104.78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614,636,541.57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882,124,928.23</w:t>
            </w:r>
          </w:p>
        </w:tc>
      </w:tr>
      <w:tr>
        <w:trPr>
          <w:trHeight w:val="48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3,442,480,352.21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3,821,941,805.89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2,325,180,336.09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614,636,541.57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882,124,928.23</w:t>
            </w:r>
          </w:p>
        </w:tc>
      </w:tr>
    </w:tbl>
    <w:p>
      <w:pPr>
        <w:pStyle w:val="BodyText"/>
        <w:spacing w:line="240" w:lineRule="auto" w:before="8"/>
        <w:ind w:left="212" w:right="1034"/>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518"/>
        <w:gridCol w:w="1844"/>
        <w:gridCol w:w="1702"/>
        <w:gridCol w:w="1476"/>
        <w:gridCol w:w="1361"/>
        <w:gridCol w:w="955"/>
      </w:tblGrid>
      <w:tr>
        <w:trPr>
          <w:trHeight w:val="478"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3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322" w:hRule="exact"/>
        </w:trPr>
        <w:tc>
          <w:tcPr>
            <w:tcW w:w="2518"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1,468,300,032.02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1,496,069,466.96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1,496,069,466.96</w:t>
            </w:r>
          </w:p>
        </w:tc>
        <w:tc>
          <w:tcPr>
            <w:tcW w:w="136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45,174,031.80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45,174,031.80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45,174,031.80</w:t>
            </w:r>
          </w:p>
        </w:tc>
        <w:tc>
          <w:tcPr>
            <w:tcW w:w="136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667,564,404.27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667,564,404.27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667,564,404.27</w:t>
            </w:r>
          </w:p>
        </w:tc>
        <w:tc>
          <w:tcPr>
            <w:tcW w:w="136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78,664,084.21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78,664,084.21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78,664,084.21</w:t>
            </w:r>
          </w:p>
        </w:tc>
        <w:tc>
          <w:tcPr>
            <w:tcW w:w="136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一年以内到期的非流动负债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92,558,491.67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94,595,396.67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94,595,396.67</w:t>
            </w:r>
          </w:p>
        </w:tc>
        <w:tc>
          <w:tcPr>
            <w:tcW w:w="136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33,391,388.85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35,225,152.76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18,110,666.68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17,114,486.08</w:t>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201,918,743.12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226,431,798.54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211,431,798.54</w:t>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53,790,893.91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61,748,166.59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39,365,206.56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22,382,960.03</w:t>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2,641,362,069.85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2,705,472,501.80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2,454,543,257.15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250,929,244.65</w:t>
            </w:r>
          </w:p>
        </w:tc>
        <w:tc>
          <w:tcPr>
            <w:tcW w:w="9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left="212" w:right="0"/>
        <w:jc w:val="both"/>
      </w:pPr>
      <w:r>
        <w:rPr/>
        <w:t>注：期初余额与上期期末余额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差异详见本财务报表附注三、</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)4</w:t>
      </w:r>
      <w:r>
        <w:rPr/>
        <w:t>之说明。</w:t>
      </w:r>
    </w:p>
    <w:p>
      <w:pPr>
        <w:pStyle w:val="BodyText"/>
        <w:spacing w:line="240" w:lineRule="auto" w:before="63"/>
        <w:ind w:left="212"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市场风险</w:t>
      </w:r>
    </w:p>
    <w:p>
      <w:pPr>
        <w:pStyle w:val="BodyText"/>
        <w:spacing w:line="316" w:lineRule="auto" w:before="63"/>
        <w:ind w:left="212" w:right="1130" w:firstLine="360"/>
        <w:jc w:val="both"/>
      </w:pPr>
      <w:r>
        <w:rPr>
          <w:spacing w:val="-2"/>
        </w:rPr>
        <w:t>金融工具的市场风险，是指金融工具的公允价值或未来现金流量因市场价格变动而发生波动的风险，包括汇率风险、利</w:t>
      </w:r>
      <w:r>
        <w:rPr/>
        <w:t> 率风险和其他价格风险。</w:t>
      </w:r>
    </w:p>
    <w:p>
      <w:pPr>
        <w:pStyle w:val="BodyText"/>
        <w:spacing w:line="300" w:lineRule="auto" w:before="19"/>
        <w:ind w:left="573" w:right="1034"/>
        <w:jc w:val="left"/>
      </w:pPr>
      <w:r>
        <w:rPr>
          <w:rFonts w:ascii="Times New Roman" w:hAnsi="Times New Roman" w:cs="Times New Roman" w:eastAsia="Times New Roman" w:hint="default"/>
        </w:rPr>
        <w:t>(1)</w:t>
      </w:r>
      <w:r>
        <w:rPr/>
        <w:t>利率风险</w:t>
      </w:r>
      <w:r>
        <w:rPr>
          <w:w w:val="99"/>
        </w:rPr>
        <w:t> </w:t>
      </w:r>
      <w:r>
        <w:rPr>
          <w:spacing w:val="-2"/>
        </w:rPr>
        <w:t>利率风险，是指金融工具的公允价值或未来现金流量因市场利率变动而发生波动的风险。固定利率的带息金融工具使本</w:t>
      </w:r>
    </w:p>
    <w:p>
      <w:pPr>
        <w:pStyle w:val="BodyText"/>
        <w:spacing w:line="316" w:lineRule="auto" w:before="31"/>
        <w:ind w:left="212" w:right="1132"/>
        <w:jc w:val="both"/>
      </w:pPr>
      <w:r>
        <w:rPr>
          <w:spacing w:val="-2"/>
        </w:rPr>
        <w:t>公司面临公允价值利率风险，浮动利率的带息金融工具使本公司面临现金流量利率风险。本公司根据市场环境来决定固定利</w:t>
      </w:r>
      <w:r>
        <w:rPr>
          <w:spacing w:val="-64"/>
        </w:rPr>
        <w:t> </w:t>
      </w:r>
      <w:r>
        <w:rPr>
          <w:spacing w:val="-64"/>
        </w:rPr>
      </w:r>
      <w:r>
        <w:rPr>
          <w:spacing w:val="-2"/>
        </w:rPr>
        <w:t>率与浮动利率金融工具的比例，并通过定期审阅与监控维持适当的金融工具组合。本公司面临的现金流量利率风险主要与本</w:t>
      </w:r>
      <w:r>
        <w:rPr>
          <w:spacing w:val="-64"/>
        </w:rPr>
        <w:t> </w:t>
      </w:r>
      <w:r>
        <w:rPr>
          <w:spacing w:val="-64"/>
        </w:rPr>
      </w:r>
      <w:r>
        <w:rPr/>
        <w:t>公司以浮动利息计息的银行借款有关。</w:t>
      </w:r>
    </w:p>
    <w:p>
      <w:pPr>
        <w:pStyle w:val="BodyText"/>
        <w:spacing w:line="300" w:lineRule="auto" w:before="19"/>
        <w:ind w:left="212" w:right="1129" w:firstLine="360"/>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日，本公司以浮动利率计算的借款人民币</w:t>
      </w:r>
      <w:r>
        <w:rPr>
          <w:rFonts w:ascii="Times New Roman" w:hAnsi="Times New Roman" w:cs="Times New Roman" w:eastAsia="Times New Roman" w:hint="default"/>
          <w:spacing w:val="-2"/>
        </w:rPr>
        <w:t>2,090,691,870.05</w:t>
      </w:r>
      <w:r>
        <w:rPr>
          <w:spacing w:val="-2"/>
        </w:rPr>
        <w:t>元，在其他变量保持不变的情况下，假定借款</w:t>
      </w:r>
      <w:r>
        <w:rPr/>
        <w:t> 利率变动</w:t>
      </w:r>
      <w:r>
        <w:rPr>
          <w:rFonts w:ascii="Times New Roman" w:hAnsi="Times New Roman" w:cs="Times New Roman" w:eastAsia="Times New Roman" w:hint="default"/>
        </w:rPr>
        <w:t>50</w:t>
      </w:r>
      <w:r>
        <w:rPr/>
        <w:t>个基点，则本公司的净利润将减少或增加</w:t>
      </w:r>
      <w:r>
        <w:rPr>
          <w:rFonts w:ascii="Times New Roman" w:hAnsi="Times New Roman" w:cs="Times New Roman" w:eastAsia="Times New Roman" w:hint="default"/>
        </w:rPr>
        <w:t>8,885,440.45</w:t>
      </w:r>
      <w:r>
        <w:rPr/>
        <w:t>元。管理层认为</w:t>
      </w:r>
      <w:r>
        <w:rPr>
          <w:rFonts w:ascii="Times New Roman" w:hAnsi="Times New Roman" w:cs="Times New Roman" w:eastAsia="Times New Roman" w:hint="default"/>
        </w:rPr>
        <w:t>50</w:t>
      </w:r>
      <w:r>
        <w:rPr/>
        <w:t>个基点合理反映了下一年度利率可能发</w:t>
      </w:r>
      <w:r>
        <w:rPr>
          <w:spacing w:val="-48"/>
        </w:rPr>
        <w:t> </w:t>
      </w:r>
      <w:r>
        <w:rPr>
          <w:spacing w:val="-48"/>
        </w:rPr>
      </w:r>
      <w:r>
        <w:rPr/>
        <w:t>生变动的合理范围。</w:t>
      </w:r>
    </w:p>
    <w:p>
      <w:pPr>
        <w:pStyle w:val="BodyText"/>
        <w:spacing w:line="300" w:lineRule="auto" w:before="31"/>
        <w:ind w:left="573" w:right="1034"/>
        <w:jc w:val="left"/>
      </w:pPr>
      <w:r>
        <w:rPr>
          <w:rFonts w:ascii="Times New Roman" w:hAnsi="Times New Roman" w:cs="Times New Roman" w:eastAsia="Times New Roman" w:hint="default"/>
        </w:rPr>
        <w:t>(2)</w:t>
      </w:r>
      <w:r>
        <w:rPr/>
        <w:t>汇率风险</w:t>
      </w:r>
      <w:r>
        <w:rPr>
          <w:w w:val="99"/>
        </w:rPr>
        <w:t> </w:t>
      </w:r>
      <w:r>
        <w:rPr>
          <w:spacing w:val="-2"/>
        </w:rPr>
        <w:t>汇率风险，是指金融工具的公允价值或未来现金流量因外汇汇率变动而发生波动的风险。本公司尽可能将外币收入与外</w:t>
      </w:r>
    </w:p>
    <w:p>
      <w:pPr>
        <w:pStyle w:val="BodyText"/>
        <w:spacing w:line="316" w:lineRule="auto" w:before="31"/>
        <w:ind w:left="212" w:right="1130"/>
        <w:jc w:val="both"/>
      </w:pPr>
      <w:r>
        <w:rPr>
          <w:spacing w:val="-2"/>
        </w:rPr>
        <w:t>币支出相匹配以降低汇率风险。境内公司以外币计价的金融资产金额很小，无以外币计价的金融负债。本公司面临的汇率风</w:t>
      </w:r>
      <w:r>
        <w:rPr>
          <w:spacing w:val="-63"/>
        </w:rPr>
        <w:t> </w:t>
      </w:r>
      <w:r>
        <w:rPr>
          <w:spacing w:val="-63"/>
        </w:rPr>
      </w:r>
      <w:r>
        <w:rPr>
          <w:spacing w:val="-2"/>
        </w:rPr>
        <w:t>险主要来源于境外公司以美元、欧元、港币计价的金融资产和金融负债。整个集团公司外币金融资产和外币金融负债折算成</w:t>
      </w:r>
      <w:r>
        <w:rPr>
          <w:spacing w:val="-66"/>
        </w:rPr>
        <w:t> </w:t>
      </w:r>
      <w:r>
        <w:rPr>
          <w:spacing w:val="-66"/>
        </w:rPr>
      </w:r>
      <w:r>
        <w:rPr/>
        <w:t>人民币的金额列示如下：</w:t>
      </w:r>
    </w:p>
    <w:tbl>
      <w:tblPr>
        <w:tblW w:w="0" w:type="auto"/>
        <w:jc w:val="left"/>
        <w:tblInd w:w="100" w:type="dxa"/>
        <w:tblLayout w:type="fixed"/>
        <w:tblCellMar>
          <w:top w:w="0" w:type="dxa"/>
          <w:left w:w="0" w:type="dxa"/>
          <w:bottom w:w="0" w:type="dxa"/>
          <w:right w:w="0" w:type="dxa"/>
        </w:tblCellMar>
        <w:tblLook w:val="01E0"/>
      </w:tblPr>
      <w:tblGrid>
        <w:gridCol w:w="1512"/>
        <w:gridCol w:w="1849"/>
        <w:gridCol w:w="1514"/>
        <w:gridCol w:w="1347"/>
        <w:gridCol w:w="1851"/>
        <w:gridCol w:w="1783"/>
      </w:tblGrid>
      <w:tr>
        <w:trPr>
          <w:trHeight w:val="322"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512" w:type="dxa"/>
            <w:vMerge/>
            <w:tcBorders>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1"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8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1" w:right="0"/>
              <w:jc w:val="left"/>
              <w:rPr>
                <w:rFonts w:ascii="Times New Roman" w:hAnsi="Times New Roman" w:cs="Times New Roman" w:eastAsia="Times New Roman" w:hint="default"/>
                <w:sz w:val="18"/>
                <w:szCs w:val="18"/>
              </w:rPr>
            </w:pPr>
            <w:r>
              <w:rPr>
                <w:rFonts w:ascii="Times New Roman"/>
                <w:sz w:val="18"/>
              </w:rPr>
              <w:t>6,674,301.81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524,182.22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244,815.87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68,843.98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7,512,143.88</w:t>
            </w:r>
          </w:p>
        </w:tc>
      </w:tr>
      <w:tr>
        <w:trPr>
          <w:trHeight w:val="32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03" w:right="0"/>
              <w:jc w:val="left"/>
              <w:rPr>
                <w:rFonts w:ascii="Times New Roman" w:hAnsi="Times New Roman" w:cs="Times New Roman" w:eastAsia="Times New Roman" w:hint="default"/>
                <w:sz w:val="18"/>
                <w:szCs w:val="18"/>
              </w:rPr>
            </w:pPr>
            <w:r>
              <w:rPr>
                <w:rFonts w:ascii="Times New Roman"/>
                <w:sz w:val="18"/>
              </w:rPr>
              <w:t>61,505,460.60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137,208.45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2,245.70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1,967,898.51</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63,612,813.26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512"/>
        <w:gridCol w:w="1849"/>
        <w:gridCol w:w="1514"/>
        <w:gridCol w:w="1347"/>
        <w:gridCol w:w="1851"/>
        <w:gridCol w:w="1783"/>
      </w:tblGrid>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23,511.38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23,511.38</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小计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68,179,762.41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661,390.67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247,061.57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2,060,253.87</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71,148,468.52</w:t>
            </w:r>
          </w:p>
        </w:tc>
      </w:tr>
      <w:tr>
        <w:trPr>
          <w:trHeight w:val="32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8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880,612.42</w:t>
            </w: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237,369.50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1,117,981.92</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小计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880,612.42</w:t>
            </w: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237,369.50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1,117,981.92</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净额</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67,299,149.99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661,390.67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247,061.57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1,822,884.37</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70,030,486.60</w:t>
            </w:r>
          </w:p>
        </w:tc>
      </w:tr>
    </w:tbl>
    <w:p>
      <w:pPr>
        <w:pStyle w:val="BodyText"/>
        <w:spacing w:line="240" w:lineRule="auto" w:before="8"/>
        <w:ind w:left="212" w:right="1034"/>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512"/>
        <w:gridCol w:w="1849"/>
        <w:gridCol w:w="1514"/>
        <w:gridCol w:w="1347"/>
        <w:gridCol w:w="1851"/>
        <w:gridCol w:w="1783"/>
      </w:tblGrid>
      <w:tr>
        <w:trPr>
          <w:trHeight w:val="478"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0" w:hRule="exact"/>
        </w:trPr>
        <w:tc>
          <w:tcPr>
            <w:tcW w:w="1512" w:type="dxa"/>
            <w:vMerge/>
            <w:tcBorders>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1"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8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10,183,877.03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150,616.37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501.77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495,618.72</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10,830,613.89</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114,025,584.35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888,488.41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16,759.85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1,405,235.00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116,336,067.61</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102,014.46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102,014.46</w:t>
            </w:r>
          </w:p>
        </w:tc>
      </w:tr>
      <w:tr>
        <w:trPr>
          <w:trHeight w:val="32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9"/>
              <w:jc w:val="right"/>
              <w:rPr>
                <w:rFonts w:ascii="宋体" w:hAnsi="宋体" w:cs="宋体" w:eastAsia="宋体" w:hint="default"/>
                <w:sz w:val="18"/>
                <w:szCs w:val="18"/>
              </w:rPr>
            </w:pPr>
            <w:r>
              <w:rPr>
                <w:rFonts w:ascii="宋体" w:hAnsi="宋体" w:cs="宋体" w:eastAsia="宋体" w:hint="default"/>
                <w:sz w:val="18"/>
                <w:szCs w:val="18"/>
              </w:rPr>
              <w:t>小计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124,209,461.38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1,039,104.78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17,261.62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2,002,868.18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127,268,695.96</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8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35,908,262.40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35,908,262.40</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1,156,459.91</w:t>
            </w: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851,897.53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2,008,357.44</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小计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37,064,722.31</w:t>
            </w:r>
          </w:p>
        </w:tc>
        <w:tc>
          <w:tcPr>
            <w:tcW w:w="151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851,897.53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37,916,619.84</w:t>
            </w:r>
          </w:p>
        </w:tc>
      </w:tr>
      <w:tr>
        <w:trPr>
          <w:trHeight w:val="32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9"/>
              <w:jc w:val="right"/>
              <w:rPr>
                <w:rFonts w:ascii="宋体" w:hAnsi="宋体" w:cs="宋体" w:eastAsia="宋体" w:hint="default"/>
                <w:sz w:val="18"/>
                <w:szCs w:val="18"/>
              </w:rPr>
            </w:pPr>
            <w:r>
              <w:rPr>
                <w:rFonts w:ascii="宋体" w:hAnsi="宋体" w:cs="宋体" w:eastAsia="宋体" w:hint="default"/>
                <w:sz w:val="18"/>
                <w:szCs w:val="18"/>
              </w:rPr>
              <w:t>净额</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87,144,739.07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1,039,104.78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17,261.62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1,150,970.65</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89,352,076.12</w:t>
            </w:r>
          </w:p>
        </w:tc>
      </w:tr>
    </w:tbl>
    <w:p>
      <w:pPr>
        <w:pStyle w:val="BodyText"/>
        <w:spacing w:line="300" w:lineRule="auto" w:before="8"/>
        <w:ind w:left="212" w:right="1034" w:firstLine="36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日，在所有其他变量保持不变的情况下，如果人民币对美元、欧元、港币升值或贬值</w:t>
      </w:r>
      <w:r>
        <w:rPr>
          <w:rFonts w:ascii="Times New Roman" w:hAnsi="Times New Roman" w:cs="Times New Roman" w:eastAsia="Times New Roman" w:hint="default"/>
        </w:rPr>
        <w:t>2%</w:t>
      </w:r>
      <w:r>
        <w:rPr/>
        <w:t>，则公司将增 加或减少净利润</w:t>
      </w:r>
      <w:r>
        <w:rPr>
          <w:rFonts w:ascii="Times New Roman" w:hAnsi="Times New Roman" w:cs="Times New Roman" w:eastAsia="Times New Roman" w:hint="default"/>
        </w:rPr>
        <w:t>1,190,518.27</w:t>
      </w:r>
      <w:r>
        <w:rPr/>
        <w:t>元。管理层认为</w:t>
      </w:r>
      <w:r>
        <w:rPr>
          <w:rFonts w:ascii="Times New Roman" w:hAnsi="Times New Roman" w:cs="Times New Roman" w:eastAsia="Times New Roman" w:hint="default"/>
        </w:rPr>
        <w:t>2%</w:t>
      </w:r>
      <w:r>
        <w:rPr/>
        <w:t>合理反映了下一年度人民币对美元可能发生变动的合理范围。</w:t>
      </w:r>
    </w:p>
    <w:p>
      <w:pPr>
        <w:spacing w:line="240" w:lineRule="auto" w:before="12"/>
        <w:rPr>
          <w:rFonts w:ascii="宋体" w:hAnsi="宋体" w:cs="宋体" w:eastAsia="宋体" w:hint="default"/>
          <w:sz w:val="12"/>
          <w:szCs w:val="12"/>
        </w:rPr>
      </w:pPr>
    </w:p>
    <w:p>
      <w:pPr>
        <w:pStyle w:val="BodyText"/>
        <w:spacing w:line="240" w:lineRule="auto"/>
        <w:ind w:left="212" w:right="1034"/>
        <w:jc w:val="left"/>
      </w:pPr>
      <w:r>
        <w:rPr>
          <w:rFonts w:ascii="Times New Roman" w:hAnsi="Times New Roman" w:cs="Times New Roman" w:eastAsia="Times New Roman" w:hint="default"/>
        </w:rPr>
        <w:t>(3)</w:t>
      </w:r>
      <w:r>
        <w:rPr/>
        <w:t>其他价格风险：本公司未持有其他上市公司的权益投资。</w:t>
      </w:r>
    </w:p>
    <w:p>
      <w:pPr>
        <w:spacing w:line="240" w:lineRule="auto" w:before="3"/>
        <w:rPr>
          <w:rFonts w:ascii="宋体" w:hAnsi="宋体" w:cs="宋体" w:eastAsia="宋体" w:hint="default"/>
          <w:sz w:val="24"/>
          <w:szCs w:val="24"/>
        </w:rPr>
      </w:pPr>
    </w:p>
    <w:p>
      <w:pPr>
        <w:pStyle w:val="Heading2"/>
        <w:spacing w:line="240" w:lineRule="auto"/>
        <w:ind w:left="212" w:right="1034"/>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2" w:right="1034"/>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399"/>
        <w:gridCol w:w="1996"/>
        <w:gridCol w:w="1985"/>
        <w:gridCol w:w="1985"/>
        <w:gridCol w:w="1207"/>
      </w:tblGrid>
      <w:tr>
        <w:trPr>
          <w:trHeight w:val="206" w:hRule="exact"/>
        </w:trPr>
        <w:tc>
          <w:tcPr>
            <w:tcW w:w="2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2" w:hRule="exact"/>
        </w:trPr>
        <w:tc>
          <w:tcPr>
            <w:tcW w:w="2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74" w:type="dxa"/>
            <w:gridSpan w:val="4"/>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399" w:type="dxa"/>
            <w:vMerge/>
            <w:tcBorders>
              <w:left w:val="single" w:sz="4" w:space="0" w:color="000000"/>
              <w:bottom w:val="nil" w:sz="6" w:space="0" w:color="auto"/>
              <w:right w:val="single" w:sz="4" w:space="0" w:color="000000"/>
            </w:tcBorders>
            <w:shd w:val="clear" w:color="auto" w:fill="D2D2D2"/>
          </w:tcPr>
          <w:p>
            <w:pPr/>
          </w:p>
        </w:tc>
        <w:tc>
          <w:tcPr>
            <w:tcW w:w="19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9"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2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6"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996"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21,016,000.00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21,016,000.00</w:t>
            </w:r>
          </w:p>
        </w:tc>
      </w:tr>
      <w:tr>
        <w:trPr>
          <w:trHeight w:val="715"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 入当期损益的金融资产</w:t>
            </w:r>
          </w:p>
        </w:tc>
        <w:tc>
          <w:tcPr>
            <w:tcW w:w="1996"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21,016,000.00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21,016,000.00</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（八）应收款项融资</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19,689,253.22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19,689,253.22</w:t>
            </w:r>
          </w:p>
        </w:tc>
      </w:tr>
      <w:tr>
        <w:trPr>
          <w:trHeight w:val="404"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（九）其他非流动金融资产</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197,524,901.78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197,524,901.78</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2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360"/>
        <w:jc w:val="both"/>
      </w:pPr>
      <w:r>
        <w:rPr>
          <w:rFonts w:ascii="Times New Roman" w:hAnsi="Times New Roman" w:cs="Times New Roman" w:eastAsia="Times New Roman" w:hint="default"/>
        </w:rPr>
        <w:t>1</w:t>
      </w:r>
      <w:r>
        <w:rPr/>
        <w:t>、以公允价值计量且其变动计入当期损益的金融资产为公司持有的银行理财产品，由于理财产品持有期限较短，收益 率与预期收益率偏差不大，因此公司采用预期收益率预测未来现金流，计量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日理财产品公允价值。</w:t>
      </w:r>
    </w:p>
    <w:p>
      <w:pPr>
        <w:pStyle w:val="BodyText"/>
        <w:spacing w:line="300" w:lineRule="auto" w:before="13"/>
        <w:ind w:right="1133" w:firstLine="360"/>
        <w:jc w:val="both"/>
      </w:pPr>
      <w:r>
        <w:rPr>
          <w:rFonts w:ascii="Times New Roman" w:hAnsi="Times New Roman" w:cs="Times New Roman" w:eastAsia="Times New Roman" w:hint="default"/>
        </w:rPr>
        <w:t>2</w:t>
      </w:r>
      <w:r>
        <w:rPr/>
        <w:t>、应收款项融资为银行承兑汇票，票面期限较短且发生损失的可能性很小，票面价值与公允价值相近，采用票面金额 作为公允价值进行计量。</w:t>
      </w:r>
    </w:p>
    <w:p>
      <w:pPr>
        <w:pStyle w:val="BodyText"/>
        <w:spacing w:line="300" w:lineRule="auto" w:before="31"/>
        <w:ind w:right="1128" w:firstLine="360"/>
        <w:jc w:val="both"/>
      </w:pPr>
      <w:r>
        <w:rPr>
          <w:rFonts w:ascii="Times New Roman" w:hAnsi="Times New Roman" w:cs="Times New Roman" w:eastAsia="Times New Roman" w:hint="default"/>
        </w:rPr>
        <w:t>3</w:t>
      </w:r>
      <w:r>
        <w:rPr/>
        <w:t>、公司投资的江苏中茂节能环保产业创业投资基金合伙企业（有限合伙）根据企业会计准则第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 和计量（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月修订）第</w:t>
      </w:r>
      <w:r>
        <w:rPr>
          <w:rFonts w:ascii="Times New Roman" w:hAnsi="Times New Roman" w:cs="Times New Roman" w:eastAsia="Times New Roman" w:hint="default"/>
        </w:rPr>
        <w:t>44</w:t>
      </w:r>
      <w:r>
        <w:rPr/>
        <w:t>条规定，公司利用初始确认日后可获得的关于被投资方业绩和经营的所有信息，以江苏中茂</w:t>
      </w:r>
      <w:r>
        <w:rPr>
          <w:spacing w:val="-86"/>
        </w:rPr>
        <w:t> </w:t>
      </w:r>
      <w:r>
        <w:rPr>
          <w:spacing w:val="-86"/>
        </w:rPr>
      </w:r>
      <w:r>
        <w:rPr/>
        <w:t>节能环保产业创业投资基金合伙企业（有限合伙）提供的投资项目情况及经审计的财务报告作为公允价值的计算依据。</w:t>
      </w:r>
    </w:p>
    <w:p>
      <w:pPr>
        <w:pStyle w:val="BodyText"/>
        <w:spacing w:line="309" w:lineRule="auto" w:before="31"/>
        <w:ind w:right="1133" w:firstLine="360"/>
        <w:jc w:val="both"/>
      </w:pPr>
      <w:r>
        <w:rPr>
          <w:spacing w:val="-2"/>
        </w:rPr>
        <w:t>公司投资的江苏睿博数据技术有限公司、湖北神狐时代云科技有限公司、湖南旭生健康服务有限公司和深圳海红智能制</w:t>
      </w:r>
      <w:r>
        <w:rPr/>
        <w:t> 造有限公司，根据企业会计准则第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月修订）第</w:t>
      </w:r>
      <w:r>
        <w:rPr>
          <w:rFonts w:ascii="Times New Roman" w:hAnsi="Times New Roman" w:cs="Times New Roman" w:eastAsia="Times New Roman" w:hint="default"/>
        </w:rPr>
        <w:t>44</w:t>
      </w:r>
      <w:r>
        <w:rPr/>
        <w:t>条规定，公司利用初始确认日后可</w:t>
      </w:r>
      <w:r>
        <w:rPr>
          <w:spacing w:val="-85"/>
        </w:rPr>
        <w:t> </w:t>
      </w:r>
      <w:r>
        <w:rPr>
          <w:spacing w:val="-85"/>
        </w:rPr>
      </w:r>
      <w:r>
        <w:rPr/>
        <w:t>获得的关于被投资方业绩和经营的所有信息，判断</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日其他权益工具投资的投资成本能代表其公价值。</w:t>
      </w:r>
    </w:p>
    <w:p>
      <w:pPr>
        <w:spacing w:line="240" w:lineRule="auto" w:before="10"/>
        <w:rPr>
          <w:rFonts w:ascii="宋体" w:hAnsi="宋体" w:cs="宋体" w:eastAsia="宋体" w:hint="default"/>
          <w:sz w:val="19"/>
          <w:szCs w:val="19"/>
        </w:rPr>
      </w:pPr>
    </w:p>
    <w:p>
      <w:pPr>
        <w:pStyle w:val="Heading2"/>
        <w:spacing w:line="240" w:lineRule="auto"/>
        <w:ind w:right="1133"/>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7334"/>
        <w:jc w:val="left"/>
      </w:pPr>
      <w:r>
        <w:rPr/>
        <w:t>本企业的母公司情况的说明 本企业最终控制方是曾胜强、许忠桂夫妇。 其他说明：</w:t>
      </w:r>
    </w:p>
    <w:p>
      <w:pPr>
        <w:spacing w:line="240" w:lineRule="auto" w:before="6"/>
        <w:rPr>
          <w:rFonts w:ascii="宋体" w:hAnsi="宋体" w:cs="宋体" w:eastAsia="宋体" w:hint="default"/>
          <w:sz w:val="20"/>
          <w:szCs w:val="20"/>
        </w:rPr>
      </w:pPr>
    </w:p>
    <w:p>
      <w:pPr>
        <w:spacing w:line="544" w:lineRule="auto" w:before="0"/>
        <w:ind w:left="152" w:right="6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本企业子公司的情况详见附注详见本附注七、</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60" w:lineRule="auto" w:before="49"/>
        <w:ind w:right="229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南京市觅鑫蜂网络科技有限公司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本公司原公司董事方进控股的公司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深圳市国溢工程服务有限公司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本公司原高管亲属控制的公司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本公司董事长、总裁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本公司董事会秘书、副总裁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杨义仁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本公司副总裁</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深圳盛灿科技股份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软件开发服务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4,716,981.13</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4,716,981.13</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680"/>
        <w:gridCol w:w="2259"/>
        <w:gridCol w:w="2655"/>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7,328,544.00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1,556,603.77</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南京市觅鑫蜂网络科技有限公司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1,454,754.62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8,783,298.62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1,556,603.77</w:t>
            </w: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广东宏达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广州云硕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广州云硕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广州云硕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长沙证通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长沙证通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长沙证通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16"/>
        <w:gridCol w:w="1916"/>
        <w:gridCol w:w="1916"/>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1,466,000,000.00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418"/>
        <w:gridCol w:w="1702"/>
        <w:gridCol w:w="1702"/>
        <w:gridCol w:w="1916"/>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信用担保，曾胜强、许忠桂连带担 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信和长沙证通云担保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信和长沙证通云担保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曾胜强和许忠桂连带担保，产业园 二期房产抵押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5"/>
        <w:gridCol w:w="1418"/>
        <w:gridCol w:w="1702"/>
        <w:gridCol w:w="1702"/>
        <w:gridCol w:w="1916"/>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信和长沙证通云担保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信和长沙证通云担保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曾胜强和许忠桂连带担保、证通金 信担保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曾胜强和许忠桂连带担保、证通产 业园一期房产抵押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5"/>
        <w:gridCol w:w="1418"/>
        <w:gridCol w:w="1702"/>
        <w:gridCol w:w="1702"/>
        <w:gridCol w:w="1916"/>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曾胜强和许忠桂连带担保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5"/>
              <w:jc w:val="right"/>
              <w:rPr>
                <w:rFonts w:ascii="宋体" w:hAnsi="宋体" w:cs="宋体" w:eastAsia="宋体" w:hint="default"/>
                <w:sz w:val="18"/>
                <w:szCs w:val="18"/>
              </w:rPr>
            </w:pPr>
            <w:r>
              <w:rPr>
                <w:rFonts w:ascii="宋体" w:hAnsi="宋体" w:cs="宋体" w:eastAsia="宋体" w:hint="default"/>
                <w:sz w:val="18"/>
                <w:szCs w:val="18"/>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关联担保情况说明</w:t>
      </w:r>
    </w:p>
    <w:p>
      <w:pPr>
        <w:pStyle w:val="BodyText"/>
        <w:spacing w:line="240" w:lineRule="auto" w:before="115"/>
        <w:ind w:right="1133"/>
        <w:jc w:val="left"/>
      </w:pPr>
      <w:r>
        <w:rPr>
          <w:rFonts w:ascii="Times New Roman" w:hAnsi="Times New Roman" w:cs="Times New Roman" w:eastAsia="Times New Roman" w:hint="default"/>
        </w:rPr>
        <w:t>1</w:t>
      </w:r>
      <w:r>
        <w:rPr/>
        <w:t>、广东宏达作为被担保方</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4093"/>
        <w:gridCol w:w="984"/>
        <w:gridCol w:w="1145"/>
        <w:gridCol w:w="1145"/>
        <w:gridCol w:w="1174"/>
        <w:gridCol w:w="1051"/>
      </w:tblGrid>
      <w:tr>
        <w:trPr>
          <w:trHeight w:val="660" w:hRule="exact"/>
        </w:trPr>
        <w:tc>
          <w:tcPr>
            <w:tcW w:w="4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7" w:right="0"/>
              <w:jc w:val="left"/>
              <w:rPr>
                <w:rFonts w:ascii="宋体" w:hAnsi="宋体" w:cs="宋体" w:eastAsia="宋体" w:hint="default"/>
                <w:sz w:val="18"/>
                <w:szCs w:val="18"/>
              </w:rPr>
            </w:pPr>
            <w:r>
              <w:rPr>
                <w:rFonts w:ascii="宋体" w:hAnsi="宋体" w:cs="宋体" w:eastAsia="宋体" w:hint="default"/>
                <w:sz w:val="18"/>
                <w:szCs w:val="18"/>
              </w:rPr>
              <w:t>授信金额</w:t>
            </w:r>
          </w:p>
          <w:p>
            <w:pPr>
              <w:pStyle w:val="TableParagraph"/>
              <w:spacing w:line="240" w:lineRule="auto" w:before="76"/>
              <w:ind w:left="12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86" w:right="22" w:hanging="361"/>
              <w:jc w:val="left"/>
              <w:rPr>
                <w:rFonts w:ascii="宋体" w:hAnsi="宋体" w:cs="宋体" w:eastAsia="宋体" w:hint="default"/>
                <w:sz w:val="18"/>
                <w:szCs w:val="18"/>
              </w:rPr>
            </w:pPr>
            <w:r>
              <w:rPr>
                <w:rFonts w:ascii="宋体" w:hAnsi="宋体" w:cs="宋体" w:eastAsia="宋体" w:hint="default"/>
                <w:sz w:val="18"/>
                <w:szCs w:val="18"/>
              </w:rPr>
              <w:t>提款金额（万 元）</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86" w:right="23" w:hanging="360"/>
              <w:jc w:val="left"/>
              <w:rPr>
                <w:rFonts w:ascii="宋体" w:hAnsi="宋体" w:cs="宋体" w:eastAsia="宋体" w:hint="default"/>
                <w:sz w:val="18"/>
                <w:szCs w:val="18"/>
              </w:rPr>
            </w:pPr>
            <w:r>
              <w:rPr>
                <w:rFonts w:ascii="宋体" w:hAnsi="宋体" w:cs="宋体" w:eastAsia="宋体" w:hint="default"/>
                <w:sz w:val="18"/>
                <w:szCs w:val="18"/>
              </w:rPr>
              <w:t>合同借款开始 日期</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合同还款日期</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7" w:right="67"/>
              <w:jc w:val="left"/>
              <w:rPr>
                <w:rFonts w:ascii="宋体" w:hAnsi="宋体" w:cs="宋体" w:eastAsia="宋体" w:hint="default"/>
                <w:sz w:val="18"/>
                <w:szCs w:val="18"/>
              </w:rPr>
            </w:pPr>
            <w:r>
              <w:rPr>
                <w:rFonts w:ascii="宋体" w:hAnsi="宋体" w:cs="宋体" w:eastAsia="宋体" w:hint="default"/>
                <w:sz w:val="18"/>
                <w:szCs w:val="18"/>
              </w:rPr>
              <w:t>担保是否已 经履约完毕</w:t>
            </w:r>
          </w:p>
        </w:tc>
      </w:tr>
      <w:tr>
        <w:trPr>
          <w:trHeight w:val="348" w:hRule="exact"/>
        </w:trPr>
        <w:tc>
          <w:tcPr>
            <w:tcW w:w="4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本公司担保，公司及其他部分股东股权质押担保</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7" w:right="0"/>
              <w:jc w:val="left"/>
              <w:rPr>
                <w:rFonts w:ascii="Times New Roman" w:hAnsi="Times New Roman" w:cs="Times New Roman" w:eastAsia="Times New Roman" w:hint="default"/>
                <w:sz w:val="18"/>
                <w:szCs w:val="18"/>
              </w:rPr>
            </w:pPr>
            <w:r>
              <w:rPr>
                <w:rFonts w:ascii="Times New Roman"/>
                <w:sz w:val="18"/>
              </w:rPr>
              <w:t>50,000.00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06" w:right="0"/>
              <w:jc w:val="left"/>
              <w:rPr>
                <w:rFonts w:ascii="Times New Roman" w:hAnsi="Times New Roman" w:cs="Times New Roman" w:eastAsia="Times New Roman" w:hint="default"/>
                <w:sz w:val="18"/>
                <w:szCs w:val="18"/>
              </w:rPr>
            </w:pPr>
            <w:r>
              <w:rPr>
                <w:rFonts w:ascii="Times New Roman"/>
                <w:sz w:val="18"/>
              </w:rPr>
              <w:t>47,400.00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0" w:right="0"/>
              <w:jc w:val="left"/>
              <w:rPr>
                <w:rFonts w:ascii="Times New Roman" w:hAnsi="Times New Roman" w:cs="Times New Roman" w:eastAsia="Times New Roman" w:hint="default"/>
                <w:sz w:val="18"/>
                <w:szCs w:val="18"/>
              </w:rPr>
            </w:pPr>
            <w:r>
              <w:rPr>
                <w:rFonts w:ascii="Times New Roman"/>
                <w:sz w:val="18"/>
              </w:rPr>
              <w:t>2019.01.02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2024.01.02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8"/>
        <w:ind w:right="1133"/>
        <w:jc w:val="left"/>
      </w:pPr>
      <w:r>
        <w:rPr>
          <w:rFonts w:ascii="Times New Roman" w:hAnsi="Times New Roman" w:cs="Times New Roman" w:eastAsia="Times New Roman" w:hint="default"/>
        </w:rPr>
        <w:t>2</w:t>
      </w:r>
      <w:r>
        <w:rPr/>
        <w:t>、广州云硕作为被担保方</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4076"/>
        <w:gridCol w:w="1143"/>
        <w:gridCol w:w="979"/>
        <w:gridCol w:w="1142"/>
        <w:gridCol w:w="1280"/>
        <w:gridCol w:w="936"/>
      </w:tblGrid>
      <w:tr>
        <w:trPr>
          <w:trHeight w:val="658" w:hRule="exact"/>
        </w:trPr>
        <w:tc>
          <w:tcPr>
            <w:tcW w:w="4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86" w:right="21" w:hanging="360"/>
              <w:jc w:val="left"/>
              <w:rPr>
                <w:rFonts w:ascii="宋体" w:hAnsi="宋体" w:cs="宋体" w:eastAsia="宋体" w:hint="default"/>
                <w:sz w:val="18"/>
                <w:szCs w:val="18"/>
              </w:rPr>
            </w:pPr>
            <w:r>
              <w:rPr>
                <w:rFonts w:ascii="宋体" w:hAnsi="宋体" w:cs="宋体" w:eastAsia="宋体" w:hint="default"/>
                <w:sz w:val="18"/>
                <w:szCs w:val="18"/>
              </w:rPr>
              <w:t>授信金额（万 元）</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4" w:right="0"/>
              <w:jc w:val="left"/>
              <w:rPr>
                <w:rFonts w:ascii="宋体" w:hAnsi="宋体" w:cs="宋体" w:eastAsia="宋体" w:hint="default"/>
                <w:sz w:val="18"/>
                <w:szCs w:val="18"/>
              </w:rPr>
            </w:pPr>
            <w:r>
              <w:rPr>
                <w:rFonts w:ascii="宋体" w:hAnsi="宋体" w:cs="宋体" w:eastAsia="宋体" w:hint="default"/>
                <w:sz w:val="18"/>
                <w:szCs w:val="18"/>
              </w:rPr>
              <w:t>提款金额</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83" w:right="23" w:hanging="360"/>
              <w:jc w:val="left"/>
              <w:rPr>
                <w:rFonts w:ascii="宋体" w:hAnsi="宋体" w:cs="宋体" w:eastAsia="宋体" w:hint="default"/>
                <w:sz w:val="18"/>
                <w:szCs w:val="18"/>
              </w:rPr>
            </w:pPr>
            <w:r>
              <w:rPr>
                <w:rFonts w:ascii="宋体" w:hAnsi="宋体" w:cs="宋体" w:eastAsia="宋体" w:hint="default"/>
                <w:sz w:val="18"/>
                <w:szCs w:val="18"/>
              </w:rPr>
              <w:t>合同借款开始 日期</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合同还款日期</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9" w:right="11"/>
              <w:jc w:val="left"/>
              <w:rPr>
                <w:rFonts w:ascii="宋体" w:hAnsi="宋体" w:cs="宋体" w:eastAsia="宋体" w:hint="default"/>
                <w:sz w:val="18"/>
                <w:szCs w:val="18"/>
              </w:rPr>
            </w:pPr>
            <w:r>
              <w:rPr>
                <w:rFonts w:ascii="宋体" w:hAnsi="宋体" w:cs="宋体" w:eastAsia="宋体" w:hint="default"/>
                <w:sz w:val="18"/>
                <w:szCs w:val="18"/>
              </w:rPr>
              <w:t>担保是否已 经履约完毕</w:t>
            </w:r>
          </w:p>
        </w:tc>
      </w:tr>
      <w:tr>
        <w:trPr>
          <w:trHeight w:val="348" w:hRule="exact"/>
        </w:trPr>
        <w:tc>
          <w:tcPr>
            <w:tcW w:w="4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本公司、云硕科技原股东提供连带责任担保</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5,000.00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5,000.00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2017.08.24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2020.08.04</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4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本公司担保</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15,000.00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2016.07.14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2020.09.14</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58" w:hRule="exact"/>
        </w:trPr>
        <w:tc>
          <w:tcPr>
            <w:tcW w:w="40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
              <w:jc w:val="left"/>
              <w:rPr>
                <w:rFonts w:ascii="宋体" w:hAnsi="宋体" w:cs="宋体" w:eastAsia="宋体" w:hint="default"/>
                <w:sz w:val="18"/>
                <w:szCs w:val="18"/>
              </w:rPr>
            </w:pPr>
            <w:r>
              <w:rPr>
                <w:rFonts w:ascii="宋体" w:hAnsi="宋体" w:cs="宋体" w:eastAsia="宋体" w:hint="default"/>
                <w:spacing w:val="-4"/>
                <w:sz w:val="18"/>
                <w:szCs w:val="18"/>
              </w:rPr>
              <w:t>广州云硕股权质押担保、部分资产抵押担保及广州云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硕数据中心收益权作为质押</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40,000.00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38,409.75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2019.10.17</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2025.09.21</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4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60,000.00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58,409.75</w:t>
            </w:r>
          </w:p>
        </w:tc>
        <w:tc>
          <w:tcPr>
            <w:tcW w:w="1142"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right="1133"/>
        <w:jc w:val="left"/>
      </w:pPr>
      <w:r>
        <w:rPr>
          <w:rFonts w:ascii="Times New Roman" w:hAnsi="Times New Roman" w:cs="Times New Roman" w:eastAsia="Times New Roman" w:hint="default"/>
        </w:rPr>
        <w:t>3</w:t>
      </w:r>
      <w:r>
        <w:rPr/>
        <w:t>、证通金信作为被担保方</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4079"/>
        <w:gridCol w:w="1006"/>
        <w:gridCol w:w="1277"/>
        <w:gridCol w:w="1140"/>
        <w:gridCol w:w="1143"/>
        <w:gridCol w:w="912"/>
      </w:tblGrid>
      <w:tr>
        <w:trPr>
          <w:trHeight w:val="972"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授信金额</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53" w:right="87" w:hanging="361"/>
              <w:jc w:val="left"/>
              <w:rPr>
                <w:rFonts w:ascii="宋体" w:hAnsi="宋体" w:cs="宋体" w:eastAsia="宋体" w:hint="default"/>
                <w:sz w:val="18"/>
                <w:szCs w:val="18"/>
              </w:rPr>
            </w:pPr>
            <w:r>
              <w:rPr>
                <w:rFonts w:ascii="宋体" w:hAnsi="宋体" w:cs="宋体" w:eastAsia="宋体" w:hint="default"/>
                <w:sz w:val="18"/>
                <w:szCs w:val="18"/>
              </w:rPr>
              <w:t>提款金额（万 元）</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83" w:right="19" w:hanging="360"/>
              <w:jc w:val="left"/>
              <w:rPr>
                <w:rFonts w:ascii="宋体" w:hAnsi="宋体" w:cs="宋体" w:eastAsia="宋体" w:hint="default"/>
                <w:sz w:val="18"/>
                <w:szCs w:val="18"/>
              </w:rPr>
            </w:pPr>
            <w:r>
              <w:rPr>
                <w:rFonts w:ascii="宋体" w:hAnsi="宋体" w:cs="宋体" w:eastAsia="宋体" w:hint="default"/>
                <w:sz w:val="18"/>
                <w:szCs w:val="18"/>
              </w:rPr>
              <w:t>合同借款开始 日期</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合同还款日期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8" w:right="86"/>
              <w:jc w:val="center"/>
              <w:rPr>
                <w:rFonts w:ascii="宋体" w:hAnsi="宋体" w:cs="宋体" w:eastAsia="宋体" w:hint="default"/>
                <w:sz w:val="18"/>
                <w:szCs w:val="18"/>
              </w:rPr>
            </w:pPr>
            <w:r>
              <w:rPr>
                <w:rFonts w:ascii="宋体" w:hAnsi="宋体" w:cs="宋体" w:eastAsia="宋体" w:hint="default"/>
                <w:sz w:val="18"/>
                <w:szCs w:val="18"/>
              </w:rPr>
              <w:t>担保是否 已经履约 完毕</w:t>
            </w:r>
          </w:p>
        </w:tc>
      </w:tr>
      <w:tr>
        <w:trPr>
          <w:trHeight w:val="65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本公司担保、高新投担保、曾胜强和许忠桂对高新投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进行反担保</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57" w:right="0"/>
              <w:jc w:val="left"/>
              <w:rPr>
                <w:rFonts w:ascii="Times New Roman" w:hAnsi="Times New Roman" w:cs="Times New Roman" w:eastAsia="Times New Roman" w:hint="default"/>
                <w:sz w:val="18"/>
                <w:szCs w:val="18"/>
              </w:rPr>
            </w:pPr>
            <w:r>
              <w:rPr>
                <w:rFonts w:ascii="Times New Roman"/>
                <w:sz w:val="18"/>
              </w:rPr>
              <w:t>1,600.00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31" w:right="-1"/>
              <w:jc w:val="left"/>
              <w:rPr>
                <w:rFonts w:ascii="Times New Roman" w:hAnsi="Times New Roman" w:cs="Times New Roman" w:eastAsia="Times New Roman" w:hint="default"/>
                <w:sz w:val="18"/>
                <w:szCs w:val="18"/>
              </w:rPr>
            </w:pPr>
            <w:r>
              <w:rPr>
                <w:rFonts w:ascii="Times New Roman"/>
                <w:sz w:val="18"/>
              </w:rPr>
              <w:t>1,600.00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8" w:right="0"/>
              <w:jc w:val="left"/>
              <w:rPr>
                <w:rFonts w:ascii="Times New Roman" w:hAnsi="Times New Roman" w:cs="Times New Roman" w:eastAsia="Times New Roman" w:hint="default"/>
                <w:sz w:val="18"/>
                <w:szCs w:val="18"/>
              </w:rPr>
            </w:pPr>
            <w:r>
              <w:rPr>
                <w:rFonts w:ascii="Times New Roman"/>
                <w:sz w:val="18"/>
              </w:rPr>
              <w:t>2019.01.03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2020.01.03</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
        <w:ind w:right="1133"/>
        <w:jc w:val="left"/>
      </w:pPr>
      <w:r>
        <w:rPr>
          <w:rFonts w:ascii="Times New Roman" w:hAnsi="Times New Roman" w:cs="Times New Roman" w:eastAsia="Times New Roman" w:hint="default"/>
        </w:rPr>
        <w:t>4</w:t>
      </w:r>
      <w:r>
        <w:rPr/>
        <w:t>、长沙证通作为被担保方</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431"/>
        <w:gridCol w:w="1142"/>
        <w:gridCol w:w="1143"/>
        <w:gridCol w:w="1145"/>
        <w:gridCol w:w="1143"/>
        <w:gridCol w:w="1572"/>
      </w:tblGrid>
      <w:tr>
        <w:trPr>
          <w:trHeight w:val="656"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授信金额</w:t>
            </w:r>
          </w:p>
          <w:p>
            <w:pPr>
              <w:pStyle w:val="TableParagraph"/>
              <w:spacing w:line="240" w:lineRule="auto" w:before="76"/>
              <w:ind w:left="20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提款金额</w:t>
            </w:r>
          </w:p>
          <w:p>
            <w:pPr>
              <w:pStyle w:val="TableParagraph"/>
              <w:spacing w:line="240" w:lineRule="auto" w:before="76"/>
              <w:ind w:left="20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97" w:right="115" w:hanging="180"/>
              <w:jc w:val="left"/>
              <w:rPr>
                <w:rFonts w:ascii="宋体" w:hAnsi="宋体" w:cs="宋体" w:eastAsia="宋体" w:hint="default"/>
                <w:sz w:val="18"/>
                <w:szCs w:val="18"/>
              </w:rPr>
            </w:pPr>
            <w:r>
              <w:rPr>
                <w:rFonts w:ascii="宋体" w:hAnsi="宋体" w:cs="宋体" w:eastAsia="宋体" w:hint="default"/>
                <w:sz w:val="18"/>
                <w:szCs w:val="18"/>
              </w:rPr>
              <w:t>合同借款开 始日期</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475" w:right="116" w:hanging="360"/>
              <w:jc w:val="left"/>
              <w:rPr>
                <w:rFonts w:ascii="宋体" w:hAnsi="宋体" w:cs="宋体" w:eastAsia="宋体" w:hint="default"/>
                <w:sz w:val="18"/>
                <w:szCs w:val="18"/>
              </w:rPr>
            </w:pPr>
            <w:r>
              <w:rPr>
                <w:rFonts w:ascii="宋体" w:hAnsi="宋体" w:cs="宋体" w:eastAsia="宋体" w:hint="default"/>
                <w:sz w:val="18"/>
                <w:szCs w:val="18"/>
              </w:rPr>
              <w:t>合同还款日 期</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511" w:right="149" w:hanging="360"/>
              <w:jc w:val="left"/>
              <w:rPr>
                <w:rFonts w:ascii="宋体" w:hAnsi="宋体" w:cs="宋体" w:eastAsia="宋体" w:hint="default"/>
                <w:sz w:val="18"/>
                <w:szCs w:val="18"/>
              </w:rPr>
            </w:pPr>
            <w:r>
              <w:rPr>
                <w:rFonts w:ascii="宋体" w:hAnsi="宋体" w:cs="宋体" w:eastAsia="宋体" w:hint="default"/>
                <w:sz w:val="18"/>
                <w:szCs w:val="18"/>
              </w:rPr>
              <w:t>担保是否已经履 约完毕</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31"/>
        <w:gridCol w:w="1142"/>
        <w:gridCol w:w="1143"/>
        <w:gridCol w:w="1145"/>
        <w:gridCol w:w="1143"/>
        <w:gridCol w:w="1572"/>
      </w:tblGrid>
      <w:tr>
        <w:trPr>
          <w:trHeight w:val="341"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本公司担保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3,000.00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3,000.00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2019.04.15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2020.04.14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本公司担保，长沙证通部分资产抵押担保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30,000.00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2019.09.20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2029.09.20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本公司担保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2,000.00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2,000.00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2019.10.30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2020.10.29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8"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35,000.00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35,000.00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日分别归还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6,373,200.00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5,584,900.00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2941"/>
        <w:gridCol w:w="1277"/>
        <w:gridCol w:w="1274"/>
        <w:gridCol w:w="1277"/>
        <w:gridCol w:w="1202"/>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294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广州水晶智联科技有限公司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5,289,930.71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2,348,200.24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5,289,930.71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528,993.07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南京市觅鑫蜂网络科技有限公司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856,301.42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42,815.07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2,983,908.00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149,195.40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9,130,140.13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2,540,210.71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5,289,930.71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528,993.07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广州水晶智联科技有限公司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754,480.65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98,783.95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711,654.00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71,165.40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754,480.65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98,783.95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711,654.00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71,165.40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855"/>
        <w:gridCol w:w="1932"/>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55"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深圳市国溢工程服务有限公司</w:t>
            </w: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11,396.95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55"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11,396.95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55"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3,350,000.00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55"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55"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10,154.00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10,012,557.00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14,932.50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55"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10,063,718.50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5894"/>
        <w:jc w:val="left"/>
      </w:pPr>
      <w:r>
        <w:rPr/>
        <w:t>资产负债表日存在的重要承诺 截止资产负债表日，本公司不存在需要披露的重大承诺事项。</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7663"/>
        <w:jc w:val="left"/>
      </w:pPr>
      <w:r>
        <w:rPr>
          <w:rFonts w:ascii="Times New Roman" w:hAnsi="Times New Roman" w:cs="Times New Roman" w:eastAsia="Times New Roman" w:hint="default"/>
        </w:rPr>
        <w:t>1</w:t>
      </w:r>
      <w:r>
        <w:rPr/>
        <w:t>、诉讼事项 </w:t>
      </w:r>
      <w:r>
        <w:rPr>
          <w:rFonts w:ascii="Times New Roman" w:hAnsi="Times New Roman" w:cs="Times New Roman" w:eastAsia="Times New Roman" w:hint="default"/>
        </w:rPr>
        <w:t>(1)</w:t>
      </w:r>
      <w:r>
        <w:rPr/>
        <w:t>晋州市月光照明电器厂诉讼事项</w:t>
      </w:r>
    </w:p>
    <w:p>
      <w:pPr>
        <w:pStyle w:val="BodyText"/>
        <w:spacing w:line="300" w:lineRule="auto" w:before="13"/>
        <w:ind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月，公司全资子公司定州市中标节能技术服务有限公司收到河北省石家庄市中级人民法院关于晋州市月光照明</w:t>
      </w:r>
      <w:r>
        <w:rPr/>
        <w:t> 电器厂起诉定州中标工程材料款等纠纷案件的二审判决，法院判令定州中标返还晋州市月光照明电器厂材料款</w:t>
      </w:r>
      <w:r>
        <w:rPr>
          <w:rFonts w:ascii="Times New Roman" w:hAnsi="Times New Roman" w:cs="Times New Roman" w:eastAsia="Times New Roman" w:hint="default"/>
        </w:rPr>
        <w:t>9,078,645.00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元及利息。定州市中标节能技术服务有限公司不服二审判决，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月河北省高级人民法院受理定州市中标节能技术服务</w:t>
      </w:r>
      <w:r>
        <w:rPr>
          <w:spacing w:val="-85"/>
        </w:rPr>
        <w:t> </w:t>
      </w:r>
      <w:r>
        <w:rPr>
          <w:spacing w:val="-85"/>
        </w:rPr>
      </w:r>
      <w:r>
        <w:rPr/>
        <w:t>有限公司再审申请，法院已提审，并中止原判决执行。目前案件正在审理中。</w:t>
      </w:r>
    </w:p>
    <w:p>
      <w:pPr>
        <w:pStyle w:val="BodyText"/>
        <w:spacing w:line="300" w:lineRule="auto" w:before="31"/>
        <w:ind w:left="513" w:right="1133"/>
        <w:jc w:val="left"/>
      </w:pPr>
      <w:r>
        <w:rPr>
          <w:rFonts w:ascii="Times New Roman" w:hAnsi="Times New Roman" w:cs="Times New Roman" w:eastAsia="Times New Roman" w:hint="default"/>
        </w:rPr>
        <w:t>(2)</w:t>
      </w:r>
      <w:r>
        <w:rPr/>
        <w:t>湖南昭山未名生物医学有限公司与湖南北大未名生物科技有限公司诉讼事项</w:t>
      </w:r>
      <w:r>
        <w:rPr>
          <w:w w:val="9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w:t>
      </w:r>
      <w:r>
        <w:rPr/>
        <w:t>本公司因建设工程施工合同纠纷案件起诉湖南昭山未名生物医学有限公司与湖南北大未名生物科技有</w:t>
      </w:r>
    </w:p>
    <w:p>
      <w:pPr>
        <w:pStyle w:val="BodyText"/>
        <w:spacing w:line="300" w:lineRule="auto" w:before="13"/>
        <w:ind w:right="1128"/>
        <w:jc w:val="both"/>
      </w:pPr>
      <w:r>
        <w:rPr>
          <w:spacing w:val="-1"/>
        </w:rPr>
        <w:t>限公司。诉讼请求判令被告湖南昭山未名生物医学有限公司立即向原告支付欠款本金</w:t>
      </w:r>
      <w:r>
        <w:rPr>
          <w:rFonts w:ascii="Times New Roman" w:hAnsi="Times New Roman" w:cs="Times New Roman" w:eastAsia="Times New Roman" w:hint="default"/>
          <w:spacing w:val="-1"/>
        </w:rPr>
        <w:t>40,000,000.00</w:t>
      </w:r>
      <w:r>
        <w:rPr>
          <w:spacing w:val="-1"/>
        </w:rPr>
        <w:t>元及逾期付款利息；判令</w:t>
      </w:r>
      <w:r>
        <w:rPr>
          <w:spacing w:val="-70"/>
        </w:rPr>
        <w:t> </w:t>
      </w:r>
      <w:r>
        <w:rPr>
          <w:spacing w:val="-70"/>
        </w:rPr>
      </w:r>
      <w:r>
        <w:rPr>
          <w:spacing w:val="-5"/>
        </w:rPr>
        <w:t>两被告承担本案律师费及诉讼费、保全费、保全保险费。本公司已申请保全了不动产证号：湘</w:t>
      </w:r>
      <w:r>
        <w:rPr>
          <w:rFonts w:ascii="Times New Roman" w:hAnsi="Times New Roman" w:cs="Times New Roman" w:eastAsia="Times New Roman" w:hint="default"/>
          <w:spacing w:val="-5"/>
        </w:rPr>
        <w:t>(2018)</w:t>
      </w:r>
      <w:r>
        <w:rPr>
          <w:spacing w:val="-5"/>
        </w:rPr>
        <w:t>湘潭市不动产权第</w:t>
      </w:r>
      <w:r>
        <w:rPr>
          <w:rFonts w:ascii="Times New Roman" w:hAnsi="Times New Roman" w:cs="Times New Roman" w:eastAsia="Times New Roman" w:hint="default"/>
          <w:spacing w:val="-5"/>
        </w:rPr>
        <w:t>0033378</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号的土地。目前案件正在审理中。</w:t>
      </w:r>
    </w:p>
    <w:p>
      <w:pPr>
        <w:pStyle w:val="BodyText"/>
        <w:spacing w:line="300" w:lineRule="auto" w:before="31"/>
        <w:ind w:left="513" w:right="1119"/>
        <w:jc w:val="left"/>
      </w:pPr>
      <w:r>
        <w:rPr>
          <w:rFonts w:ascii="Times New Roman" w:hAnsi="Times New Roman" w:cs="Times New Roman" w:eastAsia="Times New Roman" w:hint="default"/>
        </w:rPr>
        <w:t>2</w:t>
      </w:r>
      <w:r>
        <w:rPr/>
        <w:t>、保函情况 </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日，本公司为招投标出具质量保函、履约保函和投标保函中未到期履约保函</w:t>
      </w:r>
      <w:r>
        <w:rPr>
          <w:rFonts w:ascii="Times New Roman" w:hAnsi="Times New Roman" w:cs="Times New Roman" w:eastAsia="Times New Roman" w:hint="default"/>
          <w:spacing w:val="-2"/>
        </w:rPr>
        <w:t>22</w:t>
      </w:r>
      <w:r>
        <w:rPr>
          <w:spacing w:val="-2"/>
        </w:rPr>
        <w:t>份，质量保函及履约保</w:t>
      </w:r>
    </w:p>
    <w:p>
      <w:pPr>
        <w:pStyle w:val="BodyText"/>
        <w:spacing w:line="300" w:lineRule="auto" w:before="13"/>
        <w:ind w:left="513" w:right="5758" w:hanging="361"/>
        <w:jc w:val="left"/>
      </w:pPr>
      <w:r>
        <w:rPr/>
        <w:t>函金额为</w:t>
      </w:r>
      <w:r>
        <w:rPr>
          <w:rFonts w:ascii="Times New Roman" w:hAnsi="Times New Roman" w:cs="Times New Roman" w:eastAsia="Times New Roman" w:hint="default"/>
        </w:rPr>
        <w:t>6,090,690.51</w:t>
      </w:r>
      <w:r>
        <w:rPr/>
        <w:t>元，存入保证金金额</w:t>
      </w:r>
      <w:r>
        <w:rPr>
          <w:rFonts w:ascii="Times New Roman" w:hAnsi="Times New Roman" w:cs="Times New Roman" w:eastAsia="Times New Roman" w:hint="default"/>
        </w:rPr>
        <w:t>4,683,346.76</w:t>
      </w:r>
      <w:r>
        <w:rPr/>
        <w:t>元。 </w:t>
      </w:r>
      <w:r>
        <w:rPr>
          <w:rFonts w:ascii="Times New Roman" w:hAnsi="Times New Roman" w:cs="Times New Roman" w:eastAsia="Times New Roman" w:hint="default"/>
        </w:rPr>
        <w:t>3</w:t>
      </w:r>
      <w:r>
        <w:rPr/>
        <w:t>、商业承兑汇票事项 期末终止确认背书未到期的商业承兑汇票</w:t>
      </w:r>
      <w:r>
        <w:rPr>
          <w:rFonts w:ascii="Times New Roman" w:hAnsi="Times New Roman" w:cs="Times New Roman" w:eastAsia="Times New Roman" w:hint="default"/>
        </w:rPr>
        <w:t>35,000,000.00</w:t>
      </w:r>
      <w:r>
        <w:rPr/>
        <w:t>元。</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513" w:right="5803"/>
        <w:jc w:val="left"/>
      </w:pPr>
      <w:r>
        <w:rPr>
          <w:rFonts w:ascii="Times New Roman" w:hAnsi="Times New Roman" w:cs="Times New Roman" w:eastAsia="Times New Roman" w:hint="default"/>
        </w:rPr>
        <w:t>4</w:t>
      </w:r>
      <w:r>
        <w:rPr/>
        <w:t>、为其他单位提供债务担保形成的或有负债及其财务影响 为关联方提供的担保事项详见本财务报表附注十、</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公司不存在需要披露的重要或有事项。</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3229"/>
        <w:gridCol w:w="2724"/>
        <w:gridCol w:w="2057"/>
      </w:tblGrid>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对财务状况和经营成果的影响数</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565"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29" w:type="dxa"/>
            <w:vMerge w:val="restart"/>
            <w:tcBorders>
              <w:top w:val="single" w:sz="4" w:space="0" w:color="000000"/>
              <w:left w:val="single" w:sz="9" w:space="0" w:color="D2D2D2"/>
              <w:right w:val="single" w:sz="4" w:space="0" w:color="000000"/>
            </w:tcBorders>
          </w:tcPr>
          <w:p>
            <w:pPr>
              <w:pStyle w:val="TableParagraph"/>
              <w:spacing w:line="307" w:lineRule="auto" w:before="49"/>
              <w:ind w:left="17" w:right="-46"/>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日召开第五届董事 会第九次</w:t>
            </w:r>
            <w:r>
              <w:rPr>
                <w:rFonts w:ascii="Times New Roman" w:hAnsi="Times New Roman" w:cs="Times New Roman" w:eastAsia="Times New Roman" w:hint="default"/>
                <w:sz w:val="18"/>
                <w:szCs w:val="18"/>
              </w:rPr>
              <w:t>(</w:t>
            </w:r>
            <w:r>
              <w:rPr>
                <w:rFonts w:ascii="宋体" w:hAnsi="宋体" w:cs="宋体" w:eastAsia="宋体" w:hint="default"/>
                <w:sz w:val="18"/>
                <w:szCs w:val="18"/>
              </w:rPr>
              <w:t>临时</w:t>
            </w:r>
            <w:r>
              <w:rPr>
                <w:rFonts w:ascii="Times New Roman" w:hAnsi="Times New Roman" w:cs="Times New Roman" w:eastAsia="Times New Roman" w:hint="default"/>
                <w:sz w:val="18"/>
                <w:szCs w:val="18"/>
              </w:rPr>
              <w:t>)</w:t>
            </w:r>
            <w:r>
              <w:rPr>
                <w:rFonts w:ascii="宋体" w:hAnsi="宋体" w:cs="宋体" w:eastAsia="宋体" w:hint="default"/>
                <w:sz w:val="18"/>
                <w:szCs w:val="18"/>
              </w:rPr>
              <w:t>会议审议通过《关于公司 </w:t>
            </w:r>
            <w:r>
              <w:rPr>
                <w:rFonts w:ascii="宋体" w:hAnsi="宋体" w:cs="宋体" w:eastAsia="宋体" w:hint="default"/>
                <w:spacing w:val="-5"/>
                <w:sz w:val="18"/>
                <w:szCs w:val="18"/>
              </w:rPr>
              <w:t>非公开发行股票方案的议案》。本次非公</w:t>
            </w:r>
            <w:r>
              <w:rPr>
                <w:rFonts w:ascii="宋体" w:hAnsi="宋体" w:cs="宋体" w:eastAsia="宋体" w:hint="default"/>
                <w:sz w:val="18"/>
                <w:szCs w:val="18"/>
              </w:rPr>
              <w:t> 开发行股票募集资金总额不超过 </w:t>
            </w:r>
            <w:r>
              <w:rPr>
                <w:rFonts w:ascii="Times New Roman" w:hAnsi="Times New Roman" w:cs="Times New Roman" w:eastAsia="Times New Roman" w:hint="default"/>
                <w:sz w:val="18"/>
                <w:szCs w:val="18"/>
              </w:rPr>
              <w:t>88,570 </w:t>
            </w:r>
            <w:r>
              <w:rPr>
                <w:rFonts w:ascii="宋体" w:hAnsi="宋体" w:cs="宋体" w:eastAsia="宋体" w:hint="default"/>
                <w:spacing w:val="-5"/>
                <w:sz w:val="18"/>
                <w:szCs w:val="18"/>
              </w:rPr>
              <w:t>万元（含本数），发行数量按照募集资金</w:t>
            </w:r>
            <w:r>
              <w:rPr>
                <w:rFonts w:ascii="宋体" w:hAnsi="宋体" w:cs="宋体" w:eastAsia="宋体" w:hint="default"/>
                <w:sz w:val="18"/>
                <w:szCs w:val="18"/>
              </w:rPr>
              <w:t> </w:t>
            </w:r>
            <w:r>
              <w:rPr>
                <w:rFonts w:ascii="宋体" w:hAnsi="宋体" w:cs="宋体" w:eastAsia="宋体" w:hint="default"/>
                <w:spacing w:val="-4"/>
                <w:sz w:val="18"/>
                <w:szCs w:val="18"/>
              </w:rPr>
              <w:t>总额除以发行价格确定，且不超过本次发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行前总股本的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，即不超过 </w:t>
            </w:r>
            <w:r>
              <w:rPr>
                <w:rFonts w:ascii="Times New Roman" w:hAnsi="Times New Roman" w:cs="Times New Roman" w:eastAsia="Times New Roman" w:hint="default"/>
                <w:spacing w:val="-1"/>
                <w:sz w:val="18"/>
                <w:szCs w:val="18"/>
              </w:rPr>
              <w:t>154,547,084</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股（含本数），最终发行数量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上限以中国证监会核准文件的要求为准。 本次非公开发行股票的对象不超过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特定对象。</w:t>
            </w:r>
          </w:p>
        </w:tc>
        <w:tc>
          <w:tcPr>
            <w:tcW w:w="2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vMerge w:val="restart"/>
            <w:tcBorders>
              <w:top w:val="single" w:sz="4" w:space="0" w:color="000000"/>
              <w:left w:val="single" w:sz="4" w:space="0" w:color="000000"/>
              <w:right w:val="single" w:sz="4" w:space="0" w:color="000000"/>
            </w:tcBorders>
          </w:tcPr>
          <w:p>
            <w:pP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0"/>
              <w:jc w:val="center"/>
              <w:rPr>
                <w:rFonts w:ascii="宋体" w:hAnsi="宋体" w:cs="宋体" w:eastAsia="宋体" w:hint="default"/>
                <w:sz w:val="18"/>
                <w:szCs w:val="18"/>
              </w:rPr>
            </w:pPr>
            <w:r>
              <w:rPr>
                <w:rFonts w:ascii="宋体" w:hAnsi="宋体" w:cs="宋体" w:eastAsia="宋体" w:hint="default"/>
                <w:sz w:val="18"/>
                <w:szCs w:val="18"/>
              </w:rPr>
              <w:t>股票和债券的发行</w:t>
            </w:r>
          </w:p>
        </w:tc>
        <w:tc>
          <w:tcPr>
            <w:tcW w:w="3229" w:type="dxa"/>
            <w:vMerge/>
            <w:tcBorders>
              <w:left w:val="single" w:sz="9" w:space="0" w:color="D2D2D2"/>
              <w:right w:val="single" w:sz="4" w:space="0" w:color="000000"/>
            </w:tcBorders>
          </w:tcPr>
          <w:p>
            <w:pPr/>
          </w:p>
        </w:tc>
        <w:tc>
          <w:tcPr>
            <w:tcW w:w="2724"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1565"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29" w:type="dxa"/>
            <w:vMerge/>
            <w:tcBorders>
              <w:left w:val="single" w:sz="9" w:space="0" w:color="D2D2D2"/>
              <w:bottom w:val="single" w:sz="4" w:space="0" w:color="000000"/>
              <w:right w:val="single" w:sz="4" w:space="0" w:color="000000"/>
            </w:tcBorders>
          </w:tcPr>
          <w:p>
            <w:pPr/>
          </w:p>
        </w:tc>
        <w:tc>
          <w:tcPr>
            <w:tcW w:w="2724"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pict>
          <v:group style="position:absolute;margin-left:296.450012pt;margin-top:-91.080315pt;width:135.75pt;height:78.05pt;mso-position-horizontal-relative:page;mso-position-vertical-relative:paragraph;z-index:-1320616" coordorigin="5929,-1822" coordsize="2715,1561">
            <v:shape style="position:absolute;left:5929;top:-1822;width:2715;height:1561" coordorigin="5929,-1822" coordsize="2715,1561" path="m5929,-261l8644,-261,8644,-1822,5929,-1822,5929,-261xe" filled="true" fillcolor="#ffffff" stroked="false">
              <v:path arrowok="t"/>
              <v:fill type="solid"/>
            </v:shape>
            <w10:wrap type="none"/>
          </v:group>
        </w:pict>
      </w: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5" w:firstLine="360"/>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日，公司第五届董事会第十次会议决议，公司拟不派发现金红利，不送红股，不以资本公积转增股本。上 述利润分配方案尚待股东大会审议批准。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7"/>
        <w:ind w:right="1133"/>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2" w:firstLine="360"/>
        <w:jc w:val="both"/>
      </w:pPr>
      <w:r>
        <w:rPr>
          <w:spacing w:val="-2"/>
        </w:rPr>
        <w:t>公司以内部组织结构、管理要求、内部报告制度等为依据确定报告分部，并以行业分部为基础确定报告分部。分别对金</w:t>
      </w:r>
      <w:r>
        <w:rPr/>
        <w:t> </w:t>
      </w:r>
      <w:r>
        <w:rPr>
          <w:spacing w:val="-1"/>
        </w:rPr>
        <w:t>融电子业务、照明电子业务、合同能源及</w:t>
      </w:r>
      <w:r>
        <w:rPr>
          <w:rFonts w:ascii="Times New Roman" w:hAnsi="Times New Roman" w:cs="Times New Roman" w:eastAsia="Times New Roman" w:hint="default"/>
          <w:spacing w:val="-1"/>
        </w:rPr>
        <w:t>IDC</w:t>
      </w:r>
      <w:r>
        <w:rPr>
          <w:spacing w:val="-1"/>
        </w:rPr>
        <w:t>业务等的经营业绩进行考核。与各分部共同使用的资产、负债按照规模比例在</w:t>
      </w:r>
      <w:r>
        <w:rPr>
          <w:spacing w:val="-70"/>
        </w:rPr>
        <w:t> </w:t>
      </w:r>
      <w:r>
        <w:rPr>
          <w:spacing w:val="-70"/>
        </w:rPr>
      </w:r>
      <w:r>
        <w:rPr/>
        <w:t>不同的分部之间分配。</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8"/>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7"/>
        <w:gridCol w:w="1220"/>
        <w:gridCol w:w="1208"/>
        <w:gridCol w:w="1210"/>
        <w:gridCol w:w="1210"/>
        <w:gridCol w:w="1210"/>
        <w:gridCol w:w="1208"/>
        <w:gridCol w:w="1210"/>
      </w:tblGrid>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0"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0"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607,565,605.24</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273,879,013.28</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124,242,321.43</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518,416,821.86</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171,001,798.80</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-355,491,621.1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1,339,613,939.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r>
      <w:tr>
        <w:trPr>
          <w:trHeight w:val="394"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220" w:type="dxa"/>
            <w:vMerge/>
            <w:tcBorders>
              <w:left w:val="single" w:sz="9" w:space="0" w:color="D2D2D2"/>
              <w:right w:val="single" w:sz="4" w:space="0" w:color="000000"/>
            </w:tcBorders>
          </w:tcPr>
          <w:p>
            <w:pPr/>
          </w:p>
        </w:tc>
        <w:tc>
          <w:tcPr>
            <w:tcW w:w="120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61" w:hRule="exact"/>
        </w:trPr>
        <w:tc>
          <w:tcPr>
            <w:tcW w:w="1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9" w:space="0" w:color="D2D2D2"/>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r>
        <w:trPr>
          <w:trHeight w:val="163" w:hRule="exact"/>
        </w:trPr>
        <w:tc>
          <w:tcPr>
            <w:tcW w:w="1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488,783,881.40</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210,270,706.81</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92,002,447.33</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369,332,736.28</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120,622,527.05</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-355,143,514.4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925,868,784.38</w:t>
            </w:r>
          </w:p>
        </w:tc>
      </w:tr>
      <w:tr>
        <w:trPr>
          <w:trHeight w:val="394"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20" w:type="dxa"/>
            <w:vMerge/>
            <w:tcBorders>
              <w:left w:val="single" w:sz="9" w:space="0" w:color="D2D2D2"/>
              <w:right w:val="single" w:sz="4" w:space="0" w:color="000000"/>
            </w:tcBorders>
          </w:tcPr>
          <w:p>
            <w:pPr/>
          </w:p>
        </w:tc>
        <w:tc>
          <w:tcPr>
            <w:tcW w:w="120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63" w:hRule="exact"/>
        </w:trPr>
        <w:tc>
          <w:tcPr>
            <w:tcW w:w="1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9" w:space="0" w:color="D2D2D2"/>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r>
        <w:trPr>
          <w:trHeight w:val="161" w:hRule="exact"/>
        </w:trPr>
        <w:tc>
          <w:tcPr>
            <w:tcW w:w="1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2,720,650,703.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1,173,269,196.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622,448,397.13</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3,398,184,317.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861,600,214.42</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-2,786,815,586.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5,989,337,242.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r>
      <w:tr>
        <w:trPr>
          <w:trHeight w:val="394"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220" w:type="dxa"/>
            <w:vMerge/>
            <w:tcBorders>
              <w:left w:val="single" w:sz="9" w:space="0" w:color="D2D2D2"/>
              <w:right w:val="single" w:sz="4" w:space="0" w:color="000000"/>
            </w:tcBorders>
          </w:tcPr>
          <w:p>
            <w:pPr/>
          </w:p>
        </w:tc>
        <w:tc>
          <w:tcPr>
            <w:tcW w:w="120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61" w:hRule="exact"/>
        </w:trPr>
        <w:tc>
          <w:tcPr>
            <w:tcW w:w="1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9" w:space="0" w:color="D2D2D2"/>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r>
        <w:trPr>
          <w:trHeight w:val="163" w:hRule="exact"/>
        </w:trPr>
        <w:tc>
          <w:tcPr>
            <w:tcW w:w="1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9"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1,470,640,071.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775,510,519.32</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449,515,650.23</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2,266,396,589.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463,990,930.21</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-1,842,664,801.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3,583,388,958.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394"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220" w:type="dxa"/>
            <w:vMerge/>
            <w:tcBorders>
              <w:left w:val="single" w:sz="9" w:space="0" w:color="D2D2D2"/>
              <w:right w:val="single" w:sz="4" w:space="0" w:color="000000"/>
            </w:tcBorders>
          </w:tcPr>
          <w:p>
            <w:pPr/>
          </w:p>
        </w:tc>
        <w:tc>
          <w:tcPr>
            <w:tcW w:w="120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63" w:hRule="exact"/>
        </w:trPr>
        <w:tc>
          <w:tcPr>
            <w:tcW w:w="1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9" w:space="0" w:color="D2D2D2"/>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FFFFFF"/>
            </w:tcBorders>
            <w:shd w:val="clear" w:color="auto" w:fill="D2D2D2"/>
          </w:tcPr>
          <w:p>
            <w:pPr/>
          </w:p>
        </w:tc>
        <w:tc>
          <w:tcPr>
            <w:tcW w:w="3841" w:type="dxa"/>
            <w:gridSpan w:val="5"/>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FFFFFF"/>
            </w:tcBorders>
            <w:shd w:val="clear" w:color="auto" w:fill="D2D2D2"/>
          </w:tcPr>
          <w:p>
            <w:pPr/>
          </w:p>
        </w:tc>
        <w:tc>
          <w:tcPr>
            <w:tcW w:w="1527"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FFFFFF"/>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FFFFFF"/>
            </w:tcBorders>
            <w:shd w:val="clear" w:color="auto" w:fill="D2D2D2"/>
          </w:tcPr>
          <w:p>
            <w:pPr/>
          </w:p>
        </w:tc>
        <w:tc>
          <w:tcPr>
            <w:tcW w:w="763" w:type="dxa"/>
            <w:tcBorders>
              <w:top w:val="single" w:sz="4" w:space="0" w:color="000000"/>
              <w:left w:val="single" w:sz="4" w:space="0" w:color="FFFFFF"/>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5" w:type="dxa"/>
            <w:vMerge w:val="restart"/>
            <w:tcBorders>
              <w:top w:val="single" w:sz="4" w:space="0" w:color="FFFFFF"/>
              <w:left w:val="single" w:sz="4" w:space="0" w:color="000000"/>
              <w:right w:val="single" w:sz="4" w:space="0" w:color="FFFFFF"/>
            </w:tcBorders>
            <w:shd w:val="clear" w:color="auto" w:fill="D2D2D2"/>
          </w:tcPr>
          <w:p>
            <w:pPr/>
          </w:p>
        </w:tc>
        <w:tc>
          <w:tcPr>
            <w:tcW w:w="763" w:type="dxa"/>
            <w:vMerge w:val="restart"/>
            <w:tcBorders>
              <w:top w:val="single" w:sz="4" w:space="0" w:color="FFFFFF"/>
              <w:left w:val="single" w:sz="4" w:space="0" w:color="FFFFFF"/>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FFFFFF"/>
            </w:tcBorders>
            <w:shd w:val="clear" w:color="auto" w:fill="D2D2D2"/>
          </w:tcPr>
          <w:p>
            <w:pPr/>
          </w:p>
        </w:tc>
        <w:tc>
          <w:tcPr>
            <w:tcW w:w="763" w:type="dxa"/>
            <w:vMerge/>
            <w:tcBorders>
              <w:left w:val="single" w:sz="4" w:space="0" w:color="FFFFFF"/>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FFFFFF"/>
            </w:tcBorders>
            <w:shd w:val="clear" w:color="auto" w:fill="D2D2D2"/>
          </w:tcPr>
          <w:p>
            <w:pPr/>
          </w:p>
        </w:tc>
        <w:tc>
          <w:tcPr>
            <w:tcW w:w="763" w:type="dxa"/>
            <w:tcBorders>
              <w:top w:val="nil" w:sz="6" w:space="0" w:color="auto"/>
              <w:left w:val="single" w:sz="4" w:space="0" w:color="FFFFFF"/>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34,770,3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01.60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34,770,3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01.60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38,137,99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38,137,99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FFFFFF"/>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1,648,69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1,046.73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241,472,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383.04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1,407,218</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,663.69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1,200,205</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,200.99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96.92%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166,853,5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1,033,351,6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12.05</w:t>
            </w:r>
          </w:p>
        </w:tc>
      </w:tr>
      <w:tr>
        <w:trPr>
          <w:trHeight w:val="401" w:hRule="exact"/>
        </w:trPr>
        <w:tc>
          <w:tcPr>
            <w:tcW w:w="1635"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FFFFFF"/>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金融电子一般客户</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357,008,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144.30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57,013,6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299,994,5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26.81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236,121,3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94.41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49,241,01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186,880,37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6.10</w:t>
            </w:r>
          </w:p>
        </w:tc>
      </w:tr>
      <w:tr>
        <w:trPr>
          <w:trHeight w:val="713" w:hRule="exact"/>
        </w:trPr>
        <w:tc>
          <w:tcPr>
            <w:tcW w:w="163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金融电子银行客户</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209,401,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592.84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45,916,4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77.41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163,485,1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15.43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237,535,6</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88.57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40,123,26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197,412,42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0.72</w:t>
            </w:r>
          </w:p>
        </w:tc>
      </w:tr>
      <w:tr>
        <w:trPr>
          <w:trHeight w:val="715" w:hRule="exact"/>
        </w:trPr>
        <w:tc>
          <w:tcPr>
            <w:tcW w:w="163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客户</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7,785,98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233,579.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7,552,405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4,857.15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157,047.93</w:t>
            </w:r>
          </w:p>
        </w:tc>
      </w:tr>
      <w:tr>
        <w:trPr>
          <w:trHeight w:val="713" w:hRule="exact"/>
        </w:trPr>
        <w:tc>
          <w:tcPr>
            <w:tcW w:w="163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工程项目一般业务</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679,844,</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081.76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57,951,8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68.31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621,892,2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13.45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407,782,5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32.93%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24,222,44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383,560,11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9.03</w:t>
            </w:r>
          </w:p>
        </w:tc>
      </w:tr>
      <w:tr>
        <w:trPr>
          <w:trHeight w:val="715" w:hRule="exact"/>
        </w:trPr>
        <w:tc>
          <w:tcPr>
            <w:tcW w:w="163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工程项目政府业务</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123,637,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967.00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14,997,4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47.00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108,640,5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152,908,2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65.31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16,596,27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136,311,98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5.32</w:t>
            </w:r>
          </w:p>
        </w:tc>
      </w:tr>
      <w:tr>
        <w:trPr>
          <w:trHeight w:val="713" w:hRule="exact"/>
        </w:trPr>
        <w:tc>
          <w:tcPr>
            <w:tcW w:w="163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96,441,6</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53.43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65,359,3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93.29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31,082,26</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0.14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106,552,9</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66.57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36,665,72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69,887,241.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纳入合并报表范围 内应收款项组合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174,571,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622.60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10.37%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174,571,6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22.60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59,142,42</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1.48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59,142,421.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1,683,46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1,348.33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276,242,</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684.64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1,407,218</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,663.69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1,238,343</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,196.61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204,991,5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84.56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16.55%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1,033,351,6</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12.05</w:t>
            </w:r>
          </w:p>
        </w:tc>
      </w:tr>
    </w:tbl>
    <w:p>
      <w:pPr>
        <w:pStyle w:val="BodyText"/>
        <w:spacing w:line="240" w:lineRule="auto" w:before="49"/>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34,770,301.60</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841"/>
        <w:gridCol w:w="1419"/>
        <w:gridCol w:w="1135"/>
        <w:gridCol w:w="1916"/>
      </w:tblGrid>
      <w:tr>
        <w:trPr>
          <w:trHeight w:val="403" w:hRule="exact"/>
        </w:trPr>
        <w:tc>
          <w:tcPr>
            <w:tcW w:w="3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3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263"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南京理工速必得科技股份有限公司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18,083,286.60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18,083,286.60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未根据法院的调解协议 付款，预计收不回。</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上海平达信息技术有限公司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已被吊销工商执照</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杭州度联信息技术有限公司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6,516,300.00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未根据法院判决书支付 款项，预计收不回</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湖南众协环保新材料科技有限公司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深圳市百尔盛科技有限公司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720,715.00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720,715.00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预计收不回</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34,770,301.60</w:t>
            </w:r>
          </w:p>
        </w:tc>
        <w:tc>
          <w:tcPr>
            <w:tcW w:w="141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34,770,301.60</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34,770,301.60</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38" w:lineRule="auto" w:before="49"/>
        <w:ind w:right="5174"/>
        <w:jc w:val="left"/>
      </w:pPr>
      <w:r>
        <w:rPr/>
        <w:t>确定该组合依据的说明： 确定该组合依据的说明：相同组合的应收款项具有类似信用风险特征。 组合中，按账龄分析法计提坏账准备的应收账款</w:t>
      </w:r>
    </w:p>
    <w:p>
      <w:pPr>
        <w:pStyle w:val="BodyText"/>
        <w:spacing w:line="240" w:lineRule="auto" w:before="2"/>
        <w:ind w:right="1133"/>
        <w:jc w:val="left"/>
      </w:pPr>
      <w:r>
        <w:rPr/>
        <w:t>①金融电子一般客户</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44"/>
        <w:gridCol w:w="2631"/>
        <w:gridCol w:w="2792"/>
        <w:gridCol w:w="2437"/>
      </w:tblGrid>
      <w:tr>
        <w:trPr>
          <w:trHeight w:val="427"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1844" w:type="dxa"/>
            <w:vMerge/>
            <w:tcBorders>
              <w:left w:val="single" w:sz="6" w:space="0" w:color="000000"/>
              <w:bottom w:val="single" w:sz="6" w:space="0" w:color="000000"/>
              <w:right w:val="single" w:sz="6" w:space="0" w:color="000000"/>
            </w:tcBorders>
          </w:tcPr>
          <w:p>
            <w:pP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279,603,882.40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13,980,194.14</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18,997,214.20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4,166,089.07</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21.93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844"/>
        <w:gridCol w:w="2631"/>
        <w:gridCol w:w="2792"/>
        <w:gridCol w:w="2437"/>
      </w:tblGrid>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25,327,812.23</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11,243,015.85</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44.39</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12,120,824.18</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7,730,661.66</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63.78</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7,840,607.61</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6,775,853.09</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86.42</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13,117,803.68</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13,117,803.68</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357,008,144.30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57,013,617.49</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15.97</w:t>
            </w:r>
          </w:p>
        </w:tc>
      </w:tr>
    </w:tbl>
    <w:p>
      <w:pPr>
        <w:pStyle w:val="BodyText"/>
        <w:spacing w:line="240" w:lineRule="auto" w:before="8"/>
        <w:ind w:right="1133"/>
        <w:jc w:val="left"/>
      </w:pPr>
      <w:r>
        <w:rPr/>
        <w:t>②金融电子银行客户</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44"/>
        <w:gridCol w:w="2631"/>
        <w:gridCol w:w="2792"/>
        <w:gridCol w:w="2437"/>
      </w:tblGrid>
      <w:tr>
        <w:trPr>
          <w:trHeight w:val="427"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1844" w:type="dxa"/>
            <w:vMerge/>
            <w:tcBorders>
              <w:left w:val="single" w:sz="6" w:space="0" w:color="000000"/>
              <w:bottom w:val="single" w:sz="6" w:space="0" w:color="000000"/>
              <w:right w:val="single" w:sz="6" w:space="0" w:color="000000"/>
            </w:tcBorders>
          </w:tcPr>
          <w:p>
            <w:pP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54,816,934.32</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2,740,846.72</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5.00</w:t>
            </w:r>
          </w:p>
        </w:tc>
      </w:tr>
      <w:tr>
        <w:trPr>
          <w:trHeight w:val="425"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39,814,196.96</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5,390,842.27</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13.54</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29,331,662.21</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6,039,389.25</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20.59</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48,048,350.07</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13,256,539.78</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27.59</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23,976,458.99</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9,099,066.19</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37.95</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13,413,990.29</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9,389,793.20</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70.00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209,401,592.84</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45,916,477.41</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21.93</w:t>
            </w:r>
          </w:p>
        </w:tc>
      </w:tr>
    </w:tbl>
    <w:p>
      <w:pPr>
        <w:pStyle w:val="BodyText"/>
        <w:spacing w:line="240" w:lineRule="auto" w:before="8"/>
        <w:ind w:right="1133"/>
        <w:jc w:val="left"/>
      </w:pPr>
      <w:r>
        <w:rPr/>
        <w:t>③</w:t>
      </w:r>
      <w:r>
        <w:rPr>
          <w:rFonts w:ascii="Times New Roman" w:hAnsi="Times New Roman" w:cs="Times New Roman" w:eastAsia="Times New Roman" w:hint="default"/>
        </w:rPr>
        <w:t>IDC</w:t>
      </w:r>
      <w:r>
        <w:rPr/>
        <w:t>客户</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844"/>
        <w:gridCol w:w="2631"/>
        <w:gridCol w:w="2792"/>
        <w:gridCol w:w="2437"/>
      </w:tblGrid>
      <w:tr>
        <w:trPr>
          <w:trHeight w:val="428"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1844" w:type="dxa"/>
            <w:vMerge/>
            <w:tcBorders>
              <w:left w:val="single" w:sz="6" w:space="0" w:color="000000"/>
              <w:bottom w:val="single" w:sz="6" w:space="0" w:color="000000"/>
              <w:right w:val="single" w:sz="6" w:space="0" w:color="000000"/>
            </w:tcBorders>
          </w:tcPr>
          <w:p>
            <w:pP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7,785,984.80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233,579.54</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7,785,984.80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233,579.54</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3.00</w:t>
            </w:r>
          </w:p>
        </w:tc>
      </w:tr>
    </w:tbl>
    <w:p>
      <w:pPr>
        <w:pStyle w:val="BodyText"/>
        <w:spacing w:line="240" w:lineRule="auto" w:before="8"/>
        <w:ind w:right="1133"/>
        <w:jc w:val="left"/>
      </w:pPr>
      <w:r>
        <w:rPr/>
        <w:t>④工程项目一般业务</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44"/>
        <w:gridCol w:w="2631"/>
        <w:gridCol w:w="2792"/>
        <w:gridCol w:w="2437"/>
      </w:tblGrid>
      <w:tr>
        <w:trPr>
          <w:trHeight w:val="427"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1844" w:type="dxa"/>
            <w:vMerge/>
            <w:tcBorders>
              <w:left w:val="single" w:sz="6" w:space="0" w:color="000000"/>
              <w:bottom w:val="single" w:sz="6" w:space="0" w:color="000000"/>
              <w:right w:val="single" w:sz="6" w:space="0" w:color="000000"/>
            </w:tcBorders>
          </w:tcPr>
          <w:p>
            <w:pP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300,313,573.59</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15,015,678.68</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5.00</w:t>
            </w:r>
          </w:p>
        </w:tc>
      </w:tr>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333,484,002.62</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33,348,400.26</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44,784,878.01</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8,956,975.60</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1,261,627.54</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630,813.77</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679,844,081.76</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57,951,868.31</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8.52</w:t>
            </w:r>
          </w:p>
        </w:tc>
      </w:tr>
    </w:tbl>
    <w:p>
      <w:pPr>
        <w:pStyle w:val="BodyText"/>
        <w:spacing w:line="240" w:lineRule="auto" w:before="8"/>
        <w:ind w:right="1133"/>
        <w:jc w:val="left"/>
      </w:pPr>
      <w:r>
        <w:rPr/>
        <w:t>⑤工程项目政府业务</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44"/>
        <w:gridCol w:w="2631"/>
        <w:gridCol w:w="2792"/>
        <w:gridCol w:w="2437"/>
      </w:tblGrid>
      <w:tr>
        <w:trPr>
          <w:trHeight w:val="427"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1844" w:type="dxa"/>
            <w:vMerge/>
            <w:tcBorders>
              <w:left w:val="single" w:sz="6" w:space="0" w:color="000000"/>
              <w:bottom w:val="single" w:sz="6" w:space="0" w:color="000000"/>
              <w:right w:val="single" w:sz="6" w:space="0" w:color="000000"/>
            </w:tcBorders>
          </w:tcPr>
          <w:p>
            <w:pP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58,328,676.84</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2,916,433.84</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37,230,560.00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4,255,453.01</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11.43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844"/>
        <w:gridCol w:w="2631"/>
        <w:gridCol w:w="2792"/>
        <w:gridCol w:w="2437"/>
      </w:tblGrid>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20,056,636.80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3,614,205.95</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18.02</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2,454,372.13</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731,402.89</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29.80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1,462,696.40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606,433.93</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41.46</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4,105,024.83</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2,873,517.38</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123,637,967.00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14,997,447.00</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12.13</w:t>
            </w:r>
          </w:p>
        </w:tc>
      </w:tr>
    </w:tbl>
    <w:p>
      <w:pPr>
        <w:pStyle w:val="BodyText"/>
        <w:spacing w:line="240" w:lineRule="auto" w:before="8"/>
        <w:ind w:right="1133"/>
        <w:jc w:val="left"/>
      </w:pPr>
      <w:r>
        <w:rPr/>
        <w:t>⑥其他组合</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44"/>
        <w:gridCol w:w="2631"/>
        <w:gridCol w:w="2792"/>
        <w:gridCol w:w="2437"/>
      </w:tblGrid>
      <w:tr>
        <w:trPr>
          <w:trHeight w:val="427"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1844" w:type="dxa"/>
            <w:vMerge/>
            <w:tcBorders>
              <w:left w:val="single" w:sz="6" w:space="0" w:color="000000"/>
              <w:bottom w:val="single" w:sz="6" w:space="0" w:color="000000"/>
              <w:right w:val="single" w:sz="6" w:space="0" w:color="000000"/>
            </w:tcBorders>
          </w:tcPr>
          <w:p>
            <w:pP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2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5,821,907.41</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1,164,381.48</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25"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7,976,366.15</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2,392,909.85</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18,397,001.48</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9,198,500.74</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38,809,257.23</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27,166,480.06</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70.00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9,686,299.16</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9,686,299.16</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15,750,822.00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15,750,822.00</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96,441,653.43</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65,359,393.29</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67.77</w:t>
            </w:r>
          </w:p>
        </w:tc>
      </w:tr>
    </w:tbl>
    <w:p>
      <w:pPr>
        <w:pStyle w:val="BodyText"/>
        <w:spacing w:line="240" w:lineRule="auto" w:before="8"/>
        <w:ind w:right="1133"/>
        <w:jc w:val="left"/>
      </w:pPr>
      <w:r>
        <w:rPr/>
        <w:t>组合中，采用其他方法计提坏账准备的应收账款：</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468"/>
        <w:gridCol w:w="2249"/>
        <w:gridCol w:w="2468"/>
        <w:gridCol w:w="2465"/>
      </w:tblGrid>
      <w:tr>
        <w:trPr>
          <w:trHeight w:val="428" w:hRule="exact"/>
        </w:trPr>
        <w:tc>
          <w:tcPr>
            <w:tcW w:w="2468" w:type="dxa"/>
            <w:vMerge w:val="restart"/>
            <w:tcBorders>
              <w:top w:val="single" w:sz="6" w:space="0" w:color="000000"/>
              <w:left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2468" w:type="dxa"/>
            <w:vMerge/>
            <w:tcBorders>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27"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174,571,622.60</w:t>
            </w:r>
          </w:p>
        </w:tc>
        <w:tc>
          <w:tcPr>
            <w:tcW w:w="2468" w:type="dxa"/>
            <w:tcBorders>
              <w:top w:val="single" w:sz="6" w:space="0" w:color="000000"/>
              <w:left w:val="single" w:sz="6" w:space="0" w:color="000000"/>
              <w:bottom w:val="single" w:sz="6" w:space="0" w:color="000000"/>
              <w:right w:val="single" w:sz="6" w:space="0" w:color="000000"/>
            </w:tcBorders>
          </w:tcPr>
          <w:p>
            <w:pPr/>
          </w:p>
        </w:tc>
        <w:tc>
          <w:tcPr>
            <w:tcW w:w="246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174,571,622.60</w:t>
            </w:r>
          </w:p>
        </w:tc>
        <w:tc>
          <w:tcPr>
            <w:tcW w:w="2468" w:type="dxa"/>
            <w:tcBorders>
              <w:top w:val="single" w:sz="6" w:space="0" w:color="000000"/>
              <w:left w:val="single" w:sz="6" w:space="0" w:color="000000"/>
              <w:bottom w:val="single" w:sz="6" w:space="0" w:color="000000"/>
              <w:right w:val="single" w:sz="6" w:space="0" w:color="000000"/>
            </w:tcBorders>
          </w:tcPr>
          <w:p>
            <w:pPr/>
          </w:p>
        </w:tc>
        <w:tc>
          <w:tcPr>
            <w:tcW w:w="24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4"/>
          <w:szCs w:val="24"/>
        </w:rPr>
      </w:pPr>
    </w:p>
    <w:p>
      <w:pPr>
        <w:pStyle w:val="BodyText"/>
        <w:spacing w:line="240" w:lineRule="auto" w:before="44"/>
        <w:ind w:right="1133"/>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881,242,581.96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437,502,339.94</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137,897,990.72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226,818,435.71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102,694,431.15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42,966,062.16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81,157,942.40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1,683,461,348.33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8"/>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561"/>
        <w:gridCol w:w="1274"/>
        <w:gridCol w:w="1560"/>
        <w:gridCol w:w="994"/>
        <w:gridCol w:w="973"/>
        <w:gridCol w:w="1368"/>
      </w:tblGrid>
      <w:tr>
        <w:trPr>
          <w:trHeight w:val="401"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38,137,995.62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4,088,409.02</w:t>
            </w: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34,770,301.60</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166,853,588.94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74,618,794.10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241,472,383.04</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204,991,584.56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75,339,509.10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4,088,409.02</w:t>
            </w: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276,242,684.64</w:t>
            </w:r>
          </w:p>
        </w:tc>
      </w:tr>
    </w:tbl>
    <w:p>
      <w:pPr>
        <w:pStyle w:val="BodyText"/>
        <w:spacing w:line="240" w:lineRule="auto" w:before="49"/>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3,088,409.02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南京理工速必得科技股份有限公司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4,088,409.02</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其中重要的应收账款核销情况：</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49"/>
        <w:ind w:right="8774"/>
        <w:jc w:val="left"/>
      </w:pPr>
      <w:r>
        <w:rPr/>
        <w:t>应收账款核销说明： 本期无核销的应收账款。</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3015"/>
        <w:gridCol w:w="1771"/>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3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本期按欠款方归集的期末余</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503,227,997.94</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5" w:right="0"/>
              <w:jc w:val="left"/>
              <w:rPr>
                <w:rFonts w:ascii="Times New Roman" w:hAnsi="Times New Roman" w:cs="Times New Roman" w:eastAsia="Times New Roman" w:hint="default"/>
                <w:sz w:val="18"/>
                <w:szCs w:val="18"/>
              </w:rPr>
            </w:pPr>
            <w:r>
              <w:rPr>
                <w:rFonts w:ascii="Times New Roman"/>
                <w:sz w:val="18"/>
              </w:rPr>
              <w:t>29,332,143.54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3015"/>
        <w:gridCol w:w="1771"/>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额前五名应收账款</w:t>
            </w:r>
          </w:p>
        </w:tc>
        <w:tc>
          <w:tcPr>
            <w:tcW w:w="2391"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503,227,997.94</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29.89%</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762,401,030.37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1,448,365,371.98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762,401,030.37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1,448,365,371.98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押金、备用金和代扣个人社保公积金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1,989,904.07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4,994,064.26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157,062,271.81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159,317,277.28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8,970,491.48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56,192,849.16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622,355,617.41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1,251,306,863.95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-27,977,254.40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-23,445,682.67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762,401,030.37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1,448,365,371.98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9"/>
        <w:gridCol w:w="1571"/>
        <w:gridCol w:w="2127"/>
        <w:gridCol w:w="2127"/>
        <w:gridCol w:w="1346"/>
      </w:tblGrid>
      <w:tr>
        <w:trPr>
          <w:trHeight w:val="402" w:hRule="exact"/>
        </w:trPr>
        <w:tc>
          <w:tcPr>
            <w:tcW w:w="2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6"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23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15" w:right="19" w:hanging="481"/>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个月预期信 用损失</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346" w:type="dxa"/>
            <w:vMerge/>
            <w:tcBorders>
              <w:left w:val="single" w:sz="4" w:space="0" w:color="000000"/>
              <w:right w:val="single" w:sz="4" w:space="0" w:color="000000"/>
            </w:tcBorders>
            <w:shd w:val="clear" w:color="auto" w:fill="D2D2D2"/>
          </w:tcPr>
          <w:p>
            <w:pPr/>
          </w:p>
        </w:tc>
      </w:tr>
      <w:tr>
        <w:trPr>
          <w:trHeight w:val="363" w:hRule="exact"/>
        </w:trPr>
        <w:tc>
          <w:tcPr>
            <w:tcW w:w="2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11,005,767.38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8,139,915.29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23,445,682.67</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-200,243.20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200,243.20</w:t>
            </w:r>
          </w:p>
        </w:tc>
        <w:tc>
          <w:tcPr>
            <w:tcW w:w="212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71" w:type="dxa"/>
            <w:tcBorders>
              <w:top w:val="single" w:sz="4" w:space="0" w:color="000000"/>
              <w:left w:val="single" w:sz="10" w:space="0" w:color="D2D2D2"/>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5,473,035.74</w:t>
            </w:r>
          </w:p>
        </w:tc>
        <w:tc>
          <w:tcPr>
            <w:tcW w:w="212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5,473,035.74</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941,464.01</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941,464.01</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9,864,060.17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13,813,194.23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27,977,254.40</w:t>
            </w:r>
          </w:p>
        </w:tc>
      </w:tr>
    </w:tbl>
    <w:p>
      <w:pPr>
        <w:pStyle w:val="BodyText"/>
        <w:spacing w:line="240" w:lineRule="auto" w:before="49"/>
        <w:ind w:right="1133"/>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630,700,734.42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79,448,401.59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71,953,955.80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8,275,192.96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2,665,440.50</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5,466,752.46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790,378,284.77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356,644,565.06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211,593,099.55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26.77%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684,387,664.61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937,516,385.30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6,974,465.12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930,541,920.18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637,516,385.30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6,974,465.12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630,541,920.18</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79,464,576.44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79,464,576.44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79,950,665.12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79,950,665.12</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1,016,980,961.74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6,974,465.12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1,010,006,496.62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717,467,050.42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6,974,465.12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710,492,585.30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7"/>
        <w:gridCol w:w="1284"/>
        <w:gridCol w:w="4595"/>
        <w:gridCol w:w="1213"/>
        <w:gridCol w:w="1201"/>
      </w:tblGrid>
      <w:tr>
        <w:trPr>
          <w:trHeight w:val="404" w:hRule="exact"/>
        </w:trPr>
        <w:tc>
          <w:tcPr>
            <w:tcW w:w="1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w:t>
            </w:r>
          </w:p>
        </w:tc>
        <w:tc>
          <w:tcPr>
            <w:tcW w:w="4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1" w:right="0"/>
              <w:jc w:val="left"/>
              <w:rPr>
                <w:rFonts w:ascii="宋体" w:hAnsi="宋体" w:cs="宋体" w:eastAsia="宋体" w:hint="default"/>
                <w:sz w:val="18"/>
                <w:szCs w:val="18"/>
              </w:rPr>
            </w:pPr>
            <w:r>
              <w:rPr>
                <w:rFonts w:ascii="宋体" w:hAnsi="宋体" w:cs="宋体" w:eastAsia="宋体" w:hint="default"/>
                <w:sz w:val="18"/>
                <w:szCs w:val="18"/>
              </w:rPr>
              <w:t>减值准备期末</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284"/>
        <w:gridCol w:w="1049"/>
        <w:gridCol w:w="1164"/>
        <w:gridCol w:w="1167"/>
        <w:gridCol w:w="1214"/>
        <w:gridCol w:w="1213"/>
        <w:gridCol w:w="1214"/>
      </w:tblGrid>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深圳市证通金 信科技术有限 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31,331,919.18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31,331,919.18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深圳市证通普 润电子有限公 司</w:t>
            </w:r>
          </w:p>
        </w:tc>
        <w:tc>
          <w:tcPr>
            <w:tcW w:w="128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4,727,471.37</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深圳市证通数 码科技有限公 司</w:t>
            </w:r>
          </w:p>
        </w:tc>
        <w:tc>
          <w:tcPr>
            <w:tcW w:w="128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2,246,993.75</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深圳市证通佳 明光电有限公 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广州证通网络 科技有限公司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定州市中标节 能技术服务有 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广州云硕科技 发展有限公司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138,860,000.00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300,000,000.00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438,860,000.00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广东宏达通信 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长沙证通云计 算有限公司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深圳市证通云 计算有限公司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贵州证通光电 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四川蜀信易电 子商务有限公 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20,000,001.00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20,000,001.00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630,541,920.18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300,000,000.00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930,541,920.18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6,974,465.12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24,371,53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-362,931.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626,337.4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24,634,94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深圳盛灿 科技股份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50,340,94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67,657.44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50,408,60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2.38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广州水晶 智联科技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2,240,542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2,148,933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深圳市前 海友胜资 本管理有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2,997,641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-725,541.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2,272,099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79,950,66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-1,112,42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626,337.4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79,464,57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79,950,66</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-1,112,42</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626,337.4</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79,464,57</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6.44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12" w:right="1034"/>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1,072,791,931.07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821,278,317.43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988,334,456.74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784,820,329.31</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1,072,791,931.07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821,278,317.43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988,334,456.74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784,820,329.31</w:t>
            </w:r>
          </w:p>
        </w:tc>
      </w:tr>
    </w:tbl>
    <w:p>
      <w:pPr>
        <w:pStyle w:val="BodyText"/>
        <w:spacing w:line="240" w:lineRule="auto" w:before="49"/>
        <w:ind w:left="212" w:right="1034"/>
        <w:jc w:val="left"/>
      </w:pPr>
      <w:r>
        <w:rPr/>
        <w:t>是否已执行新收入准则</w:t>
      </w:r>
    </w:p>
    <w:p>
      <w:pPr>
        <w:pStyle w:val="BodyText"/>
        <w:spacing w:line="340" w:lineRule="auto" w:before="115"/>
        <w:ind w:left="212"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3"/>
        <w:spacing w:line="240" w:lineRule="auto"/>
        <w:ind w:left="212" w:right="1034"/>
        <w:jc w:val="left"/>
        <w:rPr>
          <w:b w:val="0"/>
          <w:bCs w:val="0"/>
        </w:rPr>
      </w:pPr>
      <w:r>
        <w:rPr>
          <w:rFonts w:ascii="Times New Roman" w:hAnsi="Times New Roman" w:cs="Times New Roman" w:eastAsia="Times New Roman" w:hint="default"/>
        </w:rPr>
        <w:t>5</w:t>
      </w:r>
      <w:r>
        <w:rPr/>
        <w:t>、</w:t>
      </w:r>
      <w:r>
        <w:rPr>
          <w:spacing w:val="2"/>
        </w:rPr>
        <w:t> </w:t>
      </w:r>
      <w:r>
        <w:rPr/>
        <w:t>研发费用</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6"/>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19,305,565.71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35,138,136.79</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698,256.18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1,536,752.88</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971,043.24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1,850,405.24</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其他摊销</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3,819,003.84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1,164,385.07</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265,384.88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204,103.02</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20" w:right="0"/>
        </w:sectPr>
      </w:pPr>
    </w:p>
    <w:p>
      <w:pPr>
        <w:spacing w:line="240" w:lineRule="auto" w:before="6"/>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6"/>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176,272.69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630,205.43</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2,301,657.35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4,208,608.28</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253,005.42</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370,695.66</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技术支持费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9,668,587.39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7,434,789.60</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703,131.61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614,162.54</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38,161,908.31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53,152,244.51</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left="212" w:right="1034"/>
        <w:jc w:val="left"/>
        <w:rPr>
          <w:b w:val="0"/>
          <w:bCs w:val="0"/>
        </w:rPr>
      </w:pPr>
      <w:r>
        <w:rPr>
          <w:rFonts w:ascii="Times New Roman" w:hAnsi="Times New Roman" w:cs="Times New Roman" w:eastAsia="Times New Roman" w:hint="default"/>
        </w:rPr>
        <w:t>6</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948"/>
        <w:gridCol w:w="2426"/>
        <w:gridCol w:w="3185"/>
      </w:tblGrid>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4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-1,112,426.12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其他权益工具投资在持有期间取得的股利收入</w:t>
            </w:r>
          </w:p>
        </w:tc>
        <w:tc>
          <w:tcPr>
            <w:tcW w:w="24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571,196.07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36,673.07</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-541,230.05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24,036,673.07</w:t>
            </w:r>
          </w:p>
        </w:tc>
      </w:tr>
    </w:tbl>
    <w:p>
      <w:pPr>
        <w:spacing w:line="240" w:lineRule="auto" w:before="1"/>
        <w:rPr>
          <w:rFonts w:ascii="宋体" w:hAnsi="宋体" w:cs="宋体" w:eastAsia="宋体" w:hint="default"/>
          <w:sz w:val="18"/>
          <w:szCs w:val="18"/>
        </w:rPr>
      </w:pPr>
    </w:p>
    <w:p>
      <w:pPr>
        <w:pStyle w:val="Heading2"/>
        <w:spacing w:line="240" w:lineRule="auto" w:before="26"/>
        <w:ind w:left="212" w:right="1034"/>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2" w:right="1034"/>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1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6" w:type="dxa"/>
        <w:tblLayout w:type="fixed"/>
        <w:tblCellMar>
          <w:top w:w="0" w:type="dxa"/>
          <w:left w:w="0" w:type="dxa"/>
          <w:bottom w:w="0" w:type="dxa"/>
          <w:right w:w="0" w:type="dxa"/>
        </w:tblCellMar>
        <w:tblLook w:val="01E0"/>
      </w:tblPr>
      <w:tblGrid>
        <w:gridCol w:w="6918"/>
        <w:gridCol w:w="1430"/>
        <w:gridCol w:w="1205"/>
      </w:tblGrid>
      <w:tr>
        <w:trPr>
          <w:trHeight w:val="402" w:hRule="exact"/>
        </w:trPr>
        <w:tc>
          <w:tcPr>
            <w:tcW w:w="6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6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29,609,780.98</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 w:right="6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计入当期损益的政府补助（与企业业务密切相关，按照国家统一标准定额或定量享受的 政府补助除外）</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32,011,242.91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 w:right="6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除同公司正常经营业务相关的有效套期保值业务外，持有交易性金融资产、衍生金融资 产、交易性金融负债、衍生金融负债产生的公允价值变动损益，以及处置交易性金融资 产、衍生金融资产、交易性金融负债、衍生金融负债和其他债权投资取得的投资收益</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3,397,723.19</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单独进行减值测试的应收款项、合同资产减值准备转回</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4,088,409.02</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-7,594,836.63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9,019,068.01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633,623.13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51,859,628.33</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left="212" w:right="103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left="212"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left="21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2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675"/>
        <w:gridCol w:w="2057"/>
        <w:gridCol w:w="1913"/>
        <w:gridCol w:w="1913"/>
      </w:tblGrid>
      <w:tr>
        <w:trPr>
          <w:trHeight w:val="204" w:hRule="exact"/>
        </w:trPr>
        <w:tc>
          <w:tcPr>
            <w:tcW w:w="3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6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0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675" w:type="dxa"/>
            <w:vMerge/>
            <w:tcBorders>
              <w:left w:val="single" w:sz="4" w:space="0" w:color="000000"/>
              <w:bottom w:val="nil" w:sz="6" w:space="0" w:color="auto"/>
              <w:right w:val="single" w:sz="4" w:space="0" w:color="000000"/>
            </w:tcBorders>
            <w:shd w:val="clear" w:color="auto" w:fill="D2D2D2"/>
          </w:tcPr>
          <w:p>
            <w:pPr/>
          </w:p>
        </w:tc>
        <w:tc>
          <w:tcPr>
            <w:tcW w:w="2057"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3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5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r>
      <w:tr>
        <w:trPr>
          <w:trHeight w:val="715" w:hRule="exact"/>
        </w:trPr>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 净利润</w:t>
            </w:r>
          </w:p>
        </w:tc>
        <w:tc>
          <w:tcPr>
            <w:tcW w:w="205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1133"/>
        <w:jc w:val="left"/>
        <w:rPr>
          <w:b w:val="0"/>
          <w:bCs w:val="0"/>
        </w:rPr>
      </w:pPr>
      <w:bookmarkStart w:name="_bookmark12" w:id="13"/>
      <w:bookmarkEnd w:id="13"/>
      <w:r>
        <w:rPr>
          <w:b w:val="0"/>
          <w:bCs w:val="0"/>
        </w:rPr>
      </w:r>
      <w:r>
        <w:rPr/>
        <w:t>第十三节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309" w:lineRule="auto"/>
        <w:ind w:right="1119"/>
        <w:jc w:val="left"/>
      </w:pPr>
      <w:r>
        <w:rPr/>
        <w:t>一、载有董事长签名的</w:t>
      </w:r>
      <w:r>
        <w:rPr>
          <w:rFonts w:ascii="Times New Roman" w:hAnsi="Times New Roman" w:cs="Times New Roman" w:eastAsia="Times New Roman" w:hint="default"/>
        </w:rPr>
        <w:t>2019</w:t>
      </w:r>
      <w:r>
        <w:rPr/>
        <w:t>年年度报告全文； 二、载有公司负责人、主管会计工作负责人、会计机构负责人（会计主管人员）签名并盖章的财务报表； 三、载有会计师事务所盖章、注册会计师签名并盖章的审计报告原件； 四、报告期内，公司在《证券时报》和巨潮资讯网（</w:t>
      </w:r>
      <w:hyperlink r:id="rId13">
        <w:r>
          <w:rPr>
            <w:rFonts w:ascii="Times New Roman" w:hAnsi="Times New Roman" w:cs="Times New Roman" w:eastAsia="Times New Roman" w:hint="default"/>
          </w:rPr>
          <w:t>http://www.cninfo.com.cn</w:t>
        </w:r>
      </w:hyperlink>
      <w:r>
        <w:rPr/>
        <w:t>）上公开披露过的所有公司文件的正本及公告 的原稿。</w:t>
      </w:r>
    </w:p>
    <w:p>
      <w:pPr>
        <w:pStyle w:val="BodyText"/>
        <w:spacing w:line="240" w:lineRule="auto" w:before="24"/>
        <w:ind w:right="1133"/>
        <w:jc w:val="left"/>
      </w:pPr>
      <w:r>
        <w:rPr/>
        <w:t>上述文件备置于公司董事会办公室备查。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676" w:lineRule="auto" w:before="145"/>
        <w:ind w:left="3981" w:right="4602"/>
        <w:jc w:val="center"/>
      </w:pPr>
      <w:r>
        <w:rPr/>
        <w:t>深圳市证通电子股份有限公司 董事长（曾胜强）： 二〇二〇年四月二十四日</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1288" type="#_x0000_t75" stroked="false">
          <v:imagedata r:id="rId1" o:title=""/>
        </v:shape>
      </w:pict>
    </w:r>
    <w:r>
      <w:rPr/>
      <w:pict>
        <v:shape style="position:absolute;margin-left:533.099976pt;margin-top:795.637939pt;width:6.5pt;height:11pt;mso-position-horizontal-relative:page;mso-position-vertical-relative:page;z-index:-13212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1240" type="#_x0000_t75" stroked="false">
          <v:imagedata r:id="rId1" o:title=""/>
        </v:shape>
      </w:pict>
    </w:r>
    <w:r>
      <w:rPr/>
      <w:pict>
        <v:shape style="position:absolute;margin-left:527.659973pt;margin-top:781.957947pt;width:13.15pt;height:11pt;mso-position-horizontal-relative:page;mso-position-vertical-relative:page;z-index:-1321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1192" type="#_x0000_t75" stroked="false">
          <v:imagedata r:id="rId1" o:title=""/>
        </v:shape>
      </w:pict>
    </w:r>
    <w:r>
      <w:rPr/>
      <w:pict>
        <v:shape style="position:absolute;margin-left:524.099976pt;margin-top:781.957947pt;width:15.7pt;height:11pt;mso-position-horizontal-relative:page;mso-position-vertical-relative:page;z-index:-13211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1144" type="#_x0000_t75" stroked="false">
          <v:imagedata r:id="rId1" o:title=""/>
        </v:shape>
      </w:pict>
    </w:r>
    <w:r>
      <w:rPr/>
      <w:pict>
        <v:shape style="position:absolute;margin-left:523.099976pt;margin-top:781.957947pt;width:17.7pt;height:11pt;mso-position-horizontal-relative:page;mso-position-vertical-relative:page;z-index:-1321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1096" type="#_x0000_t75" stroked="false">
          <v:imagedata r:id="rId1" o:title=""/>
        </v:shape>
      </w:pict>
    </w:r>
    <w:r>
      <w:rPr/>
      <w:pict>
        <v:shape style="position:absolute;margin-left:523.460022pt;margin-top:781.957947pt;width:17.3pt;height:11pt;mso-position-horizontal-relative:page;mso-position-vertical-relative:page;z-index:-1321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1048" type="#_x0000_t75" stroked="false">
          <v:imagedata r:id="rId1" o:title=""/>
        </v:shape>
      </w:pict>
    </w:r>
    <w:r>
      <w:rPr/>
      <w:pict>
        <v:shape style="position:absolute;margin-left:523.099976pt;margin-top:781.957947pt;width:17.7pt;height:11pt;mso-position-horizontal-relative:page;mso-position-vertical-relative:page;z-index:-1321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1000" type="#_x0000_t75" stroked="false">
          <v:imagedata r:id="rId1" o:title=""/>
        </v:shape>
      </w:pict>
    </w:r>
    <w:r>
      <w:rPr/>
      <w:pict>
        <v:shape style="position:absolute;margin-left:524.099976pt;margin-top:781.957947pt;width:15.7pt;height:11pt;mso-position-horizontal-relative:page;mso-position-vertical-relative:page;z-index:-13209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0952" type="#_x0000_t75" stroked="false">
          <v:imagedata r:id="rId1" o:title=""/>
        </v:shape>
      </w:pict>
    </w:r>
    <w:r>
      <w:rPr/>
      <w:pict>
        <v:shape style="position:absolute;margin-left:523.099976pt;margin-top:781.957947pt;width:17.7pt;height:11pt;mso-position-horizontal-relative:page;mso-position-vertical-relative:page;z-index:-1320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321312" type="#_x0000_t202" filled="false" stroked="false">
          <v:textbox inset="0,0,0,0">
            <w:txbxContent>
              <w:p>
                <w:pPr>
                  <w:pStyle w:val="BodyText"/>
                  <w:spacing w:line="214" w:lineRule="exact"/>
                  <w:ind w:left="20" w:right="0"/>
                  <w:jc w:val="left"/>
                </w:pPr>
                <w:r>
                  <w:rPr/>
                  <w:t>深圳市证通电子股份有限公司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5"/>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zzt.com.cn/" TargetMode="External"/><Relationship Id="rId10" Type="http://schemas.openxmlformats.org/officeDocument/2006/relationships/hyperlink" Target="mailto:ir@szzt.com.cn" TargetMode="External"/><Relationship Id="rId11" Type="http://schemas.openxmlformats.org/officeDocument/2006/relationships/hyperlink" Target="mailto:fudeliang@szzt.com.cn" TargetMode="External"/><Relationship Id="rId12" Type="http://schemas.openxmlformats.org/officeDocument/2006/relationships/hyperlink" Target="mailto:wangfang@szzt.com.cn" TargetMode="External"/><Relationship Id="rId13" Type="http://schemas.openxmlformats.org/officeDocument/2006/relationships/hyperlink" Target="http://www.cninfo.com.cn/" TargetMode="External"/><Relationship Id="rId14" Type="http://schemas.openxmlformats.org/officeDocument/2006/relationships/hyperlink" Target="http://irm.cninfo.com.cn/ssessgs/S002" TargetMode="External"/><Relationship Id="rId15" Type="http://schemas.openxmlformats.org/officeDocument/2006/relationships/image" Target="media/image3.png"/><Relationship Id="rId16" Type="http://schemas.openxmlformats.org/officeDocument/2006/relationships/hyperlink" Target="http://www.pyrating.cn/"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深圳市证通电子股份有限公司</dc:creator>
  <dc:title>深圳市证通电子股份有限公司2019年年度报告全文</dc:title>
  <dcterms:created xsi:type="dcterms:W3CDTF">2020-05-19T06:20:49Z</dcterms:created>
  <dcterms:modified xsi:type="dcterms:W3CDTF">2020-05-19T06:20:49Z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Word 2010</vt:lpwstr>
  </property>
  <property fmtid="{D5CDD505-2E9C-101B-9397-08002B2CF9AE}" pid="4" name="LastSaved">
    <vt:filetime>2020-05-18T00:00:00Z</vt:filetime>
  </property>
</Properties>
</file>