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9826pt;margin-top:49.178276pt;width:484.8pt;height:.1pt;mso-position-horizontal-relative:page;mso-position-vertical-relative:page;z-index:0" coordorigin="1106,984" coordsize="9696,2">
            <v:shape style="position:absolute;left:1106;top:984;width:9696;height:2" coordorigin="1106,984" coordsize="9696,0" path="m1106,984l10802,984e" filled="false" stroked="true" strokeweight=".71999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79" w:lineRule="auto" w:before="73"/>
        <w:ind w:left="3077" w:right="2880" w:hanging="192"/>
        <w:jc w:val="left"/>
        <w:rPr>
          <w:rFonts w:ascii="宋体" w:hAnsi="宋体" w:cs="宋体" w:eastAsia="宋体" w:hint="default"/>
          <w:sz w:val="52"/>
          <w:szCs w:val="52"/>
        </w:rPr>
      </w:pPr>
      <w:r>
        <w:rPr>
          <w:rFonts w:ascii="宋体" w:hAnsi="宋体" w:cs="宋体" w:eastAsia="宋体" w:hint="default"/>
          <w:sz w:val="52"/>
          <w:szCs w:val="52"/>
        </w:rPr>
        <w:t>鸿博股份有限公司</w:t>
      </w:r>
      <w:r>
        <w:rPr>
          <w:rFonts w:ascii="宋体" w:hAnsi="宋体" w:cs="宋体" w:eastAsia="宋体" w:hint="default"/>
          <w:spacing w:val="-246"/>
          <w:sz w:val="52"/>
          <w:szCs w:val="52"/>
        </w:rPr>
        <w:t> </w:t>
      </w:r>
      <w:r>
        <w:rPr>
          <w:rFonts w:ascii="宋体" w:hAnsi="宋体" w:cs="宋体" w:eastAsia="宋体" w:hint="default"/>
          <w:spacing w:val="-246"/>
          <w:sz w:val="52"/>
          <w:szCs w:val="52"/>
        </w:rPr>
      </w:r>
      <w:r>
        <w:rPr>
          <w:rFonts w:ascii="宋体" w:hAnsi="宋体" w:cs="宋体" w:eastAsia="宋体" w:hint="default"/>
          <w:sz w:val="52"/>
          <w:szCs w:val="52"/>
        </w:rPr>
        <w:t>2014</w:t>
      </w:r>
      <w:r>
        <w:rPr>
          <w:rFonts w:ascii="宋体" w:hAnsi="宋体" w:cs="宋体" w:eastAsia="宋体" w:hint="default"/>
          <w:spacing w:val="-113"/>
          <w:sz w:val="52"/>
          <w:szCs w:val="52"/>
        </w:rPr>
        <w:t> </w:t>
      </w:r>
      <w:r>
        <w:rPr>
          <w:rFonts w:ascii="宋体" w:hAnsi="宋体" w:cs="宋体" w:eastAsia="宋体" w:hint="default"/>
          <w:sz w:val="52"/>
          <w:szCs w:val="52"/>
        </w:rPr>
        <w:t>年年度报告</w:t>
      </w:r>
    </w:p>
    <w:p>
      <w:pPr>
        <w:spacing w:line="240" w:lineRule="auto" w:before="10"/>
        <w:rPr>
          <w:rFonts w:ascii="宋体" w:hAnsi="宋体" w:cs="宋体" w:eastAsia="宋体" w:hint="default"/>
          <w:sz w:val="13"/>
          <w:szCs w:val="13"/>
        </w:rPr>
      </w:pPr>
    </w:p>
    <w:p>
      <w:pPr>
        <w:spacing w:line="5509" w:lineRule="exact"/>
        <w:ind w:left="2365"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3305262" cy="34984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305262" cy="3498437"/>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2"/>
        <w:rPr>
          <w:rFonts w:ascii="宋体" w:hAnsi="宋体" w:cs="宋体" w:eastAsia="宋体" w:hint="default"/>
          <w:sz w:val="29"/>
          <w:szCs w:val="29"/>
        </w:rPr>
      </w:pPr>
    </w:p>
    <w:p>
      <w:pPr>
        <w:spacing w:line="580" w:lineRule="exact" w:before="0"/>
        <w:ind w:left="3448" w:right="3448" w:firstLine="0"/>
        <w:jc w:val="center"/>
        <w:rPr>
          <w:rFonts w:ascii="宋体" w:hAnsi="宋体" w:cs="宋体" w:eastAsia="宋体" w:hint="default"/>
          <w:sz w:val="48"/>
          <w:szCs w:val="48"/>
        </w:rPr>
      </w:pPr>
      <w:r>
        <w:rPr>
          <w:rFonts w:ascii="宋体" w:hAnsi="宋体" w:cs="宋体" w:eastAsia="宋体" w:hint="default"/>
          <w:sz w:val="48"/>
          <w:szCs w:val="48"/>
        </w:rPr>
        <w:t>2015</w:t>
      </w:r>
      <w:r>
        <w:rPr>
          <w:rFonts w:ascii="宋体" w:hAnsi="宋体" w:cs="宋体" w:eastAsia="宋体" w:hint="default"/>
          <w:spacing w:val="-116"/>
          <w:sz w:val="48"/>
          <w:szCs w:val="48"/>
        </w:rPr>
        <w:t> </w:t>
      </w:r>
      <w:r>
        <w:rPr>
          <w:rFonts w:ascii="宋体" w:hAnsi="宋体" w:cs="宋体" w:eastAsia="宋体" w:hint="default"/>
          <w:sz w:val="48"/>
          <w:szCs w:val="48"/>
        </w:rPr>
        <w:t>年</w:t>
      </w:r>
      <w:r>
        <w:rPr>
          <w:rFonts w:ascii="宋体" w:hAnsi="宋体" w:cs="宋体" w:eastAsia="宋体" w:hint="default"/>
          <w:spacing w:val="-116"/>
          <w:sz w:val="48"/>
          <w:szCs w:val="48"/>
        </w:rPr>
        <w:t> </w:t>
      </w:r>
      <w:r>
        <w:rPr>
          <w:rFonts w:ascii="宋体" w:hAnsi="宋体" w:cs="宋体" w:eastAsia="宋体" w:hint="default"/>
          <w:sz w:val="48"/>
          <w:szCs w:val="48"/>
        </w:rPr>
        <w:t>03</w:t>
      </w:r>
      <w:r>
        <w:rPr>
          <w:rFonts w:ascii="宋体" w:hAnsi="宋体" w:cs="宋体" w:eastAsia="宋体" w:hint="default"/>
          <w:spacing w:val="-118"/>
          <w:sz w:val="48"/>
          <w:szCs w:val="48"/>
        </w:rPr>
        <w:t> </w:t>
      </w:r>
      <w:r>
        <w:rPr>
          <w:rFonts w:ascii="宋体" w:hAnsi="宋体" w:cs="宋体" w:eastAsia="宋体" w:hint="default"/>
          <w:sz w:val="48"/>
          <w:szCs w:val="48"/>
        </w:rPr>
        <w:t>月</w:t>
      </w:r>
    </w:p>
    <w:p>
      <w:pPr>
        <w:spacing w:after="0" w:line="580" w:lineRule="exact"/>
        <w:jc w:val="center"/>
        <w:rPr>
          <w:rFonts w:ascii="宋体" w:hAnsi="宋体" w:cs="宋体" w:eastAsia="宋体" w:hint="default"/>
          <w:sz w:val="48"/>
          <w:szCs w:val="48"/>
        </w:rPr>
        <w:sectPr>
          <w:headerReference w:type="default" r:id="rId5"/>
          <w:footerReference w:type="default" r:id="rId6"/>
          <w:type w:val="continuous"/>
          <w:pgSz w:w="11910" w:h="16840"/>
          <w:pgMar w:header="747"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1"/>
        <w:spacing w:line="240" w:lineRule="auto"/>
        <w:ind w:left="3346" w:right="2880"/>
        <w:jc w:val="left"/>
      </w:pPr>
      <w:bookmarkStart w:name="_TOC_250011" w:id="1"/>
      <w:r>
        <w:rPr/>
        <w:t>第一节</w:t>
      </w:r>
      <w:r>
        <w:rPr>
          <w:spacing w:val="11"/>
        </w:rPr>
        <w:t> </w:t>
      </w:r>
      <w:bookmarkEnd w:id="1"/>
      <w:r>
        <w:rPr/>
        <w:t>重要提示、目录和释义</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spacing w:line="408" w:lineRule="auto"/>
        <w:ind w:right="0" w:firstLine="422"/>
        <w:jc w:val="left"/>
      </w:pPr>
      <w:r>
        <w:rPr>
          <w:spacing w:val="-2"/>
        </w:rPr>
        <w:t>本公司董事会、监事会及董事、监事、高级管理人员保证年度报告内容的真实、准确、完整，不存在</w:t>
      </w:r>
      <w:r>
        <w:rPr>
          <w:w w:val="100"/>
        </w:rPr>
        <w:t> </w:t>
      </w:r>
      <w:r>
        <w:rPr/>
        <w:t>虚假记载、误导性陈述或重大遗漏，并承担个别和连带的法律责任。</w:t>
      </w:r>
    </w:p>
    <w:p>
      <w:pPr>
        <w:pStyle w:val="BodyText"/>
        <w:spacing w:line="496" w:lineRule="auto" w:before="147"/>
        <w:ind w:left="577" w:right="0"/>
        <w:jc w:val="left"/>
      </w:pPr>
      <w:r>
        <w:rPr/>
        <w:t>所有董事均已出席了审议本报告的董事会会议。</w:t>
      </w:r>
      <w:r>
        <w:rPr>
          <w:spacing w:val="-89"/>
        </w:rPr>
        <w:t> </w:t>
      </w:r>
      <w:r>
        <w:rPr>
          <w:spacing w:val="-89"/>
        </w:rPr>
      </w:r>
      <w:r>
        <w:rPr/>
        <w:t>公司计划不派发现金红利，不送红股，不以公积金转增股本。</w:t>
      </w:r>
      <w:r>
        <w:rPr>
          <w:spacing w:val="-86"/>
        </w:rPr>
        <w:t> </w:t>
      </w:r>
      <w:r>
        <w:rPr>
          <w:spacing w:val="-86"/>
        </w:rPr>
      </w:r>
      <w:r>
        <w:rPr>
          <w:spacing w:val="-2"/>
        </w:rPr>
        <w:t>公司负责人尤丽娟、主管会计工作负责人高琦及会计机构负责人(会计主管人员)林雄坤声明：保证年</w:t>
      </w:r>
    </w:p>
    <w:p>
      <w:pPr>
        <w:pStyle w:val="BodyText"/>
        <w:spacing w:line="243" w:lineRule="exact"/>
        <w:ind w:right="2880"/>
        <w:jc w:val="left"/>
      </w:pPr>
      <w:r>
        <w:rPr/>
        <w:t>度报告中财务报告的真实、准确、完整。</w:t>
      </w:r>
    </w:p>
    <w:p>
      <w:pPr>
        <w:spacing w:after="0" w:line="243" w:lineRule="exact"/>
        <w:jc w:val="left"/>
        <w:sectPr>
          <w:footerReference w:type="default" r:id="rId8"/>
          <w:pgSz w:w="11910" w:h="16840"/>
          <w:pgMar w:footer="979" w:header="747" w:top="1060" w:bottom="1160" w:left="980" w:right="980"/>
          <w:pgNumType w:start="2"/>
        </w:sectPr>
      </w:pPr>
    </w:p>
    <w:p>
      <w:pPr>
        <w:spacing w:line="240" w:lineRule="auto" w:before="11"/>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36"/>
        <w:ind w:left="3448" w:right="3446"/>
        <w:jc w:val="center"/>
      </w:pPr>
      <w:r>
        <w:rPr/>
        <w:t>目录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sdt>
      <w:sdtPr>
        <w:docPartObj>
          <w:docPartGallery w:val="Table of Contents"/>
          <w:docPartUnique/>
        </w:docPartObj>
      </w:sdtPr>
      <w:sdtEndPr/>
      <w:sdtContent>
        <w:p>
          <w:pPr>
            <w:pStyle w:val="TOC1"/>
            <w:tabs>
              <w:tab w:pos="9783" w:val="right" w:leader="dot"/>
            </w:tabs>
            <w:spacing w:line="240" w:lineRule="auto" w:before="0"/>
            <w:ind w:right="0"/>
            <w:jc w:val="left"/>
          </w:pPr>
          <w:r>
            <w:rPr/>
            <w:t>2014</w:t>
          </w:r>
          <w:r>
            <w:rPr>
              <w:spacing w:val="-53"/>
            </w:rPr>
            <w:t> </w:t>
          </w:r>
          <w:r>
            <w:rPr/>
            <w:t>年度报告</w:t>
          </w:r>
          <w:r>
            <w:rPr>
              <w:rFonts w:ascii="Times New Roman" w:hAnsi="Times New Roman" w:cs="Times New Roman" w:eastAsia="Times New Roman" w:hint="default"/>
            </w:rPr>
            <w:tab/>
          </w:r>
          <w:r>
            <w:rPr/>
            <w:t>2</w:t>
          </w:r>
        </w:p>
        <w:p>
          <w:pPr>
            <w:pStyle w:val="TOC1"/>
            <w:tabs>
              <w:tab w:pos="9783" w:val="right" w:leader="dot"/>
            </w:tabs>
            <w:spacing w:line="240" w:lineRule="auto"/>
            <w:ind w:right="0"/>
            <w:jc w:val="left"/>
          </w:pPr>
          <w:hyperlink w:history="true" w:anchor="_TOC_250011">
            <w:r>
              <w:rPr/>
              <w:t>第一节 重要提示、目录和释义</w:t>
            </w:r>
            <w:r>
              <w:rPr>
                <w:rFonts w:ascii="Times New Roman" w:hAnsi="Times New Roman" w:cs="Times New Roman" w:eastAsia="Times New Roman" w:hint="default"/>
              </w:rPr>
              <w:tab/>
            </w:r>
            <w:r>
              <w:rPr/>
              <w:t>6</w:t>
            </w:r>
          </w:hyperlink>
        </w:p>
        <w:p>
          <w:pPr>
            <w:pStyle w:val="TOC1"/>
            <w:tabs>
              <w:tab w:pos="9783" w:val="right" w:leader="dot"/>
            </w:tabs>
            <w:spacing w:line="240" w:lineRule="auto"/>
            <w:ind w:right="0"/>
            <w:jc w:val="left"/>
          </w:pPr>
          <w:hyperlink w:history="true" w:anchor="_TOC_250010">
            <w:r>
              <w:rPr/>
              <w:t>第二节 公司简介</w:t>
            </w:r>
            <w:r>
              <w:rPr>
                <w:rFonts w:ascii="Times New Roman" w:hAnsi="Times New Roman" w:cs="Times New Roman" w:eastAsia="Times New Roman" w:hint="default"/>
              </w:rPr>
              <w:tab/>
            </w:r>
            <w:r>
              <w:rPr/>
              <w:t>8</w:t>
            </w:r>
          </w:hyperlink>
        </w:p>
        <w:p>
          <w:pPr>
            <w:pStyle w:val="TOC1"/>
            <w:tabs>
              <w:tab w:pos="9783" w:val="right" w:leader="dot"/>
            </w:tabs>
            <w:spacing w:line="240" w:lineRule="auto"/>
            <w:ind w:right="0"/>
            <w:jc w:val="left"/>
          </w:pPr>
          <w:hyperlink w:history="true" w:anchor="_TOC_250009">
            <w:r>
              <w:rPr/>
              <w:t>第三节 会计数据和财务指标摘要</w:t>
            </w:r>
            <w:r>
              <w:rPr>
                <w:rFonts w:ascii="Times New Roman" w:hAnsi="Times New Roman" w:cs="Times New Roman" w:eastAsia="Times New Roman" w:hint="default"/>
              </w:rPr>
              <w:tab/>
            </w:r>
            <w:r>
              <w:rPr/>
              <w:t>11</w:t>
            </w:r>
          </w:hyperlink>
        </w:p>
        <w:p>
          <w:pPr>
            <w:pStyle w:val="TOC1"/>
            <w:tabs>
              <w:tab w:pos="9783" w:val="right" w:leader="dot"/>
            </w:tabs>
            <w:spacing w:line="240" w:lineRule="auto"/>
            <w:ind w:right="0"/>
            <w:jc w:val="left"/>
          </w:pPr>
          <w:hyperlink w:history="true" w:anchor="_TOC_250008">
            <w:r>
              <w:rPr/>
              <w:t>第四节 董事会报告</w:t>
            </w:r>
            <w:r>
              <w:rPr>
                <w:rFonts w:ascii="Times New Roman" w:hAnsi="Times New Roman" w:cs="Times New Roman" w:eastAsia="Times New Roman" w:hint="default"/>
              </w:rPr>
              <w:tab/>
            </w:r>
            <w:r>
              <w:rPr/>
              <w:t>29</w:t>
            </w:r>
          </w:hyperlink>
        </w:p>
        <w:p>
          <w:pPr>
            <w:pStyle w:val="TOC1"/>
            <w:tabs>
              <w:tab w:pos="9783" w:val="right" w:leader="dot"/>
            </w:tabs>
            <w:spacing w:line="240" w:lineRule="auto"/>
            <w:ind w:right="0"/>
            <w:jc w:val="left"/>
          </w:pPr>
          <w:hyperlink w:history="true" w:anchor="_TOC_250007">
            <w:r>
              <w:rPr/>
              <w:t>第五节 重要事项</w:t>
            </w:r>
            <w:r>
              <w:rPr>
                <w:rFonts w:ascii="Times New Roman" w:hAnsi="Times New Roman" w:cs="Times New Roman" w:eastAsia="Times New Roman" w:hint="default"/>
              </w:rPr>
              <w:tab/>
            </w:r>
            <w:r>
              <w:rPr/>
              <w:t>39</w:t>
            </w:r>
          </w:hyperlink>
        </w:p>
        <w:p>
          <w:pPr>
            <w:pStyle w:val="TOC1"/>
            <w:tabs>
              <w:tab w:pos="9783" w:val="right" w:leader="dot"/>
            </w:tabs>
            <w:spacing w:line="240" w:lineRule="auto"/>
            <w:ind w:right="0"/>
            <w:jc w:val="left"/>
          </w:pPr>
          <w:hyperlink w:history="true" w:anchor="_TOC_250006">
            <w:r>
              <w:rPr/>
              <w:t>第六节 股份变动及股东情况</w:t>
            </w:r>
            <w:r>
              <w:rPr>
                <w:rFonts w:ascii="Times New Roman" w:hAnsi="Times New Roman" w:cs="Times New Roman" w:eastAsia="Times New Roman" w:hint="default"/>
              </w:rPr>
              <w:tab/>
            </w:r>
            <w:r>
              <w:rPr/>
              <w:t>45</w:t>
            </w:r>
          </w:hyperlink>
        </w:p>
        <w:p>
          <w:pPr>
            <w:pStyle w:val="TOC1"/>
            <w:tabs>
              <w:tab w:pos="9783" w:val="right" w:leader="dot"/>
            </w:tabs>
            <w:spacing w:line="240" w:lineRule="auto"/>
            <w:ind w:right="0"/>
            <w:jc w:val="left"/>
          </w:pPr>
          <w:hyperlink w:history="true" w:anchor="_TOC_250005">
            <w:r>
              <w:rPr/>
              <w:t>第七节 优先股相关情况</w:t>
            </w:r>
            <w:r>
              <w:rPr>
                <w:rFonts w:ascii="Times New Roman" w:hAnsi="Times New Roman" w:cs="Times New Roman" w:eastAsia="Times New Roman" w:hint="default"/>
              </w:rPr>
              <w:tab/>
            </w:r>
            <w:r>
              <w:rPr/>
              <w:t>45</w:t>
            </w:r>
          </w:hyperlink>
        </w:p>
        <w:p>
          <w:pPr>
            <w:pStyle w:val="TOC1"/>
            <w:tabs>
              <w:tab w:pos="9783" w:val="right" w:leader="dot"/>
            </w:tabs>
            <w:spacing w:line="240" w:lineRule="auto"/>
            <w:ind w:right="0"/>
            <w:jc w:val="left"/>
          </w:pPr>
          <w:hyperlink w:history="true" w:anchor="_TOC_250004">
            <w:r>
              <w:rPr/>
              <w:t>第八节 董事、监事、高级管理人员和员工情况</w:t>
            </w:r>
            <w:r>
              <w:rPr>
                <w:rFonts w:ascii="Times New Roman" w:hAnsi="Times New Roman" w:cs="Times New Roman" w:eastAsia="Times New Roman" w:hint="default"/>
              </w:rPr>
              <w:tab/>
            </w:r>
            <w:r>
              <w:rPr/>
              <w:t>46</w:t>
            </w:r>
          </w:hyperlink>
        </w:p>
        <w:p>
          <w:pPr>
            <w:pStyle w:val="TOC1"/>
            <w:tabs>
              <w:tab w:pos="9783" w:val="right" w:leader="dot"/>
            </w:tabs>
            <w:spacing w:line="240" w:lineRule="auto"/>
            <w:ind w:right="0"/>
            <w:jc w:val="left"/>
          </w:pPr>
          <w:hyperlink w:history="true" w:anchor="_TOC_250003">
            <w:r>
              <w:rPr/>
              <w:t>第九节 公司治理</w:t>
            </w:r>
            <w:r>
              <w:rPr>
                <w:rFonts w:ascii="Times New Roman" w:hAnsi="Times New Roman" w:cs="Times New Roman" w:eastAsia="Times New Roman" w:hint="default"/>
              </w:rPr>
              <w:tab/>
            </w:r>
            <w:r>
              <w:rPr/>
              <w:t>54</w:t>
            </w:r>
          </w:hyperlink>
        </w:p>
        <w:p>
          <w:pPr>
            <w:pStyle w:val="TOC1"/>
            <w:tabs>
              <w:tab w:pos="9783" w:val="right" w:leader="dot"/>
            </w:tabs>
            <w:spacing w:line="240" w:lineRule="auto"/>
            <w:ind w:right="0"/>
            <w:jc w:val="left"/>
          </w:pPr>
          <w:hyperlink w:history="true" w:anchor="_TOC_250002">
            <w:r>
              <w:rPr/>
              <w:t>第十节 内部控制</w:t>
            </w:r>
            <w:r>
              <w:rPr>
                <w:rFonts w:ascii="Times New Roman" w:hAnsi="Times New Roman" w:cs="Times New Roman" w:eastAsia="Times New Roman" w:hint="default"/>
              </w:rPr>
              <w:tab/>
            </w:r>
            <w:r>
              <w:rPr/>
              <w:t>58</w:t>
            </w:r>
          </w:hyperlink>
        </w:p>
        <w:p>
          <w:pPr>
            <w:pStyle w:val="TOC1"/>
            <w:tabs>
              <w:tab w:pos="9783" w:val="right" w:leader="dot"/>
            </w:tabs>
            <w:spacing w:line="240" w:lineRule="auto"/>
            <w:ind w:right="0"/>
            <w:jc w:val="left"/>
          </w:pPr>
          <w:hyperlink w:history="true" w:anchor="_TOC_250001">
            <w:r>
              <w:rPr/>
              <w:t>第十一节 财务报告</w:t>
            </w:r>
            <w:r>
              <w:rPr>
                <w:rFonts w:ascii="Times New Roman" w:hAnsi="Times New Roman" w:cs="Times New Roman" w:eastAsia="Times New Roman" w:hint="default"/>
              </w:rPr>
              <w:tab/>
            </w:r>
            <w:r>
              <w:rPr/>
              <w:t>60</w:t>
            </w:r>
          </w:hyperlink>
        </w:p>
        <w:p>
          <w:pPr>
            <w:pStyle w:val="TOC1"/>
            <w:tabs>
              <w:tab w:pos="9783" w:val="right" w:leader="dot"/>
            </w:tabs>
            <w:spacing w:line="240" w:lineRule="auto"/>
            <w:ind w:right="0"/>
            <w:jc w:val="left"/>
          </w:pPr>
          <w:hyperlink w:history="true" w:anchor="_TOC_250000">
            <w:r>
              <w:rPr/>
              <w:t>第十二节 备查文件目录</w:t>
            </w:r>
            <w:r>
              <w:rPr>
                <w:rFonts w:ascii="Times New Roman" w:hAnsi="Times New Roman" w:cs="Times New Roman" w:eastAsia="Times New Roman" w:hint="default"/>
              </w:rPr>
              <w:tab/>
            </w:r>
            <w:r>
              <w:rPr/>
              <w:t>167</w:t>
            </w:r>
          </w:hyperlink>
        </w:p>
      </w:sdtContent>
    </w:sdt>
    <w:p>
      <w:pPr>
        <w:spacing w:after="0" w:line="240" w:lineRule="auto"/>
        <w:jc w:val="left"/>
        <w:sectPr>
          <w:pgSz w:w="11910" w:h="16840"/>
          <w:pgMar w:header="747" w:footer="979" w:top="1060" w:bottom="1160" w:left="980" w:right="980"/>
        </w:sectPr>
      </w:pPr>
    </w:p>
    <w:p>
      <w:pPr>
        <w:pStyle w:val="BodyText"/>
        <w:spacing w:line="240" w:lineRule="auto" w:before="881"/>
        <w:ind w:left="3448" w:right="3446"/>
        <w:jc w:val="center"/>
      </w:pPr>
      <w:r>
        <w:rPr/>
        <w:t>释义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3523"/>
        <w:gridCol w:w="622"/>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6"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2014 年 1 月 1 日-2014 年 12 月 31</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公司或本公司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鸿博股份有限公司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鸿博昊天</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子公司鸿博昊天科技有限公司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昊天国彩</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孙公司北京昊天国彩印刷有限公司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四川鸿海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孙公司四川鸿海印务有限公司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鸿博数网</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子公司鸿博（福建）数据网络科技股份有限公司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鸿博致远</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子公司福建鸿博致远信息科技有限公司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重庆鸿海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子公司重庆市鸿海印务有限公司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无锡双龙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控股子公司无锡双龙信息纸有限公司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正栋厂</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无锡双龙股东无锡市正栋电脑纸品厂</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广州彩创</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子公司广州彩创网络技术有限公司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港龙贸易</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子公司福州港龙贸易有限公司</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496" w:lineRule="auto" w:before="36"/>
        <w:ind w:left="577" w:right="99" w:firstLine="3763"/>
        <w:jc w:val="left"/>
      </w:pPr>
      <w:r>
        <w:rPr/>
        <w:t>重大风险提示</w:t>
      </w:r>
      <w:r>
        <w:rPr>
          <w:w w:val="100"/>
        </w:rPr>
        <w:t> </w:t>
      </w:r>
      <w:r>
        <w:rPr>
          <w:spacing w:val="-5"/>
        </w:rPr>
        <w:t>本报告中涉及未来计划等前瞻性描述，不构成公司对投资者的实质性承诺，能否实现取决于市场状况、</w:t>
      </w:r>
    </w:p>
    <w:p>
      <w:pPr>
        <w:pStyle w:val="BodyText"/>
        <w:spacing w:line="243" w:lineRule="exact"/>
        <w:ind w:right="99"/>
        <w:jc w:val="left"/>
      </w:pPr>
      <w:r>
        <w:rPr/>
        <w:t>经营管理团队等多种因素，存在不确定性，请投资者注意投资风险。</w:t>
      </w:r>
    </w:p>
    <w:p>
      <w:pPr>
        <w:spacing w:after="0" w:line="243" w:lineRule="exact"/>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spacing w:line="240" w:lineRule="auto"/>
        <w:ind w:right="3448"/>
        <w:jc w:val="center"/>
      </w:pPr>
      <w:bookmarkStart w:name="_TOC_250010" w:id="2"/>
      <w:r>
        <w:rPr/>
        <w:t>第二节</w:t>
      </w:r>
      <w:r>
        <w:rPr>
          <w:spacing w:val="5"/>
        </w:rPr>
        <w:t> </w:t>
      </w:r>
      <w:bookmarkEnd w:id="2"/>
      <w:r>
        <w:rPr/>
        <w:t>公司简介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6"/>
        <w:ind w:right="2880"/>
        <w:jc w:val="left"/>
      </w:pPr>
      <w:r>
        <w:rPr/>
        <w:pict>
          <v:group style="position:absolute;margin-left:171.218262pt;margin-top:113.903679pt;width:363.75pt;height:19.7pt;mso-position-horizontal-relative:page;mso-position-vertical-relative:paragraph;z-index:-888040" coordorigin="3424,2278" coordsize="7275,394">
            <v:group style="position:absolute;left:10677;top:2278;width:22;height:394" coordorigin="10677,2278" coordsize="22,394">
              <v:shape style="position:absolute;left:10677;top:2278;width:22;height:394" coordorigin="10677,2278" coordsize="22,394" path="m10677,2672l10699,2672,10699,2278,10677,2278,10677,2672xe" filled="true" fillcolor="#ffffff" stroked="false">
                <v:path arrowok="t"/>
                <v:fill type="solid"/>
              </v:shape>
            </v:group>
            <v:group style="position:absolute;left:3424;top:2278;width:24;height:394" coordorigin="3424,2278" coordsize="24,394">
              <v:shape style="position:absolute;left:3424;top:2278;width:24;height:394" coordorigin="3424,2278" coordsize="24,394" path="m3424,2672l3448,2672,3448,2278,3424,2278,3424,2672xe" filled="true" fillcolor="#ffffff" stroked="false">
                <v:path arrowok="t"/>
                <v:fill type="solid"/>
              </v:shape>
            </v:group>
            <v:group style="position:absolute;left:3448;top:2278;width:7229;height:394" coordorigin="3448,2278" coordsize="7229,394">
              <v:shape style="position:absolute;left:3448;top:2278;width:7229;height:394" coordorigin="3448,2278" coordsize="7229,394" path="m3448,2278l10677,2278,10677,2672,3448,2672,3448,2278xe" filled="true" fillcolor="#ffffff" stroked="false">
                <v:path arrowok="t"/>
                <v:fill type="solid"/>
              </v:shape>
            </v:group>
            <w10:wrap type="none"/>
          </v:group>
        </w:pict>
      </w:r>
      <w:r>
        <w:rPr/>
        <w:t>一、公司信息</w:t>
      </w:r>
    </w:p>
    <w:p>
      <w:pPr>
        <w:spacing w:line="240" w:lineRule="auto" w:before="9"/>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285"/>
        <w:gridCol w:w="2953"/>
        <w:gridCol w:w="2154"/>
        <w:gridCol w:w="2177"/>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鸿博股份</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002229</w:t>
            </w:r>
          </w:p>
        </w:tc>
      </w:tr>
      <w:tr>
        <w:trPr>
          <w:trHeight w:val="396"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鸿博股份有限公司</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鸿博股份</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34"/>
              <w:jc w:val="left"/>
              <w:rPr>
                <w:rFonts w:ascii="宋体" w:hAnsi="宋体" w:cs="宋体" w:eastAsia="宋体" w:hint="default"/>
                <w:sz w:val="21"/>
                <w:szCs w:val="21"/>
              </w:rPr>
            </w:pPr>
            <w:r>
              <w:rPr>
                <w:rFonts w:ascii="宋体" w:hAnsi="宋体" w:cs="宋体" w:eastAsia="宋体" w:hint="default"/>
                <w:spacing w:val="-4"/>
                <w:sz w:val="21"/>
                <w:szCs w:val="21"/>
              </w:rPr>
              <w:t>公司的外文名称（如有）</w:t>
            </w:r>
            <w:r>
              <w:rPr>
                <w:rFonts w:ascii="宋体" w:hAnsi="宋体" w:cs="宋体" w:eastAsia="宋体" w:hint="default"/>
                <w:sz w:val="21"/>
                <w:szCs w:val="21"/>
              </w:rPr>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HONGBO CO.,LTD.</w:t>
            </w:r>
          </w:p>
        </w:tc>
      </w:tr>
      <w:tr>
        <w:trPr>
          <w:trHeight w:val="71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9"/>
              <w:jc w:val="left"/>
              <w:rPr>
                <w:rFonts w:ascii="宋体" w:hAnsi="宋体" w:cs="宋体" w:eastAsia="宋体" w:hint="default"/>
                <w:sz w:val="21"/>
                <w:szCs w:val="21"/>
              </w:rPr>
            </w:pPr>
            <w:r>
              <w:rPr>
                <w:rFonts w:ascii="宋体" w:hAnsi="宋体" w:cs="宋体" w:eastAsia="宋体" w:hint="default"/>
                <w:spacing w:val="-9"/>
                <w:w w:val="100"/>
                <w:sz w:val="21"/>
                <w:szCs w:val="21"/>
              </w:rPr>
              <w:t>公司的外文名称缩写（如</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有）</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HONGBO</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福建省福州市金山开发区金达路</w:t>
            </w:r>
            <w:r>
              <w:rPr>
                <w:rFonts w:ascii="宋体" w:hAnsi="宋体" w:cs="宋体" w:eastAsia="宋体" w:hint="default"/>
                <w:spacing w:val="-53"/>
                <w:sz w:val="21"/>
                <w:szCs w:val="21"/>
              </w:rPr>
              <w:t> </w:t>
            </w:r>
            <w:r>
              <w:rPr>
                <w:rFonts w:ascii="宋体" w:hAnsi="宋体" w:cs="宋体" w:eastAsia="宋体" w:hint="default"/>
                <w:sz w:val="21"/>
                <w:szCs w:val="21"/>
              </w:rPr>
              <w:t>136</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350002</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福建省福州市金山开发区金达路</w:t>
            </w:r>
            <w:r>
              <w:rPr>
                <w:rFonts w:ascii="宋体" w:hAnsi="宋体" w:cs="宋体" w:eastAsia="宋体" w:hint="default"/>
                <w:spacing w:val="-53"/>
                <w:sz w:val="21"/>
                <w:szCs w:val="21"/>
              </w:rPr>
              <w:t> </w:t>
            </w:r>
            <w:r>
              <w:rPr>
                <w:rFonts w:ascii="宋体" w:hAnsi="宋体" w:cs="宋体" w:eastAsia="宋体" w:hint="default"/>
                <w:sz w:val="21"/>
                <w:szCs w:val="21"/>
              </w:rPr>
              <w:t>136</w:t>
            </w:r>
            <w:r>
              <w:rPr>
                <w:rFonts w:ascii="宋体" w:hAnsi="宋体" w:cs="宋体" w:eastAsia="宋体" w:hint="default"/>
                <w:spacing w:val="-55"/>
                <w:sz w:val="21"/>
                <w:szCs w:val="21"/>
              </w:rPr>
              <w:t> </w:t>
            </w:r>
            <w:r>
              <w:rPr>
                <w:rFonts w:ascii="宋体" w:hAnsi="宋体" w:cs="宋体" w:eastAsia="宋体" w:hint="default"/>
                <w:sz w:val="21"/>
                <w:szCs w:val="21"/>
              </w:rPr>
              <w:t>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350002</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9">
              <w:r>
                <w:rPr>
                  <w:rFonts w:ascii="宋体"/>
                  <w:sz w:val="21"/>
                </w:rPr>
                <w:t>www.hb-print.com.cn</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10">
              <w:r>
                <w:rPr>
                  <w:rFonts w:ascii="宋体"/>
                  <w:sz w:val="21"/>
                </w:rPr>
                <w:t>hongbo-printing@hongbo.net.cn</w:t>
              </w:r>
            </w:hyperlink>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二、联系人和联系方式</w:t>
      </w:r>
    </w:p>
    <w:p>
      <w:pPr>
        <w:spacing w:line="240" w:lineRule="auto" w:before="9"/>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闫春江</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福建省福州市金山开发区金达路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136</w:t>
            </w:r>
            <w:r>
              <w:rPr>
                <w:rFonts w:ascii="宋体" w:hAnsi="宋体" w:cs="宋体" w:eastAsia="宋体" w:hint="default"/>
                <w:spacing w:val="-50"/>
                <w:sz w:val="21"/>
                <w:szCs w:val="21"/>
              </w:rPr>
              <w:t> </w:t>
            </w:r>
            <w:r>
              <w:rPr>
                <w:rFonts w:ascii="宋体" w:hAnsi="宋体" w:cs="宋体" w:eastAsia="宋体" w:hint="default"/>
                <w:sz w:val="21"/>
                <w:szCs w:val="21"/>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福建省福州市金山开发区金达路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136</w:t>
            </w:r>
            <w:r>
              <w:rPr>
                <w:rFonts w:ascii="宋体" w:hAnsi="宋体" w:cs="宋体" w:eastAsia="宋体" w:hint="default"/>
                <w:spacing w:val="-50"/>
                <w:sz w:val="21"/>
                <w:szCs w:val="21"/>
              </w:rPr>
              <w:t> </w:t>
            </w:r>
            <w:r>
              <w:rPr>
                <w:rFonts w:ascii="宋体" w:hAnsi="宋体" w:cs="宋体" w:eastAsia="宋体" w:hint="default"/>
                <w:sz w:val="21"/>
                <w:szCs w:val="21"/>
              </w:rPr>
              <w:t>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tcPr>
          <w:p>
            <w:pPr>
              <w:pStyle w:val="TableParagraph"/>
              <w:tabs>
                <w:tab w:pos="3158"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联系地址</w:t>
              <w:tab/>
            </w:r>
            <w:r>
              <w:rPr>
                <w:rFonts w:ascii="宋体" w:hAnsi="宋体" w:cs="宋体" w:eastAsia="宋体" w:hint="default"/>
                <w:sz w:val="21"/>
                <w:szCs w:val="21"/>
              </w:rPr>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0591-88070028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0591-88070028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0591-83840666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0591-83840666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10">
              <w:r>
                <w:rPr>
                  <w:rFonts w:ascii="宋体"/>
                  <w:sz w:val="21"/>
                </w:rPr>
                <w:t>hongbo-printing@hongbo.net.cn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hyperlink r:id="rId10">
              <w:r>
                <w:rPr>
                  <w:rFonts w:ascii="宋体"/>
                  <w:sz w:val="21"/>
                </w:rPr>
                <w:t>hongbo-printing@hongbo.net.cn</w:t>
              </w:r>
            </w:hyperlink>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三、信息披露及备置地点</w:t>
      </w:r>
    </w:p>
    <w:p>
      <w:pPr>
        <w:spacing w:line="240" w:lineRule="auto" w:before="12"/>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71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2" w:right="170"/>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hyperlink r:id="rId11">
              <w:r>
                <w:rPr>
                  <w:rFonts w:ascii="宋体"/>
                  <w:sz w:val="21"/>
                </w:rPr>
                <w:t>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四、注册变更情况</w:t>
      </w:r>
    </w:p>
    <w:p>
      <w:pPr>
        <w:spacing w:line="240" w:lineRule="auto" w:before="1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372" w:right="53" w:hanging="315"/>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福建省工商行政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35000010001386</w:t>
            </w:r>
          </w:p>
          <w:p>
            <w:pPr>
              <w:pStyle w:val="TableParagraph"/>
              <w:spacing w:line="240" w:lineRule="auto" w:before="37"/>
              <w:ind w:left="24" w:right="0"/>
              <w:jc w:val="left"/>
              <w:rPr>
                <w:rFonts w:ascii="宋体" w:hAnsi="宋体" w:cs="宋体" w:eastAsia="宋体" w:hint="default"/>
                <w:sz w:val="21"/>
                <w:szCs w:val="21"/>
              </w:rPr>
            </w:pPr>
            <w:r>
              <w:rPr>
                <w:rFonts w:ascii="宋体"/>
                <w:w w:val="100"/>
                <w:sz w:val="21"/>
              </w:rPr>
              <w:t>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35010470510163</w:t>
            </w:r>
          </w:p>
          <w:p>
            <w:pPr>
              <w:pStyle w:val="TableParagraph"/>
              <w:spacing w:line="240" w:lineRule="auto" w:before="37"/>
              <w:ind w:left="24" w:right="0"/>
              <w:jc w:val="left"/>
              <w:rPr>
                <w:rFonts w:ascii="宋体" w:hAnsi="宋体" w:cs="宋体" w:eastAsia="宋体" w:hint="default"/>
                <w:sz w:val="21"/>
                <w:szCs w:val="21"/>
              </w:rPr>
            </w:pPr>
            <w:r>
              <w:rPr>
                <w:rFonts w:ascii="宋体"/>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70510163-7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715"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公司上市以来主营业务的变化情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况（如有）</w:t>
            </w:r>
          </w:p>
        </w:tc>
        <w:tc>
          <w:tcPr>
            <w:tcW w:w="6377"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2"/>
                <w:sz w:val="21"/>
                <w:szCs w:val="21"/>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19"/>
          <w:szCs w:val="19"/>
        </w:rPr>
      </w:pPr>
    </w:p>
    <w:p>
      <w:pPr>
        <w:pStyle w:val="BodyText"/>
        <w:spacing w:line="537" w:lineRule="auto" w:before="36"/>
        <w:ind w:right="7356"/>
        <w:jc w:val="left"/>
      </w:pPr>
      <w:r>
        <w:rPr/>
        <w:pict>
          <v:shape style="position:absolute;margin-left:56.558266pt;margin-top:50.663692pt;width:479.1pt;height:60.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北京朝阳区建国门外大街 22 号赛特广场 5</w:t>
                        </w:r>
                        <w:r>
                          <w:rPr>
                            <w:rFonts w:ascii="宋体" w:hAnsi="宋体" w:cs="宋体" w:eastAsia="宋体" w:hint="default"/>
                            <w:spacing w:val="-3"/>
                            <w:sz w:val="21"/>
                            <w:szCs w:val="21"/>
                          </w:rPr>
                          <w:t> </w:t>
                        </w:r>
                        <w:r>
                          <w:rPr>
                            <w:rFonts w:ascii="宋体" w:hAnsi="宋体" w:cs="宋体" w:eastAsia="宋体" w:hint="default"/>
                            <w:sz w:val="21"/>
                            <w:szCs w:val="21"/>
                          </w:rPr>
                          <w:t>层</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林新田、邓伟</w:t>
                        </w:r>
                      </w:p>
                    </w:tc>
                  </w:tr>
                </w:tbl>
                <w:p>
                  <w:pPr/>
                </w:p>
              </w:txbxContent>
            </v:textbox>
            <w10:wrap type="none"/>
          </v:shape>
        </w:pict>
      </w:r>
      <w:r>
        <w:rPr/>
        <w:t>五、其他有关资料</w:t>
      </w:r>
      <w:r>
        <w:rPr>
          <w:spacing w:val="-96"/>
        </w:rPr>
        <w:t> </w:t>
      </w:r>
      <w:r>
        <w:rPr>
          <w:spacing w:val="-2"/>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公司聘请的报告期内履行持续督导职责的保荐机构</w:t>
      </w:r>
    </w:p>
    <w:p>
      <w:pPr>
        <w:pStyle w:val="BodyText"/>
        <w:spacing w:line="307" w:lineRule="auto" w:before="75"/>
        <w:ind w:right="4492"/>
        <w:jc w:val="left"/>
      </w:pPr>
      <w:r>
        <w:rPr/>
        <w:t>□ 适用 √</w:t>
      </w:r>
      <w:r>
        <w:rPr>
          <w:spacing w:val="-2"/>
        </w:rPr>
        <w:t> </w:t>
      </w:r>
      <w:r>
        <w:rPr/>
        <w:t>不适用</w:t>
      </w:r>
      <w:r>
        <w:rPr>
          <w:spacing w:val="-103"/>
        </w:rPr>
        <w:t> </w:t>
      </w:r>
      <w:r>
        <w:rPr>
          <w:spacing w:val="-103"/>
        </w:rPr>
      </w:r>
      <w:r>
        <w:rPr>
          <w:spacing w:val="-2"/>
        </w:rPr>
        <w:t>公司聘请的报告期内履行持续督导职责的财务顾问</w:t>
      </w:r>
    </w:p>
    <w:p>
      <w:pPr>
        <w:pStyle w:val="BodyText"/>
        <w:spacing w:line="240" w:lineRule="auto" w:before="19"/>
        <w:ind w:right="288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26" w:right="2880"/>
        <w:jc w:val="left"/>
      </w:pPr>
      <w:bookmarkStart w:name="_TOC_250009" w:id="3"/>
      <w:r>
        <w:rPr/>
        <w:t>第三节</w:t>
      </w:r>
      <w:r>
        <w:rPr>
          <w:spacing w:val="11"/>
        </w:rPr>
        <w:t> </w:t>
      </w:r>
      <w:bookmarkEnd w:id="3"/>
      <w:r>
        <w:rPr/>
        <w:t>会计数据和财务指标摘要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6"/>
        <w:ind w:right="2880"/>
        <w:jc w:val="left"/>
      </w:pPr>
      <w:r>
        <w:rPr/>
        <w:t>一、主要会计数据和财务指标</w:t>
      </w:r>
    </w:p>
    <w:p>
      <w:pPr>
        <w:spacing w:line="240" w:lineRule="auto" w:before="10"/>
        <w:rPr>
          <w:rFonts w:ascii="宋体" w:hAnsi="宋体" w:cs="宋体" w:eastAsia="宋体" w:hint="default"/>
          <w:sz w:val="25"/>
          <w:szCs w:val="25"/>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78"/>
        <w:ind w:right="2880"/>
        <w:jc w:val="left"/>
      </w:pPr>
      <w:r>
        <w:rPr/>
        <w:pict>
          <v:shape style="position:absolute;margin-left:181.298264pt;margin-top:98.483688pt;width:93.25pt;height:35.2pt;mso-position-horizontal-relative:page;mso-position-vertical-relative:paragraph;z-index:-887992" type="#_x0000_t202" filled="false" stroked="false">
            <v:textbox inset="0,0,0,0">
              <w:txbxContent>
                <w:p>
                  <w:pPr>
                    <w:spacing w:line="240" w:lineRule="auto" w:before="0"/>
                    <w:rPr>
                      <w:rFonts w:ascii="宋体" w:hAnsi="宋体" w:cs="宋体" w:eastAsia="宋体" w:hint="default"/>
                      <w:sz w:val="26"/>
                      <w:szCs w:val="26"/>
                    </w:rPr>
                  </w:pPr>
                </w:p>
                <w:p>
                  <w:pPr>
                    <w:pStyle w:val="BodyText"/>
                    <w:spacing w:line="240" w:lineRule="auto"/>
                    <w:ind w:left="0" w:right="0"/>
                    <w:jc w:val="left"/>
                  </w:pPr>
                  <w:r>
                    <w:rPr>
                      <w:w w:val="100"/>
                    </w:rPr>
                    <w:t>）</w:t>
                  </w:r>
                </w:p>
              </w:txbxContent>
            </v:textbox>
            <w10:wrap type="none"/>
          </v:shape>
        </w:pict>
      </w:r>
      <w:r>
        <w:rPr/>
        <w:pict>
          <v:group style="position:absolute;margin-left:188.13826pt;margin-top:98.483688pt;width:86.4pt;height:35.2pt;mso-position-horizontal-relative:page;mso-position-vertical-relative:paragraph;z-index:-887968" coordorigin="3763,1970" coordsize="1728,704">
            <v:group style="position:absolute;left:3763;top:1970;width:1728;height:704" coordorigin="3763,1970" coordsize="1728,704">
              <v:shape style="position:absolute;left:3763;top:1970;width:1728;height:704" coordorigin="3763,1970" coordsize="1728,704" path="m3763,1970l5491,1970,5491,2673,3763,2673,3763,1970xe" filled="true" fillcolor="#ffffff" stroked="false">
                <v:path arrowok="t"/>
                <v:fill type="solid"/>
              </v:shape>
            </v:group>
            <v:group style="position:absolute;left:3784;top:2126;width:1683;height:392" coordorigin="3784,2126" coordsize="1683,392">
              <v:shape style="position:absolute;left:3784;top:2126;width:1683;height:392" coordorigin="3784,2126" coordsize="1683,392" path="m3784,2126l5467,2126,5467,2517,3784,2517,3784,2126xe" filled="true" fillcolor="#ffffff" stroked="false">
                <v:path arrowok="t"/>
                <v:fill type="solid"/>
              </v:shape>
            </v:group>
            <w10:wrap type="none"/>
          </v:group>
        </w:pict>
      </w:r>
      <w:r>
        <w:rPr/>
        <w:t>□ 是 √ 否</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27"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863,512,984.42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711,050,034.74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682,237,748.78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27,673,025.40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49,089,630.26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-43.63%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52,124,832.46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23,408,194.13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47,319,848.64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50,867,270.08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62"/>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20,837,819.35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120,212,685.23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-82.67%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45,346,881.46</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0.1646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0.1748</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0.1646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-43.62%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0.1748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6.53%</w:t>
            </w:r>
          </w:p>
        </w:tc>
      </w:tr>
      <w:tr>
        <w:trPr>
          <w:trHeight w:val="162" w:hRule="exact"/>
        </w:trPr>
        <w:tc>
          <w:tcPr>
            <w:tcW w:w="2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9"/>
              <w:ind w:left="758" w:right="19" w:hanging="735"/>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91" w:hRule="exact"/>
        </w:trPr>
        <w:tc>
          <w:tcPr>
            <w:tcW w:w="2621"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1,365,755,100.49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1,202,195,406.38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1,249,301,431.14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861,883,412.18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844,646,896.78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813,612,316.90</w:t>
            </w:r>
          </w:p>
        </w:tc>
      </w:tr>
    </w:tbl>
    <w:p>
      <w:pPr>
        <w:spacing w:line="240" w:lineRule="auto" w:before="3"/>
        <w:rPr>
          <w:rFonts w:ascii="宋体" w:hAnsi="宋体" w:cs="宋体" w:eastAsia="宋体" w:hint="default"/>
          <w:sz w:val="19"/>
          <w:szCs w:val="19"/>
        </w:rPr>
      </w:pPr>
    </w:p>
    <w:p>
      <w:pPr>
        <w:pStyle w:val="BodyText"/>
        <w:spacing w:line="537" w:lineRule="auto" w:before="36"/>
        <w:ind w:right="0"/>
        <w:jc w:val="left"/>
      </w:pPr>
      <w:r>
        <w:rPr/>
        <w:t>二、境内外会计准则下会计数据差异</w:t>
      </w:r>
      <w:r>
        <w:rPr>
          <w:spacing w:val="-92"/>
        </w:rPr>
        <w:t> </w:t>
      </w:r>
      <w:r>
        <w:rPr>
          <w:spacing w:val="-92"/>
        </w:rPr>
      </w:r>
      <w:r>
        <w:rPr>
          <w:spacing w:val="-1"/>
        </w:rPr>
        <w:t>1、同时按照国际会计准则与按照中国会计准则披露的财务报告中净利润和净资产差异情况</w:t>
      </w:r>
    </w:p>
    <w:p>
      <w:pPr>
        <w:pStyle w:val="BodyText"/>
        <w:spacing w:line="307" w:lineRule="auto" w:before="76"/>
        <w:ind w:right="0"/>
        <w:jc w:val="left"/>
      </w:pPr>
      <w:r>
        <w:rPr/>
        <w:t>□ 适用 √</w:t>
      </w:r>
      <w:r>
        <w:rPr>
          <w:spacing w:val="-2"/>
        </w:rPr>
        <w:t> </w:t>
      </w:r>
      <w:r>
        <w:rPr/>
        <w:t>不适用</w:t>
      </w:r>
      <w:r>
        <w:rPr>
          <w:spacing w:val="-103"/>
        </w:rPr>
        <w:t> </w:t>
      </w:r>
      <w:r>
        <w:rPr>
          <w:spacing w:val="-103"/>
        </w:rPr>
      </w:r>
      <w:r>
        <w:rPr>
          <w:spacing w:val="-2"/>
        </w:rPr>
        <w:t>公司报告期不存在按照国际会计准则与按照中国会计准则披露的财务报告中净利润和净资产差异情况。</w:t>
      </w:r>
    </w:p>
    <w:p>
      <w:pPr>
        <w:spacing w:line="240" w:lineRule="auto" w:before="4"/>
        <w:rPr>
          <w:rFonts w:ascii="宋体" w:hAnsi="宋体" w:cs="宋体" w:eastAsia="宋体" w:hint="default"/>
          <w:sz w:val="21"/>
          <w:szCs w:val="21"/>
        </w:rPr>
      </w:pPr>
    </w:p>
    <w:p>
      <w:pPr>
        <w:pStyle w:val="BodyText"/>
        <w:spacing w:line="240" w:lineRule="auto"/>
        <w:ind w:right="0"/>
        <w:jc w:val="left"/>
      </w:pPr>
      <w:r>
        <w:rPr/>
        <w:t>2、同时按照境外会计准则与按照中国会计准则披露的财务报告中净利润和净资产差异情况</w:t>
      </w:r>
    </w:p>
    <w:p>
      <w:pPr>
        <w:spacing w:line="240" w:lineRule="auto" w:before="10"/>
        <w:rPr>
          <w:rFonts w:ascii="宋体" w:hAnsi="宋体" w:cs="宋体" w:eastAsia="宋体" w:hint="default"/>
          <w:sz w:val="25"/>
          <w:szCs w:val="25"/>
        </w:rPr>
      </w:pPr>
    </w:p>
    <w:p>
      <w:pPr>
        <w:pStyle w:val="BodyText"/>
        <w:spacing w:line="307" w:lineRule="auto"/>
        <w:ind w:right="0"/>
        <w:jc w:val="left"/>
      </w:pPr>
      <w:r>
        <w:rPr/>
        <w:t>□ 适用 √</w:t>
      </w:r>
      <w:r>
        <w:rPr>
          <w:spacing w:val="-2"/>
        </w:rPr>
        <w:t> </w:t>
      </w:r>
      <w:r>
        <w:rPr/>
        <w:t>不适用</w:t>
      </w:r>
      <w:r>
        <w:rPr>
          <w:spacing w:val="-103"/>
        </w:rPr>
        <w:t> </w:t>
      </w:r>
      <w:r>
        <w:rPr>
          <w:spacing w:val="-103"/>
        </w:rPr>
      </w:r>
      <w:r>
        <w:rPr>
          <w:spacing w:val="-2"/>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21"/>
          <w:szCs w:val="21"/>
        </w:rPr>
      </w:pPr>
    </w:p>
    <w:p>
      <w:pPr>
        <w:pStyle w:val="BodyText"/>
        <w:spacing w:line="240" w:lineRule="auto"/>
        <w:ind w:right="2880"/>
        <w:jc w:val="left"/>
      </w:pPr>
      <w:r>
        <w:rPr/>
        <w:t>三、非经常性损益项目及金额</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56.49826pt;margin-top:89.738289pt;width:479.2pt;height:673.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0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0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-370,779.99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-2,707,304.84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-35,467.17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5309"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8" w:right="0"/>
                          <w:jc w:val="left"/>
                          <w:rPr>
                            <w:rFonts w:ascii="宋体" w:hAnsi="宋体" w:cs="宋体" w:eastAsia="宋体" w:hint="default"/>
                            <w:sz w:val="21"/>
                            <w:szCs w:val="21"/>
                          </w:rPr>
                        </w:pPr>
                        <w:r>
                          <w:rPr>
                            <w:rFonts w:ascii="宋体"/>
                            <w:sz w:val="21"/>
                          </w:rPr>
                          <w:t>6,241,850.92</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8" w:right="0"/>
                          <w:jc w:val="left"/>
                          <w:rPr>
                            <w:rFonts w:ascii="宋体" w:hAnsi="宋体" w:cs="宋体" w:eastAsia="宋体" w:hint="default"/>
                            <w:sz w:val="21"/>
                            <w:szCs w:val="21"/>
                          </w:rPr>
                        </w:pPr>
                        <w:r>
                          <w:rPr>
                            <w:rFonts w:ascii="宋体"/>
                            <w:sz w:val="21"/>
                          </w:rPr>
                          <w:t>7,083,635.45</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30" w:right="0"/>
                          <w:jc w:val="left"/>
                          <w:rPr>
                            <w:rFonts w:ascii="宋体" w:hAnsi="宋体" w:cs="宋体" w:eastAsia="宋体" w:hint="default"/>
                            <w:sz w:val="21"/>
                            <w:szCs w:val="21"/>
                          </w:rPr>
                        </w:pPr>
                        <w:r>
                          <w:rPr>
                            <w:rFonts w:ascii="宋体"/>
                            <w:sz w:val="21"/>
                          </w:rPr>
                          <w:t>1,677,973.03</w:t>
                        </w:r>
                      </w:p>
                    </w:tc>
                    <w:tc>
                      <w:tcPr>
                        <w:tcW w:w="1711" w:type="dxa"/>
                        <w:vMerge w:val="restart"/>
                        <w:tcBorders>
                          <w:top w:val="single" w:sz="4" w:space="0" w:color="000000"/>
                          <w:left w:val="single" w:sz="4" w:space="0" w:color="000000"/>
                          <w:right w:val="single" w:sz="4" w:space="0" w:color="000000"/>
                        </w:tcBorders>
                      </w:tcPr>
                      <w:p>
                        <w:pPr>
                          <w:pStyle w:val="TableParagraph"/>
                          <w:spacing w:line="271" w:lineRule="auto" w:before="28"/>
                          <w:ind w:left="24" w:right="19"/>
                          <w:jc w:val="left"/>
                          <w:rPr>
                            <w:rFonts w:ascii="宋体" w:hAnsi="宋体" w:cs="宋体" w:eastAsia="宋体" w:hint="default"/>
                            <w:sz w:val="21"/>
                            <w:szCs w:val="21"/>
                          </w:rPr>
                        </w:pPr>
                        <w:r>
                          <w:rPr>
                            <w:rFonts w:ascii="宋体" w:hAnsi="宋体" w:cs="宋体" w:eastAsia="宋体" w:hint="default"/>
                            <w:spacing w:val="-5"/>
                            <w:sz w:val="21"/>
                            <w:szCs w:val="21"/>
                          </w:rPr>
                          <w:t>主要系：根据中华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人民共和国科学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技术部下发的国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科发财【2012】</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1064</w:t>
                        </w:r>
                        <w:r>
                          <w:rPr>
                            <w:rFonts w:ascii="宋体" w:hAnsi="宋体" w:cs="宋体" w:eastAsia="宋体" w:hint="default"/>
                            <w:spacing w:val="-42"/>
                            <w:sz w:val="21"/>
                            <w:szCs w:val="21"/>
                          </w:rPr>
                          <w:t> </w:t>
                        </w:r>
                        <w:r>
                          <w:rPr>
                            <w:rFonts w:ascii="宋体" w:hAnsi="宋体" w:cs="宋体" w:eastAsia="宋体" w:hint="default"/>
                            <w:spacing w:val="-15"/>
                            <w:sz w:val="21"/>
                            <w:szCs w:val="21"/>
                          </w:rPr>
                          <w:t>号文件《科技</w:t>
                        </w:r>
                      </w:p>
                      <w:p>
                        <w:pPr>
                          <w:pStyle w:val="TableParagraph"/>
                          <w:spacing w:line="273" w:lineRule="auto" w:before="10"/>
                          <w:ind w:left="24" w:right="19"/>
                          <w:jc w:val="left"/>
                          <w:rPr>
                            <w:rFonts w:ascii="宋体" w:hAnsi="宋体" w:cs="宋体" w:eastAsia="宋体" w:hint="default"/>
                            <w:sz w:val="21"/>
                            <w:szCs w:val="21"/>
                          </w:rPr>
                        </w:pPr>
                        <w:r>
                          <w:rPr>
                            <w:rFonts w:ascii="宋体" w:hAnsi="宋体" w:cs="宋体" w:eastAsia="宋体" w:hint="default"/>
                            <w:sz w:val="21"/>
                            <w:szCs w:val="21"/>
                          </w:rPr>
                          <w:t>部关于下达</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w w:val="100"/>
                            <w:sz w:val="21"/>
                            <w:szCs w:val="21"/>
                          </w:rPr>
                          <w:t> </w:t>
                        </w:r>
                        <w:r>
                          <w:rPr>
                            <w:rFonts w:ascii="宋体" w:hAnsi="宋体" w:cs="宋体" w:eastAsia="宋体" w:hint="default"/>
                            <w:sz w:val="21"/>
                            <w:szCs w:val="21"/>
                          </w:rPr>
                          <w:t>年国家科技支撑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计划项目课题专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项经费预算的通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w w:val="100"/>
                            <w:sz w:val="21"/>
                            <w:szCs w:val="21"/>
                          </w:rPr>
                          <w:t>知》，给予本公司</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“跨媒体数字出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版技术集成应用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模式、技术集成研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发及试点应用”课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题补助，本期确认</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补助</w:t>
                        </w:r>
                        <w:r>
                          <w:rPr>
                            <w:rFonts w:ascii="宋体" w:hAnsi="宋体" w:cs="宋体" w:eastAsia="宋体" w:hint="default"/>
                            <w:spacing w:val="-67"/>
                            <w:sz w:val="21"/>
                            <w:szCs w:val="21"/>
                          </w:rPr>
                          <w:t> </w:t>
                        </w:r>
                        <w:r>
                          <w:rPr>
                            <w:rFonts w:ascii="宋体" w:hAnsi="宋体" w:cs="宋体" w:eastAsia="宋体" w:hint="default"/>
                            <w:sz w:val="21"/>
                            <w:szCs w:val="21"/>
                          </w:rPr>
                          <w:t>386.45</w:t>
                        </w:r>
                        <w:r>
                          <w:rPr>
                            <w:rFonts w:ascii="宋体" w:hAnsi="宋体" w:cs="宋体" w:eastAsia="宋体" w:hint="default"/>
                            <w:spacing w:val="-67"/>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根据福州市仓山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区政府《关于开展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申报</w:t>
                        </w:r>
                        <w:r>
                          <w:rPr>
                            <w:rFonts w:ascii="宋体" w:hAnsi="宋体" w:cs="宋体" w:eastAsia="宋体" w:hint="default"/>
                            <w:spacing w:val="-59"/>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73" w:lineRule="auto" w:before="7"/>
                          <w:ind w:left="24" w:right="19"/>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月我</w:t>
                        </w:r>
                        <w:r>
                          <w:rPr>
                            <w:rFonts w:ascii="宋体" w:hAnsi="宋体" w:cs="宋体" w:eastAsia="宋体" w:hint="default"/>
                            <w:w w:val="100"/>
                            <w:sz w:val="21"/>
                            <w:szCs w:val="21"/>
                          </w:rPr>
                          <w:t> </w:t>
                        </w:r>
                        <w:r>
                          <w:rPr>
                            <w:rFonts w:ascii="宋体" w:hAnsi="宋体" w:cs="宋体" w:eastAsia="宋体" w:hint="default"/>
                            <w:sz w:val="21"/>
                            <w:szCs w:val="21"/>
                          </w:rPr>
                          <w:t>区工贸企业房产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税、土地使用税即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征即奖工作有关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w w:val="100"/>
                            <w:sz w:val="21"/>
                            <w:szCs w:val="21"/>
                          </w:rPr>
                          <w:t>问题的通知》（仓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
                            <w:w w:val="100"/>
                            <w:sz w:val="21"/>
                            <w:szCs w:val="21"/>
                          </w:rPr>
                          <w:t>经[2013]68</w:t>
                        </w:r>
                        <w:r>
                          <w:rPr>
                            <w:rFonts w:ascii="宋体" w:hAnsi="宋体" w:cs="宋体" w:eastAsia="宋体" w:hint="default"/>
                            <w:spacing w:val="-52"/>
                            <w:w w:val="100"/>
                            <w:sz w:val="21"/>
                            <w:szCs w:val="21"/>
                          </w:rPr>
                          <w:t> </w:t>
                        </w:r>
                        <w:r>
                          <w:rPr>
                            <w:rFonts w:ascii="宋体" w:hAnsi="宋体" w:cs="宋体" w:eastAsia="宋体" w:hint="default"/>
                            <w:spacing w:val="-36"/>
                            <w:w w:val="100"/>
                            <w:sz w:val="21"/>
                            <w:szCs w:val="21"/>
                          </w:rPr>
                          <w:t>号），</w:t>
                        </w:r>
                        <w:r>
                          <w:rPr>
                            <w:rFonts w:ascii="宋体" w:hAnsi="宋体" w:cs="宋体" w:eastAsia="宋体" w:hint="default"/>
                            <w:w w:val="100"/>
                            <w:sz w:val="21"/>
                            <w:szCs w:val="21"/>
                          </w:rPr>
                          <w:t> </w:t>
                        </w:r>
                        <w:r>
                          <w:rPr>
                            <w:rFonts w:ascii="宋体" w:hAnsi="宋体" w:cs="宋体" w:eastAsia="宋体" w:hint="default"/>
                            <w:spacing w:val="-5"/>
                            <w:sz w:val="21"/>
                            <w:szCs w:val="21"/>
                          </w:rPr>
                          <w:t>取得房产税、土地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使用税即征即奖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80.44</w:t>
                        </w:r>
                        <w:r>
                          <w:rPr>
                            <w:rFonts w:ascii="宋体" w:hAnsi="宋体" w:cs="宋体" w:eastAsia="宋体" w:hint="default"/>
                            <w:spacing w:val="-54"/>
                            <w:sz w:val="21"/>
                            <w:szCs w:val="21"/>
                          </w:rPr>
                          <w:t> </w:t>
                        </w:r>
                        <w:r>
                          <w:rPr>
                            <w:rFonts w:ascii="宋体" w:hAnsi="宋体" w:cs="宋体" w:eastAsia="宋体" w:hint="default"/>
                            <w:sz w:val="21"/>
                            <w:szCs w:val="21"/>
                          </w:rPr>
                          <w:t>万元；根据</w:t>
                        </w:r>
                        <w:r>
                          <w:rPr>
                            <w:rFonts w:ascii="宋体" w:hAnsi="宋体" w:cs="宋体" w:eastAsia="宋体" w:hint="default"/>
                            <w:w w:val="100"/>
                            <w:sz w:val="21"/>
                            <w:szCs w:val="21"/>
                          </w:rPr>
                          <w:t> </w:t>
                        </w:r>
                        <w:r>
                          <w:rPr>
                            <w:rFonts w:ascii="宋体" w:hAnsi="宋体" w:cs="宋体" w:eastAsia="宋体" w:hint="default"/>
                            <w:sz w:val="21"/>
                            <w:szCs w:val="21"/>
                          </w:rPr>
                          <w:t>中共泸州市人民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政府关于印发《关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于加快工业经济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率先突破政策意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w w:val="100"/>
                            <w:sz w:val="21"/>
                            <w:szCs w:val="21"/>
                          </w:rPr>
                          <w:t>见（试行）》的通</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5"/>
                            <w:sz w:val="21"/>
                            <w:szCs w:val="21"/>
                          </w:rPr>
                          <w:t>知，取得工业经济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率先突破奖励补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助</w:t>
                        </w:r>
                        <w:r>
                          <w:rPr>
                            <w:rFonts w:ascii="宋体" w:hAnsi="宋体" w:cs="宋体" w:eastAsia="宋体" w:hint="default"/>
                            <w:spacing w:val="-53"/>
                            <w:sz w:val="21"/>
                            <w:szCs w:val="21"/>
                          </w:rPr>
                          <w:t> </w:t>
                        </w:r>
                        <w:r>
                          <w:rPr>
                            <w:rFonts w:ascii="宋体" w:hAnsi="宋体" w:cs="宋体" w:eastAsia="宋体" w:hint="default"/>
                            <w:sz w:val="21"/>
                            <w:szCs w:val="21"/>
                          </w:rPr>
                          <w:t>41.04</w:t>
                        </w:r>
                        <w:r>
                          <w:rPr>
                            <w:rFonts w:ascii="宋体" w:hAnsi="宋体" w:cs="宋体" w:eastAsia="宋体" w:hint="default"/>
                            <w:spacing w:val="-53"/>
                            <w:sz w:val="21"/>
                            <w:szCs w:val="21"/>
                          </w:rPr>
                          <w:t> </w:t>
                        </w:r>
                        <w:r>
                          <w:rPr>
                            <w:rFonts w:ascii="宋体" w:hAnsi="宋体" w:cs="宋体" w:eastAsia="宋体" w:hint="default"/>
                            <w:sz w:val="21"/>
                            <w:szCs w:val="21"/>
                          </w:rPr>
                          <w:t>万元等</w:t>
                        </w:r>
                        <w:r>
                          <w:rPr>
                            <w:rFonts w:ascii="宋体" w:hAnsi="宋体" w:cs="宋体" w:eastAsia="宋体" w:hint="default"/>
                            <w:w w:val="100"/>
                            <w:sz w:val="21"/>
                            <w:szCs w:val="21"/>
                          </w:rPr>
                          <w:t> </w:t>
                        </w:r>
                        <w:r>
                          <w:rPr>
                            <w:rFonts w:ascii="宋体" w:hAnsi="宋体" w:cs="宋体" w:eastAsia="宋体" w:hint="default"/>
                            <w:sz w:val="21"/>
                            <w:szCs w:val="21"/>
                          </w:rPr>
                          <w:t>等。</w:t>
                        </w:r>
                      </w:p>
                    </w:tc>
                  </w:tr>
                  <w:tr>
                    <w:trPr>
                      <w:trHeight w:val="1015"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before="28"/>
                          <w:ind w:left="24" w:right="10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定额或定量享受的政府补助除外）</w:t>
                        </w:r>
                      </w:p>
                    </w:tc>
                    <w:tc>
                      <w:tcPr>
                        <w:tcW w:w="1522"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5309"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5"/>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和支出</w:t>
                        </w:r>
                      </w:p>
                    </w:tc>
                    <w:tc>
                      <w:tcPr>
                        <w:tcW w:w="15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-795,467.74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-364,180.46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-183,134.66</w:t>
                        </w:r>
                      </w:p>
                    </w:tc>
                    <w:tc>
                      <w:tcPr>
                        <w:tcW w:w="171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pStyle w:val="BodyText"/>
        <w:spacing w:line="240" w:lineRule="auto" w:before="36"/>
        <w:ind w:left="0" w:right="147"/>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6"/>
        <w:ind w:left="0" w:right="140"/>
        <w:jc w:val="right"/>
      </w:pPr>
      <w:r>
        <w:rPr>
          <w:w w:val="100"/>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802,820.66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1,288,471.84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206,232.39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7,951.26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953,896.69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-4,423.57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4,264,831.27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1,769,781.62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1,257,562.38</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left"/>
      </w:pPr>
      <w:r>
        <w:rPr>
          <w:spacing w:val="-2"/>
        </w:rPr>
        <w:t>对公司根据《公开发行证券的公司信息披露解释性公告第</w:t>
      </w:r>
      <w:r>
        <w:rPr/>
        <w:t> 1</w:t>
      </w:r>
      <w:r>
        <w:rPr>
          <w:spacing w:val="-47"/>
        </w:rPr>
        <w:t> </w:t>
      </w:r>
      <w:r>
        <w:rPr>
          <w:spacing w:val="-2"/>
        </w:rPr>
        <w:t>号——非经常性损益》定义界定的非经常性损</w:t>
      </w:r>
    </w:p>
    <w:p>
      <w:pPr>
        <w:pStyle w:val="BodyText"/>
        <w:spacing w:line="273" w:lineRule="auto" w:before="34"/>
        <w:ind w:right="0"/>
        <w:jc w:val="left"/>
      </w:pPr>
      <w:r>
        <w:rPr>
          <w:spacing w:val="-3"/>
        </w:rPr>
        <w:t>益项目，以及把《公开发行证券的公司信息披露解释性公告第</w:t>
      </w:r>
      <w:r>
        <w:rPr>
          <w:spacing w:val="-34"/>
        </w:rPr>
        <w:t> </w:t>
      </w:r>
      <w:r>
        <w:rPr/>
        <w:t>1</w:t>
      </w:r>
      <w:r>
        <w:rPr>
          <w:spacing w:val="-34"/>
        </w:rPr>
        <w:t> </w:t>
      </w:r>
      <w:r>
        <w:rPr/>
        <w:t>号——非经常性损益》中列举的非经常性</w:t>
      </w:r>
      <w:r>
        <w:rPr>
          <w:spacing w:val="-96"/>
        </w:rPr>
        <w:t> </w:t>
      </w:r>
      <w:r>
        <w:rPr>
          <w:spacing w:val="-96"/>
        </w:rPr>
      </w:r>
      <w:r>
        <w:rPr/>
        <w:t>损益项目界定为经常性损益的项目，应说明原因</w:t>
      </w:r>
    </w:p>
    <w:p>
      <w:pPr>
        <w:pStyle w:val="BodyText"/>
        <w:spacing w:line="240" w:lineRule="auto" w:before="48"/>
        <w:ind w:right="2880"/>
        <w:jc w:val="left"/>
      </w:pPr>
      <w:r>
        <w:rPr/>
        <w:t>□ 适用 √ 不适用</w:t>
      </w:r>
    </w:p>
    <w:p>
      <w:pPr>
        <w:pStyle w:val="BodyText"/>
        <w:spacing w:line="273" w:lineRule="auto" w:before="78"/>
        <w:ind w:right="0"/>
        <w:jc w:val="left"/>
      </w:pPr>
      <w:r>
        <w:rPr/>
        <w:t>公司报告期不存在将根据《公开发行证券的公司信息披露解释性公告第</w:t>
      </w:r>
      <w:r>
        <w:rPr>
          <w:spacing w:val="-49"/>
        </w:rPr>
        <w:t> </w:t>
      </w:r>
      <w:r>
        <w:rPr/>
        <w:t>1</w:t>
      </w:r>
      <w:r>
        <w:rPr>
          <w:spacing w:val="-49"/>
        </w:rPr>
        <w:t> </w:t>
      </w:r>
      <w:r>
        <w:rPr>
          <w:spacing w:val="-3"/>
        </w:rPr>
        <w:t>号——非经常性损益》定义、列</w:t>
      </w:r>
      <w:r>
        <w:rPr>
          <w:spacing w:val="-103"/>
        </w:rPr>
        <w:t> </w:t>
      </w:r>
      <w:r>
        <w:rPr>
          <w:spacing w:val="-103"/>
        </w:rPr>
      </w:r>
      <w:r>
        <w:rPr/>
        <w:t>举的非经常性损益项目界定为经常性损益的项目的情形。</w:t>
      </w:r>
    </w:p>
    <w:p>
      <w:pPr>
        <w:spacing w:after="0" w:line="273" w:lineRule="auto"/>
        <w:jc w:val="left"/>
        <w:sectPr>
          <w:footerReference w:type="default" r:id="rId12"/>
          <w:pgSz w:w="11910" w:h="16840"/>
          <w:pgMar w:footer="979" w:header="747" w:top="1060" w:bottom="1160" w:left="980" w:right="98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31" w:right="3989"/>
        <w:jc w:val="center"/>
      </w:pPr>
      <w:bookmarkStart w:name="_TOC_250008" w:id="4"/>
      <w:r>
        <w:rPr/>
        <w:t>第四节</w:t>
      </w:r>
      <w:r>
        <w:rPr>
          <w:spacing w:val="5"/>
        </w:rPr>
        <w:t> </w:t>
      </w:r>
      <w:bookmarkEnd w:id="4"/>
      <w:r>
        <w:rPr/>
        <w:t>董事会报告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6"/>
        <w:ind w:right="99"/>
        <w:jc w:val="left"/>
      </w:pPr>
      <w:r>
        <w:rPr/>
        <w:t>一、概述</w:t>
      </w:r>
    </w:p>
    <w:p>
      <w:pPr>
        <w:spacing w:line="240" w:lineRule="auto" w:before="10"/>
        <w:rPr>
          <w:rFonts w:ascii="宋体" w:hAnsi="宋体" w:cs="宋体" w:eastAsia="宋体" w:hint="default"/>
          <w:sz w:val="25"/>
          <w:szCs w:val="25"/>
        </w:rPr>
      </w:pPr>
    </w:p>
    <w:p>
      <w:pPr>
        <w:pStyle w:val="BodyText"/>
        <w:spacing w:line="273" w:lineRule="auto"/>
        <w:ind w:right="99" w:firstLine="420"/>
        <w:jc w:val="left"/>
      </w:pPr>
      <w:r>
        <w:rPr/>
        <w:t>报告期内，公司实现营业收入86,351.30万元，较上年同期增长21.44%；归属于上市公司股东净利润</w:t>
      </w:r>
      <w:r>
        <w:rPr>
          <w:w w:val="100"/>
        </w:rPr>
        <w:t> </w:t>
      </w:r>
      <w:r>
        <w:rPr/>
        <w:t>为2,767.30万元，较上年同期下降43.63%。下降的主要原因系：1、2014</w:t>
      </w:r>
      <w:r>
        <w:rPr>
          <w:spacing w:val="-7"/>
        </w:rPr>
        <w:t> </w:t>
      </w:r>
      <w:r>
        <w:rPr/>
        <w:t>年公司加大对彩票无纸化业务、</w:t>
      </w:r>
      <w:r>
        <w:rPr>
          <w:w w:val="100"/>
        </w:rPr>
        <w:t> </w:t>
      </w:r>
      <w:r>
        <w:rPr/>
        <w:t>智能</w:t>
      </w:r>
      <w:r>
        <w:rPr>
          <w:spacing w:val="36"/>
        </w:rPr>
        <w:t> </w:t>
      </w:r>
      <w:r>
        <w:rPr/>
        <w:t>IC</w:t>
      </w:r>
      <w:r>
        <w:rPr>
          <w:spacing w:val="36"/>
        </w:rPr>
        <w:t> </w:t>
      </w:r>
      <w:r>
        <w:rPr>
          <w:spacing w:val="-5"/>
        </w:rPr>
        <w:t>卡/标签项目的研发投入以及加大市场推广投入和全国渠道布点建设投入，导致相关费用增加。2、</w:t>
      </w:r>
      <w:r>
        <w:rPr>
          <w:spacing w:val="-98"/>
        </w:rPr>
        <w:t> </w:t>
      </w:r>
      <w:r>
        <w:rPr>
          <w:spacing w:val="-98"/>
        </w:rPr>
      </w:r>
      <w:r>
        <w:rPr>
          <w:spacing w:val="-2"/>
        </w:rPr>
        <w:t>由于期刊杂志印刷需求有所下降，市场竞争加剧，以及产品结构进行调整，新开拓市场尚未凸显，全资子</w:t>
      </w:r>
      <w:r>
        <w:rPr>
          <w:spacing w:val="-47"/>
        </w:rPr>
        <w:t> </w:t>
      </w:r>
      <w:r>
        <w:rPr>
          <w:spacing w:val="-47"/>
        </w:rPr>
      </w:r>
      <w:r>
        <w:rPr/>
        <w:t>公司鸿博昊天科技有限公司收入及净利润有所下降。3、由于高档酒类市场仍处于调整期，致使全资孙公</w:t>
      </w:r>
      <w:r>
        <w:rPr>
          <w:spacing w:val="-25"/>
        </w:rPr>
        <w:t> </w:t>
      </w:r>
      <w:r>
        <w:rPr>
          <w:spacing w:val="-25"/>
        </w:rPr>
      </w:r>
      <w:r>
        <w:rPr/>
        <w:t>司四川鸿海印务有限公司的收入及净利润有所下降。</w:t>
      </w:r>
    </w:p>
    <w:p>
      <w:pPr>
        <w:spacing w:line="240" w:lineRule="auto" w:before="7"/>
        <w:rPr>
          <w:rFonts w:ascii="宋体" w:hAnsi="宋体" w:cs="宋体" w:eastAsia="宋体" w:hint="default"/>
          <w:sz w:val="23"/>
          <w:szCs w:val="23"/>
        </w:rPr>
      </w:pPr>
    </w:p>
    <w:p>
      <w:pPr>
        <w:pStyle w:val="BodyText"/>
        <w:spacing w:line="537" w:lineRule="auto"/>
        <w:ind w:right="8151"/>
        <w:jc w:val="left"/>
      </w:pPr>
      <w:r>
        <w:rPr/>
        <w:t>二、主营业务分析</w:t>
      </w:r>
      <w:r>
        <w:rPr>
          <w:spacing w:val="-96"/>
        </w:rPr>
        <w:t> </w:t>
      </w:r>
      <w:r>
        <w:rPr/>
        <w:t>1、概述</w:t>
      </w:r>
    </w:p>
    <w:p>
      <w:pPr>
        <w:spacing w:before="97"/>
        <w:ind w:left="0" w:right="9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321"/>
        <w:gridCol w:w="2318"/>
        <w:gridCol w:w="2321"/>
        <w:gridCol w:w="1560"/>
      </w:tblGrid>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7" w:right="0"/>
              <w:jc w:val="left"/>
              <w:rPr>
                <w:rFonts w:ascii="宋体" w:hAnsi="宋体" w:cs="宋体" w:eastAsia="宋体" w:hint="default"/>
                <w:sz w:val="21"/>
                <w:szCs w:val="21"/>
              </w:rPr>
            </w:pPr>
            <w:r>
              <w:rPr>
                <w:rFonts w:ascii="宋体" w:hAnsi="宋体" w:cs="宋体" w:eastAsia="宋体" w:hint="default"/>
                <w:sz w:val="21"/>
                <w:szCs w:val="21"/>
              </w:rPr>
              <w:t>本报告期</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9" w:right="0"/>
              <w:jc w:val="left"/>
              <w:rPr>
                <w:rFonts w:ascii="宋体" w:hAnsi="宋体" w:cs="宋体" w:eastAsia="宋体" w:hint="default"/>
                <w:sz w:val="21"/>
                <w:szCs w:val="21"/>
              </w:rPr>
            </w:pPr>
            <w:r>
              <w:rPr>
                <w:rFonts w:ascii="宋体" w:hAnsi="宋体" w:cs="宋体" w:eastAsia="宋体" w:hint="default"/>
                <w:sz w:val="21"/>
                <w:szCs w:val="21"/>
              </w:rPr>
              <w:t>上年同期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7"/>
              <w:jc w:val="right"/>
              <w:rPr>
                <w:rFonts w:ascii="宋体" w:hAnsi="宋体" w:cs="宋体" w:eastAsia="宋体" w:hint="default"/>
                <w:sz w:val="21"/>
                <w:szCs w:val="21"/>
              </w:rPr>
            </w:pPr>
            <w:r>
              <w:rPr>
                <w:rFonts w:ascii="宋体" w:hAnsi="宋体" w:cs="宋体" w:eastAsia="宋体" w:hint="default"/>
                <w:spacing w:val="-1"/>
                <w:sz w:val="21"/>
                <w:szCs w:val="21"/>
              </w:rPr>
              <w:t>同比增减（%）</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863,512,984.42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711,050,034.74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21.44%</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658,516,279.95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487,510,269.59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35.08%</w:t>
            </w:r>
          </w:p>
        </w:tc>
      </w:tr>
      <w:tr>
        <w:trPr>
          <w:trHeight w:val="32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51,528,674.13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46,341,295.45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11.19%</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99,526,431.37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89,934,687.47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10.67%</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10,556,920.37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8,321,113.99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26.87%</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-2,520,946.34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16,928,969.93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-114.89%</w:t>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14,892,381.61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12,479,812.99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19.33%</w:t>
            </w:r>
          </w:p>
        </w:tc>
      </w:tr>
      <w:tr>
        <w:trPr>
          <w:trHeight w:val="63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量净额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20,837,819.35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120,212,685.23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-82.67%</w:t>
            </w:r>
          </w:p>
        </w:tc>
      </w:tr>
      <w:tr>
        <w:trPr>
          <w:trHeight w:val="63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量净额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-64,076,964.75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-89,504,033.64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28.41%</w:t>
            </w:r>
          </w:p>
        </w:tc>
      </w:tr>
      <w:tr>
        <w:trPr>
          <w:trHeight w:val="63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量净额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58,428,825.31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-51,254,263.21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214.00%</w:t>
            </w:r>
          </w:p>
        </w:tc>
      </w:tr>
      <w:tr>
        <w:trPr>
          <w:trHeight w:val="63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现金及现金等价物净增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加额</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15,191,772.94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-20,670,974.32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173.49%</w:t>
            </w:r>
          </w:p>
        </w:tc>
      </w:tr>
    </w:tbl>
    <w:p>
      <w:pPr>
        <w:spacing w:line="240" w:lineRule="auto" w:before="2"/>
        <w:rPr>
          <w:rFonts w:ascii="宋体" w:hAnsi="宋体" w:cs="宋体" w:eastAsia="宋体" w:hint="default"/>
          <w:sz w:val="20"/>
          <w:szCs w:val="20"/>
        </w:rPr>
      </w:pPr>
    </w:p>
    <w:p>
      <w:pPr>
        <w:pStyle w:val="BodyText"/>
        <w:spacing w:line="273" w:lineRule="auto" w:before="36"/>
        <w:ind w:right="99"/>
        <w:jc w:val="left"/>
      </w:pPr>
      <w:r>
        <w:rPr>
          <w:spacing w:val="-2"/>
        </w:rPr>
        <w:t>1、营业成本较上年同期增长35.08%，主要系彩票无纸化业务收入增长较快，其毛利率低于票证业务的毛</w:t>
      </w:r>
      <w:r>
        <w:rPr>
          <w:spacing w:val="-18"/>
        </w:rPr>
        <w:t> </w:t>
      </w:r>
      <w:r>
        <w:rPr>
          <w:spacing w:val="-18"/>
        </w:rPr>
      </w:r>
      <w:r>
        <w:rPr/>
        <w:t>利率，导致营业成本增长高于营业收入的增长所致。</w:t>
      </w:r>
      <w:r>
        <w:rPr>
          <w:w w:val="100"/>
        </w:rPr>
        <w:t> </w:t>
      </w:r>
      <w:r>
        <w:rPr/>
        <w:t>2、所得税费用较上年同期减少114.89%，主要系可弥补亏损确认递延所得税资产以及利润下降所致。</w:t>
      </w:r>
    </w:p>
    <w:p>
      <w:pPr>
        <w:pStyle w:val="BodyText"/>
        <w:spacing w:line="273" w:lineRule="auto" w:before="7"/>
        <w:ind w:right="99"/>
        <w:jc w:val="left"/>
      </w:pPr>
      <w:r>
        <w:rPr>
          <w:spacing w:val="-2"/>
        </w:rPr>
        <w:t>3、经营活动产生的现金流量净额较上年同期减少82.67%，主要系购买商品和支付劳务的现金增加以及职</w:t>
      </w:r>
      <w:r>
        <w:rPr>
          <w:spacing w:val="-20"/>
        </w:rPr>
        <w:t> </w:t>
      </w:r>
      <w:r>
        <w:rPr>
          <w:spacing w:val="-20"/>
        </w:rPr>
      </w:r>
      <w:r>
        <w:rPr/>
        <w:t>工薪酬和其他管理费用增加所致。</w:t>
      </w:r>
      <w:r>
        <w:rPr>
          <w:w w:val="100"/>
        </w:rPr>
        <w:t> </w:t>
      </w:r>
      <w:r>
        <w:rPr/>
        <w:t>4、筹资活动产生的现金流量净额较上年同期增长214.00%，主要系流动资金贷款净额增加所致。</w:t>
      </w:r>
    </w:p>
    <w:p>
      <w:pPr>
        <w:pStyle w:val="BodyText"/>
        <w:spacing w:line="273" w:lineRule="auto" w:before="7"/>
        <w:ind w:right="99"/>
        <w:jc w:val="left"/>
      </w:pPr>
      <w:r>
        <w:rPr>
          <w:spacing w:val="-2"/>
        </w:rPr>
        <w:t>5、现金及现金等价物净增加额较上年同期增长173.49%，主要系购建固定资产、无形资产和其他长期资产</w:t>
      </w:r>
      <w:r>
        <w:rPr>
          <w:spacing w:val="-40"/>
        </w:rPr>
        <w:t> </w:t>
      </w:r>
      <w:r>
        <w:rPr>
          <w:spacing w:val="-40"/>
        </w:rPr>
      </w:r>
      <w:r>
        <w:rPr/>
        <w:t>支付的现金减少，以及流动资金贷款净额增加所致。</w:t>
      </w:r>
    </w:p>
    <w:p>
      <w:pPr>
        <w:spacing w:after="0" w:line="273"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307" w:lineRule="auto" w:before="36"/>
        <w:ind w:left="574" w:right="99" w:hanging="420"/>
        <w:jc w:val="left"/>
      </w:pPr>
      <w:r>
        <w:rPr/>
        <w:t>公司回顾总结前期披露的发展战略和经营计划在报告期内的进展情况</w:t>
      </w:r>
      <w:r>
        <w:rPr>
          <w:w w:val="100"/>
        </w:rPr>
        <w:t> </w:t>
      </w:r>
      <w:r>
        <w:rPr>
          <w:spacing w:val="-2"/>
        </w:rPr>
        <w:t>报告期内，公司经营管理层坚定执行年初制定的经营发展计划，一方面继续挖掘、整合公司现有的业</w:t>
      </w:r>
    </w:p>
    <w:p>
      <w:pPr>
        <w:pStyle w:val="BodyText"/>
        <w:spacing w:line="253" w:lineRule="exact"/>
        <w:ind w:right="0"/>
        <w:jc w:val="both"/>
      </w:pPr>
      <w:r>
        <w:rPr/>
        <w:t>务、技术和市场资源，积极拓展主营业务的产业链；另一方面继续加大对智能标签产品、金融IC卡、彩票</w:t>
      </w:r>
    </w:p>
    <w:p>
      <w:pPr>
        <w:pStyle w:val="BodyText"/>
        <w:spacing w:line="273" w:lineRule="auto" w:before="37"/>
        <w:ind w:right="205"/>
        <w:jc w:val="both"/>
      </w:pPr>
      <w:r>
        <w:rPr>
          <w:spacing w:val="-2"/>
        </w:rPr>
        <w:t>无纸化代购业务及彩种研发等新兴业务的发展力度。报告期内，以彩票无纸化代购业务、智能标签业务为</w:t>
      </w:r>
      <w:r>
        <w:rPr>
          <w:spacing w:val="-44"/>
        </w:rPr>
        <w:t> </w:t>
      </w:r>
      <w:r>
        <w:rPr>
          <w:spacing w:val="-44"/>
        </w:rPr>
      </w:r>
      <w:r>
        <w:rPr>
          <w:spacing w:val="-2"/>
        </w:rPr>
        <w:t>代表的新兴业务占公司营业收入的比重进一步提高，为公司从传统彩票印刷向彩票运营和服务商转型以及</w:t>
      </w:r>
      <w:r>
        <w:rPr>
          <w:spacing w:val="-43"/>
        </w:rPr>
        <w:t> </w:t>
      </w:r>
      <w:r>
        <w:rPr>
          <w:spacing w:val="-43"/>
        </w:rPr>
      </w:r>
      <w:r>
        <w:rPr/>
        <w:t>从单一印制企业向综合型企业集团发展奠定了坚实的基础。</w:t>
      </w:r>
    </w:p>
    <w:p>
      <w:pPr>
        <w:pStyle w:val="BodyText"/>
        <w:spacing w:line="273" w:lineRule="auto" w:before="7"/>
        <w:ind w:right="99" w:firstLine="420"/>
        <w:jc w:val="left"/>
      </w:pPr>
      <w:r>
        <w:rPr>
          <w:spacing w:val="-2"/>
        </w:rPr>
        <w:t>报告期内，公司全自动智能标签生产线项目继续推动资质认证工作，加快智能卡片内操作系统（COS）</w:t>
      </w:r>
      <w:r>
        <w:rPr>
          <w:w w:val="100"/>
        </w:rPr>
        <w:t> </w:t>
      </w:r>
      <w:r>
        <w:rPr>
          <w:spacing w:val="-2"/>
        </w:rPr>
        <w:t>开发，同时引进新人才提高市场化营销能力。对外努力开拓银行金融IC卡市场，同时积极探索其他新型卡</w:t>
      </w:r>
      <w:r>
        <w:rPr>
          <w:spacing w:val="-43"/>
        </w:rPr>
        <w:t> </w:t>
      </w:r>
      <w:r>
        <w:rPr>
          <w:spacing w:val="-43"/>
        </w:rPr>
      </w:r>
      <w:r>
        <w:rPr>
          <w:spacing w:val="-2"/>
        </w:rPr>
        <w:t>类产品，通过引导客户需求变化，进一步抢占市场。相继获得了兴业银行、民生银行金融IC卡供应商资格</w:t>
      </w:r>
      <w:r>
        <w:rPr>
          <w:spacing w:val="-46"/>
        </w:rPr>
        <w:t> </w:t>
      </w:r>
      <w:r>
        <w:rPr>
          <w:spacing w:val="-46"/>
        </w:rPr>
      </w:r>
      <w:r>
        <w:rPr/>
        <w:t>及青海海东市社保卡主制卡商资格，产能正在逐步释放。</w:t>
      </w:r>
    </w:p>
    <w:p>
      <w:pPr>
        <w:pStyle w:val="BodyText"/>
        <w:spacing w:line="273" w:lineRule="auto" w:before="7"/>
        <w:ind w:right="99" w:firstLine="420"/>
        <w:jc w:val="left"/>
      </w:pPr>
      <w:r>
        <w:rPr/>
        <w:t>报告期内，公司继续加大彩票无纸化代购业务、彩种研发的投入力度。一、公司加大专业彩票网站彩</w:t>
      </w:r>
      <w:r>
        <w:rPr>
          <w:w w:val="100"/>
        </w:rPr>
        <w:t> </w:t>
      </w:r>
      <w:r>
        <w:rPr>
          <w:spacing w:val="-2"/>
        </w:rPr>
        <w:t>乐乐网的建设和推广力度，通过渠道合作、平台开发等方式不断提高网站的用户满意度和市场知名度，通</w:t>
      </w:r>
      <w:r>
        <w:rPr>
          <w:spacing w:val="-45"/>
        </w:rPr>
        <w:t> </w:t>
      </w:r>
      <w:r>
        <w:rPr>
          <w:spacing w:val="-45"/>
        </w:rPr>
      </w:r>
      <w:r>
        <w:rPr>
          <w:spacing w:val="-5"/>
        </w:rPr>
        <w:t>过与中国银联股份有限公司、福建联通以及天涯社区的合作，进一步拓展了公司彩票无纸化代购市场。二、</w:t>
      </w:r>
      <w:r>
        <w:rPr>
          <w:spacing w:val="-8"/>
        </w:rPr>
        <w:t> </w:t>
      </w:r>
      <w:r>
        <w:rPr>
          <w:spacing w:val="-8"/>
        </w:rPr>
      </w:r>
      <w:r>
        <w:rPr/>
        <w:t>公司继续加大对电子彩票事业部的建设力度，公司通过积极引进卓越的技术人才、市场人才,建立了优秀</w:t>
      </w:r>
      <w:r>
        <w:rPr>
          <w:spacing w:val="-25"/>
        </w:rPr>
        <w:t> </w:t>
      </w:r>
      <w:r>
        <w:rPr>
          <w:spacing w:val="-25"/>
        </w:rPr>
      </w:r>
      <w:r>
        <w:rPr>
          <w:spacing w:val="-2"/>
        </w:rPr>
        <w:t>的彩种研发推广团队，并积极进行开展新彩种、新玩法的市场推广工作。报告期内，公司中标福建省体育</w:t>
      </w:r>
      <w:r>
        <w:rPr>
          <w:spacing w:val="-50"/>
        </w:rPr>
        <w:t> </w:t>
      </w:r>
      <w:r>
        <w:rPr>
          <w:spacing w:val="-50"/>
        </w:rPr>
      </w:r>
      <w:r>
        <w:rPr/>
        <w:t>彩票游戏及游戏平台建设者项目，可同时获得福建省体育彩票电话销售体育彩票代销者资格，本次中标是</w:t>
      </w:r>
      <w:r>
        <w:rPr>
          <w:w w:val="100"/>
        </w:rPr>
        <w:t> </w:t>
      </w:r>
      <w:r>
        <w:rPr/>
        <w:t>公司在无纸化彩票业务中迈出的重要一步，对公司无纸化彩票业务的销售和彩种研发业务方面产生积极的</w:t>
      </w:r>
      <w:r>
        <w:rPr>
          <w:w w:val="100"/>
        </w:rPr>
        <w:t> </w:t>
      </w:r>
      <w:r>
        <w:rPr>
          <w:spacing w:val="-2"/>
        </w:rPr>
        <w:t>推动作用，有助于公司进一步推进“以彩票印制为基础，加大彩种研发投入，重视无纸化彩票的推广和平</w:t>
      </w:r>
      <w:r>
        <w:rPr>
          <w:spacing w:val="-50"/>
        </w:rPr>
        <w:t> </w:t>
      </w:r>
      <w:r>
        <w:rPr>
          <w:spacing w:val="-50"/>
        </w:rPr>
      </w:r>
      <w:r>
        <w:rPr/>
        <w:t>台建设，抓住移动互联网发展给无纸化彩票带来的机遇”的发展战略。</w:t>
      </w:r>
    </w:p>
    <w:p>
      <w:pPr>
        <w:pStyle w:val="BodyText"/>
        <w:spacing w:line="240" w:lineRule="auto" w:before="48"/>
        <w:ind w:right="0"/>
        <w:jc w:val="both"/>
      </w:pPr>
      <w:r>
        <w:rPr>
          <w:spacing w:val="-2"/>
        </w:rPr>
        <w:t>公司实际经营业绩较曾公开披露过的本年度盈利预测低于或高于</w:t>
      </w:r>
      <w:r>
        <w:rPr>
          <w:spacing w:val="19"/>
        </w:rPr>
        <w:t> </w:t>
      </w:r>
      <w:r>
        <w:rPr>
          <w:spacing w:val="-2"/>
        </w:rPr>
        <w:t>20%以上的差异原因</w:t>
      </w:r>
    </w:p>
    <w:p>
      <w:pPr>
        <w:pStyle w:val="BodyText"/>
        <w:spacing w:line="535" w:lineRule="auto" w:before="75"/>
        <w:ind w:right="8046"/>
        <w:jc w:val="left"/>
      </w:pPr>
      <w:r>
        <w:rPr/>
        <w:t>□ 适用 √ 不适用</w:t>
      </w:r>
      <w:r>
        <w:rPr>
          <w:w w:val="100"/>
        </w:rPr>
        <w:t> </w:t>
      </w:r>
      <w:r>
        <w:rPr/>
        <w:t>2、收入</w:t>
      </w:r>
    </w:p>
    <w:p>
      <w:pPr>
        <w:pStyle w:val="BodyText"/>
        <w:spacing w:line="240" w:lineRule="auto" w:before="81"/>
        <w:ind w:right="0"/>
        <w:jc w:val="both"/>
      </w:pPr>
      <w:r>
        <w:rPr/>
        <w:t>说明</w:t>
      </w:r>
    </w:p>
    <w:p>
      <w:pPr>
        <w:pStyle w:val="BodyText"/>
        <w:spacing w:line="273" w:lineRule="auto" w:before="75"/>
        <w:ind w:right="186" w:firstLine="420"/>
        <w:jc w:val="both"/>
      </w:pPr>
      <w:r>
        <w:rPr>
          <w:spacing w:val="-3"/>
        </w:rPr>
        <w:t>报告期内，公司营业收入呈增长态势，在各类产品中，票证产品仍为公司主要产品，其实现的收入占</w:t>
      </w:r>
      <w:r>
        <w:rPr>
          <w:w w:val="100"/>
        </w:rPr>
        <w:t> </w:t>
      </w:r>
      <w:r>
        <w:rPr>
          <w:spacing w:val="-2"/>
        </w:rPr>
        <w:t>公司主营业务收入的55.99%，包装办公用纸产品收入减少，彩票无纸化代购业务代销费及其他增长迅速，</w:t>
      </w:r>
      <w:r>
        <w:rPr>
          <w:spacing w:val="-22"/>
        </w:rPr>
        <w:t> </w:t>
      </w:r>
      <w:r>
        <w:rPr>
          <w:spacing w:val="-22"/>
        </w:rPr>
      </w:r>
      <w:r>
        <w:rPr/>
        <w:t>该类收入占主营业务收入的比重增加到36.37%，具体收入变化情况如下：</w:t>
      </w:r>
    </w:p>
    <w:p>
      <w:pPr>
        <w:pStyle w:val="BodyText"/>
        <w:spacing w:line="240" w:lineRule="auto" w:before="7"/>
        <w:ind w:left="0" w:right="207"/>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1440"/>
        <w:gridCol w:w="2021"/>
        <w:gridCol w:w="2018"/>
        <w:gridCol w:w="2021"/>
      </w:tblGrid>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1" w:right="0"/>
              <w:jc w:val="left"/>
              <w:rPr>
                <w:rFonts w:ascii="宋体" w:hAnsi="宋体" w:cs="宋体" w:eastAsia="宋体" w:hint="default"/>
                <w:sz w:val="21"/>
                <w:szCs w:val="21"/>
              </w:rPr>
            </w:pPr>
            <w:r>
              <w:rPr>
                <w:rFonts w:ascii="宋体" w:hAnsi="宋体" w:cs="宋体" w:eastAsia="宋体" w:hint="default"/>
                <w:sz w:val="21"/>
                <w:szCs w:val="21"/>
              </w:rPr>
              <w:t>2014年</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9" w:right="0"/>
              <w:jc w:val="left"/>
              <w:rPr>
                <w:rFonts w:ascii="宋体" w:hAnsi="宋体" w:cs="宋体" w:eastAsia="宋体" w:hint="default"/>
                <w:sz w:val="21"/>
                <w:szCs w:val="21"/>
              </w:rPr>
            </w:pPr>
            <w:r>
              <w:rPr>
                <w:rFonts w:ascii="宋体" w:hAnsi="宋体" w:cs="宋体" w:eastAsia="宋体" w:hint="default"/>
                <w:sz w:val="21"/>
                <w:szCs w:val="21"/>
              </w:rPr>
              <w:t>2013年</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本年比上年增减（%）</w:t>
            </w:r>
          </w:p>
        </w:tc>
      </w:tr>
      <w:tr>
        <w:trPr>
          <w:trHeight w:val="34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票证产品</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482,232,549.69</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515,957,605.91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-6.54%</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spacing w:val="-1"/>
                <w:sz w:val="21"/>
              </w:rPr>
              <w:t>65,850,266.77</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spacing w:val="-1"/>
                <w:sz w:val="21"/>
              </w:rPr>
              <w:t>123,273,380.52</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-46.58%</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代销费及其他</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313,228,542.68</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67,306,024.61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365.38%</w:t>
            </w:r>
          </w:p>
        </w:tc>
      </w:tr>
      <w:tr>
        <w:trPr>
          <w:trHeight w:val="34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861,311,359.14</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706,537,011.04</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21.91%</w:t>
            </w:r>
          </w:p>
        </w:tc>
      </w:tr>
    </w:tbl>
    <w:p>
      <w:pPr>
        <w:spacing w:line="240" w:lineRule="auto" w:before="2"/>
        <w:rPr>
          <w:rFonts w:ascii="宋体" w:hAnsi="宋体" w:cs="宋体" w:eastAsia="宋体" w:hint="default"/>
          <w:sz w:val="20"/>
          <w:szCs w:val="20"/>
        </w:rPr>
      </w:pPr>
    </w:p>
    <w:p>
      <w:pPr>
        <w:pStyle w:val="BodyText"/>
        <w:spacing w:line="240" w:lineRule="auto" w:before="36"/>
        <w:ind w:right="99"/>
        <w:jc w:val="left"/>
      </w:pPr>
      <w:r>
        <w:rPr/>
        <w:t>公司实物销售收入是否大于劳务收入</w:t>
      </w:r>
    </w:p>
    <w:p>
      <w:pPr>
        <w:pStyle w:val="BodyText"/>
        <w:spacing w:line="273" w:lineRule="auto" w:before="37"/>
        <w:ind w:right="4875"/>
        <w:jc w:val="left"/>
      </w:pPr>
      <w:r>
        <w:rPr/>
        <w:t>√ 是</w:t>
      </w:r>
      <w:r>
        <w:rPr>
          <w:spacing w:val="-2"/>
        </w:rPr>
        <w:t> </w:t>
      </w:r>
      <w:r>
        <w:rPr/>
        <w:t>□</w:t>
      </w:r>
      <w:r>
        <w:rPr>
          <w:spacing w:val="-2"/>
        </w:rPr>
        <w:t> </w:t>
      </w:r>
      <w:r>
        <w:rPr/>
        <w:t>否</w:t>
      </w:r>
      <w:r>
        <w:rPr>
          <w:spacing w:val="-101"/>
        </w:rPr>
        <w:t> </w:t>
      </w:r>
      <w:r>
        <w:rPr>
          <w:spacing w:val="-101"/>
        </w:rPr>
      </w:r>
      <w:r>
        <w:rPr>
          <w:spacing w:val="-2"/>
        </w:rPr>
        <w:t>相关数据同比发生变动30%以上的原因说明</w:t>
      </w:r>
    </w:p>
    <w:p>
      <w:pPr>
        <w:pStyle w:val="BodyText"/>
        <w:spacing w:line="273" w:lineRule="auto" w:before="7"/>
        <w:ind w:right="99"/>
        <w:jc w:val="left"/>
      </w:pPr>
      <w:r>
        <w:rPr/>
        <w:t>√ 适用 □</w:t>
      </w:r>
      <w:r>
        <w:rPr>
          <w:spacing w:val="-2"/>
        </w:rPr>
        <w:t> </w:t>
      </w:r>
      <w:r>
        <w:rPr/>
        <w:t>不适用</w:t>
      </w:r>
      <w:r>
        <w:rPr>
          <w:spacing w:val="-103"/>
        </w:rPr>
        <w:t> </w:t>
      </w:r>
      <w:r>
        <w:rPr>
          <w:spacing w:val="-103"/>
        </w:rPr>
      </w:r>
      <w:r>
        <w:rPr>
          <w:spacing w:val="-2"/>
        </w:rPr>
        <w:t>报告期内，包装及办公用品产品较上年同期下降46.58%，主要是由于高档酒类市场仍处于调整期，导致包</w:t>
      </w:r>
      <w:r>
        <w:rPr>
          <w:spacing w:val="-43"/>
        </w:rPr>
        <w:t> </w:t>
      </w:r>
      <w:r>
        <w:rPr>
          <w:spacing w:val="-43"/>
        </w:rPr>
      </w:r>
      <w:r>
        <w:rPr/>
        <w:t>装产品有所下降所致。代销费及其他较上年同期增加365.38%，主要是由于公司继续加大对彩票无纸化平</w:t>
      </w:r>
      <w:r>
        <w:rPr>
          <w:w w:val="100"/>
        </w:rPr>
        <w:t> </w:t>
      </w:r>
      <w:r>
        <w:rPr/>
        <w:t>台建设、彩种研发的支持与开发力度，业务量增加所致。</w:t>
      </w:r>
    </w:p>
    <w:p>
      <w:pPr>
        <w:pStyle w:val="BodyText"/>
        <w:spacing w:line="240" w:lineRule="auto" w:before="7"/>
        <w:ind w:right="99"/>
        <w:jc w:val="left"/>
      </w:pPr>
      <w:r>
        <w:rPr/>
        <w:t>公司重大的在手订单情况</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307" w:lineRule="auto" w:before="36"/>
        <w:ind w:right="4492"/>
        <w:jc w:val="left"/>
      </w:pPr>
      <w:r>
        <w:rPr/>
        <w:t>□ 适用 √</w:t>
      </w:r>
      <w:r>
        <w:rPr>
          <w:spacing w:val="-2"/>
        </w:rPr>
        <w:t> </w:t>
      </w:r>
      <w:r>
        <w:rPr/>
        <w:t>不适用</w:t>
      </w:r>
      <w:r>
        <w:rPr>
          <w:spacing w:val="-103"/>
        </w:rPr>
        <w:t> </w:t>
      </w:r>
      <w:r>
        <w:rPr>
          <w:spacing w:val="-103"/>
        </w:rPr>
      </w:r>
      <w:r>
        <w:rPr>
          <w:spacing w:val="-2"/>
        </w:rPr>
        <w:t>公司报告期内产品或服务发生重大变化或调整有关情况</w:t>
      </w:r>
    </w:p>
    <w:p>
      <w:pPr>
        <w:pStyle w:val="BodyText"/>
        <w:spacing w:line="307" w:lineRule="auto" w:before="16"/>
        <w:ind w:right="7356"/>
        <w:jc w:val="left"/>
      </w:pPr>
      <w:r>
        <w:rPr/>
        <w:t>□ 适用 √</w:t>
      </w:r>
      <w:r>
        <w:rPr>
          <w:spacing w:val="-1"/>
        </w:rPr>
        <w:t> </w:t>
      </w:r>
      <w:r>
        <w:rPr/>
        <w:t>不适用</w:t>
      </w:r>
      <w:r>
        <w:rPr>
          <w:w w:val="100"/>
        </w:rPr>
        <w:t> </w:t>
      </w:r>
      <w:r>
        <w:rPr>
          <w:spacing w:val="-2"/>
        </w:rPr>
        <w:t>公司主要销售客户情况</w:t>
      </w:r>
    </w:p>
    <w:p>
      <w:pPr>
        <w:spacing w:line="240" w:lineRule="auto" w:before="5"/>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369,775,445.71</w:t>
            </w:r>
          </w:p>
        </w:tc>
      </w:tr>
      <w:tr>
        <w:trPr>
          <w:trHeight w:val="40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2"/>
                <w:sz w:val="21"/>
                <w:szCs w:val="21"/>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42.82%</w:t>
            </w:r>
          </w:p>
        </w:tc>
      </w:tr>
    </w:tbl>
    <w:p>
      <w:pPr>
        <w:pStyle w:val="BodyText"/>
        <w:spacing w:line="240" w:lineRule="auto" w:before="28"/>
        <w:ind w:right="2880"/>
        <w:jc w:val="left"/>
      </w:pPr>
      <w:r>
        <w:rPr/>
        <w:t>公司前</w:t>
      </w:r>
      <w:r>
        <w:rPr>
          <w:spacing w:val="-53"/>
        </w:rPr>
        <w:t> </w:t>
      </w:r>
      <w:r>
        <w:rPr/>
        <w:t>5</w:t>
      </w:r>
      <w:r>
        <w:rPr>
          <w:spacing w:val="-53"/>
        </w:rPr>
        <w:t> </w:t>
      </w:r>
      <w:r>
        <w:rPr/>
        <w:t>大客户资料</w:t>
      </w:r>
    </w:p>
    <w:p>
      <w:pPr>
        <w:pStyle w:val="BodyText"/>
        <w:spacing w:line="240" w:lineRule="auto" w:before="75"/>
        <w:ind w:right="2880"/>
        <w:jc w:val="left"/>
      </w:pP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8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A-E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369,775,445.71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42.82%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369,775,445.71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42.82%</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3、成本</w:t>
      </w:r>
    </w:p>
    <w:p>
      <w:pPr>
        <w:spacing w:line="240" w:lineRule="auto" w:before="2"/>
        <w:rPr>
          <w:rFonts w:ascii="宋体" w:hAnsi="宋体" w:cs="宋体" w:eastAsia="宋体" w:hint="default"/>
          <w:sz w:val="23"/>
          <w:szCs w:val="23"/>
        </w:rPr>
      </w:pPr>
    </w:p>
    <w:p>
      <w:pPr>
        <w:pStyle w:val="BodyText"/>
        <w:spacing w:line="240" w:lineRule="auto" w:before="36"/>
        <w:ind w:right="2880"/>
        <w:jc w:val="left"/>
      </w:pPr>
      <w:r>
        <w:rPr/>
        <w:t>行业分类</w:t>
      </w:r>
    </w:p>
    <w:p>
      <w:pPr>
        <w:pStyle w:val="BodyText"/>
        <w:spacing w:line="240" w:lineRule="auto" w:before="78"/>
        <w:ind w:left="0" w:right="147"/>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73" w:right="43"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73" w:right="43"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印刷产品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328,776,843.</w:t>
            </w:r>
          </w:p>
          <w:p>
            <w:pPr>
              <w:pStyle w:val="TableParagraph"/>
              <w:spacing w:line="240" w:lineRule="auto" w:before="34"/>
              <w:ind w:right="23"/>
              <w:jc w:val="right"/>
              <w:rPr>
                <w:rFonts w:ascii="宋体" w:hAnsi="宋体" w:cs="宋体" w:eastAsia="宋体" w:hint="default"/>
                <w:sz w:val="21"/>
                <w:szCs w:val="21"/>
              </w:rPr>
            </w:pPr>
            <w:r>
              <w:rPr>
                <w:rFonts w:ascii="宋体"/>
                <w:sz w:val="21"/>
              </w:rPr>
              <w:t>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340,493,532.</w:t>
            </w:r>
          </w:p>
          <w:p>
            <w:pPr>
              <w:pStyle w:val="TableParagraph"/>
              <w:spacing w:line="240" w:lineRule="auto" w:before="34"/>
              <w:ind w:right="23"/>
              <w:jc w:val="right"/>
              <w:rPr>
                <w:rFonts w:ascii="宋体" w:hAnsi="宋体" w:cs="宋体" w:eastAsia="宋体" w:hint="default"/>
                <w:sz w:val="21"/>
                <w:szCs w:val="21"/>
              </w:rPr>
            </w:pPr>
            <w:r>
              <w:rPr>
                <w:rFonts w:ascii="宋体"/>
                <w:sz w:val="21"/>
              </w:rPr>
              <w:t>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-19.91%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63,049,949.4</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106,504,286.</w:t>
            </w:r>
          </w:p>
          <w:p>
            <w:pPr>
              <w:pStyle w:val="TableParagraph"/>
              <w:spacing w:line="240" w:lineRule="auto" w:before="37"/>
              <w:ind w:right="23"/>
              <w:jc w:val="right"/>
              <w:rPr>
                <w:rFonts w:ascii="宋体" w:hAnsi="宋体" w:cs="宋体" w:eastAsia="宋体" w:hint="default"/>
                <w:sz w:val="21"/>
                <w:szCs w:val="21"/>
              </w:rPr>
            </w:pPr>
            <w:r>
              <w:rPr>
                <w:rFonts w:ascii="宋体"/>
                <w:sz w:val="21"/>
              </w:rPr>
              <w:t>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代销费及其他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264,828,129.</w:t>
            </w:r>
          </w:p>
          <w:p>
            <w:pPr>
              <w:pStyle w:val="TableParagraph"/>
              <w:spacing w:line="240" w:lineRule="auto" w:before="34"/>
              <w:ind w:right="23"/>
              <w:jc w:val="right"/>
              <w:rPr>
                <w:rFonts w:ascii="宋体" w:hAnsi="宋体" w:cs="宋体" w:eastAsia="宋体" w:hint="default"/>
                <w:sz w:val="21"/>
                <w:szCs w:val="21"/>
              </w:rPr>
            </w:pPr>
            <w:r>
              <w:rPr>
                <w:rFonts w:ascii="宋体"/>
                <w:sz w:val="21"/>
              </w:rPr>
              <w:t>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39,019,115.2</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32.22%</w:t>
            </w:r>
          </w:p>
        </w:tc>
      </w:tr>
    </w:tbl>
    <w:p>
      <w:pPr>
        <w:pStyle w:val="BodyText"/>
        <w:spacing w:line="240" w:lineRule="auto" w:before="28"/>
        <w:ind w:right="2880"/>
        <w:jc w:val="left"/>
      </w:pPr>
      <w:r>
        <w:rPr/>
        <w:t>产品分类</w:t>
      </w:r>
    </w:p>
    <w:p>
      <w:pPr>
        <w:pStyle w:val="BodyText"/>
        <w:spacing w:line="240" w:lineRule="auto" w:before="75"/>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573" w:right="43"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573" w:right="43" w:hanging="526"/>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票证产品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328,776,843.</w:t>
            </w:r>
          </w:p>
          <w:p>
            <w:pPr>
              <w:pStyle w:val="TableParagraph"/>
              <w:spacing w:line="240" w:lineRule="auto" w:before="37"/>
              <w:ind w:right="23"/>
              <w:jc w:val="right"/>
              <w:rPr>
                <w:rFonts w:ascii="宋体" w:hAnsi="宋体" w:cs="宋体" w:eastAsia="宋体" w:hint="default"/>
                <w:sz w:val="21"/>
                <w:szCs w:val="21"/>
              </w:rPr>
            </w:pPr>
            <w:r>
              <w:rPr>
                <w:rFonts w:ascii="宋体"/>
                <w:sz w:val="21"/>
              </w:rPr>
              <w:t>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340,493,532.</w:t>
            </w:r>
          </w:p>
          <w:p>
            <w:pPr>
              <w:pStyle w:val="TableParagraph"/>
              <w:spacing w:line="240" w:lineRule="auto" w:before="37"/>
              <w:ind w:right="23"/>
              <w:jc w:val="right"/>
              <w:rPr>
                <w:rFonts w:ascii="宋体" w:hAnsi="宋体" w:cs="宋体" w:eastAsia="宋体" w:hint="default"/>
                <w:sz w:val="21"/>
                <w:szCs w:val="21"/>
              </w:rPr>
            </w:pPr>
            <w:r>
              <w:rPr>
                <w:rFonts w:ascii="宋体"/>
                <w:sz w:val="21"/>
              </w:rPr>
              <w:t>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-19.91%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63,049,949.4</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106,504,286.</w:t>
            </w:r>
          </w:p>
          <w:p>
            <w:pPr>
              <w:pStyle w:val="TableParagraph"/>
              <w:spacing w:line="240" w:lineRule="auto" w:before="34"/>
              <w:ind w:right="23"/>
              <w:jc w:val="right"/>
              <w:rPr>
                <w:rFonts w:ascii="宋体" w:hAnsi="宋体" w:cs="宋体" w:eastAsia="宋体" w:hint="default"/>
                <w:sz w:val="21"/>
                <w:szCs w:val="21"/>
              </w:rPr>
            </w:pPr>
            <w:r>
              <w:rPr>
                <w:rFonts w:ascii="宋体"/>
                <w:sz w:val="21"/>
              </w:rPr>
              <w:t>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代销费及其他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264,828,129.</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39,019,115.2</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32.22%</w:t>
            </w:r>
          </w:p>
        </w:tc>
      </w:tr>
    </w:tbl>
    <w:p>
      <w:pPr>
        <w:pStyle w:val="BodyText"/>
        <w:spacing w:line="307" w:lineRule="auto" w:before="28"/>
        <w:ind w:right="9351"/>
        <w:jc w:val="left"/>
      </w:pPr>
      <w:r>
        <w:rPr/>
        <w:t>说明</w:t>
      </w:r>
      <w:r>
        <w:rPr>
          <w:spacing w:val="-103"/>
        </w:rPr>
        <w:t> </w:t>
      </w:r>
      <w:r>
        <w:rPr/>
        <w:t>无</w:t>
      </w:r>
    </w:p>
    <w:p>
      <w:pPr>
        <w:spacing w:after="0" w:line="30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公司主要供应商情况</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4256"/>
        <w:gridCol w:w="5311"/>
      </w:tblGrid>
      <w:tr>
        <w:trPr>
          <w:trHeight w:val="401"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218,132,661.15</w:t>
            </w:r>
          </w:p>
        </w:tc>
      </w:tr>
      <w:tr>
        <w:trPr>
          <w:trHeight w:val="715"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39.04%</w:t>
            </w:r>
          </w:p>
        </w:tc>
      </w:tr>
    </w:tbl>
    <w:p>
      <w:pPr>
        <w:pStyle w:val="BodyText"/>
        <w:spacing w:line="240" w:lineRule="auto" w:before="28"/>
        <w:ind w:right="0"/>
        <w:jc w:val="left"/>
      </w:pPr>
      <w:r>
        <w:rPr/>
        <w:t>公司前</w:t>
      </w:r>
      <w:r>
        <w:rPr>
          <w:spacing w:val="-54"/>
        </w:rPr>
        <w:t> </w:t>
      </w:r>
      <w:r>
        <w:rPr/>
        <w:t>5</w:t>
      </w:r>
      <w:r>
        <w:rPr>
          <w:spacing w:val="-54"/>
        </w:rPr>
        <w:t> </w:t>
      </w:r>
      <w:r>
        <w:rPr/>
        <w:t>名供应商资料</w:t>
      </w:r>
    </w:p>
    <w:p>
      <w:pPr>
        <w:pStyle w:val="BodyText"/>
        <w:spacing w:line="240" w:lineRule="auto" w:before="75"/>
        <w:ind w:right="0"/>
        <w:jc w:val="left"/>
      </w:pP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53"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21"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69,753,631.97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12.49%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65,986,634.23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11.81%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32,525,436.27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5.82%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27,611,432.72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4.94%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22,255,525.96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3.98%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218,132,661.15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39.04%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4、费用</w:t>
      </w:r>
    </w:p>
    <w:p>
      <w:pPr>
        <w:spacing w:line="240" w:lineRule="auto" w:before="2"/>
        <w:rPr>
          <w:rFonts w:ascii="宋体" w:hAnsi="宋体" w:cs="宋体" w:eastAsia="宋体" w:hint="default"/>
          <w:sz w:val="24"/>
          <w:szCs w:val="24"/>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40"/>
        <w:gridCol w:w="2021"/>
        <w:gridCol w:w="2018"/>
        <w:gridCol w:w="2021"/>
      </w:tblGrid>
      <w:tr>
        <w:trPr>
          <w:trHeight w:val="34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41" w:right="0"/>
              <w:jc w:val="left"/>
              <w:rPr>
                <w:rFonts w:ascii="宋体" w:hAnsi="宋体" w:cs="宋体" w:eastAsia="宋体" w:hint="default"/>
                <w:sz w:val="21"/>
                <w:szCs w:val="21"/>
              </w:rPr>
            </w:pPr>
            <w:r>
              <w:rPr>
                <w:rFonts w:ascii="宋体" w:hAnsi="宋体" w:cs="宋体" w:eastAsia="宋体" w:hint="default"/>
                <w:sz w:val="21"/>
                <w:szCs w:val="21"/>
              </w:rPr>
              <w:t>2014年</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2013年</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本年比上年增减（%）</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spacing w:val="-1"/>
                <w:sz w:val="21"/>
              </w:rPr>
              <w:t>51,528,674.13</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spacing w:val="-1"/>
                <w:sz w:val="21"/>
              </w:rPr>
              <w:t>46,341,295.45</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11.19%</w:t>
            </w:r>
          </w:p>
        </w:tc>
      </w:tr>
      <w:tr>
        <w:trPr>
          <w:trHeight w:val="34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99,526,431.37</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89,934,687.47</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10.67%</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spacing w:val="-1"/>
                <w:sz w:val="21"/>
              </w:rPr>
              <w:t>10,556,920.37</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11"/>
              <w:jc w:val="right"/>
              <w:rPr>
                <w:rFonts w:ascii="宋体" w:hAnsi="宋体" w:cs="宋体" w:eastAsia="宋体" w:hint="default"/>
                <w:sz w:val="21"/>
                <w:szCs w:val="21"/>
              </w:rPr>
            </w:pPr>
            <w:r>
              <w:rPr>
                <w:rFonts w:ascii="宋体"/>
                <w:spacing w:val="-1"/>
                <w:sz w:val="21"/>
              </w:rPr>
              <w:t>8,321,113.99</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26.87%</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-2,520,946.34</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1"/>
              <w:jc w:val="right"/>
              <w:rPr>
                <w:rFonts w:ascii="宋体" w:hAnsi="宋体" w:cs="宋体" w:eastAsia="宋体" w:hint="default"/>
                <w:sz w:val="21"/>
                <w:szCs w:val="21"/>
              </w:rPr>
            </w:pPr>
            <w:r>
              <w:rPr>
                <w:rFonts w:ascii="宋体"/>
                <w:spacing w:val="-1"/>
                <w:sz w:val="21"/>
              </w:rPr>
              <w:t>16,928,969.93</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-114.89%</w:t>
            </w:r>
          </w:p>
        </w:tc>
      </w:tr>
    </w:tbl>
    <w:p>
      <w:pPr>
        <w:spacing w:line="240" w:lineRule="auto" w:before="2"/>
        <w:rPr>
          <w:rFonts w:ascii="宋体" w:hAnsi="宋体" w:cs="宋体" w:eastAsia="宋体" w:hint="default"/>
          <w:sz w:val="11"/>
          <w:szCs w:val="11"/>
        </w:rPr>
      </w:pPr>
    </w:p>
    <w:p>
      <w:pPr>
        <w:pStyle w:val="BodyText"/>
        <w:spacing w:line="240" w:lineRule="auto" w:before="36"/>
        <w:ind w:right="0"/>
        <w:jc w:val="left"/>
      </w:pPr>
      <w:r>
        <w:rPr/>
        <w:t>所得税费用较上年同期减少114.89%，主要原因是可弥补亏损确认递延所得税资产以及利润下降所致。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5、研发支出</w:t>
      </w:r>
    </w:p>
    <w:p>
      <w:pPr>
        <w:spacing w:line="240" w:lineRule="auto" w:before="5"/>
        <w:rPr>
          <w:rFonts w:ascii="宋体" w:hAnsi="宋体" w:cs="宋体" w:eastAsia="宋体" w:hint="default"/>
          <w:sz w:val="27"/>
          <w:szCs w:val="27"/>
        </w:rPr>
      </w:pPr>
    </w:p>
    <w:p>
      <w:pPr>
        <w:spacing w:before="0"/>
        <w:ind w:left="0" w:right="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01"/>
        <w:gridCol w:w="2239"/>
        <w:gridCol w:w="2201"/>
        <w:gridCol w:w="1699"/>
        <w:gridCol w:w="1481"/>
      </w:tblGrid>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91" w:right="0"/>
              <w:jc w:val="left"/>
              <w:rPr>
                <w:rFonts w:ascii="宋体" w:hAnsi="宋体" w:cs="宋体" w:eastAsia="宋体" w:hint="default"/>
                <w:sz w:val="21"/>
                <w:szCs w:val="21"/>
              </w:rPr>
            </w:pPr>
            <w:r>
              <w:rPr>
                <w:rFonts w:ascii="宋体" w:hAnsi="宋体" w:cs="宋体" w:eastAsia="宋体" w:hint="default"/>
                <w:sz w:val="21"/>
                <w:szCs w:val="21"/>
              </w:rPr>
              <w:t>2014年度</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4" w:right="0"/>
              <w:jc w:val="left"/>
              <w:rPr>
                <w:rFonts w:ascii="宋体" w:hAnsi="宋体" w:cs="宋体" w:eastAsia="宋体" w:hint="default"/>
                <w:sz w:val="21"/>
                <w:szCs w:val="21"/>
              </w:rPr>
            </w:pPr>
            <w:r>
              <w:rPr>
                <w:rFonts w:ascii="宋体" w:hAnsi="宋体" w:cs="宋体" w:eastAsia="宋体" w:hint="default"/>
                <w:sz w:val="21"/>
                <w:szCs w:val="21"/>
              </w:rPr>
              <w:t>2013年度</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比上年增减</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sz w:val="21"/>
                <w:szCs w:val="21"/>
              </w:rPr>
              <w:t>2012年度</w:t>
            </w:r>
          </w:p>
        </w:tc>
      </w:tr>
      <w:tr>
        <w:trPr>
          <w:trHeight w:val="346"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研发投入（本部）</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1,239.05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844.86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46.66%</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783.98</w:t>
            </w:r>
          </w:p>
        </w:tc>
      </w:tr>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主营业务收入（本部）</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21,411.84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21,125.90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1.35%</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15,301.68</w:t>
            </w:r>
          </w:p>
        </w:tc>
      </w:tr>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占主营业务收入比例</w:t>
            </w:r>
          </w:p>
        </w:tc>
        <w:tc>
          <w:tcPr>
            <w:tcW w:w="22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5.79%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4.00%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1.79%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5.12%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36"/>
        <w:ind w:right="0"/>
        <w:jc w:val="left"/>
      </w:pPr>
      <w:r>
        <w:rPr/>
        <w:t>6、现金流</w:t>
      </w:r>
    </w:p>
    <w:p>
      <w:pPr>
        <w:spacing w:line="240" w:lineRule="auto" w:before="13"/>
        <w:rPr>
          <w:rFonts w:ascii="宋体" w:hAnsi="宋体" w:cs="宋体" w:eastAsia="宋体" w:hint="default"/>
          <w:sz w:val="22"/>
          <w:szCs w:val="22"/>
        </w:rPr>
      </w:pPr>
    </w:p>
    <w:p>
      <w:pPr>
        <w:pStyle w:val="BodyText"/>
        <w:spacing w:line="240" w:lineRule="auto" w:before="36"/>
        <w:ind w:left="0" w:right="30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82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963,181,177.48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906,492,196.09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6.25%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942,343,358.13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786,279,510.86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19.85%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20,837,819.35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120,212,685.23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-82.67%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5,265,295.31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9,012,393.97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-41.58%</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69,342,260.06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98,516,427.61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-29.61%</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43"/>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-64,076,964.75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-89,504,033.64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28.41%</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184,346,711.20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-9.14%</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109,071,174.69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235,600,974.41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-53.71%</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58,428,825.31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-51,254,263.21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214.00%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43"/>
              <w:jc w:val="left"/>
              <w:rPr>
                <w:rFonts w:ascii="宋体" w:hAnsi="宋体" w:cs="宋体" w:eastAsia="宋体" w:hint="default"/>
                <w:sz w:val="21"/>
                <w:szCs w:val="21"/>
              </w:rPr>
            </w:pPr>
            <w:r>
              <w:rPr>
                <w:rFonts w:ascii="宋体" w:hAnsi="宋体" w:cs="宋体" w:eastAsia="宋体" w:hint="default"/>
                <w:spacing w:val="-2"/>
                <w:sz w:val="21"/>
                <w:szCs w:val="21"/>
              </w:rPr>
              <w:t>现金及现金等价物净增加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15,191,772.94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-20,670,974.32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173.49%</w:t>
            </w:r>
          </w:p>
        </w:tc>
      </w:tr>
    </w:tbl>
    <w:p>
      <w:pPr>
        <w:pStyle w:val="BodyText"/>
        <w:spacing w:line="240" w:lineRule="auto" w:before="28"/>
        <w:ind w:right="2880"/>
        <w:jc w:val="left"/>
      </w:pPr>
      <w:r>
        <w:rPr/>
        <w:t>相关数据同比发生变动</w:t>
      </w:r>
      <w:r>
        <w:rPr>
          <w:spacing w:val="-59"/>
        </w:rPr>
        <w:t> </w:t>
      </w:r>
      <w:r>
        <w:rPr/>
        <w:t>30%以上的原因说明</w:t>
      </w:r>
    </w:p>
    <w:p>
      <w:pPr>
        <w:pStyle w:val="BodyText"/>
        <w:spacing w:line="295" w:lineRule="auto" w:before="75"/>
        <w:ind w:right="0"/>
        <w:jc w:val="left"/>
      </w:pPr>
      <w:r>
        <w:rPr/>
        <w:t>√ 适用 □</w:t>
      </w:r>
      <w:r>
        <w:rPr>
          <w:spacing w:val="-2"/>
        </w:rPr>
        <w:t> </w:t>
      </w:r>
      <w:r>
        <w:rPr/>
        <w:t>不适用</w:t>
      </w:r>
      <w:r>
        <w:rPr>
          <w:spacing w:val="-103"/>
        </w:rPr>
        <w:t> </w:t>
      </w:r>
      <w:r>
        <w:rPr>
          <w:spacing w:val="-103"/>
        </w:rPr>
      </w:r>
      <w:r>
        <w:rPr/>
        <w:t>1、经营活动产生的现金流量净额较上年同期减少82.67%，主要系购买商品和支付劳务的现金增加以及职</w:t>
      </w:r>
      <w:r>
        <w:rPr>
          <w:spacing w:val="-28"/>
        </w:rPr>
        <w:t> </w:t>
      </w:r>
      <w:r>
        <w:rPr>
          <w:spacing w:val="-28"/>
        </w:rPr>
      </w:r>
      <w:r>
        <w:rPr/>
        <w:t>工薪酬和其他管理费用增加所致。</w:t>
      </w:r>
      <w:r>
        <w:rPr>
          <w:w w:val="100"/>
        </w:rPr>
        <w:t> </w:t>
      </w:r>
      <w:r>
        <w:rPr/>
        <w:t>2、投资活动现金流入较上年同期减少41.58%，主要本期处置投资收回的款项较去年同期减少所致。</w:t>
      </w:r>
    </w:p>
    <w:p>
      <w:pPr>
        <w:pStyle w:val="BodyText"/>
        <w:spacing w:line="240" w:lineRule="auto" w:before="27"/>
        <w:ind w:right="0"/>
        <w:jc w:val="left"/>
      </w:pPr>
      <w:r>
        <w:rPr/>
        <w:t>3、筹资活动现金流出较上年同期减少53.71%，主要是系报告期内到期借款较上年减少所致。</w:t>
      </w:r>
    </w:p>
    <w:p>
      <w:pPr>
        <w:pStyle w:val="BodyText"/>
        <w:spacing w:line="240" w:lineRule="auto" w:before="78"/>
        <w:ind w:right="0"/>
        <w:jc w:val="left"/>
      </w:pPr>
      <w:r>
        <w:rPr/>
        <w:t>4、筹资活动产生的现金流量净额较上年同期增加214.00%。主要是系流动资金贷款净额增加所致。</w:t>
      </w:r>
    </w:p>
    <w:p>
      <w:pPr>
        <w:pStyle w:val="BodyText"/>
        <w:spacing w:line="290" w:lineRule="auto" w:before="78"/>
        <w:ind w:right="0"/>
        <w:jc w:val="left"/>
      </w:pPr>
      <w:r>
        <w:rPr>
          <w:spacing w:val="-2"/>
        </w:rPr>
        <w:t>5、现金及现金等价物净增加额较上年同期增加173.49%，主要系购建固定资产、无形资产和其他长期资产</w:t>
      </w:r>
      <w:r>
        <w:rPr>
          <w:spacing w:val="-40"/>
        </w:rPr>
        <w:t> </w:t>
      </w:r>
      <w:r>
        <w:rPr>
          <w:spacing w:val="-40"/>
        </w:rPr>
      </w:r>
      <w:r>
        <w:rPr/>
        <w:t>支付的现金减少，以及流动资金贷款净额增加所致。</w:t>
      </w:r>
      <w:r>
        <w:rPr>
          <w:w w:val="100"/>
        </w:rPr>
        <w:t> </w:t>
      </w:r>
      <w:r>
        <w:rPr/>
        <w:t>报告期内公司经营活动的现金流量与本年度净利润存在重大差异的原因说明</w:t>
      </w:r>
    </w:p>
    <w:p>
      <w:pPr>
        <w:pStyle w:val="BodyText"/>
        <w:spacing w:line="535" w:lineRule="auto" w:before="31"/>
        <w:ind w:right="7671"/>
        <w:jc w:val="left"/>
      </w:pPr>
      <w:r>
        <w:rPr/>
        <w:t>□ 适用 √</w:t>
      </w:r>
      <w:r>
        <w:rPr>
          <w:spacing w:val="-1"/>
        </w:rPr>
        <w:t> </w:t>
      </w:r>
      <w:r>
        <w:rPr/>
        <w:t>不适用</w:t>
      </w:r>
      <w:r>
        <w:rPr>
          <w:w w:val="100"/>
        </w:rPr>
        <w:t> </w:t>
      </w:r>
      <w:r>
        <w:rPr/>
        <w:t>三、主营业务构成情况</w:t>
      </w:r>
    </w:p>
    <w:p>
      <w:pPr>
        <w:pStyle w:val="BodyText"/>
        <w:spacing w:line="240" w:lineRule="auto" w:before="81"/>
        <w:ind w:left="0" w:right="147"/>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6"/>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53" w:right="43" w:hanging="106"/>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53" w:right="43" w:hanging="106"/>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259" w:right="45" w:hanging="209"/>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印刷产品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482,232,549.</w:t>
            </w:r>
          </w:p>
          <w:p>
            <w:pPr>
              <w:pStyle w:val="TableParagraph"/>
              <w:spacing w:line="240" w:lineRule="auto" w:before="34"/>
              <w:ind w:right="19"/>
              <w:jc w:val="right"/>
              <w:rPr>
                <w:rFonts w:ascii="宋体" w:hAnsi="宋体" w:cs="宋体" w:eastAsia="宋体" w:hint="default"/>
                <w:sz w:val="21"/>
                <w:szCs w:val="21"/>
              </w:rPr>
            </w:pPr>
            <w:r>
              <w:rPr>
                <w:rFonts w:ascii="宋体"/>
                <w:sz w:val="21"/>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328,776,843.</w:t>
            </w:r>
          </w:p>
          <w:p>
            <w:pPr>
              <w:pStyle w:val="TableParagraph"/>
              <w:spacing w:line="240" w:lineRule="auto" w:before="34"/>
              <w:ind w:right="23"/>
              <w:jc w:val="right"/>
              <w:rPr>
                <w:rFonts w:ascii="宋体" w:hAnsi="宋体" w:cs="宋体" w:eastAsia="宋体" w:hint="default"/>
                <w:sz w:val="21"/>
                <w:szCs w:val="21"/>
              </w:rPr>
            </w:pPr>
            <w:r>
              <w:rPr>
                <w:rFonts w:ascii="宋体"/>
                <w:sz w:val="21"/>
              </w:rPr>
              <w:t>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-2.19%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65,850,266.7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63,049,949.4</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-9.35%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代销费及其他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313,228,542.</w:t>
            </w:r>
          </w:p>
          <w:p>
            <w:pPr>
              <w:pStyle w:val="TableParagraph"/>
              <w:spacing w:line="240" w:lineRule="auto" w:before="37"/>
              <w:ind w:right="19"/>
              <w:jc w:val="right"/>
              <w:rPr>
                <w:rFonts w:ascii="宋体" w:hAnsi="宋体" w:cs="宋体" w:eastAsia="宋体" w:hint="default"/>
                <w:sz w:val="21"/>
                <w:szCs w:val="21"/>
              </w:rPr>
            </w:pPr>
            <w:r>
              <w:rPr>
                <w:rFonts w:ascii="宋体"/>
                <w:sz w:val="21"/>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264,828,129.</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578.71%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-26.58%</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6"/>
        <w:gridCol w:w="1366"/>
        <w:gridCol w:w="1370"/>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票证产品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482,232,549.</w:t>
            </w:r>
          </w:p>
          <w:p>
            <w:pPr>
              <w:pStyle w:val="TableParagraph"/>
              <w:spacing w:line="240" w:lineRule="auto" w:before="34"/>
              <w:ind w:right="19"/>
              <w:jc w:val="right"/>
              <w:rPr>
                <w:rFonts w:ascii="宋体" w:hAnsi="宋体" w:cs="宋体" w:eastAsia="宋体" w:hint="default"/>
                <w:sz w:val="21"/>
                <w:szCs w:val="21"/>
              </w:rPr>
            </w:pPr>
            <w:r>
              <w:rPr>
                <w:rFonts w:ascii="宋体"/>
                <w:sz w:val="21"/>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328,776,843.</w:t>
            </w:r>
          </w:p>
          <w:p>
            <w:pPr>
              <w:pStyle w:val="TableParagraph"/>
              <w:spacing w:line="240" w:lineRule="auto" w:before="34"/>
              <w:ind w:right="23"/>
              <w:jc w:val="right"/>
              <w:rPr>
                <w:rFonts w:ascii="宋体" w:hAnsi="宋体" w:cs="宋体" w:eastAsia="宋体" w:hint="default"/>
                <w:sz w:val="21"/>
                <w:szCs w:val="21"/>
              </w:rPr>
            </w:pPr>
            <w:r>
              <w:rPr>
                <w:rFonts w:ascii="宋体"/>
                <w:sz w:val="21"/>
              </w:rPr>
              <w:t>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-2.19%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65,850,266.7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63,049,949.4</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-9.35%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代销费及其他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313,228,542.</w:t>
            </w:r>
          </w:p>
          <w:p>
            <w:pPr>
              <w:pStyle w:val="TableParagraph"/>
              <w:spacing w:line="240" w:lineRule="auto" w:before="34"/>
              <w:ind w:right="19"/>
              <w:jc w:val="right"/>
              <w:rPr>
                <w:rFonts w:ascii="宋体" w:hAnsi="宋体" w:cs="宋体" w:eastAsia="宋体" w:hint="default"/>
                <w:sz w:val="21"/>
                <w:szCs w:val="21"/>
              </w:rPr>
            </w:pPr>
            <w:r>
              <w:rPr>
                <w:rFonts w:ascii="宋体"/>
                <w:sz w:val="21"/>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264,828,129.</w:t>
            </w:r>
          </w:p>
          <w:p>
            <w:pPr>
              <w:pStyle w:val="TableParagraph"/>
              <w:spacing w:line="240" w:lineRule="auto" w:before="34"/>
              <w:ind w:right="23"/>
              <w:jc w:val="right"/>
              <w:rPr>
                <w:rFonts w:ascii="宋体" w:hAnsi="宋体" w:cs="宋体" w:eastAsia="宋体" w:hint="default"/>
                <w:sz w:val="21"/>
                <w:szCs w:val="21"/>
              </w:rPr>
            </w:pPr>
            <w:r>
              <w:rPr>
                <w:rFonts w:ascii="宋体"/>
                <w:sz w:val="21"/>
              </w:rPr>
              <w:t>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578.71%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-26.58%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312,195,074.</w:t>
            </w:r>
          </w:p>
          <w:p>
            <w:pPr>
              <w:pStyle w:val="TableParagraph"/>
              <w:spacing w:line="240" w:lineRule="auto" w:before="34"/>
              <w:ind w:right="19"/>
              <w:jc w:val="right"/>
              <w:rPr>
                <w:rFonts w:ascii="宋体" w:hAnsi="宋体" w:cs="宋体" w:eastAsia="宋体" w:hint="default"/>
                <w:sz w:val="21"/>
                <w:szCs w:val="21"/>
              </w:rPr>
            </w:pPr>
            <w:r>
              <w:rPr>
                <w:rFonts w:ascii="宋体"/>
                <w:sz w:val="21"/>
              </w:rPr>
              <w:t>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236,324,034.</w:t>
            </w:r>
          </w:p>
          <w:p>
            <w:pPr>
              <w:pStyle w:val="TableParagraph"/>
              <w:spacing w:line="240" w:lineRule="auto" w:before="34"/>
              <w:ind w:right="23"/>
              <w:jc w:val="right"/>
              <w:rPr>
                <w:rFonts w:ascii="宋体" w:hAnsi="宋体" w:cs="宋体" w:eastAsia="宋体" w:hint="default"/>
                <w:sz w:val="21"/>
                <w:szCs w:val="21"/>
              </w:rPr>
            </w:pPr>
            <w:r>
              <w:rPr>
                <w:rFonts w:ascii="宋体"/>
                <w:sz w:val="21"/>
              </w:rPr>
              <w:t>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-3.94%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50,358,790.9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42,371,231.4</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407.73%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-20.97%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231,660,405.</w:t>
            </w:r>
          </w:p>
          <w:p>
            <w:pPr>
              <w:pStyle w:val="TableParagraph"/>
              <w:spacing w:line="240" w:lineRule="auto" w:before="34"/>
              <w:ind w:right="19"/>
              <w:jc w:val="right"/>
              <w:rPr>
                <w:rFonts w:ascii="宋体" w:hAnsi="宋体" w:cs="宋体" w:eastAsia="宋体" w:hint="default"/>
                <w:sz w:val="21"/>
                <w:szCs w:val="21"/>
              </w:rPr>
            </w:pPr>
            <w:r>
              <w:rPr>
                <w:rFonts w:ascii="宋体"/>
                <w:sz w:val="21"/>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160,596,986.</w:t>
            </w:r>
          </w:p>
          <w:p>
            <w:pPr>
              <w:pStyle w:val="TableParagraph"/>
              <w:spacing w:line="240" w:lineRule="auto" w:before="34"/>
              <w:ind w:right="23"/>
              <w:jc w:val="right"/>
              <w:rPr>
                <w:rFonts w:ascii="宋体" w:hAnsi="宋体" w:cs="宋体" w:eastAsia="宋体" w:hint="default"/>
                <w:sz w:val="21"/>
                <w:szCs w:val="21"/>
              </w:rPr>
            </w:pPr>
            <w:r>
              <w:rPr>
                <w:rFonts w:ascii="宋体"/>
                <w:sz w:val="21"/>
              </w:rPr>
              <w:t>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30.68%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120.59%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-12.82%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61,416,975.1</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52,500,397.1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-14.52%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103,292,763.</w:t>
            </w:r>
          </w:p>
          <w:p>
            <w:pPr>
              <w:pStyle w:val="TableParagraph"/>
              <w:spacing w:line="240" w:lineRule="auto" w:before="34"/>
              <w:ind w:right="19"/>
              <w:jc w:val="right"/>
              <w:rPr>
                <w:rFonts w:ascii="宋体" w:hAnsi="宋体" w:cs="宋体" w:eastAsia="宋体" w:hint="default"/>
                <w:sz w:val="21"/>
                <w:szCs w:val="21"/>
              </w:rPr>
            </w:pPr>
            <w:r>
              <w:rPr>
                <w:rFonts w:ascii="宋体"/>
                <w:sz w:val="21"/>
              </w:rPr>
              <w:t>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85,234,637.7</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107.87%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-20.99%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74,711,314.1</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62,958,861.0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-2.97%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27,020,215.1</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16,583,095.4</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22.13%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2.35%</w:t>
            </w:r>
          </w:p>
        </w:tc>
      </w:tr>
      <w:tr>
        <w:trPr>
          <w:trHeight w:val="403" w:hRule="exact"/>
        </w:trPr>
        <w:tc>
          <w:tcPr>
            <w:tcW w:w="136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10"/>
                <w:sz w:val="21"/>
                <w:szCs w:val="21"/>
              </w:rPr>
              <w:t>其他（含出口</w:t>
            </w:r>
          </w:p>
        </w:tc>
        <w:tc>
          <w:tcPr>
            <w:tcW w:w="1368" w:type="dxa"/>
            <w:tcBorders>
              <w:top w:val="single" w:sz="4" w:space="0" w:color="000000"/>
              <w:left w:val="single" w:sz="14" w:space="0" w:color="FFFFFF"/>
              <w:bottom w:val="single" w:sz="4" w:space="0" w:color="000000"/>
              <w:right w:val="single" w:sz="12" w:space="0" w:color="FFFFFF"/>
            </w:tcBorders>
          </w:tcPr>
          <w:p>
            <w:pPr>
              <w:pStyle w:val="TableParagraph"/>
              <w:spacing w:line="240" w:lineRule="auto" w:before="28"/>
              <w:ind w:left="272" w:right="0"/>
              <w:jc w:val="left"/>
              <w:rPr>
                <w:rFonts w:ascii="宋体" w:hAnsi="宋体" w:cs="宋体" w:eastAsia="宋体" w:hint="default"/>
                <w:sz w:val="21"/>
                <w:szCs w:val="21"/>
              </w:rPr>
            </w:pPr>
            <w:r>
              <w:rPr>
                <w:rFonts w:ascii="宋体"/>
                <w:sz w:val="21"/>
              </w:rPr>
              <w:t>655,819.69</w:t>
            </w:r>
          </w:p>
        </w:tc>
        <w:tc>
          <w:tcPr>
            <w:tcW w:w="1368"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28"/>
              <w:ind w:left="378" w:right="0"/>
              <w:jc w:val="left"/>
              <w:rPr>
                <w:rFonts w:ascii="宋体" w:hAnsi="宋体" w:cs="宋体" w:eastAsia="宋体" w:hint="default"/>
                <w:sz w:val="21"/>
                <w:szCs w:val="21"/>
              </w:rPr>
            </w:pPr>
            <w:r>
              <w:rPr>
                <w:rFonts w:ascii="宋体"/>
                <w:sz w:val="21"/>
              </w:rPr>
              <w:t>85,677.86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43.38%</w:t>
            </w:r>
          </w:p>
        </w:tc>
      </w:tr>
    </w:tbl>
    <w:p>
      <w:pPr>
        <w:pStyle w:val="BodyText"/>
        <w:spacing w:line="271" w:lineRule="auto" w:before="28"/>
        <w:ind w:right="0"/>
        <w:jc w:val="left"/>
      </w:pPr>
      <w:r>
        <w:rPr/>
        <w:pict>
          <v:shape style="position:absolute;margin-left:118.658257pt;margin-top:-20.176334pt;width:74.650pt;height:19.6pt;mso-position-horizontal-relative:page;mso-position-vertical-relative:paragraph;z-index:-887920"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spacing w:val="-3"/>
        </w:rPr>
        <w:t>公司主营业务数据统计口径在报告期发生调整的情况下，公司最近</w:t>
      </w:r>
      <w:r>
        <w:rPr>
          <w:spacing w:val="-28"/>
        </w:rPr>
        <w:t> </w:t>
      </w:r>
      <w:r>
        <w:rPr/>
        <w:t>1</w:t>
      </w:r>
      <w:r>
        <w:rPr>
          <w:spacing w:val="-31"/>
        </w:rPr>
        <w:t> </w:t>
      </w:r>
      <w:r>
        <w:rPr/>
        <w:t>年按报告期末口径调整后的主营业务</w:t>
      </w:r>
      <w:r>
        <w:rPr>
          <w:spacing w:val="-95"/>
        </w:rPr>
        <w:t> </w:t>
      </w:r>
      <w:r>
        <w:rPr>
          <w:spacing w:val="-95"/>
        </w:rPr>
      </w:r>
      <w:r>
        <w:rPr/>
        <w:t>数据</w:t>
      </w:r>
    </w:p>
    <w:p>
      <w:pPr>
        <w:pStyle w:val="BodyText"/>
        <w:spacing w:line="535" w:lineRule="auto" w:before="50"/>
        <w:ind w:right="7356"/>
        <w:jc w:val="left"/>
      </w:pPr>
      <w:r>
        <w:rPr/>
        <w:t>□ 适用 √</w:t>
      </w:r>
      <w:r>
        <w:rPr>
          <w:spacing w:val="-2"/>
        </w:rPr>
        <w:t> </w:t>
      </w:r>
      <w:r>
        <w:rPr/>
        <w:t>不适用</w:t>
      </w:r>
      <w:r>
        <w:rPr>
          <w:w w:val="100"/>
        </w:rPr>
        <w:t> </w:t>
      </w:r>
      <w:r>
        <w:rPr/>
        <w:t>四、资产、负债状况分析</w:t>
      </w:r>
      <w:r>
        <w:rPr>
          <w:spacing w:val="-95"/>
        </w:rPr>
        <w:t> </w:t>
      </w:r>
      <w:r>
        <w:rPr>
          <w:spacing w:val="-95"/>
        </w:rPr>
      </w:r>
      <w:r>
        <w:rPr/>
        <w:t>1、资产项目重大变动情况</w:t>
      </w:r>
    </w:p>
    <w:p>
      <w:pPr>
        <w:pStyle w:val="BodyText"/>
        <w:spacing w:line="240" w:lineRule="auto" w:before="79"/>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931"/>
        <w:gridCol w:w="2784"/>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7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27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47"/>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47"/>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931" w:type="dxa"/>
            <w:vMerge/>
            <w:tcBorders>
              <w:left w:val="single" w:sz="4" w:space="0" w:color="000000"/>
              <w:right w:val="single" w:sz="4" w:space="0" w:color="000000"/>
            </w:tcBorders>
            <w:shd w:val="clear" w:color="auto" w:fill="D3D3D3"/>
          </w:tcPr>
          <w:p>
            <w:pPr/>
          </w:p>
        </w:tc>
        <w:tc>
          <w:tcPr>
            <w:tcW w:w="2784" w:type="dxa"/>
            <w:tcBorders>
              <w:top w:val="nil" w:sz="6" w:space="0" w:color="auto"/>
              <w:left w:val="single" w:sz="4" w:space="0" w:color="000000"/>
              <w:bottom w:val="nil" w:sz="6" w:space="0" w:color="auto"/>
              <w:right w:val="single" w:sz="4" w:space="0" w:color="000000"/>
            </w:tcBorders>
          </w:tcPr>
          <w:p>
            <w:pPr>
              <w:pStyle w:val="TableParagraph"/>
              <w:tabs>
                <w:tab w:pos="758" w:val="left" w:leader="none"/>
                <w:tab w:pos="2752" w:val="left" w:leader="none"/>
              </w:tabs>
              <w:spacing w:line="240" w:lineRule="auto" w:before="9"/>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重大变动说明</w:t>
              <w:tab/>
            </w:r>
            <w:r>
              <w:rPr>
                <w:rFonts w:ascii="宋体" w:hAnsi="宋体" w:cs="宋体" w:eastAsia="宋体" w:hint="default"/>
                <w:sz w:val="21"/>
                <w:szCs w:val="21"/>
              </w:rPr>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27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156,857,09</w:t>
            </w:r>
          </w:p>
          <w:p>
            <w:pPr>
              <w:pStyle w:val="TableParagraph"/>
              <w:spacing w:line="240" w:lineRule="auto" w:before="37"/>
              <w:ind w:left="712" w:right="0"/>
              <w:jc w:val="left"/>
              <w:rPr>
                <w:rFonts w:ascii="宋体" w:hAnsi="宋体" w:cs="宋体" w:eastAsia="宋体" w:hint="default"/>
                <w:sz w:val="21"/>
                <w:szCs w:val="21"/>
              </w:rPr>
            </w:pPr>
            <w:r>
              <w:rPr>
                <w:rFonts w:ascii="宋体"/>
                <w:sz w:val="21"/>
              </w:rPr>
              <w:t>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131,368,77</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0.56%</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160,403,11</w:t>
            </w:r>
          </w:p>
          <w:p>
            <w:pPr>
              <w:pStyle w:val="TableParagraph"/>
              <w:spacing w:line="240" w:lineRule="auto" w:before="37"/>
              <w:ind w:left="712" w:right="0"/>
              <w:jc w:val="left"/>
              <w:rPr>
                <w:rFonts w:ascii="宋体" w:hAnsi="宋体" w:cs="宋体" w:eastAsia="宋体" w:hint="default"/>
                <w:sz w:val="21"/>
                <w:szCs w:val="21"/>
              </w:rPr>
            </w:pPr>
            <w:r>
              <w:rPr>
                <w:rFonts w:ascii="宋体"/>
                <w:sz w:val="21"/>
              </w:rPr>
              <w:t>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102,752,87</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3.24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3.19%</w:t>
            </w:r>
          </w:p>
        </w:tc>
        <w:tc>
          <w:tcPr>
            <w:tcW w:w="2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367"/>
        <w:gridCol w:w="1164"/>
        <w:gridCol w:w="1063"/>
        <w:gridCol w:w="1195"/>
        <w:gridCol w:w="1063"/>
        <w:gridCol w:w="931"/>
        <w:gridCol w:w="2784"/>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130,119,35</w:t>
            </w:r>
          </w:p>
          <w:p>
            <w:pPr>
              <w:pStyle w:val="TableParagraph"/>
              <w:spacing w:line="240" w:lineRule="auto" w:before="37"/>
              <w:ind w:left="712" w:right="0"/>
              <w:jc w:val="left"/>
              <w:rPr>
                <w:rFonts w:ascii="宋体" w:hAnsi="宋体" w:cs="宋体" w:eastAsia="宋体" w:hint="default"/>
                <w:sz w:val="21"/>
                <w:szCs w:val="21"/>
              </w:rPr>
            </w:pPr>
            <w:r>
              <w:rPr>
                <w:rFonts w:ascii="宋体"/>
                <w:sz w:val="21"/>
              </w:rPr>
              <w:t>6.01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115,004,89</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-0.04%</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3,740,513.</w:t>
            </w:r>
          </w:p>
          <w:p>
            <w:pPr>
              <w:pStyle w:val="TableParagraph"/>
              <w:spacing w:line="240" w:lineRule="auto" w:before="34"/>
              <w:ind w:right="19"/>
              <w:jc w:val="right"/>
              <w:rPr>
                <w:rFonts w:ascii="宋体" w:hAnsi="宋体" w:cs="宋体" w:eastAsia="宋体" w:hint="default"/>
                <w:sz w:val="21"/>
                <w:szCs w:val="21"/>
              </w:rPr>
            </w:pPr>
            <w:r>
              <w:rPr>
                <w:rFonts w:ascii="宋体"/>
                <w:sz w:val="21"/>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4,036,560.</w:t>
            </w:r>
          </w:p>
          <w:p>
            <w:pPr>
              <w:pStyle w:val="TableParagraph"/>
              <w:spacing w:line="240" w:lineRule="auto" w:before="34"/>
              <w:ind w:right="19"/>
              <w:jc w:val="right"/>
              <w:rPr>
                <w:rFonts w:ascii="宋体" w:hAnsi="宋体" w:cs="宋体" w:eastAsia="宋体" w:hint="default"/>
                <w:sz w:val="21"/>
                <w:szCs w:val="21"/>
              </w:rPr>
            </w:pPr>
            <w:r>
              <w:rPr>
                <w:rFonts w:ascii="宋体"/>
                <w:sz w:val="21"/>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-0.07%</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1" w:right="0"/>
              <w:jc w:val="left"/>
              <w:rPr>
                <w:rFonts w:ascii="宋体" w:hAnsi="宋体" w:cs="宋体" w:eastAsia="宋体" w:hint="default"/>
                <w:sz w:val="21"/>
                <w:szCs w:val="21"/>
              </w:rPr>
            </w:pPr>
            <w:r>
              <w:rPr>
                <w:rFonts w:ascii="宋体"/>
                <w:sz w:val="21"/>
              </w:rPr>
              <w:t>505,208,18</w:t>
            </w:r>
          </w:p>
          <w:p>
            <w:pPr>
              <w:pStyle w:val="TableParagraph"/>
              <w:spacing w:line="240" w:lineRule="auto" w:before="34"/>
              <w:ind w:left="712" w:right="0"/>
              <w:jc w:val="left"/>
              <w:rPr>
                <w:rFonts w:ascii="宋体" w:hAnsi="宋体" w:cs="宋体" w:eastAsia="宋体" w:hint="default"/>
                <w:sz w:val="21"/>
                <w:szCs w:val="21"/>
              </w:rPr>
            </w:pPr>
            <w:r>
              <w:rPr>
                <w:rFonts w:ascii="宋体"/>
                <w:sz w:val="21"/>
              </w:rPr>
              <w:t>2.02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36.99%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493,650,88</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41.06%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-4.07%</w:t>
            </w: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48,714,593</w:t>
            </w:r>
          </w:p>
          <w:p>
            <w:pPr>
              <w:pStyle w:val="TableParagraph"/>
              <w:spacing w:line="240" w:lineRule="auto" w:before="37"/>
              <w:ind w:right="17"/>
              <w:jc w:val="right"/>
              <w:rPr>
                <w:rFonts w:ascii="宋体" w:hAnsi="宋体" w:cs="宋体" w:eastAsia="宋体" w:hint="default"/>
                <w:sz w:val="21"/>
                <w:szCs w:val="21"/>
              </w:rPr>
            </w:pPr>
            <w:r>
              <w:rPr>
                <w:rFonts w:ascii="宋体"/>
                <w:sz w:val="21"/>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67,488,150</w:t>
            </w:r>
          </w:p>
          <w:p>
            <w:pPr>
              <w:pStyle w:val="TableParagraph"/>
              <w:spacing w:line="240" w:lineRule="auto" w:before="37"/>
              <w:ind w:right="17"/>
              <w:jc w:val="right"/>
              <w:rPr>
                <w:rFonts w:ascii="宋体" w:hAnsi="宋体" w:cs="宋体" w:eastAsia="宋体" w:hint="default"/>
                <w:sz w:val="21"/>
                <w:szCs w:val="21"/>
              </w:rPr>
            </w:pPr>
            <w:r>
              <w:rPr>
                <w:rFonts w:ascii="宋体"/>
                <w:sz w:val="21"/>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-2.04%</w:t>
            </w:r>
          </w:p>
        </w:tc>
        <w:tc>
          <w:tcPr>
            <w:tcW w:w="27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99"/>
        <w:jc w:val="left"/>
      </w:pPr>
      <w:r>
        <w:rPr/>
        <w:t>2、负债项目重大变动情况</w:t>
      </w:r>
    </w:p>
    <w:p>
      <w:pPr>
        <w:spacing w:line="240" w:lineRule="auto" w:before="13"/>
        <w:rPr>
          <w:rFonts w:ascii="宋体" w:hAnsi="宋体" w:cs="宋体" w:eastAsia="宋体" w:hint="default"/>
          <w:sz w:val="22"/>
          <w:szCs w:val="22"/>
        </w:rPr>
      </w:pPr>
    </w:p>
    <w:p>
      <w:pPr>
        <w:pStyle w:val="BodyText"/>
        <w:spacing w:line="240" w:lineRule="auto" w:before="36"/>
        <w:ind w:left="0" w:right="20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164"/>
        <w:gridCol w:w="1063"/>
        <w:gridCol w:w="1195"/>
        <w:gridCol w:w="1063"/>
        <w:gridCol w:w="797"/>
        <w:gridCol w:w="2918"/>
      </w:tblGrid>
      <w:tr>
        <w:trPr>
          <w:trHeight w:val="382" w:hRule="exact"/>
        </w:trPr>
        <w:tc>
          <w:tcPr>
            <w:tcW w:w="1367"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spacing w:val="-102"/>
                <w:sz w:val="21"/>
                <w:szCs w:val="21"/>
              </w:rPr>
              <w:t> </w:t>
            </w:r>
            <w:r>
              <w:rPr>
                <w:rFonts w:ascii="宋体" w:hAnsi="宋体" w:cs="宋体" w:eastAsia="宋体" w:hint="default"/>
                <w:sz w:val="21"/>
                <w:szCs w:val="21"/>
              </w:rPr>
              <w:t>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1" w:hRule="exact"/>
        </w:trPr>
        <w:tc>
          <w:tcPr>
            <w:tcW w:w="1367"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49"/>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49"/>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tabs>
                <w:tab w:pos="825" w:val="left" w:leader="none"/>
                <w:tab w:pos="2887" w:val="left" w:leader="none"/>
              </w:tabs>
              <w:spacing w:line="240" w:lineRule="auto" w:before="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重大变动说明</w:t>
              <w:tab/>
            </w:r>
            <w:r>
              <w:rPr>
                <w:rFonts w:ascii="宋体" w:hAnsi="宋体" w:cs="宋体" w:eastAsia="宋体" w:hint="default"/>
                <w:sz w:val="21"/>
                <w:szCs w:val="21"/>
              </w:rPr>
            </w:r>
          </w:p>
        </w:tc>
      </w:tr>
      <w:tr>
        <w:trPr>
          <w:trHeight w:val="362"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宋体" w:hAnsi="宋体" w:cs="宋体" w:eastAsia="宋体" w:hint="default"/>
                <w:sz w:val="21"/>
                <w:szCs w:val="21"/>
              </w:rPr>
            </w:pPr>
            <w:r>
              <w:rPr>
                <w:rFonts w:ascii="宋体"/>
                <w:sz w:val="21"/>
              </w:rPr>
              <w:t>167,500,00</w:t>
            </w:r>
          </w:p>
          <w:p>
            <w:pPr>
              <w:pStyle w:val="TableParagraph"/>
              <w:spacing w:line="240" w:lineRule="auto" w:before="37"/>
              <w:ind w:left="712" w:right="0"/>
              <w:jc w:val="left"/>
              <w:rPr>
                <w:rFonts w:ascii="宋体" w:hAnsi="宋体" w:cs="宋体" w:eastAsia="宋体" w:hint="default"/>
                <w:sz w:val="21"/>
                <w:szCs w:val="21"/>
              </w:rPr>
            </w:pPr>
            <w:r>
              <w:rPr>
                <w:rFonts w:ascii="宋体"/>
                <w:sz w:val="21"/>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21"/>
                <w:szCs w:val="21"/>
              </w:rPr>
            </w:pPr>
            <w:r>
              <w:rPr>
                <w:rFonts w:ascii="宋体"/>
                <w:sz w:val="21"/>
              </w:rPr>
              <w:t>12.26%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82,500,000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21"/>
                <w:szCs w:val="21"/>
              </w:rPr>
            </w:pPr>
            <w:r>
              <w:rPr>
                <w:rFonts w:ascii="宋体"/>
                <w:sz w:val="21"/>
              </w:rPr>
              <w:t>6.86%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sz w:val="21"/>
              </w:rPr>
              <w:t>5.40%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99"/>
        <w:jc w:val="left"/>
      </w:pPr>
      <w:r>
        <w:rPr/>
        <w:t>3、以公允价值计量的资产和负债</w:t>
      </w:r>
    </w:p>
    <w:p>
      <w:pPr>
        <w:spacing w:line="240" w:lineRule="auto" w:before="10"/>
        <w:rPr>
          <w:rFonts w:ascii="宋体" w:hAnsi="宋体" w:cs="宋体" w:eastAsia="宋体" w:hint="default"/>
          <w:sz w:val="25"/>
          <w:szCs w:val="25"/>
        </w:rPr>
      </w:pPr>
    </w:p>
    <w:p>
      <w:pPr>
        <w:pStyle w:val="BodyText"/>
        <w:spacing w:line="535" w:lineRule="auto"/>
        <w:ind w:right="7941"/>
        <w:jc w:val="left"/>
      </w:pPr>
      <w:r>
        <w:rPr/>
        <w:t>□ 适用 √</w:t>
      </w:r>
      <w:r>
        <w:rPr>
          <w:spacing w:val="-1"/>
        </w:rPr>
        <w:t> </w:t>
      </w:r>
      <w:r>
        <w:rPr/>
        <w:t>不适用</w:t>
      </w:r>
      <w:r>
        <w:rPr>
          <w:w w:val="100"/>
        </w:rPr>
        <w:t> </w:t>
      </w:r>
      <w:r>
        <w:rPr/>
        <w:t>五、核心竞争力分析</w:t>
      </w:r>
    </w:p>
    <w:p>
      <w:pPr>
        <w:pStyle w:val="BodyText"/>
        <w:spacing w:line="240" w:lineRule="auto" w:before="81"/>
        <w:ind w:left="574" w:right="99"/>
        <w:jc w:val="left"/>
      </w:pPr>
      <w:r>
        <w:rPr/>
        <w:t>报告期内，公司核心竞争力未发生变化。</w:t>
      </w:r>
    </w:p>
    <w:p>
      <w:pPr>
        <w:pStyle w:val="BodyText"/>
        <w:spacing w:line="273" w:lineRule="auto" w:before="75"/>
        <w:ind w:right="205" w:firstLine="420"/>
        <w:jc w:val="both"/>
      </w:pPr>
      <w:r>
        <w:rPr/>
        <w:t>第一 研发创新方面</w:t>
      </w:r>
      <w:r>
        <w:rPr>
          <w:spacing w:val="67"/>
        </w:rPr>
        <w:t> </w:t>
      </w:r>
      <w:r>
        <w:rPr>
          <w:spacing w:val="-3"/>
        </w:rPr>
        <w:t>随着公司研发投入的加大，公司在高档商业票据、高端包装印刷、智能标签以及</w:t>
      </w:r>
      <w:r>
        <w:rPr>
          <w:w w:val="100"/>
        </w:rPr>
        <w:t> </w:t>
      </w:r>
      <w:r>
        <w:rPr>
          <w:spacing w:val="-2"/>
        </w:rPr>
        <w:t>彩种研发等方面的研发投入不断增强，新产品的开发能力、品质控制以及印刷技术得到持续提高，进一步</w:t>
      </w:r>
      <w:r>
        <w:rPr>
          <w:spacing w:val="-43"/>
        </w:rPr>
        <w:t> </w:t>
      </w:r>
      <w:r>
        <w:rPr>
          <w:spacing w:val="-43"/>
        </w:rPr>
      </w:r>
      <w:r>
        <w:rPr/>
        <w:t>提升了公司的综合竞争力；</w:t>
      </w:r>
    </w:p>
    <w:p>
      <w:pPr>
        <w:pStyle w:val="BodyText"/>
        <w:spacing w:line="273" w:lineRule="auto" w:before="48"/>
        <w:ind w:right="99" w:firstLine="420"/>
        <w:jc w:val="left"/>
      </w:pPr>
      <w:r>
        <w:rPr/>
        <w:t>第二 产品链方面</w:t>
      </w:r>
      <w:r>
        <w:rPr>
          <w:spacing w:val="69"/>
        </w:rPr>
        <w:t> </w:t>
      </w:r>
      <w:r>
        <w:rPr>
          <w:spacing w:val="-3"/>
        </w:rPr>
        <w:t>公司积极研发新产品,开展新业务，产品覆盖从单一的产品印刷到印刷方案的解决；</w:t>
      </w:r>
      <w:r>
        <w:rPr>
          <w:w w:val="100"/>
        </w:rPr>
        <w:t> </w:t>
      </w:r>
      <w:r>
        <w:rPr/>
        <w:t>从单一的彩票印制到彩票玩法设计、平台搭建以及系统开发；从包装印刷到高档包装产品防伪,实现了由</w:t>
      </w:r>
      <w:r>
        <w:rPr>
          <w:spacing w:val="-25"/>
        </w:rPr>
        <w:t> </w:t>
      </w:r>
      <w:r>
        <w:rPr>
          <w:spacing w:val="-25"/>
        </w:rPr>
      </w:r>
      <w:r>
        <w:rPr/>
        <w:t>单一产品提供商向方案解决以及服务提供商转变,已成为公司独特的优势。</w:t>
      </w:r>
    </w:p>
    <w:p>
      <w:pPr>
        <w:pStyle w:val="BodyText"/>
        <w:spacing w:line="273" w:lineRule="auto" w:before="48"/>
        <w:ind w:right="99" w:firstLine="420"/>
        <w:jc w:val="left"/>
      </w:pPr>
      <w:r>
        <w:rPr/>
        <w:t>第三 区域布局</w:t>
      </w:r>
      <w:r>
        <w:rPr>
          <w:spacing w:val="48"/>
        </w:rPr>
        <w:t> </w:t>
      </w:r>
      <w:r>
        <w:rPr>
          <w:spacing w:val="-5"/>
        </w:rPr>
        <w:t>公司已完成了福州、无锡、北京、重庆、泸州五大印刷基地的建设，形成了涵盖华南、</w:t>
      </w:r>
      <w:r>
        <w:rPr>
          <w:w w:val="100"/>
        </w:rPr>
        <w:t> </w:t>
      </w:r>
      <w:r>
        <w:rPr>
          <w:spacing w:val="-2"/>
        </w:rPr>
        <w:t>华东、华北、西南的全国印刷基地布局。公司具备了以最快的速度、最短的交货周期为客户提供最好服务</w:t>
      </w:r>
      <w:r>
        <w:rPr>
          <w:spacing w:val="-47"/>
        </w:rPr>
        <w:t> </w:t>
      </w:r>
      <w:r>
        <w:rPr>
          <w:spacing w:val="-47"/>
        </w:rPr>
      </w:r>
      <w:r>
        <w:rPr/>
        <w:t>的优势。</w:t>
      </w:r>
    </w:p>
    <w:p>
      <w:pPr>
        <w:pStyle w:val="BodyText"/>
        <w:spacing w:line="273" w:lineRule="auto" w:before="46"/>
        <w:ind w:right="205" w:firstLine="420"/>
        <w:jc w:val="both"/>
      </w:pPr>
      <w:r>
        <w:rPr/>
        <w:t>第四 客户优势</w:t>
      </w:r>
      <w:r>
        <w:rPr>
          <w:spacing w:val="-27"/>
        </w:rPr>
        <w:t> </w:t>
      </w:r>
      <w:r>
        <w:rPr/>
        <w:t>公司已与众多金融、保险、财税以及高端白酒客户建立了稳定的合作关系，积累了大</w:t>
      </w:r>
      <w:r>
        <w:rPr>
          <w:w w:val="100"/>
        </w:rPr>
        <w:t> </w:t>
      </w:r>
      <w:r>
        <w:rPr>
          <w:spacing w:val="-2"/>
        </w:rPr>
        <w:t>量的优质客户资源。通过为客户提供个性化产品需求、为客户提供一揽子系统解决方案，不断提升公司产</w:t>
      </w:r>
      <w:r>
        <w:rPr>
          <w:spacing w:val="-44"/>
        </w:rPr>
        <w:t> </w:t>
      </w:r>
      <w:r>
        <w:rPr>
          <w:spacing w:val="-44"/>
        </w:rPr>
      </w:r>
      <w:r>
        <w:rPr/>
        <w:t>品和服务附加值，深化与客户合作，从而形成新的利润增长点。</w:t>
      </w:r>
    </w:p>
    <w:p>
      <w:pPr>
        <w:pStyle w:val="BodyText"/>
        <w:spacing w:line="273" w:lineRule="auto" w:before="48"/>
        <w:ind w:right="205" w:firstLine="420"/>
        <w:jc w:val="both"/>
      </w:pPr>
      <w:r>
        <w:rPr/>
        <w:t>第五 管理及其他方面</w:t>
      </w:r>
      <w:r>
        <w:rPr>
          <w:spacing w:val="65"/>
        </w:rPr>
        <w:t> </w:t>
      </w:r>
      <w:r>
        <w:rPr>
          <w:spacing w:val="-3"/>
        </w:rPr>
        <w:t>公司注重培养技术团队，不断提升企业管理层次，提高工作效率，使管理更加</w:t>
      </w:r>
      <w:r>
        <w:rPr>
          <w:w w:val="100"/>
        </w:rPr>
        <w:t> </w:t>
      </w:r>
      <w:r>
        <w:rPr>
          <w:spacing w:val="-2"/>
        </w:rPr>
        <w:t>科学、合理，保证公司健康、稳定、持续发展；公司已在成本控制、售后服务、现代企业管理等企业核心</w:t>
      </w:r>
      <w:r>
        <w:rPr>
          <w:spacing w:val="-49"/>
        </w:rPr>
        <w:t> </w:t>
      </w:r>
      <w:r>
        <w:rPr>
          <w:spacing w:val="-49"/>
        </w:rPr>
      </w:r>
      <w:r>
        <w:rPr/>
        <w:t>要素上，形成较强竞争优势。</w:t>
      </w:r>
    </w:p>
    <w:p>
      <w:pPr>
        <w:spacing w:after="0" w:line="273" w:lineRule="auto"/>
        <w:jc w:val="both"/>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537" w:lineRule="auto"/>
        <w:ind w:right="7776"/>
        <w:jc w:val="left"/>
      </w:pPr>
      <w:r>
        <w:rPr/>
        <w:t>六、投资状况分析</w:t>
      </w:r>
      <w:r>
        <w:rPr>
          <w:spacing w:val="-96"/>
        </w:rPr>
        <w:t> </w:t>
      </w:r>
      <w:r>
        <w:rPr/>
        <w:t>1、对外股权投资情况</w:t>
      </w:r>
    </w:p>
    <w:p>
      <w:pPr>
        <w:pStyle w:val="BodyText"/>
        <w:spacing w:line="240" w:lineRule="auto" w:before="76"/>
        <w:ind w:right="2880"/>
        <w:jc w:val="left"/>
      </w:pPr>
      <w:r>
        <w:rPr/>
        <w:t>（1）对外投资情况</w:t>
      </w:r>
    </w:p>
    <w:p>
      <w:pPr>
        <w:spacing w:line="240" w:lineRule="auto" w:before="12"/>
        <w:rPr>
          <w:rFonts w:ascii="宋体" w:hAnsi="宋体" w:cs="宋体" w:eastAsia="宋体" w:hint="default"/>
          <w:sz w:val="25"/>
          <w:szCs w:val="25"/>
        </w:rPr>
      </w:pPr>
    </w:p>
    <w:p>
      <w:pPr>
        <w:pStyle w:val="BodyText"/>
        <w:spacing w:line="307" w:lineRule="auto"/>
        <w:ind w:right="7356"/>
        <w:jc w:val="left"/>
      </w:pPr>
      <w:r>
        <w:rPr/>
        <w:t>□ 适用 √</w:t>
      </w:r>
      <w:r>
        <w:rPr>
          <w:spacing w:val="-2"/>
        </w:rPr>
        <w:t> </w:t>
      </w:r>
      <w:r>
        <w:rPr/>
        <w:t>不适用</w:t>
      </w:r>
      <w:r>
        <w:rPr>
          <w:w w:val="100"/>
        </w:rPr>
        <w:t> </w:t>
      </w:r>
      <w:r>
        <w:rPr>
          <w:spacing w:val="-2"/>
        </w:rPr>
        <w:t>公司报告期无对外投资。</w:t>
      </w:r>
    </w:p>
    <w:p>
      <w:pPr>
        <w:spacing w:line="240" w:lineRule="auto" w:before="4"/>
        <w:rPr>
          <w:rFonts w:ascii="宋体" w:hAnsi="宋体" w:cs="宋体" w:eastAsia="宋体" w:hint="default"/>
          <w:sz w:val="21"/>
          <w:szCs w:val="21"/>
        </w:rPr>
      </w:pPr>
    </w:p>
    <w:p>
      <w:pPr>
        <w:pStyle w:val="BodyText"/>
        <w:spacing w:line="240" w:lineRule="auto"/>
        <w:ind w:right="2880"/>
        <w:jc w:val="left"/>
      </w:pPr>
      <w:r>
        <w:rPr/>
        <w:t>（2）持有金融企业股权情况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76"/>
        <w:gridCol w:w="881"/>
        <w:gridCol w:w="869"/>
        <w:gridCol w:w="871"/>
        <w:gridCol w:w="869"/>
        <w:gridCol w:w="869"/>
        <w:gridCol w:w="869"/>
        <w:gridCol w:w="869"/>
        <w:gridCol w:w="869"/>
        <w:gridCol w:w="869"/>
        <w:gridCol w:w="854"/>
      </w:tblGrid>
      <w:tr>
        <w:trPr>
          <w:trHeight w:val="1026" w:hRule="exact"/>
        </w:trPr>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28" w:right="113" w:hanging="212"/>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28" w:right="115" w:hanging="209"/>
              <w:jc w:val="left"/>
              <w:rPr>
                <w:rFonts w:ascii="宋体" w:hAnsi="宋体" w:cs="宋体" w:eastAsia="宋体" w:hint="default"/>
                <w:sz w:val="21"/>
                <w:szCs w:val="21"/>
              </w:rPr>
            </w:pPr>
            <w:r>
              <w:rPr>
                <w:rFonts w:ascii="宋体" w:hAnsi="宋体" w:cs="宋体" w:eastAsia="宋体" w:hint="default"/>
                <w:sz w:val="21"/>
                <w:szCs w:val="21"/>
              </w:rPr>
              <w:t>公司类</w:t>
            </w:r>
            <w:r>
              <w:rPr>
                <w:rFonts w:ascii="宋体" w:hAnsi="宋体" w:cs="宋体" w:eastAsia="宋体" w:hint="default"/>
                <w:spacing w:val="-102"/>
                <w:sz w:val="21"/>
                <w:szCs w:val="21"/>
              </w:rPr>
              <w:t> </w:t>
            </w:r>
            <w:r>
              <w:rPr>
                <w:rFonts w:ascii="宋体" w:hAnsi="宋体" w:cs="宋体" w:eastAsia="宋体" w:hint="default"/>
                <w:sz w:val="21"/>
                <w:szCs w:val="21"/>
              </w:rPr>
              <w:t>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15" w:right="108"/>
              <w:jc w:val="left"/>
              <w:rPr>
                <w:rFonts w:ascii="宋体" w:hAnsi="宋体" w:cs="宋体" w:eastAsia="宋体" w:hint="default"/>
                <w:sz w:val="21"/>
                <w:szCs w:val="21"/>
              </w:rPr>
            </w:pPr>
            <w:r>
              <w:rPr>
                <w:rFonts w:ascii="宋体" w:hAnsi="宋体" w:cs="宋体" w:eastAsia="宋体" w:hint="default"/>
                <w:sz w:val="21"/>
                <w:szCs w:val="21"/>
              </w:rPr>
              <w:t>最初投</w:t>
            </w:r>
            <w:r>
              <w:rPr>
                <w:rFonts w:ascii="宋体" w:hAnsi="宋体" w:cs="宋体" w:eastAsia="宋体" w:hint="default"/>
                <w:spacing w:val="-102"/>
                <w:sz w:val="21"/>
                <w:szCs w:val="21"/>
              </w:rPr>
              <w:t> </w:t>
            </w:r>
            <w:r>
              <w:rPr>
                <w:rFonts w:ascii="宋体" w:hAnsi="宋体" w:cs="宋体" w:eastAsia="宋体" w:hint="default"/>
                <w:sz w:val="21"/>
                <w:szCs w:val="21"/>
              </w:rPr>
              <w:t>资成本</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15" w:right="110"/>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115" w:right="108"/>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15" w:right="108"/>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115" w:right="108"/>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股比例</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220" w:right="108" w:hanging="106"/>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面值</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220" w:right="108" w:hanging="106"/>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损益</w:t>
            </w:r>
          </w:p>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115" w:right="108"/>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spacing w:val="-102"/>
                <w:sz w:val="21"/>
                <w:szCs w:val="21"/>
              </w:rPr>
              <w:t> </w:t>
            </w:r>
            <w:r>
              <w:rPr>
                <w:rFonts w:ascii="宋体" w:hAnsi="宋体" w:cs="宋体" w:eastAsia="宋体" w:hint="default"/>
                <w:sz w:val="21"/>
                <w:szCs w:val="21"/>
              </w:rPr>
              <w:t>算科目</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359" w:hRule="exact"/>
        </w:trPr>
        <w:tc>
          <w:tcPr>
            <w:tcW w:w="8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成都农</w:t>
            </w:r>
          </w:p>
        </w:tc>
        <w:tc>
          <w:tcPr>
            <w:tcW w:w="88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7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村商业</w:t>
            </w:r>
          </w:p>
          <w:p>
            <w:pPr>
              <w:pStyle w:val="TableParagraph"/>
              <w:spacing w:line="273" w:lineRule="auto" w:before="37"/>
              <w:ind w:left="24" w:right="206"/>
              <w:jc w:val="left"/>
              <w:rPr>
                <w:rFonts w:ascii="宋体" w:hAnsi="宋体" w:cs="宋体" w:eastAsia="宋体" w:hint="default"/>
                <w:sz w:val="21"/>
                <w:szCs w:val="21"/>
              </w:rPr>
            </w:pPr>
            <w:r>
              <w:rPr>
                <w:rFonts w:ascii="宋体" w:hAnsi="宋体" w:cs="宋体" w:eastAsia="宋体" w:hint="default"/>
                <w:sz w:val="21"/>
                <w:szCs w:val="21"/>
              </w:rPr>
              <w:t>银行股</w:t>
            </w:r>
            <w:r>
              <w:rPr>
                <w:rFonts w:ascii="宋体" w:hAnsi="宋体" w:cs="宋体" w:eastAsia="宋体" w:hint="default"/>
                <w:spacing w:val="-102"/>
                <w:sz w:val="21"/>
                <w:szCs w:val="21"/>
              </w:rPr>
              <w:t> </w:t>
            </w:r>
            <w:r>
              <w:rPr>
                <w:rFonts w:ascii="宋体" w:hAnsi="宋体" w:cs="宋体" w:eastAsia="宋体" w:hint="default"/>
                <w:sz w:val="21"/>
                <w:szCs w:val="21"/>
              </w:rPr>
              <w:t>份有限</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211"/>
              <w:jc w:val="left"/>
              <w:rPr>
                <w:rFonts w:ascii="宋体" w:hAnsi="宋体" w:cs="宋体" w:eastAsia="宋体" w:hint="default"/>
                <w:sz w:val="21"/>
                <w:szCs w:val="21"/>
              </w:rPr>
            </w:pPr>
            <w:r>
              <w:rPr>
                <w:rFonts w:ascii="宋体" w:hAnsi="宋体" w:cs="宋体" w:eastAsia="宋体" w:hint="default"/>
                <w:sz w:val="21"/>
                <w:szCs w:val="21"/>
              </w:rPr>
              <w:t>商业银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center"/>
              <w:rPr>
                <w:rFonts w:ascii="宋体" w:hAnsi="宋体" w:cs="宋体" w:eastAsia="宋体" w:hint="default"/>
                <w:sz w:val="21"/>
                <w:szCs w:val="21"/>
              </w:rPr>
            </w:pPr>
            <w:r>
              <w:rPr>
                <w:rFonts w:ascii="宋体"/>
                <w:sz w:val="21"/>
              </w:rPr>
              <w:t>82,560,</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000.00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57,850,</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2" w:right="0"/>
              <w:jc w:val="left"/>
              <w:rPr>
                <w:rFonts w:ascii="宋体" w:hAnsi="宋体" w:cs="宋体" w:eastAsia="宋体" w:hint="default"/>
                <w:sz w:val="21"/>
                <w:szCs w:val="21"/>
              </w:rPr>
            </w:pPr>
            <w:r>
              <w:rPr>
                <w:rFonts w:ascii="宋体"/>
                <w:sz w:val="21"/>
              </w:rPr>
              <w:t>0.58%</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sz w:val="21"/>
              </w:rPr>
              <w:t>57,850,</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2" w:right="0"/>
              <w:jc w:val="left"/>
              <w:rPr>
                <w:rFonts w:ascii="宋体" w:hAnsi="宋体" w:cs="宋体" w:eastAsia="宋体" w:hint="default"/>
                <w:sz w:val="21"/>
                <w:szCs w:val="21"/>
              </w:rPr>
            </w:pPr>
            <w:r>
              <w:rPr>
                <w:rFonts w:ascii="宋体"/>
                <w:sz w:val="21"/>
              </w:rPr>
              <w:t>0.58%</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center"/>
              <w:rPr>
                <w:rFonts w:ascii="宋体" w:hAnsi="宋体" w:cs="宋体" w:eastAsia="宋体" w:hint="default"/>
                <w:sz w:val="21"/>
                <w:szCs w:val="21"/>
              </w:rPr>
            </w:pPr>
            <w:r>
              <w:rPr>
                <w:rFonts w:ascii="宋体"/>
                <w:sz w:val="21"/>
              </w:rPr>
              <w:t>82,560,</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000.00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3" w:lineRule="auto" w:before="37"/>
              <w:ind w:left="24" w:right="199"/>
              <w:jc w:val="left"/>
              <w:rPr>
                <w:rFonts w:ascii="宋体" w:hAnsi="宋体" w:cs="宋体" w:eastAsia="宋体" w:hint="default"/>
                <w:sz w:val="21"/>
                <w:szCs w:val="21"/>
              </w:rPr>
            </w:pPr>
            <w:r>
              <w:rPr>
                <w:rFonts w:ascii="宋体" w:hAnsi="宋体" w:cs="宋体" w:eastAsia="宋体" w:hint="default"/>
                <w:sz w:val="21"/>
                <w:szCs w:val="21"/>
              </w:rPr>
              <w:t>售金融</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185"/>
              <w:jc w:val="left"/>
              <w:rPr>
                <w:rFonts w:ascii="宋体" w:hAnsi="宋体" w:cs="宋体" w:eastAsia="宋体" w:hint="default"/>
                <w:sz w:val="21"/>
                <w:szCs w:val="21"/>
              </w:rPr>
            </w:pPr>
            <w:r>
              <w:rPr>
                <w:rFonts w:ascii="宋体" w:hAnsi="宋体" w:cs="宋体" w:eastAsia="宋体" w:hint="default"/>
                <w:sz w:val="21"/>
                <w:szCs w:val="21"/>
              </w:rPr>
              <w:t>发起设</w:t>
            </w:r>
            <w:r>
              <w:rPr>
                <w:rFonts w:ascii="宋体" w:hAnsi="宋体" w:cs="宋体" w:eastAsia="宋体" w:hint="default"/>
                <w:spacing w:val="-102"/>
                <w:sz w:val="21"/>
                <w:szCs w:val="21"/>
              </w:rPr>
              <w:t> </w:t>
            </w:r>
            <w:r>
              <w:rPr>
                <w:rFonts w:ascii="宋体" w:hAnsi="宋体" w:cs="宋体" w:eastAsia="宋体" w:hint="default"/>
                <w:sz w:val="21"/>
                <w:szCs w:val="21"/>
              </w:rPr>
              <w:t>立</w:t>
            </w:r>
          </w:p>
        </w:tc>
      </w:tr>
      <w:tr>
        <w:trPr>
          <w:trHeight w:val="354" w:hRule="exact"/>
        </w:trPr>
        <w:tc>
          <w:tcPr>
            <w:tcW w:w="87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8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厦门翔</w:t>
            </w:r>
          </w:p>
        </w:tc>
        <w:tc>
          <w:tcPr>
            <w:tcW w:w="88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87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z w:val="21"/>
                <w:szCs w:val="21"/>
              </w:rPr>
              <w:t>安民生</w:t>
            </w:r>
          </w:p>
          <w:p>
            <w:pPr>
              <w:pStyle w:val="TableParagraph"/>
              <w:spacing w:line="273" w:lineRule="auto" w:before="37"/>
              <w:ind w:left="24" w:right="206"/>
              <w:jc w:val="both"/>
              <w:rPr>
                <w:rFonts w:ascii="宋体" w:hAnsi="宋体" w:cs="宋体" w:eastAsia="宋体" w:hint="default"/>
                <w:sz w:val="21"/>
                <w:szCs w:val="21"/>
              </w:rPr>
            </w:pPr>
            <w:r>
              <w:rPr>
                <w:rFonts w:ascii="宋体" w:hAnsi="宋体" w:cs="宋体" w:eastAsia="宋体" w:hint="default"/>
                <w:sz w:val="21"/>
                <w:szCs w:val="21"/>
              </w:rPr>
              <w:t>村镇银</w:t>
            </w:r>
            <w:r>
              <w:rPr>
                <w:rFonts w:ascii="宋体" w:hAnsi="宋体" w:cs="宋体" w:eastAsia="宋体" w:hint="default"/>
                <w:spacing w:val="-102"/>
                <w:sz w:val="21"/>
                <w:szCs w:val="21"/>
              </w:rPr>
              <w:t> </w:t>
            </w:r>
            <w:r>
              <w:rPr>
                <w:rFonts w:ascii="宋体" w:hAnsi="宋体" w:cs="宋体" w:eastAsia="宋体" w:hint="default"/>
                <w:sz w:val="21"/>
                <w:szCs w:val="21"/>
              </w:rPr>
              <w:t>行股份</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1" w:lineRule="auto"/>
              <w:ind w:left="24" w:right="211"/>
              <w:jc w:val="left"/>
              <w:rPr>
                <w:rFonts w:ascii="宋体" w:hAnsi="宋体" w:cs="宋体" w:eastAsia="宋体" w:hint="default"/>
                <w:sz w:val="21"/>
                <w:szCs w:val="21"/>
              </w:rPr>
            </w:pPr>
            <w:r>
              <w:rPr>
                <w:rFonts w:ascii="宋体" w:hAnsi="宋体" w:cs="宋体" w:eastAsia="宋体" w:hint="default"/>
                <w:sz w:val="21"/>
                <w:szCs w:val="21"/>
              </w:rPr>
              <w:t>商业银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3,500,0</w:t>
            </w:r>
          </w:p>
          <w:p>
            <w:pPr>
              <w:pStyle w:val="TableParagraph"/>
              <w:spacing w:line="240" w:lineRule="auto" w:before="34"/>
              <w:ind w:left="312" w:right="0"/>
              <w:jc w:val="left"/>
              <w:rPr>
                <w:rFonts w:ascii="宋体" w:hAnsi="宋体" w:cs="宋体" w:eastAsia="宋体" w:hint="default"/>
                <w:sz w:val="21"/>
                <w:szCs w:val="21"/>
              </w:rPr>
            </w:pPr>
            <w:r>
              <w:rPr>
                <w:rFonts w:ascii="宋体"/>
                <w:sz w:val="21"/>
              </w:rPr>
              <w:t>00.00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3,500,0</w:t>
            </w:r>
          </w:p>
          <w:p>
            <w:pPr>
              <w:pStyle w:val="TableParagraph"/>
              <w:spacing w:line="240" w:lineRule="auto" w:before="34"/>
              <w:ind w:right="23"/>
              <w:jc w:val="right"/>
              <w:rPr>
                <w:rFonts w:ascii="宋体" w:hAnsi="宋体" w:cs="宋体" w:eastAsia="宋体" w:hint="default"/>
                <w:sz w:val="21"/>
                <w:szCs w:val="21"/>
              </w:rPr>
            </w:pPr>
            <w:r>
              <w:rPr>
                <w:rFonts w:ascii="宋体"/>
                <w:sz w:val="21"/>
              </w:rPr>
              <w:t>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sz w:val="21"/>
              </w:rPr>
              <w:t>5.00%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3,500,0</w:t>
            </w:r>
          </w:p>
          <w:p>
            <w:pPr>
              <w:pStyle w:val="TableParagraph"/>
              <w:spacing w:line="240" w:lineRule="auto" w:before="34"/>
              <w:ind w:right="19"/>
              <w:jc w:val="right"/>
              <w:rPr>
                <w:rFonts w:ascii="宋体" w:hAnsi="宋体" w:cs="宋体" w:eastAsia="宋体" w:hint="default"/>
                <w:sz w:val="21"/>
                <w:szCs w:val="21"/>
              </w:rPr>
            </w:pPr>
            <w:r>
              <w:rPr>
                <w:rFonts w:ascii="宋体"/>
                <w:sz w:val="21"/>
              </w:rPr>
              <w:t>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2" w:right="0"/>
              <w:jc w:val="left"/>
              <w:rPr>
                <w:rFonts w:ascii="宋体" w:hAnsi="宋体" w:cs="宋体" w:eastAsia="宋体" w:hint="default"/>
                <w:sz w:val="21"/>
                <w:szCs w:val="21"/>
              </w:rPr>
            </w:pPr>
            <w:r>
              <w:rPr>
                <w:rFonts w:ascii="宋体"/>
                <w:sz w:val="21"/>
              </w:rPr>
              <w:t>5.00%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3,500,0</w:t>
            </w:r>
          </w:p>
          <w:p>
            <w:pPr>
              <w:pStyle w:val="TableParagraph"/>
              <w:spacing w:line="240" w:lineRule="auto" w:before="34"/>
              <w:ind w:left="312" w:right="0"/>
              <w:jc w:val="left"/>
              <w:rPr>
                <w:rFonts w:ascii="宋体" w:hAnsi="宋体" w:cs="宋体" w:eastAsia="宋体" w:hint="default"/>
                <w:sz w:val="21"/>
                <w:szCs w:val="21"/>
              </w:rPr>
            </w:pPr>
            <w:r>
              <w:rPr>
                <w:rFonts w:ascii="宋体"/>
                <w:sz w:val="21"/>
              </w:rPr>
              <w:t>00.00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71" w:lineRule="auto" w:before="144"/>
              <w:ind w:left="24" w:right="199"/>
              <w:jc w:val="both"/>
              <w:rPr>
                <w:rFonts w:ascii="宋体" w:hAnsi="宋体" w:cs="宋体" w:eastAsia="宋体" w:hint="default"/>
                <w:sz w:val="21"/>
                <w:szCs w:val="21"/>
              </w:rPr>
            </w:pPr>
            <w:r>
              <w:rPr>
                <w:rFonts w:ascii="宋体" w:hAnsi="宋体" w:cs="宋体" w:eastAsia="宋体" w:hint="default"/>
                <w:sz w:val="21"/>
                <w:szCs w:val="21"/>
              </w:rPr>
              <w:t>可供出</w:t>
            </w:r>
            <w:r>
              <w:rPr>
                <w:rFonts w:ascii="宋体" w:hAnsi="宋体" w:cs="宋体" w:eastAsia="宋体" w:hint="default"/>
                <w:spacing w:val="-102"/>
                <w:sz w:val="21"/>
                <w:szCs w:val="21"/>
              </w:rPr>
              <w:t> </w:t>
            </w:r>
            <w:r>
              <w:rPr>
                <w:rFonts w:ascii="宋体" w:hAnsi="宋体" w:cs="宋体" w:eastAsia="宋体" w:hint="default"/>
                <w:sz w:val="21"/>
                <w:szCs w:val="21"/>
              </w:rPr>
              <w:t>售金融</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1" w:lineRule="auto"/>
              <w:ind w:left="24" w:right="185"/>
              <w:jc w:val="left"/>
              <w:rPr>
                <w:rFonts w:ascii="宋体" w:hAnsi="宋体" w:cs="宋体" w:eastAsia="宋体" w:hint="default"/>
                <w:sz w:val="21"/>
                <w:szCs w:val="21"/>
              </w:rPr>
            </w:pPr>
            <w:r>
              <w:rPr>
                <w:rFonts w:ascii="宋体" w:hAnsi="宋体" w:cs="宋体" w:eastAsia="宋体" w:hint="default"/>
                <w:sz w:val="21"/>
                <w:szCs w:val="21"/>
              </w:rPr>
              <w:t>发起设</w:t>
            </w:r>
            <w:r>
              <w:rPr>
                <w:rFonts w:ascii="宋体" w:hAnsi="宋体" w:cs="宋体" w:eastAsia="宋体" w:hint="default"/>
                <w:spacing w:val="-102"/>
                <w:sz w:val="21"/>
                <w:szCs w:val="21"/>
              </w:rPr>
              <w:t> </w:t>
            </w:r>
            <w:r>
              <w:rPr>
                <w:rFonts w:ascii="宋体" w:hAnsi="宋体" w:cs="宋体" w:eastAsia="宋体" w:hint="default"/>
                <w:sz w:val="21"/>
                <w:szCs w:val="21"/>
              </w:rPr>
              <w:t>立</w:t>
            </w:r>
          </w:p>
        </w:tc>
      </w:tr>
      <w:tr>
        <w:trPr>
          <w:trHeight w:val="357" w:hRule="exact"/>
        </w:trPr>
        <w:tc>
          <w:tcPr>
            <w:tcW w:w="87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8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center"/>
              <w:rPr>
                <w:rFonts w:ascii="宋体" w:hAnsi="宋体" w:cs="宋体" w:eastAsia="宋体" w:hint="default"/>
                <w:sz w:val="21"/>
                <w:szCs w:val="21"/>
              </w:rPr>
            </w:pPr>
            <w:r>
              <w:rPr>
                <w:rFonts w:ascii="宋体"/>
                <w:sz w:val="21"/>
              </w:rPr>
              <w:t>86,060,</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61,350,</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61,350,</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center"/>
              <w:rPr>
                <w:rFonts w:ascii="宋体" w:hAnsi="宋体" w:cs="宋体" w:eastAsia="宋体" w:hint="default"/>
                <w:sz w:val="21"/>
                <w:szCs w:val="21"/>
              </w:rPr>
            </w:pPr>
            <w:r>
              <w:rPr>
                <w:rFonts w:ascii="宋体"/>
                <w:sz w:val="21"/>
              </w:rPr>
              <w:t>86,060,</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（3）证券投资情况</w:t>
      </w:r>
    </w:p>
    <w:p>
      <w:pPr>
        <w:spacing w:line="240" w:lineRule="auto" w:before="10"/>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公司报告期不存在证券投资。</w:t>
      </w:r>
    </w:p>
    <w:p>
      <w:pPr>
        <w:spacing w:line="240" w:lineRule="auto" w:before="4"/>
        <w:rPr>
          <w:rFonts w:ascii="宋体" w:hAnsi="宋体" w:cs="宋体" w:eastAsia="宋体" w:hint="default"/>
          <w:sz w:val="21"/>
          <w:szCs w:val="21"/>
        </w:rPr>
      </w:pPr>
    </w:p>
    <w:p>
      <w:pPr>
        <w:pStyle w:val="BodyText"/>
        <w:spacing w:line="240" w:lineRule="auto"/>
        <w:ind w:right="2880"/>
        <w:jc w:val="left"/>
      </w:pPr>
      <w:r>
        <w:rPr/>
        <w:t>（4）持有其他上市公司股权情况的说明</w:t>
      </w:r>
    </w:p>
    <w:p>
      <w:pPr>
        <w:spacing w:line="240" w:lineRule="auto" w:before="10"/>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公司报告期未持有其他上市公司股权。</w:t>
      </w:r>
    </w:p>
    <w:p>
      <w:pPr>
        <w:spacing w:after="0" w:line="30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2、委托理财、衍生品投资和委托贷款情况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（1）委托理财情况</w:t>
      </w:r>
    </w:p>
    <w:p>
      <w:pPr>
        <w:spacing w:line="240" w:lineRule="auto" w:before="10"/>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公司报告期不存在委托理财。</w:t>
      </w:r>
    </w:p>
    <w:p>
      <w:pPr>
        <w:spacing w:line="240" w:lineRule="auto" w:before="1"/>
        <w:rPr>
          <w:rFonts w:ascii="宋体" w:hAnsi="宋体" w:cs="宋体" w:eastAsia="宋体" w:hint="default"/>
          <w:sz w:val="21"/>
          <w:szCs w:val="21"/>
        </w:rPr>
      </w:pPr>
    </w:p>
    <w:p>
      <w:pPr>
        <w:pStyle w:val="BodyText"/>
        <w:spacing w:line="240" w:lineRule="auto"/>
        <w:ind w:right="2880"/>
        <w:jc w:val="left"/>
      </w:pPr>
      <w:r>
        <w:rPr/>
        <w:t>（2）衍生品投资情况</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公司报告期不存在衍生品投资。</w:t>
      </w:r>
    </w:p>
    <w:p>
      <w:pPr>
        <w:spacing w:line="240" w:lineRule="auto" w:before="4"/>
        <w:rPr>
          <w:rFonts w:ascii="宋体" w:hAnsi="宋体" w:cs="宋体" w:eastAsia="宋体" w:hint="default"/>
          <w:sz w:val="21"/>
          <w:szCs w:val="21"/>
        </w:rPr>
      </w:pPr>
    </w:p>
    <w:p>
      <w:pPr>
        <w:pStyle w:val="BodyText"/>
        <w:spacing w:line="240" w:lineRule="auto"/>
        <w:ind w:right="2880"/>
        <w:jc w:val="left"/>
      </w:pPr>
      <w:r>
        <w:rPr/>
        <w:t>（3）委托贷款情况</w:t>
      </w:r>
    </w:p>
    <w:p>
      <w:pPr>
        <w:spacing w:line="240" w:lineRule="auto" w:before="10"/>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公司报告期不存在委托贷款。</w:t>
      </w:r>
    </w:p>
    <w:p>
      <w:pPr>
        <w:spacing w:line="240" w:lineRule="auto" w:before="4"/>
        <w:rPr>
          <w:rFonts w:ascii="宋体" w:hAnsi="宋体" w:cs="宋体" w:eastAsia="宋体" w:hint="default"/>
          <w:sz w:val="21"/>
          <w:szCs w:val="21"/>
        </w:rPr>
      </w:pPr>
    </w:p>
    <w:p>
      <w:pPr>
        <w:pStyle w:val="BodyText"/>
        <w:spacing w:line="240" w:lineRule="auto"/>
        <w:ind w:right="2880"/>
        <w:jc w:val="left"/>
      </w:pPr>
      <w:r>
        <w:rPr/>
        <w:t>3、募集资金使用情况</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公司报告期无募集资金使用情况。</w:t>
      </w:r>
    </w:p>
    <w:p>
      <w:pPr>
        <w:spacing w:line="240" w:lineRule="auto" w:before="4"/>
        <w:rPr>
          <w:rFonts w:ascii="宋体" w:hAnsi="宋体" w:cs="宋体" w:eastAsia="宋体" w:hint="default"/>
          <w:sz w:val="21"/>
          <w:szCs w:val="21"/>
        </w:rPr>
      </w:pPr>
    </w:p>
    <w:p>
      <w:pPr>
        <w:pStyle w:val="BodyText"/>
        <w:spacing w:line="240" w:lineRule="auto"/>
        <w:ind w:right="2880"/>
        <w:jc w:val="left"/>
      </w:pPr>
      <w:r>
        <w:rPr/>
        <w:t>4、主要子公司、参股公司分析</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07" w:lineRule="auto" w:before="36"/>
        <w:ind w:right="0"/>
        <w:jc w:val="left"/>
      </w:pPr>
      <w:r>
        <w:rPr/>
        <w:t>√ 适用 □</w:t>
      </w:r>
      <w:r>
        <w:rPr>
          <w:spacing w:val="-2"/>
        </w:rPr>
        <w:t> </w:t>
      </w:r>
      <w:r>
        <w:rPr/>
        <w:t>不适用</w:t>
      </w:r>
      <w:r>
        <w:rPr>
          <w:w w:val="100"/>
        </w:rPr>
        <w:t> </w:t>
      </w:r>
      <w:r>
        <w:rPr>
          <w:spacing w:val="-2"/>
        </w:rPr>
        <w:t>主要子公司、参股公司情况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678" w:space="6121"/>
            <w:col w:w="1151"/>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8" w:right="50" w:hanging="106"/>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w w:val="100"/>
                <w:sz w:val="21"/>
                <w:szCs w:val="21"/>
              </w:rPr>
              <w:t> </w:t>
            </w:r>
            <w:r>
              <w:rPr>
                <w:rFonts w:ascii="宋体" w:hAnsi="宋体" w:cs="宋体" w:eastAsia="宋体" w:hint="default"/>
                <w:sz w:val="21"/>
                <w:szCs w:val="21"/>
              </w:rPr>
              <w:t>或服务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60"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包装装潢</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71" w:lineRule="auto" w:before="144"/>
              <w:ind w:left="24" w:right="83"/>
              <w:jc w:val="both"/>
              <w:rPr>
                <w:rFonts w:ascii="宋体" w:hAnsi="宋体" w:cs="宋体" w:eastAsia="宋体" w:hint="default"/>
                <w:sz w:val="21"/>
                <w:szCs w:val="21"/>
              </w:rPr>
            </w:pPr>
            <w:r>
              <w:rPr>
                <w:rFonts w:ascii="宋体" w:hAnsi="宋体" w:cs="宋体" w:eastAsia="宋体" w:hint="default"/>
                <w:sz w:val="21"/>
                <w:szCs w:val="21"/>
              </w:rPr>
              <w:t>重庆市鸿</w:t>
            </w:r>
            <w:r>
              <w:rPr>
                <w:rFonts w:ascii="宋体" w:hAnsi="宋体" w:cs="宋体" w:eastAsia="宋体" w:hint="default"/>
                <w:w w:val="100"/>
                <w:sz w:val="21"/>
                <w:szCs w:val="21"/>
              </w:rPr>
              <w:t> </w:t>
            </w:r>
            <w:r>
              <w:rPr>
                <w:rFonts w:ascii="宋体" w:hAnsi="宋体" w:cs="宋体" w:eastAsia="宋体" w:hint="default"/>
                <w:sz w:val="21"/>
                <w:szCs w:val="21"/>
              </w:rPr>
              <w:t>海印务有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印刷品、</w:t>
            </w:r>
          </w:p>
          <w:p>
            <w:pPr>
              <w:pStyle w:val="TableParagraph"/>
              <w:spacing w:line="273" w:lineRule="auto" w:before="37"/>
              <w:ind w:left="24" w:right="79"/>
              <w:jc w:val="left"/>
              <w:rPr>
                <w:rFonts w:ascii="宋体" w:hAnsi="宋体" w:cs="宋体" w:eastAsia="宋体" w:hint="default"/>
                <w:sz w:val="21"/>
                <w:szCs w:val="21"/>
              </w:rPr>
            </w:pPr>
            <w:r>
              <w:rPr>
                <w:rFonts w:ascii="宋体" w:hAnsi="宋体" w:cs="宋体" w:eastAsia="宋体" w:hint="default"/>
                <w:sz w:val="21"/>
                <w:szCs w:val="21"/>
              </w:rPr>
              <w:t>防伪票</w:t>
            </w:r>
            <w:r>
              <w:rPr>
                <w:rFonts w:ascii="宋体" w:hAnsi="宋体" w:cs="宋体" w:eastAsia="宋体" w:hint="default"/>
                <w:spacing w:val="-102"/>
                <w:sz w:val="21"/>
                <w:szCs w:val="21"/>
              </w:rPr>
              <w:t> </w:t>
            </w:r>
            <w:r>
              <w:rPr>
                <w:rFonts w:ascii="宋体" w:hAnsi="宋体" w:cs="宋体" w:eastAsia="宋体" w:hint="default"/>
                <w:sz w:val="21"/>
                <w:szCs w:val="21"/>
              </w:rPr>
              <w:t>证、其他</w:t>
            </w:r>
            <w:r>
              <w:rPr>
                <w:rFonts w:ascii="宋体" w:hAnsi="宋体" w:cs="宋体" w:eastAsia="宋体" w:hint="default"/>
                <w:w w:val="100"/>
                <w:sz w:val="21"/>
                <w:szCs w:val="21"/>
              </w:rPr>
              <w:t> </w:t>
            </w:r>
            <w:r>
              <w:rPr>
                <w:rFonts w:ascii="宋体" w:hAnsi="宋体" w:cs="宋体" w:eastAsia="宋体" w:hint="default"/>
                <w:sz w:val="21"/>
                <w:szCs w:val="21"/>
              </w:rPr>
              <w:t>印刷品印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12800</w:t>
            </w:r>
            <w:r>
              <w:rPr>
                <w:rFonts w:ascii="宋体" w:hAnsi="宋体" w:cs="宋体" w:eastAsia="宋体" w:hint="default"/>
                <w:spacing w:val="-51"/>
                <w:sz w:val="21"/>
                <w:szCs w:val="21"/>
              </w:rPr>
              <w:t> </w:t>
            </w:r>
            <w:r>
              <w:rPr>
                <w:rFonts w:ascii="宋体" w:hAnsi="宋体" w:cs="宋体" w:eastAsia="宋体" w:hint="default"/>
                <w:sz w:val="21"/>
                <w:szCs w:val="21"/>
              </w:rPr>
              <w:t>万</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left"/>
              <w:rPr>
                <w:rFonts w:ascii="宋体" w:hAnsi="宋体" w:cs="宋体" w:eastAsia="宋体" w:hint="default"/>
                <w:sz w:val="21"/>
                <w:szCs w:val="21"/>
              </w:rPr>
            </w:pPr>
            <w:r>
              <w:rPr>
                <w:rFonts w:ascii="宋体"/>
                <w:sz w:val="21"/>
              </w:rPr>
              <w:t>287,785,</w:t>
            </w:r>
          </w:p>
          <w:p>
            <w:pPr>
              <w:pStyle w:val="TableParagraph"/>
              <w:spacing w:line="240" w:lineRule="auto" w:before="34"/>
              <w:ind w:left="292" w:right="0"/>
              <w:jc w:val="left"/>
              <w:rPr>
                <w:rFonts w:ascii="宋体" w:hAnsi="宋体" w:cs="宋体" w:eastAsia="宋体" w:hint="default"/>
                <w:sz w:val="21"/>
                <w:szCs w:val="21"/>
              </w:rPr>
            </w:pPr>
            <w:r>
              <w:rPr>
                <w:rFonts w:ascii="宋体"/>
                <w:sz w:val="21"/>
              </w:rPr>
              <w:t>562.97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left"/>
              <w:rPr>
                <w:rFonts w:ascii="宋体" w:hAnsi="宋体" w:cs="宋体" w:eastAsia="宋体" w:hint="default"/>
                <w:sz w:val="21"/>
                <w:szCs w:val="21"/>
              </w:rPr>
            </w:pPr>
            <w:r>
              <w:rPr>
                <w:rFonts w:ascii="宋体"/>
                <w:sz w:val="21"/>
              </w:rPr>
              <w:t>186,142,</w:t>
            </w:r>
          </w:p>
          <w:p>
            <w:pPr>
              <w:pStyle w:val="TableParagraph"/>
              <w:spacing w:line="240" w:lineRule="auto" w:before="34"/>
              <w:ind w:left="292" w:right="0"/>
              <w:jc w:val="left"/>
              <w:rPr>
                <w:rFonts w:ascii="宋体" w:hAnsi="宋体" w:cs="宋体" w:eastAsia="宋体" w:hint="default"/>
                <w:sz w:val="21"/>
                <w:szCs w:val="21"/>
              </w:rPr>
            </w:pPr>
            <w:r>
              <w:rPr>
                <w:rFonts w:ascii="宋体"/>
                <w:sz w:val="21"/>
              </w:rPr>
              <w:t>210.95</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left"/>
              <w:rPr>
                <w:rFonts w:ascii="宋体" w:hAnsi="宋体" w:cs="宋体" w:eastAsia="宋体" w:hint="default"/>
                <w:sz w:val="21"/>
                <w:szCs w:val="21"/>
              </w:rPr>
            </w:pPr>
            <w:r>
              <w:rPr>
                <w:rFonts w:ascii="宋体"/>
                <w:sz w:val="21"/>
              </w:rPr>
              <w:t>115,432,</w:t>
            </w:r>
          </w:p>
          <w:p>
            <w:pPr>
              <w:pStyle w:val="TableParagraph"/>
              <w:spacing w:line="240" w:lineRule="auto" w:before="34"/>
              <w:ind w:left="292" w:right="0"/>
              <w:jc w:val="left"/>
              <w:rPr>
                <w:rFonts w:ascii="宋体" w:hAnsi="宋体" w:cs="宋体" w:eastAsia="宋体" w:hint="default"/>
                <w:sz w:val="21"/>
                <w:szCs w:val="21"/>
              </w:rPr>
            </w:pPr>
            <w:r>
              <w:rPr>
                <w:rFonts w:ascii="宋体"/>
                <w:sz w:val="21"/>
              </w:rPr>
              <w:t>330.22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left"/>
              <w:rPr>
                <w:rFonts w:ascii="宋体" w:hAnsi="宋体" w:cs="宋体" w:eastAsia="宋体" w:hint="default"/>
                <w:sz w:val="21"/>
                <w:szCs w:val="21"/>
              </w:rPr>
            </w:pPr>
            <w:r>
              <w:rPr>
                <w:rFonts w:ascii="宋体"/>
                <w:sz w:val="21"/>
              </w:rPr>
              <w:t>5,783,80</w:t>
            </w:r>
          </w:p>
          <w:p>
            <w:pPr>
              <w:pStyle w:val="TableParagraph"/>
              <w:spacing w:line="240" w:lineRule="auto" w:before="34"/>
              <w:ind w:left="504" w:right="0"/>
              <w:jc w:val="left"/>
              <w:rPr>
                <w:rFonts w:ascii="宋体" w:hAnsi="宋体" w:cs="宋体" w:eastAsia="宋体" w:hint="default"/>
                <w:sz w:val="21"/>
                <w:szCs w:val="21"/>
              </w:rPr>
            </w:pPr>
            <w:r>
              <w:rPr>
                <w:rFonts w:ascii="宋体"/>
                <w:sz w:val="21"/>
              </w:rPr>
              <w:t>7.98</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4" w:right="0"/>
              <w:jc w:val="left"/>
              <w:rPr>
                <w:rFonts w:ascii="宋体" w:hAnsi="宋体" w:cs="宋体" w:eastAsia="宋体" w:hint="default"/>
                <w:sz w:val="21"/>
                <w:szCs w:val="21"/>
              </w:rPr>
            </w:pPr>
            <w:r>
              <w:rPr>
                <w:rFonts w:ascii="宋体"/>
                <w:sz w:val="21"/>
              </w:rPr>
              <w:t>5,048,80</w:t>
            </w:r>
          </w:p>
          <w:p>
            <w:pPr>
              <w:pStyle w:val="TableParagraph"/>
              <w:spacing w:line="240" w:lineRule="auto" w:before="34"/>
              <w:ind w:left="504" w:right="0"/>
              <w:jc w:val="left"/>
              <w:rPr>
                <w:rFonts w:ascii="宋体" w:hAnsi="宋体" w:cs="宋体" w:eastAsia="宋体" w:hint="default"/>
                <w:sz w:val="21"/>
                <w:szCs w:val="21"/>
              </w:rPr>
            </w:pPr>
            <w:r>
              <w:rPr>
                <w:rFonts w:ascii="宋体"/>
                <w:sz w:val="21"/>
              </w:rPr>
              <w:t>3.73</w:t>
            </w: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包装装潢</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无锡双龙</w:t>
            </w:r>
          </w:p>
          <w:p>
            <w:pPr>
              <w:pStyle w:val="TableParagraph"/>
              <w:spacing w:line="273" w:lineRule="auto" w:before="37"/>
              <w:ind w:left="24" w:right="83"/>
              <w:jc w:val="left"/>
              <w:rPr>
                <w:rFonts w:ascii="宋体" w:hAnsi="宋体" w:cs="宋体" w:eastAsia="宋体" w:hint="default"/>
                <w:sz w:val="21"/>
                <w:szCs w:val="21"/>
              </w:rPr>
            </w:pPr>
            <w:r>
              <w:rPr>
                <w:rFonts w:ascii="宋体" w:hAnsi="宋体" w:cs="宋体" w:eastAsia="宋体" w:hint="default"/>
                <w:sz w:val="21"/>
                <w:szCs w:val="21"/>
              </w:rPr>
              <w:t>信息纸有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印刷品印</w:t>
            </w:r>
          </w:p>
          <w:p>
            <w:pPr>
              <w:pStyle w:val="TableParagraph"/>
              <w:spacing w:line="273" w:lineRule="auto" w:before="37"/>
              <w:ind w:left="24" w:right="79"/>
              <w:jc w:val="left"/>
              <w:rPr>
                <w:rFonts w:ascii="宋体" w:hAnsi="宋体" w:cs="宋体" w:eastAsia="宋体" w:hint="default"/>
                <w:sz w:val="21"/>
                <w:szCs w:val="21"/>
              </w:rPr>
            </w:pPr>
            <w:r>
              <w:rPr>
                <w:rFonts w:ascii="宋体" w:hAnsi="宋体" w:cs="宋体" w:eastAsia="宋体" w:hint="default"/>
                <w:sz w:val="21"/>
                <w:szCs w:val="21"/>
              </w:rPr>
              <w:t>刷；其他</w:t>
            </w:r>
            <w:r>
              <w:rPr>
                <w:rFonts w:ascii="宋体" w:hAnsi="宋体" w:cs="宋体" w:eastAsia="宋体" w:hint="default"/>
                <w:w w:val="100"/>
                <w:sz w:val="21"/>
                <w:szCs w:val="21"/>
              </w:rPr>
              <w:t> </w:t>
            </w:r>
            <w:r>
              <w:rPr>
                <w:rFonts w:ascii="宋体" w:hAnsi="宋体" w:cs="宋体" w:eastAsia="宋体" w:hint="default"/>
                <w:sz w:val="21"/>
                <w:szCs w:val="21"/>
              </w:rPr>
              <w:t>印刷品印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103,856,</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160.59</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82,246,9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53.86</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130,905,</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388.04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27,075,4</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85.79</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20,136,0</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28.58</w:t>
            </w:r>
          </w:p>
        </w:tc>
      </w:tr>
      <w:tr>
        <w:trPr>
          <w:trHeight w:val="354"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刷。</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3"/>
              <w:jc w:val="both"/>
              <w:rPr>
                <w:rFonts w:ascii="宋体" w:hAnsi="宋体" w:cs="宋体" w:eastAsia="宋体" w:hint="default"/>
                <w:sz w:val="21"/>
                <w:szCs w:val="21"/>
              </w:rPr>
            </w:pPr>
            <w:r>
              <w:rPr>
                <w:rFonts w:ascii="宋体" w:hAnsi="宋体" w:cs="宋体" w:eastAsia="宋体" w:hint="default"/>
                <w:sz w:val="21"/>
                <w:szCs w:val="21"/>
              </w:rPr>
              <w:t>广州彩创</w:t>
            </w:r>
            <w:r>
              <w:rPr>
                <w:rFonts w:ascii="宋体" w:hAnsi="宋体" w:cs="宋体" w:eastAsia="宋体" w:hint="default"/>
                <w:w w:val="100"/>
                <w:sz w:val="21"/>
                <w:szCs w:val="21"/>
              </w:rPr>
              <w:t> </w:t>
            </w:r>
            <w:r>
              <w:rPr>
                <w:rFonts w:ascii="宋体" w:hAnsi="宋体" w:cs="宋体" w:eastAsia="宋体" w:hint="default"/>
                <w:sz w:val="21"/>
                <w:szCs w:val="21"/>
              </w:rPr>
              <w:t>网络技术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0"/>
              <w:ind w:left="24" w:right="79"/>
              <w:jc w:val="both"/>
              <w:rPr>
                <w:rFonts w:ascii="宋体" w:hAnsi="宋体" w:cs="宋体" w:eastAsia="宋体" w:hint="default"/>
                <w:sz w:val="21"/>
                <w:szCs w:val="21"/>
              </w:rPr>
            </w:pPr>
            <w:r>
              <w:rPr>
                <w:rFonts w:ascii="宋体" w:hAnsi="宋体" w:cs="宋体" w:eastAsia="宋体" w:hint="default"/>
                <w:sz w:val="21"/>
                <w:szCs w:val="21"/>
              </w:rPr>
              <w:t>网络软件</w:t>
            </w:r>
            <w:r>
              <w:rPr>
                <w:rFonts w:ascii="宋体" w:hAnsi="宋体" w:cs="宋体" w:eastAsia="宋体" w:hint="default"/>
                <w:w w:val="100"/>
                <w:sz w:val="21"/>
                <w:szCs w:val="21"/>
              </w:rPr>
              <w:t> </w:t>
            </w:r>
            <w:r>
              <w:rPr>
                <w:rFonts w:ascii="宋体" w:hAnsi="宋体" w:cs="宋体" w:eastAsia="宋体" w:hint="default"/>
                <w:sz w:val="21"/>
                <w:szCs w:val="21"/>
              </w:rPr>
              <w:t>开发、网</w:t>
            </w:r>
            <w:r>
              <w:rPr>
                <w:rFonts w:ascii="宋体" w:hAnsi="宋体" w:cs="宋体" w:eastAsia="宋体" w:hint="default"/>
                <w:w w:val="100"/>
                <w:sz w:val="21"/>
                <w:szCs w:val="21"/>
              </w:rPr>
              <w:t> </w:t>
            </w:r>
            <w:r>
              <w:rPr>
                <w:rFonts w:ascii="宋体" w:hAnsi="宋体" w:cs="宋体" w:eastAsia="宋体" w:hint="default"/>
                <w:sz w:val="21"/>
                <w:szCs w:val="21"/>
              </w:rPr>
              <w:t>络技术咨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56,791,8</w:t>
            </w:r>
          </w:p>
          <w:p>
            <w:pPr>
              <w:pStyle w:val="TableParagraph"/>
              <w:spacing w:line="240" w:lineRule="auto" w:before="34"/>
              <w:ind w:left="398" w:right="0"/>
              <w:jc w:val="left"/>
              <w:rPr>
                <w:rFonts w:ascii="宋体" w:hAnsi="宋体" w:cs="宋体" w:eastAsia="宋体" w:hint="default"/>
                <w:sz w:val="21"/>
                <w:szCs w:val="21"/>
              </w:rPr>
            </w:pPr>
            <w:r>
              <w:rPr>
                <w:rFonts w:ascii="宋体"/>
                <w:sz w:val="21"/>
              </w:rPr>
              <w:t>38.74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53,767,1</w:t>
            </w:r>
          </w:p>
          <w:p>
            <w:pPr>
              <w:pStyle w:val="TableParagraph"/>
              <w:spacing w:line="240" w:lineRule="auto" w:before="34"/>
              <w:ind w:left="398" w:right="0"/>
              <w:jc w:val="left"/>
              <w:rPr>
                <w:rFonts w:ascii="宋体" w:hAnsi="宋体" w:cs="宋体" w:eastAsia="宋体" w:hint="default"/>
                <w:sz w:val="21"/>
                <w:szCs w:val="21"/>
              </w:rPr>
            </w:pPr>
            <w:r>
              <w:rPr>
                <w:rFonts w:ascii="宋体"/>
                <w:sz w:val="21"/>
              </w:rPr>
              <w:t>40.26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65,795,2</w:t>
            </w:r>
          </w:p>
          <w:p>
            <w:pPr>
              <w:pStyle w:val="TableParagraph"/>
              <w:spacing w:line="240" w:lineRule="auto" w:before="34"/>
              <w:ind w:left="398" w:right="0"/>
              <w:jc w:val="left"/>
              <w:rPr>
                <w:rFonts w:ascii="宋体" w:hAnsi="宋体" w:cs="宋体" w:eastAsia="宋体" w:hint="default"/>
                <w:sz w:val="21"/>
                <w:szCs w:val="21"/>
              </w:rPr>
            </w:pPr>
            <w:r>
              <w:rPr>
                <w:rFonts w:ascii="宋体"/>
                <w:sz w:val="21"/>
              </w:rPr>
              <w:t>42.41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3,307,69</w:t>
            </w:r>
          </w:p>
          <w:p>
            <w:pPr>
              <w:pStyle w:val="TableParagraph"/>
              <w:spacing w:line="240" w:lineRule="auto" w:before="34"/>
              <w:ind w:left="504" w:right="0"/>
              <w:jc w:val="left"/>
              <w:rPr>
                <w:rFonts w:ascii="宋体" w:hAnsi="宋体" w:cs="宋体" w:eastAsia="宋体" w:hint="default"/>
                <w:sz w:val="21"/>
                <w:szCs w:val="21"/>
              </w:rPr>
            </w:pPr>
            <w:r>
              <w:rPr>
                <w:rFonts w:ascii="宋体"/>
                <w:sz w:val="21"/>
              </w:rPr>
              <w:t>9.05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2,620,83</w:t>
            </w:r>
          </w:p>
          <w:p>
            <w:pPr>
              <w:pStyle w:val="TableParagraph"/>
              <w:spacing w:line="240" w:lineRule="auto" w:before="34"/>
              <w:ind w:left="504" w:right="0"/>
              <w:jc w:val="left"/>
              <w:rPr>
                <w:rFonts w:ascii="宋体" w:hAnsi="宋体" w:cs="宋体" w:eastAsia="宋体" w:hint="default"/>
                <w:sz w:val="21"/>
                <w:szCs w:val="21"/>
              </w:rPr>
            </w:pPr>
            <w:r>
              <w:rPr>
                <w:rFonts w:ascii="宋体"/>
                <w:sz w:val="21"/>
              </w:rPr>
              <w:t>6.72</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1.658264pt;margin-top:106.298279pt;width:54.25pt;height:316pt;mso-position-horizontal-relative:page;mso-position-vertical-relative:page;z-index:-887896"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4"/>
                    <w:ind w:left="0" w:right="0"/>
                    <w:jc w:val="left"/>
                  </w:pPr>
                  <w:r>
                    <w:rPr>
                      <w:w w:val="100"/>
                    </w:rPr>
                    <w:t>、</w:t>
                  </w:r>
                </w:p>
              </w:txbxContent>
            </v:textbox>
            <w10:wrap type="none"/>
          </v:shape>
        </w:pict>
      </w:r>
      <w:r>
        <w:rPr/>
        <w:pict>
          <v:group style="position:absolute;margin-left:248.49826pt;margin-top:106.298279pt;width:47.4pt;height:316pt;mso-position-horizontal-relative:page;mso-position-vertical-relative:page;z-index:-887872" coordorigin="4970,2126" coordsize="948,6320">
            <v:group style="position:absolute;left:4970;top:2126;width:948;height:6320" coordorigin="4970,2126" coordsize="948,6320">
              <v:shape style="position:absolute;left:4970;top:2126;width:948;height:6320" coordorigin="4970,2126" coordsize="948,6320" path="m4970,2126l5918,2126,5918,8445,4970,8445,4970,2126xe" filled="true" fillcolor="#ffffff" stroked="false">
                <v:path arrowok="t"/>
                <v:fill type="solid"/>
              </v:shape>
            </v:group>
            <v:group style="position:absolute;left:4994;top:5090;width:900;height:392" coordorigin="4994,5090" coordsize="900,392">
              <v:shape style="position:absolute;left:4994;top:5090;width:900;height:392" coordorigin="4994,5090" coordsize="900,392" path="m4994,5090l5894,5090,5894,5481,4994,5481,4994,509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询及技术</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数据网络</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技术开</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发；物联</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网技术开</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发；智能</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化网络系</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统集成的</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83"/>
              <w:jc w:val="both"/>
              <w:rPr>
                <w:rFonts w:ascii="宋体" w:hAnsi="宋体" w:cs="宋体" w:eastAsia="宋体" w:hint="default"/>
                <w:sz w:val="21"/>
                <w:szCs w:val="21"/>
              </w:rPr>
            </w:pPr>
            <w:r>
              <w:rPr>
                <w:rFonts w:ascii="宋体" w:hAnsi="宋体" w:cs="宋体" w:eastAsia="宋体" w:hint="default"/>
                <w:sz w:val="21"/>
                <w:szCs w:val="21"/>
              </w:rPr>
              <w:t>鸿博（福</w:t>
            </w:r>
            <w:r>
              <w:rPr>
                <w:rFonts w:ascii="宋体" w:hAnsi="宋体" w:cs="宋体" w:eastAsia="宋体" w:hint="default"/>
                <w:w w:val="100"/>
                <w:sz w:val="21"/>
                <w:szCs w:val="21"/>
              </w:rPr>
              <w:t> </w:t>
            </w:r>
            <w:r>
              <w:rPr>
                <w:rFonts w:ascii="宋体" w:hAnsi="宋体" w:cs="宋体" w:eastAsia="宋体" w:hint="default"/>
                <w:sz w:val="21"/>
                <w:szCs w:val="21"/>
              </w:rPr>
              <w:t>建）数据</w:t>
            </w:r>
            <w:r>
              <w:rPr>
                <w:rFonts w:ascii="宋体" w:hAnsi="宋体" w:cs="宋体" w:eastAsia="宋体" w:hint="default"/>
                <w:w w:val="100"/>
                <w:sz w:val="21"/>
                <w:szCs w:val="21"/>
              </w:rPr>
              <w:t> </w:t>
            </w: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开发、设</w:t>
            </w:r>
          </w:p>
          <w:p>
            <w:pPr>
              <w:pStyle w:val="TableParagraph"/>
              <w:spacing w:line="273" w:lineRule="auto" w:before="37"/>
              <w:ind w:left="24" w:right="79"/>
              <w:jc w:val="left"/>
              <w:rPr>
                <w:rFonts w:ascii="宋体" w:hAnsi="宋体" w:cs="宋体" w:eastAsia="宋体" w:hint="default"/>
                <w:sz w:val="21"/>
                <w:szCs w:val="21"/>
              </w:rPr>
            </w:pPr>
            <w:r>
              <w:rPr>
                <w:rFonts w:ascii="宋体" w:hAnsi="宋体" w:cs="宋体" w:eastAsia="宋体" w:hint="default"/>
                <w:sz w:val="21"/>
                <w:szCs w:val="21"/>
              </w:rPr>
              <w:t>计与施</w:t>
            </w:r>
            <w:r>
              <w:rPr>
                <w:rFonts w:ascii="宋体" w:hAnsi="宋体" w:cs="宋体" w:eastAsia="宋体" w:hint="default"/>
                <w:spacing w:val="-102"/>
                <w:sz w:val="21"/>
                <w:szCs w:val="21"/>
              </w:rPr>
              <w:t> </w:t>
            </w:r>
            <w:r>
              <w:rPr>
                <w:rFonts w:ascii="宋体" w:hAnsi="宋体" w:cs="宋体" w:eastAsia="宋体" w:hint="default"/>
                <w:sz w:val="21"/>
                <w:szCs w:val="21"/>
              </w:rPr>
              <w:t>工；软件</w:t>
            </w:r>
            <w:r>
              <w:rPr>
                <w:rFonts w:ascii="宋体" w:hAnsi="宋体" w:cs="宋体" w:eastAsia="宋体" w:hint="default"/>
                <w:w w:val="100"/>
                <w:sz w:val="21"/>
                <w:szCs w:val="21"/>
              </w:rPr>
              <w:t> </w:t>
            </w:r>
            <w:r>
              <w:rPr>
                <w:rFonts w:ascii="宋体" w:hAnsi="宋体" w:cs="宋体" w:eastAsia="宋体" w:hint="default"/>
                <w:sz w:val="21"/>
                <w:szCs w:val="21"/>
              </w:rPr>
              <w:t>开发与销</w:t>
            </w:r>
            <w:r>
              <w:rPr>
                <w:rFonts w:ascii="宋体" w:hAnsi="宋体" w:cs="宋体" w:eastAsia="宋体" w:hint="default"/>
                <w:w w:val="100"/>
                <w:sz w:val="21"/>
                <w:szCs w:val="21"/>
              </w:rPr>
              <w:t> </w:t>
            </w:r>
            <w:r>
              <w:rPr>
                <w:rFonts w:ascii="宋体" w:hAnsi="宋体" w:cs="宋体" w:eastAsia="宋体" w:hint="default"/>
                <w:sz w:val="21"/>
                <w:szCs w:val="21"/>
              </w:rPr>
              <w:t>售；节能</w:t>
            </w:r>
            <w:r>
              <w:rPr>
                <w:rFonts w:ascii="宋体" w:hAnsi="宋体" w:cs="宋体" w:eastAsia="宋体" w:hint="default"/>
                <w:w w:val="100"/>
                <w:sz w:val="21"/>
                <w:szCs w:val="21"/>
              </w:rPr>
              <w:t> </w:t>
            </w:r>
            <w:r>
              <w:rPr>
                <w:rFonts w:ascii="宋体" w:hAnsi="宋体" w:cs="宋体" w:eastAsia="宋体" w:hint="default"/>
                <w:sz w:val="21"/>
                <w:szCs w:val="21"/>
              </w:rPr>
              <w:t>产品、磁</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84" w:right="0"/>
              <w:jc w:val="left"/>
              <w:rPr>
                <w:rFonts w:ascii="宋体" w:hAnsi="宋体" w:cs="宋体" w:eastAsia="宋体" w:hint="default"/>
                <w:sz w:val="21"/>
                <w:szCs w:val="21"/>
              </w:rPr>
            </w:pPr>
            <w:r>
              <w:rPr>
                <w:rFonts w:ascii="宋体"/>
                <w:sz w:val="21"/>
              </w:rPr>
              <w:t>96,826,9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86.43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84" w:right="0"/>
              <w:jc w:val="left"/>
              <w:rPr>
                <w:rFonts w:ascii="宋体" w:hAnsi="宋体" w:cs="宋体" w:eastAsia="宋体" w:hint="default"/>
                <w:sz w:val="21"/>
                <w:szCs w:val="21"/>
              </w:rPr>
            </w:pPr>
            <w:r>
              <w:rPr>
                <w:rFonts w:ascii="宋体"/>
                <w:sz w:val="21"/>
              </w:rPr>
              <w:t>34,196,5</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60.29</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84" w:right="0"/>
              <w:jc w:val="left"/>
              <w:rPr>
                <w:rFonts w:ascii="宋体" w:hAnsi="宋体" w:cs="宋体" w:eastAsia="宋体" w:hint="default"/>
                <w:sz w:val="21"/>
                <w:szCs w:val="21"/>
              </w:rPr>
            </w:pPr>
            <w:r>
              <w:rPr>
                <w:rFonts w:ascii="宋体"/>
                <w:sz w:val="21"/>
              </w:rPr>
              <w:t>260,737,</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069.13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84" w:right="0"/>
              <w:jc w:val="left"/>
              <w:rPr>
                <w:rFonts w:ascii="宋体" w:hAnsi="宋体" w:cs="宋体" w:eastAsia="宋体" w:hint="default"/>
                <w:sz w:val="21"/>
                <w:szCs w:val="21"/>
              </w:rPr>
            </w:pPr>
            <w:r>
              <w:rPr>
                <w:rFonts w:ascii="宋体"/>
                <w:sz w:val="21"/>
              </w:rPr>
              <w:t>20,095,0</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57.60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84" w:right="0"/>
              <w:jc w:val="left"/>
              <w:rPr>
                <w:rFonts w:ascii="宋体" w:hAnsi="宋体" w:cs="宋体" w:eastAsia="宋体" w:hint="default"/>
                <w:sz w:val="21"/>
                <w:szCs w:val="21"/>
              </w:rPr>
            </w:pPr>
            <w:r>
              <w:rPr>
                <w:rFonts w:ascii="宋体"/>
                <w:sz w:val="21"/>
              </w:rPr>
              <w:t>20,604,9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87.18</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卡</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I</w:t>
            </w:r>
            <w:r>
              <w:rPr>
                <w:rFonts w:ascii="宋体" w:hAnsi="宋体" w:cs="宋体" w:eastAsia="宋体" w:hint="default"/>
                <w:w w:val="100"/>
                <w:sz w:val="21"/>
                <w:szCs w:val="21"/>
              </w:rPr>
              <w:t>C</w:t>
            </w:r>
            <w:r>
              <w:rPr>
                <w:rFonts w:ascii="宋体" w:hAnsi="宋体" w:cs="宋体" w:eastAsia="宋体" w:hint="default"/>
                <w:spacing w:val="-53"/>
                <w:sz w:val="21"/>
                <w:szCs w:val="21"/>
              </w:rPr>
              <w:t> </w:t>
            </w:r>
            <w:r>
              <w:rPr>
                <w:rFonts w:ascii="宋体" w:hAnsi="宋体" w:cs="宋体" w:eastAsia="宋体" w:hint="default"/>
                <w:w w:val="100"/>
                <w:sz w:val="21"/>
                <w:szCs w:val="21"/>
              </w:rPr>
              <w:t>卡</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电子元器</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件与电子</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产品的开</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及售后服</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纸品、纸</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制品、印</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刷设备及</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耗材、纺</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织材料、</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福州港龙</w:t>
            </w:r>
          </w:p>
          <w:p>
            <w:pPr>
              <w:pStyle w:val="TableParagraph"/>
              <w:spacing w:line="273" w:lineRule="auto" w:before="37"/>
              <w:ind w:left="24" w:right="83"/>
              <w:jc w:val="left"/>
              <w:rPr>
                <w:rFonts w:ascii="宋体" w:hAnsi="宋体" w:cs="宋体" w:eastAsia="宋体" w:hint="default"/>
                <w:sz w:val="21"/>
                <w:szCs w:val="21"/>
              </w:rPr>
            </w:pPr>
            <w:r>
              <w:rPr>
                <w:rFonts w:ascii="宋体" w:hAnsi="宋体" w:cs="宋体" w:eastAsia="宋体" w:hint="default"/>
                <w:sz w:val="21"/>
                <w:szCs w:val="21"/>
              </w:rPr>
              <w:t>贸易有限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纺织品塑</w:t>
            </w:r>
          </w:p>
          <w:p>
            <w:pPr>
              <w:pStyle w:val="TableParagraph"/>
              <w:spacing w:line="273" w:lineRule="auto" w:before="37"/>
              <w:ind w:left="24" w:right="79"/>
              <w:jc w:val="left"/>
              <w:rPr>
                <w:rFonts w:ascii="宋体" w:hAnsi="宋体" w:cs="宋体" w:eastAsia="宋体" w:hint="default"/>
                <w:sz w:val="21"/>
                <w:szCs w:val="21"/>
              </w:rPr>
            </w:pPr>
            <w:r>
              <w:rPr>
                <w:rFonts w:ascii="宋体" w:hAnsi="宋体" w:cs="宋体" w:eastAsia="宋体" w:hint="default"/>
                <w:sz w:val="21"/>
                <w:szCs w:val="21"/>
              </w:rPr>
              <w:t>料制品、</w:t>
            </w:r>
            <w:r>
              <w:rPr>
                <w:rFonts w:ascii="宋体" w:hAnsi="宋体" w:cs="宋体" w:eastAsia="宋体" w:hint="default"/>
                <w:w w:val="100"/>
                <w:sz w:val="21"/>
                <w:szCs w:val="21"/>
              </w:rPr>
              <w:t> </w:t>
            </w:r>
            <w:r>
              <w:rPr>
                <w:rFonts w:ascii="宋体" w:hAnsi="宋体" w:cs="宋体" w:eastAsia="宋体" w:hint="default"/>
                <w:sz w:val="21"/>
                <w:szCs w:val="21"/>
              </w:rPr>
              <w:t>机械设备</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45,210,9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60.27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-191,437</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39,114,3</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63.07</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-4,227,2</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72.95</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84" w:right="0"/>
              <w:jc w:val="left"/>
              <w:rPr>
                <w:rFonts w:ascii="宋体" w:hAnsi="宋体" w:cs="宋体" w:eastAsia="宋体" w:hint="default"/>
                <w:sz w:val="21"/>
                <w:szCs w:val="21"/>
              </w:rPr>
            </w:pPr>
            <w:r>
              <w:rPr>
                <w:rFonts w:ascii="宋体"/>
                <w:sz w:val="21"/>
              </w:rPr>
              <w:t>-3,366,0</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30.10</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的批发、</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代购代</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销；代理</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销售中国</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体育彩票</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出版物印</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83"/>
              <w:jc w:val="both"/>
              <w:rPr>
                <w:rFonts w:ascii="宋体" w:hAnsi="宋体" w:cs="宋体" w:eastAsia="宋体" w:hint="default"/>
                <w:sz w:val="21"/>
                <w:szCs w:val="21"/>
              </w:rPr>
            </w:pPr>
            <w:r>
              <w:rPr>
                <w:rFonts w:ascii="宋体" w:hAnsi="宋体" w:cs="宋体" w:eastAsia="宋体" w:hint="default"/>
                <w:sz w:val="21"/>
                <w:szCs w:val="21"/>
              </w:rPr>
              <w:t>鸿博昊天</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both"/>
              <w:rPr>
                <w:rFonts w:ascii="宋体" w:hAnsi="宋体" w:cs="宋体" w:eastAsia="宋体" w:hint="default"/>
                <w:sz w:val="21"/>
                <w:szCs w:val="21"/>
              </w:rPr>
            </w:pPr>
            <w:r>
              <w:rPr>
                <w:rFonts w:ascii="宋体" w:hAnsi="宋体" w:cs="宋体" w:eastAsia="宋体" w:hint="default"/>
                <w:sz w:val="21"/>
                <w:szCs w:val="21"/>
              </w:rPr>
              <w:t>刷、包装</w:t>
            </w:r>
          </w:p>
          <w:p>
            <w:pPr>
              <w:pStyle w:val="TableParagraph"/>
              <w:spacing w:line="273" w:lineRule="auto" w:before="37"/>
              <w:ind w:left="24" w:right="79"/>
              <w:jc w:val="both"/>
              <w:rPr>
                <w:rFonts w:ascii="宋体" w:hAnsi="宋体" w:cs="宋体" w:eastAsia="宋体" w:hint="default"/>
                <w:sz w:val="21"/>
                <w:szCs w:val="21"/>
              </w:rPr>
            </w:pPr>
            <w:r>
              <w:rPr>
                <w:rFonts w:ascii="宋体" w:hAnsi="宋体" w:cs="宋体" w:eastAsia="宋体" w:hint="default"/>
                <w:sz w:val="21"/>
                <w:szCs w:val="21"/>
              </w:rPr>
              <w:t>装潢品印</w:t>
            </w:r>
            <w:r>
              <w:rPr>
                <w:rFonts w:ascii="宋体" w:hAnsi="宋体" w:cs="宋体" w:eastAsia="宋体" w:hint="default"/>
                <w:w w:val="100"/>
                <w:sz w:val="21"/>
                <w:szCs w:val="21"/>
              </w:rPr>
              <w:t> </w:t>
            </w:r>
            <w:r>
              <w:rPr>
                <w:rFonts w:ascii="宋体" w:hAnsi="宋体" w:cs="宋体" w:eastAsia="宋体" w:hint="default"/>
                <w:sz w:val="21"/>
                <w:szCs w:val="21"/>
              </w:rPr>
              <w:t>刷、其他</w:t>
            </w:r>
            <w:r>
              <w:rPr>
                <w:rFonts w:ascii="宋体" w:hAnsi="宋体" w:cs="宋体" w:eastAsia="宋体" w:hint="default"/>
                <w:w w:val="100"/>
                <w:sz w:val="21"/>
                <w:szCs w:val="21"/>
              </w:rPr>
              <w:t> </w:t>
            </w:r>
            <w:r>
              <w:rPr>
                <w:rFonts w:ascii="宋体" w:hAnsi="宋体" w:cs="宋体" w:eastAsia="宋体" w:hint="default"/>
                <w:sz w:val="21"/>
                <w:szCs w:val="21"/>
              </w:rPr>
              <w:t>印刷品印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29500</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4" w:right="0"/>
              <w:jc w:val="left"/>
              <w:rPr>
                <w:rFonts w:ascii="宋体" w:hAnsi="宋体" w:cs="宋体" w:eastAsia="宋体" w:hint="default"/>
                <w:sz w:val="21"/>
                <w:szCs w:val="21"/>
              </w:rPr>
            </w:pPr>
            <w:r>
              <w:rPr>
                <w:rFonts w:ascii="宋体"/>
                <w:sz w:val="21"/>
              </w:rPr>
              <w:t>497,616,</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166.46</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4" w:right="0"/>
              <w:jc w:val="left"/>
              <w:rPr>
                <w:rFonts w:ascii="宋体" w:hAnsi="宋体" w:cs="宋体" w:eastAsia="宋体" w:hint="default"/>
                <w:sz w:val="21"/>
                <w:szCs w:val="21"/>
              </w:rPr>
            </w:pPr>
            <w:r>
              <w:rPr>
                <w:rFonts w:ascii="宋体"/>
                <w:sz w:val="21"/>
              </w:rPr>
              <w:t>253,704,</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141.21</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4" w:right="0"/>
              <w:jc w:val="left"/>
              <w:rPr>
                <w:rFonts w:ascii="宋体" w:hAnsi="宋体" w:cs="宋体" w:eastAsia="宋体" w:hint="default"/>
                <w:sz w:val="21"/>
                <w:szCs w:val="21"/>
              </w:rPr>
            </w:pPr>
            <w:r>
              <w:rPr>
                <w:rFonts w:ascii="宋体"/>
                <w:sz w:val="21"/>
              </w:rPr>
              <w:t>98,473,9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52.74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4" w:right="0"/>
              <w:jc w:val="left"/>
              <w:rPr>
                <w:rFonts w:ascii="宋体" w:hAnsi="宋体" w:cs="宋体" w:eastAsia="宋体" w:hint="default"/>
                <w:sz w:val="21"/>
                <w:szCs w:val="21"/>
              </w:rPr>
            </w:pPr>
            <w:r>
              <w:rPr>
                <w:rFonts w:ascii="宋体"/>
                <w:sz w:val="21"/>
              </w:rPr>
              <w:t>-39,605,</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662.66</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4" w:right="0"/>
              <w:jc w:val="left"/>
              <w:rPr>
                <w:rFonts w:ascii="宋体" w:hAnsi="宋体" w:cs="宋体" w:eastAsia="宋体" w:hint="default"/>
                <w:sz w:val="21"/>
                <w:szCs w:val="21"/>
              </w:rPr>
            </w:pPr>
            <w:r>
              <w:rPr>
                <w:rFonts w:ascii="宋体"/>
                <w:sz w:val="21"/>
              </w:rPr>
              <w:t>-26,878,</w:t>
            </w:r>
          </w:p>
          <w:p>
            <w:pPr>
              <w:pStyle w:val="TableParagraph"/>
              <w:spacing w:line="240" w:lineRule="auto" w:before="37"/>
              <w:ind w:left="292" w:right="0"/>
              <w:jc w:val="left"/>
              <w:rPr>
                <w:rFonts w:ascii="宋体" w:hAnsi="宋体" w:cs="宋体" w:eastAsia="宋体" w:hint="default"/>
                <w:sz w:val="21"/>
                <w:szCs w:val="21"/>
              </w:rPr>
            </w:pPr>
            <w:r>
              <w:rPr>
                <w:rFonts w:ascii="宋体"/>
                <w:sz w:val="21"/>
              </w:rPr>
              <w:t>411.93</w:t>
            </w:r>
          </w:p>
        </w:tc>
      </w:tr>
      <w:tr>
        <w:trPr>
          <w:trHeight w:val="354"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刷</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24" w:right="83"/>
              <w:jc w:val="left"/>
              <w:rPr>
                <w:rFonts w:ascii="宋体" w:hAnsi="宋体" w:cs="宋体" w:eastAsia="宋体" w:hint="default"/>
                <w:sz w:val="21"/>
                <w:szCs w:val="21"/>
              </w:rPr>
            </w:pPr>
            <w:r>
              <w:rPr>
                <w:rFonts w:ascii="宋体" w:hAnsi="宋体" w:cs="宋体" w:eastAsia="宋体" w:hint="default"/>
                <w:sz w:val="21"/>
                <w:szCs w:val="21"/>
              </w:rPr>
              <w:t>钻研（北</w:t>
            </w:r>
            <w:r>
              <w:rPr>
                <w:rFonts w:ascii="宋体" w:hAnsi="宋体" w:cs="宋体" w:eastAsia="宋体" w:hint="default"/>
                <w:w w:val="100"/>
                <w:sz w:val="21"/>
                <w:szCs w:val="21"/>
              </w:rPr>
              <w:t> </w:t>
            </w:r>
            <w:r>
              <w:rPr>
                <w:rFonts w:ascii="宋体" w:hAnsi="宋体" w:cs="宋体" w:eastAsia="宋体" w:hint="default"/>
                <w:sz w:val="21"/>
                <w:szCs w:val="21"/>
              </w:rPr>
              <w:t>京）国际</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0"/>
              <w:ind w:left="24" w:right="79"/>
              <w:jc w:val="left"/>
              <w:rPr>
                <w:rFonts w:ascii="宋体" w:hAnsi="宋体" w:cs="宋体" w:eastAsia="宋体" w:hint="default"/>
                <w:sz w:val="21"/>
                <w:szCs w:val="21"/>
              </w:rPr>
            </w:pPr>
            <w:r>
              <w:rPr>
                <w:rFonts w:ascii="宋体" w:hAnsi="宋体" w:cs="宋体" w:eastAsia="宋体" w:hint="default"/>
                <w:sz w:val="21"/>
                <w:szCs w:val="21"/>
              </w:rPr>
              <w:t>经营演出</w:t>
            </w:r>
            <w:r>
              <w:rPr>
                <w:rFonts w:ascii="宋体" w:hAnsi="宋体" w:cs="宋体" w:eastAsia="宋体" w:hint="default"/>
                <w:w w:val="100"/>
                <w:sz w:val="21"/>
                <w:szCs w:val="21"/>
              </w:rPr>
              <w:t> </w:t>
            </w:r>
            <w:r>
              <w:rPr>
                <w:rFonts w:ascii="宋体" w:hAnsi="宋体" w:cs="宋体" w:eastAsia="宋体" w:hint="default"/>
                <w:sz w:val="21"/>
                <w:szCs w:val="21"/>
              </w:rPr>
              <w:t>及经纪业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left"/>
              <w:rPr>
                <w:rFonts w:ascii="宋体" w:hAnsi="宋体" w:cs="宋体" w:eastAsia="宋体" w:hint="default"/>
                <w:sz w:val="21"/>
                <w:szCs w:val="21"/>
              </w:rPr>
            </w:pPr>
            <w:r>
              <w:rPr>
                <w:rFonts w:ascii="宋体"/>
                <w:sz w:val="21"/>
              </w:rPr>
              <w:t>2,137,84</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7.55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left"/>
              <w:rPr>
                <w:rFonts w:ascii="宋体" w:hAnsi="宋体" w:cs="宋体" w:eastAsia="宋体" w:hint="default"/>
                <w:sz w:val="21"/>
                <w:szCs w:val="21"/>
              </w:rPr>
            </w:pPr>
            <w:r>
              <w:rPr>
                <w:rFonts w:ascii="宋体"/>
                <w:sz w:val="21"/>
              </w:rPr>
              <w:t>1,848,56</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7.00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513,551.</w:t>
            </w:r>
          </w:p>
          <w:p>
            <w:pPr>
              <w:pStyle w:val="TableParagraph"/>
              <w:spacing w:line="240" w:lineRule="auto" w:before="37"/>
              <w:ind w:right="19"/>
              <w:jc w:val="right"/>
              <w:rPr>
                <w:rFonts w:ascii="宋体" w:hAnsi="宋体" w:cs="宋体" w:eastAsia="宋体" w:hint="default"/>
                <w:sz w:val="21"/>
                <w:szCs w:val="21"/>
              </w:rPr>
            </w:pPr>
            <w:r>
              <w:rPr>
                <w:rFonts w:ascii="宋体"/>
                <w:sz w:val="21"/>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left"/>
              <w:rPr>
                <w:rFonts w:ascii="宋体" w:hAnsi="宋体" w:cs="宋体" w:eastAsia="宋体" w:hint="default"/>
                <w:sz w:val="21"/>
                <w:szCs w:val="21"/>
              </w:rPr>
            </w:pPr>
            <w:r>
              <w:rPr>
                <w:rFonts w:ascii="宋体"/>
                <w:sz w:val="21"/>
              </w:rPr>
              <w:t>-3,401,7</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28.17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4" w:right="0"/>
              <w:jc w:val="left"/>
              <w:rPr>
                <w:rFonts w:ascii="宋体" w:hAnsi="宋体" w:cs="宋体" w:eastAsia="宋体" w:hint="default"/>
                <w:sz w:val="21"/>
                <w:szCs w:val="21"/>
              </w:rPr>
            </w:pPr>
            <w:r>
              <w:rPr>
                <w:rFonts w:ascii="宋体"/>
                <w:sz w:val="21"/>
              </w:rPr>
              <w:t>-2,546,9</w:t>
            </w:r>
          </w:p>
          <w:p>
            <w:pPr>
              <w:pStyle w:val="TableParagraph"/>
              <w:spacing w:line="240" w:lineRule="auto" w:before="37"/>
              <w:ind w:left="398" w:right="0"/>
              <w:jc w:val="left"/>
              <w:rPr>
                <w:rFonts w:ascii="宋体" w:hAnsi="宋体" w:cs="宋体" w:eastAsia="宋体" w:hint="default"/>
                <w:sz w:val="21"/>
                <w:szCs w:val="21"/>
              </w:rPr>
            </w:pPr>
            <w:r>
              <w:rPr>
                <w:rFonts w:ascii="宋体"/>
                <w:sz w:val="21"/>
              </w:rPr>
              <w:t>69.88</w:t>
            </w:r>
          </w:p>
        </w:tc>
      </w:tr>
    </w:tbl>
    <w:p>
      <w:pPr>
        <w:spacing w:after="0" w:line="240" w:lineRule="auto"/>
        <w:jc w:val="left"/>
        <w:rPr>
          <w:rFonts w:ascii="宋体" w:hAnsi="宋体" w:cs="宋体" w:eastAsia="宋体" w:hint="default"/>
          <w:sz w:val="21"/>
          <w:szCs w:val="21"/>
        </w:rPr>
        <w:sectPr>
          <w:footerReference w:type="default" r:id="rId13"/>
          <w:pgSz w:w="11910" w:h="16840"/>
          <w:pgMar w:footer="979" w:header="747" w:top="1060" w:bottom="1160" w:left="980" w:right="980"/>
          <w:pgNumType w:start="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318"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right="59"/>
              <w:jc w:val="center"/>
              <w:rPr>
                <w:rFonts w:ascii="宋体" w:hAnsi="宋体" w:cs="宋体" w:eastAsia="宋体" w:hint="default"/>
                <w:sz w:val="21"/>
                <w:szCs w:val="21"/>
              </w:rPr>
            </w:pPr>
            <w:r>
              <w:rPr>
                <w:rFonts w:ascii="宋体" w:hAnsi="宋体" w:cs="宋体" w:eastAsia="宋体" w:hint="default"/>
                <w:sz w:val="21"/>
                <w:szCs w:val="21"/>
              </w:rPr>
              <w:t>文化传媒</w:t>
            </w: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务，制作</w:t>
            </w:r>
          </w:p>
        </w:tc>
        <w:tc>
          <w:tcPr>
            <w:tcW w:w="958" w:type="dxa"/>
            <w:vMerge w:val="restart"/>
            <w:tcBorders>
              <w:top w:val="single" w:sz="4" w:space="0" w:color="000000"/>
              <w:left w:val="single" w:sz="4" w:space="0" w:color="000000"/>
              <w:right w:val="single" w:sz="4" w:space="0" w:color="000000"/>
            </w:tcBorders>
          </w:tcPr>
          <w:p>
            <w:pPr>
              <w:pStyle w:val="TableParagraph"/>
              <w:spacing w:line="503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47.4pt;height:251.65pt;mso-position-horizontal-relative:char;mso-position-vertical-relative:line" coordorigin="0,0" coordsize="948,5033">
                  <v:group style="position:absolute;left:0;top:0;width:948;height:5033" coordorigin="0,0" coordsize="948,5033">
                    <v:shape style="position:absolute;left:0;top:0;width:948;height:5033" coordorigin="0,0" coordsize="948,5033" path="m0,0l948,0,948,5033,0,5033,0,0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59"/>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发行动画</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片、电视</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综艺、专</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题片；组</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织文化艺</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术交流活</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动、会议</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及展览服</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务，企业</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策划、经</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济贸易咨</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2"/>
                <w:sz w:val="21"/>
                <w:szCs w:val="21"/>
              </w:rPr>
              <w:t>询、设计</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制作代</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理、发布</w:t>
            </w: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广告</w:t>
            </w: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bl>
    <w:p>
      <w:pPr>
        <w:pStyle w:val="BodyText"/>
        <w:spacing w:line="307" w:lineRule="auto" w:before="28"/>
        <w:ind w:right="4875"/>
        <w:jc w:val="left"/>
      </w:pPr>
      <w:r>
        <w:rPr/>
        <w:pict>
          <v:shape style="position:absolute;margin-left:241.658264pt;margin-top:-252.136307pt;width:54.25pt;height:251.65pt;mso-position-horizontal-relative:page;mso-position-vertical-relative:paragraph;z-index:-88782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0" w:right="0"/>
                    <w:jc w:val="left"/>
                  </w:pPr>
                  <w:r>
                    <w:rPr>
                      <w:w w:val="100"/>
                    </w:rPr>
                    <w:t>、</w:t>
                  </w:r>
                </w:p>
              </w:txbxContent>
            </v:textbox>
            <w10:wrap type="none"/>
          </v:shape>
        </w:pict>
      </w:r>
      <w:r>
        <w:rPr>
          <w:spacing w:val="-2"/>
        </w:rPr>
        <w:t>主要子公司、参股公司情况说明</w:t>
      </w:r>
      <w:r>
        <w:rPr>
          <w:spacing w:val="-76"/>
        </w:rPr>
        <w:t> </w:t>
      </w:r>
      <w:r>
        <w:rPr>
          <w:spacing w:val="-76"/>
        </w:rPr>
      </w:r>
      <w:r>
        <w:rPr/>
        <w:t>1.重庆市鸿海印务有限公司：</w:t>
      </w:r>
    </w:p>
    <w:p>
      <w:pPr>
        <w:pStyle w:val="BodyText"/>
        <w:spacing w:line="253" w:lineRule="exact"/>
        <w:ind w:left="469" w:right="99"/>
        <w:jc w:val="left"/>
      </w:pPr>
      <w:r>
        <w:rPr/>
        <w:t>公司成立于2001年，注册资本12,800万元，本公司持股100%，法定代表人：杨佑林，注册地址：重庆</w:t>
      </w:r>
    </w:p>
    <w:p>
      <w:pPr>
        <w:pStyle w:val="BodyText"/>
        <w:spacing w:line="273" w:lineRule="auto" w:before="37"/>
        <w:ind w:left="469" w:right="99" w:hanging="315"/>
        <w:jc w:val="left"/>
      </w:pPr>
      <w:r>
        <w:rPr>
          <w:spacing w:val="-2"/>
        </w:rPr>
        <w:t>市长寿区晏家工业园区，主要经营项目：包装装潢印刷品、防伪票证、其他印刷品印制等。</w:t>
      </w:r>
      <w:r>
        <w:rPr>
          <w:spacing w:val="-32"/>
        </w:rPr>
        <w:t> </w:t>
      </w:r>
      <w:r>
        <w:rPr>
          <w:spacing w:val="-32"/>
        </w:rPr>
      </w:r>
      <w:r>
        <w:rPr/>
        <w:t>重庆鸿海报告期末资产总额287,785,562.97元，报告期实现净利润5,048,803.73元。</w:t>
      </w:r>
    </w:p>
    <w:p>
      <w:pPr>
        <w:pStyle w:val="BodyText"/>
        <w:spacing w:line="273" w:lineRule="auto" w:before="7"/>
        <w:ind w:left="469" w:right="99" w:hanging="315"/>
        <w:jc w:val="left"/>
      </w:pPr>
      <w:r>
        <w:rPr/>
        <w:t>2.无锡双龙信息纸有限公司：</w:t>
      </w:r>
      <w:r>
        <w:rPr>
          <w:w w:val="100"/>
        </w:rPr>
        <w:t> </w:t>
      </w:r>
      <w:r>
        <w:rPr>
          <w:spacing w:val="-4"/>
        </w:rPr>
        <w:t>公司成立于1992年，注册资本5,000万元，公司持股60%，无锡市正栋电脑纸品厂持股40%。法定代表人：</w:t>
      </w:r>
    </w:p>
    <w:p>
      <w:pPr>
        <w:pStyle w:val="BodyText"/>
        <w:spacing w:line="273" w:lineRule="auto" w:before="7"/>
        <w:ind w:right="207"/>
        <w:jc w:val="both"/>
      </w:pPr>
      <w:r>
        <w:rPr/>
        <w:t>尤友岳，注册地址：无锡市滨湖区马山马圩五号桥碧波支路3号，主要经营项目：许可经营项目：包装装</w:t>
      </w:r>
      <w:r>
        <w:rPr>
          <w:spacing w:val="-25"/>
        </w:rPr>
        <w:t> </w:t>
      </w:r>
      <w:r>
        <w:rPr>
          <w:spacing w:val="-25"/>
        </w:rPr>
      </w:r>
      <w:r>
        <w:rPr/>
        <w:t>潢印刷品印刷；其他印刷品印刷、纸制品的制造；纸加工。</w:t>
      </w:r>
    </w:p>
    <w:p>
      <w:pPr>
        <w:pStyle w:val="BodyText"/>
        <w:spacing w:line="273" w:lineRule="auto" w:before="7"/>
        <w:ind w:right="99" w:firstLine="314"/>
        <w:jc w:val="left"/>
      </w:pPr>
      <w:r>
        <w:rPr>
          <w:spacing w:val="-1"/>
        </w:rPr>
        <w:t>无锡双龙报告期末的资产总额103,856,160.59元，报告期实现净利润20,136,028.58元。</w:t>
      </w:r>
      <w:r>
        <w:rPr>
          <w:w w:val="100"/>
        </w:rPr>
        <w:t> </w:t>
      </w:r>
      <w:r>
        <w:rPr/>
        <w:t>3.广州彩创网络科技有限公司：</w:t>
      </w:r>
    </w:p>
    <w:p>
      <w:pPr>
        <w:pStyle w:val="BodyText"/>
        <w:spacing w:line="273" w:lineRule="auto" w:before="7"/>
        <w:ind w:right="99" w:firstLine="314"/>
        <w:jc w:val="left"/>
      </w:pPr>
      <w:r>
        <w:rPr>
          <w:spacing w:val="-2"/>
        </w:rPr>
        <w:t>公司成立于2009年，注册资本5000万元，公司持股75%，法定代表人：章万俊，注册地址：广州市天河</w:t>
      </w:r>
      <w:r>
        <w:rPr>
          <w:w w:val="100"/>
        </w:rPr>
        <w:t> </w:t>
      </w:r>
      <w:r>
        <w:rPr/>
        <w:t>区水荫115号天溢大厦四层。主要经营项目：网络软件开发、网络技术咨询及技术服务；批发和零售贸易</w:t>
      </w:r>
    </w:p>
    <w:p>
      <w:pPr>
        <w:pStyle w:val="BodyText"/>
        <w:spacing w:line="273" w:lineRule="auto" w:before="7"/>
        <w:ind w:left="469" w:right="99" w:hanging="315"/>
        <w:jc w:val="left"/>
      </w:pPr>
      <w:r>
        <w:rPr>
          <w:spacing w:val="-2"/>
        </w:rPr>
        <w:t>（法律行政法规禁止的不得经营；法律、行政法规限制的项目须取得相关许可文件后方可经营）</w:t>
      </w:r>
      <w:r>
        <w:rPr>
          <w:spacing w:val="-26"/>
        </w:rPr>
        <w:t> </w:t>
      </w:r>
      <w:r>
        <w:rPr>
          <w:spacing w:val="-26"/>
        </w:rPr>
      </w:r>
      <w:r>
        <w:rPr/>
        <w:t>广州彩创报告期末的资产总额56,791,838.74元，报告期实现净利润2,620,836.72元</w:t>
      </w:r>
    </w:p>
    <w:p>
      <w:pPr>
        <w:pStyle w:val="BodyText"/>
        <w:spacing w:line="273" w:lineRule="auto" w:before="7"/>
        <w:ind w:left="469" w:right="99" w:hanging="315"/>
        <w:jc w:val="left"/>
      </w:pPr>
      <w:r>
        <w:rPr/>
        <w:t>4.鸿博昊天科技有限公司：</w:t>
      </w:r>
      <w:r>
        <w:rPr>
          <w:w w:val="100"/>
        </w:rPr>
        <w:t> </w:t>
      </w:r>
      <w:r>
        <w:rPr/>
        <w:t>公司成立于2010年，注册资本29,500万元，公司持股100%，法定代表人：尤友鸾，注册地址：北京市</w:t>
      </w:r>
    </w:p>
    <w:p>
      <w:pPr>
        <w:pStyle w:val="BodyText"/>
        <w:spacing w:line="273" w:lineRule="auto" w:before="7"/>
        <w:ind w:right="205"/>
        <w:jc w:val="both"/>
      </w:pPr>
      <w:r>
        <w:rPr/>
        <w:t>北京经济技术开发区地盛南街1号1幢501室，主要经营项目：出版物印刷、包装装潢品印刷、其他印刷品</w:t>
      </w:r>
      <w:r>
        <w:rPr>
          <w:spacing w:val="-26"/>
        </w:rPr>
        <w:t> </w:t>
      </w:r>
      <w:r>
        <w:rPr>
          <w:spacing w:val="-26"/>
        </w:rPr>
      </w:r>
      <w:r>
        <w:rPr>
          <w:spacing w:val="-2"/>
        </w:rPr>
        <w:t>印刷等，一般经营项目：计算机软件系统、电子商务平台、互联网、电子产品的技术开发；销售计算机软</w:t>
      </w:r>
      <w:r>
        <w:rPr>
          <w:spacing w:val="-46"/>
        </w:rPr>
        <w:t> </w:t>
      </w:r>
      <w:r>
        <w:rPr>
          <w:spacing w:val="-46"/>
        </w:rPr>
      </w:r>
      <w:r>
        <w:rPr/>
        <w:t>件；货物进出口、技术进出口、代理进出口。</w:t>
      </w:r>
    </w:p>
    <w:p>
      <w:pPr>
        <w:pStyle w:val="BodyText"/>
        <w:spacing w:line="273" w:lineRule="auto" w:before="7"/>
        <w:ind w:right="209" w:firstLine="314"/>
        <w:jc w:val="left"/>
      </w:pPr>
      <w:r>
        <w:rPr/>
        <w:t>鸿博昊天报告期末的资产总额497,616,166.46元，报告期实现净利润-26,878,411.93元，亏损主要系</w:t>
      </w:r>
      <w:r>
        <w:rPr>
          <w:w w:val="100"/>
        </w:rPr>
        <w:t> </w:t>
      </w:r>
      <w:r>
        <w:rPr/>
        <w:t>订单减少固定成本高所致及存货跌价准备393.10万元所致。</w:t>
      </w:r>
      <w:r>
        <w:rPr>
          <w:w w:val="100"/>
        </w:rPr>
        <w:t> </w:t>
      </w:r>
      <w:r>
        <w:rPr/>
        <w:t>5.鸿博（福建）数据网络科技股份有限公司：</w:t>
      </w:r>
    </w:p>
    <w:p>
      <w:pPr>
        <w:pStyle w:val="BodyText"/>
        <w:spacing w:line="273" w:lineRule="auto" w:before="7"/>
        <w:ind w:right="183" w:firstLine="314"/>
        <w:jc w:val="both"/>
      </w:pPr>
      <w:r>
        <w:rPr/>
        <w:t>公司成立于2010年，注册资本1,000万元，公司持股99%，港龙贸易持股1%，法定代表人：章万俊，注</w:t>
      </w:r>
      <w:r>
        <w:rPr>
          <w:w w:val="100"/>
        </w:rPr>
        <w:t> </w:t>
      </w:r>
      <w:r>
        <w:rPr/>
        <w:t>册地址：福州市鼓楼区铜盘路软件大道89号福州软件园D区21号楼，主要经营项目：数据网络技术开发；</w:t>
      </w:r>
      <w:r>
        <w:rPr>
          <w:spacing w:val="-25"/>
        </w:rPr>
        <w:t> </w:t>
      </w:r>
      <w:r>
        <w:rPr>
          <w:spacing w:val="-25"/>
        </w:rPr>
      </w:r>
      <w:r>
        <w:rPr>
          <w:spacing w:val="-2"/>
        </w:rPr>
        <w:t>物联网技术开发；智能化网络系统集成的开发、设计与施工；软件开发与销售；节能产品、磁卡、IC卡、</w:t>
      </w:r>
      <w:r>
        <w:rPr>
          <w:spacing w:val="-22"/>
        </w:rPr>
        <w:t> </w:t>
      </w:r>
      <w:r>
        <w:rPr>
          <w:spacing w:val="-22"/>
        </w:rPr>
      </w:r>
      <w:r>
        <w:rPr>
          <w:spacing w:val="-2"/>
        </w:rPr>
        <w:t>电子元器件与电子产品的开发、销售及售后服务；动漫产品的设计、策划；自营和代理各类商品和技术的</w:t>
      </w:r>
      <w:r>
        <w:rPr>
          <w:spacing w:val="-44"/>
        </w:rPr>
        <w:t> </w:t>
      </w:r>
      <w:r>
        <w:rPr>
          <w:spacing w:val="-44"/>
        </w:rPr>
      </w:r>
      <w:r>
        <w:rPr>
          <w:spacing w:val="-2"/>
        </w:rPr>
        <w:t>进出口，但国家限定公司经营或禁止进出口的商品和技术除外（以上经营范围涉及许可经营项目的，应在</w:t>
      </w:r>
    </w:p>
    <w:p>
      <w:pPr>
        <w:spacing w:after="0" w:line="273"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left="469" w:right="0" w:hanging="315"/>
        <w:jc w:val="left"/>
      </w:pPr>
      <w:r>
        <w:rPr/>
        <w:t>取得有关部门的许可后方可经营）</w:t>
      </w:r>
      <w:r>
        <w:rPr>
          <w:w w:val="100"/>
        </w:rPr>
        <w:t> </w:t>
      </w:r>
      <w:r>
        <w:rPr>
          <w:spacing w:val="-2"/>
        </w:rPr>
        <w:t>鸿博数网报告期末的资产总额96,826,986.43元，报告期实现净利润20,604,987.18元。</w:t>
      </w:r>
    </w:p>
    <w:p>
      <w:pPr>
        <w:pStyle w:val="BodyText"/>
        <w:spacing w:line="273" w:lineRule="auto" w:before="7"/>
        <w:ind w:left="469" w:right="0" w:hanging="315"/>
        <w:jc w:val="left"/>
      </w:pPr>
      <w:r>
        <w:rPr/>
        <w:t>6.</w:t>
      </w:r>
      <w:r>
        <w:rPr>
          <w:spacing w:val="-1"/>
        </w:rPr>
        <w:t> </w:t>
      </w:r>
      <w:r>
        <w:rPr/>
        <w:t>福州港龙贸易有限公司</w:t>
      </w:r>
      <w:r>
        <w:rPr>
          <w:w w:val="100"/>
        </w:rPr>
        <w:t> </w:t>
      </w:r>
      <w:r>
        <w:rPr/>
        <w:t>公司成立于2008年，注册资本500.00万元，公司持股100%，法定代表人：尤友鸾，注册地址：福州市</w:t>
      </w:r>
    </w:p>
    <w:p>
      <w:pPr>
        <w:pStyle w:val="BodyText"/>
        <w:spacing w:line="273" w:lineRule="auto" w:before="7"/>
        <w:ind w:right="0"/>
        <w:jc w:val="left"/>
      </w:pPr>
      <w:r>
        <w:rPr/>
        <w:t>金达路136号。主要经营项目：纸品、纸制品、印刷设备及耗材、纺织材料、纺织品塑料制品、机械设备</w:t>
      </w:r>
      <w:r>
        <w:rPr>
          <w:spacing w:val="-28"/>
        </w:rPr>
        <w:t> </w:t>
      </w:r>
      <w:r>
        <w:rPr>
          <w:spacing w:val="-28"/>
        </w:rPr>
      </w:r>
      <w:r>
        <w:rPr/>
        <w:t>的批发、代购代销；代理销售中国体育彩票。</w:t>
      </w:r>
    </w:p>
    <w:p>
      <w:pPr>
        <w:pStyle w:val="BodyText"/>
        <w:spacing w:line="273" w:lineRule="auto" w:before="7"/>
        <w:ind w:right="0" w:firstLine="314"/>
        <w:jc w:val="left"/>
      </w:pPr>
      <w:r>
        <w:rPr>
          <w:spacing w:val="-2"/>
        </w:rPr>
        <w:t>港龙贸易报告期末的资产总额45,210,960.27元，报告期实现净利润-3,366,030.10元</w:t>
      </w:r>
      <w:r>
        <w:rPr>
          <w:w w:val="100"/>
        </w:rPr>
        <w:t> </w:t>
      </w:r>
      <w:r>
        <w:rPr/>
        <w:t>7、钻研（北京）国际文化传媒有限公司</w:t>
      </w:r>
    </w:p>
    <w:p>
      <w:pPr>
        <w:pStyle w:val="BodyText"/>
        <w:spacing w:line="273" w:lineRule="auto" w:before="7"/>
        <w:ind w:right="123" w:firstLine="314"/>
        <w:jc w:val="both"/>
      </w:pPr>
      <w:r>
        <w:rPr>
          <w:spacing w:val="-2"/>
        </w:rPr>
        <w:t>公司成立于2010年，注册资本1,000.00万元,公司持股100%，法定代表人：尤友岳，注册地址：北京市</w:t>
      </w:r>
      <w:r>
        <w:rPr>
          <w:w w:val="100"/>
        </w:rPr>
        <w:t> </w:t>
      </w:r>
      <w:r>
        <w:rPr>
          <w:spacing w:val="-2"/>
        </w:rPr>
        <w:t>朝阳区广渠路唐家村45号，主要经营项目：经营演出及经纪业务，制作发行动画片、电视综艺、专题片；</w:t>
      </w:r>
      <w:r>
        <w:rPr>
          <w:spacing w:val="-21"/>
        </w:rPr>
        <w:t> </w:t>
      </w:r>
      <w:r>
        <w:rPr>
          <w:spacing w:val="-21"/>
        </w:rPr>
      </w:r>
      <w:r>
        <w:rPr/>
        <w:t>组织文化艺术交流活动、会议及展览服务，企业策划、经济贸易咨询、设计、制作代理、发布广告。</w:t>
      </w:r>
    </w:p>
    <w:p>
      <w:pPr>
        <w:pStyle w:val="BodyText"/>
        <w:spacing w:line="273" w:lineRule="auto" w:before="7"/>
        <w:ind w:right="0" w:firstLine="314"/>
        <w:jc w:val="left"/>
      </w:pPr>
      <w:r>
        <w:rPr>
          <w:spacing w:val="-2"/>
        </w:rPr>
        <w:t>钻研文化报告期末的资产总额2,137,847.55元，报告期实际净利润-2,546,969.88元。</w:t>
      </w:r>
      <w:r>
        <w:rPr>
          <w:w w:val="100"/>
        </w:rPr>
        <w:t> </w:t>
      </w:r>
      <w:r>
        <w:rPr/>
        <w:t>二、参股公司分析：</w:t>
      </w:r>
    </w:p>
    <w:p>
      <w:pPr>
        <w:pStyle w:val="BodyText"/>
        <w:spacing w:line="273" w:lineRule="auto" w:before="7"/>
        <w:ind w:left="469" w:right="0" w:hanging="315"/>
        <w:jc w:val="left"/>
      </w:pPr>
      <w:r>
        <w:rPr/>
        <w:t>成都农村商业银行股份有限公司</w:t>
      </w:r>
      <w:r>
        <w:rPr>
          <w:w w:val="100"/>
        </w:rPr>
        <w:t> </w:t>
      </w:r>
      <w:r>
        <w:rPr/>
        <w:t>该公司成立于2009年，注册资本1,000,000万元，公司持有5785万股（占比0.5785%），法定代表人：</w:t>
      </w:r>
    </w:p>
    <w:p>
      <w:pPr>
        <w:pStyle w:val="BodyText"/>
        <w:spacing w:line="273" w:lineRule="auto" w:before="7"/>
        <w:ind w:right="0"/>
        <w:jc w:val="left"/>
      </w:pPr>
      <w:r>
        <w:rPr/>
        <w:t>傅作勇，注册地址：成都市武侯区科华中路新5号，主要经营项目：吸收公众存款；发放贷款；办理国内</w:t>
      </w:r>
      <w:r>
        <w:rPr>
          <w:spacing w:val="-25"/>
        </w:rPr>
        <w:t> </w:t>
      </w:r>
      <w:r>
        <w:rPr>
          <w:spacing w:val="-25"/>
        </w:rPr>
      </w:r>
      <w:r>
        <w:rPr/>
        <w:t>结算；办理票据承兑与贴现等业务。</w:t>
      </w:r>
    </w:p>
    <w:p>
      <w:pPr>
        <w:pStyle w:val="BodyText"/>
        <w:spacing w:line="273" w:lineRule="auto" w:before="7"/>
        <w:ind w:right="4492" w:firstLine="314"/>
        <w:jc w:val="left"/>
      </w:pPr>
      <w:r>
        <w:rPr>
          <w:spacing w:val="-2"/>
        </w:rPr>
        <w:t>报告期内，公司未取得分红。</w:t>
      </w:r>
      <w:r>
        <w:rPr>
          <w:w w:val="100"/>
        </w:rPr>
        <w:t> </w:t>
      </w:r>
      <w:r>
        <w:rPr/>
        <w:t>四川融圣投资管理股份有限公司</w:t>
      </w:r>
    </w:p>
    <w:p>
      <w:pPr>
        <w:pStyle w:val="BodyText"/>
        <w:spacing w:line="273" w:lineRule="auto" w:before="7"/>
        <w:ind w:right="147" w:firstLine="314"/>
        <w:jc w:val="both"/>
      </w:pPr>
      <w:r>
        <w:rPr/>
        <w:t>该公司成立于2011年，注册资本28,000万元，重庆鸿海公司持有3000万股（占比10.71%），法定代表</w:t>
      </w:r>
      <w:r>
        <w:rPr>
          <w:w w:val="100"/>
        </w:rPr>
        <w:t> </w:t>
      </w:r>
      <w:r>
        <w:rPr>
          <w:spacing w:val="-2"/>
        </w:rPr>
        <w:t>人：黄青成，注册地址：泸州市江阳区黄舣镇泸州酒业集中发展区聚源大道F006号。主要经营项目：投资</w:t>
      </w:r>
      <w:r>
        <w:rPr>
          <w:spacing w:val="-44"/>
        </w:rPr>
        <w:t> </w:t>
      </w:r>
      <w:r>
        <w:rPr>
          <w:spacing w:val="-44"/>
        </w:rPr>
      </w:r>
      <w:r>
        <w:rPr/>
        <w:t>与资产管理；包装材料技术开发：白酒及相关产业投资，房屋租赁。</w:t>
      </w:r>
    </w:p>
    <w:p>
      <w:pPr>
        <w:pStyle w:val="BodyText"/>
        <w:spacing w:line="273" w:lineRule="auto" w:before="7"/>
        <w:ind w:right="4492" w:firstLine="314"/>
        <w:jc w:val="left"/>
      </w:pPr>
      <w:r>
        <w:rPr>
          <w:spacing w:val="-2"/>
        </w:rPr>
        <w:t>报告期内，重庆鸿海未取得分红。</w:t>
      </w:r>
      <w:r>
        <w:rPr>
          <w:w w:val="100"/>
        </w:rPr>
        <w:t> </w:t>
      </w:r>
      <w:r>
        <w:rPr/>
        <w:t>厦门翔安民生村镇银行股份有限公司</w:t>
      </w:r>
    </w:p>
    <w:p>
      <w:pPr>
        <w:pStyle w:val="BodyText"/>
        <w:spacing w:line="273" w:lineRule="auto" w:before="7"/>
        <w:ind w:right="0" w:firstLine="314"/>
        <w:jc w:val="left"/>
      </w:pPr>
      <w:r>
        <w:rPr>
          <w:spacing w:val="-2"/>
        </w:rPr>
        <w:t>该公司是由民生银行与其它公司共同发起设立，注册资本7000万元，重庆鸿海出资350万元，持股比例</w:t>
      </w:r>
      <w:r>
        <w:rPr>
          <w:w w:val="100"/>
        </w:rPr>
        <w:t> </w:t>
      </w:r>
      <w:r>
        <w:rPr/>
        <w:t>5%。</w:t>
      </w:r>
    </w:p>
    <w:p>
      <w:pPr>
        <w:pStyle w:val="BodyText"/>
        <w:spacing w:line="307" w:lineRule="auto" w:before="7"/>
        <w:ind w:right="4492" w:firstLine="314"/>
        <w:jc w:val="left"/>
      </w:pPr>
      <w:r>
        <w:rPr>
          <w:spacing w:val="-2"/>
        </w:rPr>
        <w:t>报告期内，重庆鸿海未取得分红。</w:t>
      </w:r>
      <w:r>
        <w:rPr>
          <w:w w:val="100"/>
        </w:rPr>
        <w:t> </w:t>
      </w:r>
      <w:r>
        <w:rPr/>
        <w:t>报告期内取得和处置子公司的情况</w:t>
      </w:r>
    </w:p>
    <w:p>
      <w:pPr>
        <w:pStyle w:val="BodyText"/>
        <w:spacing w:line="535" w:lineRule="auto" w:before="16"/>
        <w:ind w:right="6516"/>
        <w:jc w:val="left"/>
      </w:pPr>
      <w:r>
        <w:rPr/>
        <w:t>□ 适用 √</w:t>
      </w:r>
      <w:r>
        <w:rPr>
          <w:spacing w:val="-2"/>
        </w:rPr>
        <w:t> </w:t>
      </w:r>
      <w:r>
        <w:rPr/>
        <w:t>不适用</w:t>
      </w:r>
      <w:r>
        <w:rPr>
          <w:spacing w:val="-103"/>
        </w:rPr>
        <w:t> </w:t>
      </w:r>
      <w:r>
        <w:rPr>
          <w:spacing w:val="-103"/>
        </w:rPr>
      </w:r>
      <w:r>
        <w:rPr/>
        <w:t>5、非募集资金投资的重大项目情况</w:t>
      </w:r>
    </w:p>
    <w:p>
      <w:pPr>
        <w:pStyle w:val="BodyText"/>
        <w:spacing w:line="307" w:lineRule="auto" w:before="81"/>
        <w:ind w:right="4492"/>
        <w:jc w:val="left"/>
      </w:pPr>
      <w:r>
        <w:rPr/>
        <w:t>□ 适用 √</w:t>
      </w:r>
      <w:r>
        <w:rPr>
          <w:spacing w:val="-2"/>
        </w:rPr>
        <w:t> </w:t>
      </w:r>
      <w:r>
        <w:rPr/>
        <w:t>不适用</w:t>
      </w:r>
      <w:r>
        <w:rPr>
          <w:spacing w:val="-103"/>
        </w:rPr>
        <w:t> </w:t>
      </w:r>
      <w:r>
        <w:rPr>
          <w:spacing w:val="-103"/>
        </w:rPr>
      </w:r>
      <w:r>
        <w:rPr>
          <w:spacing w:val="-2"/>
        </w:rPr>
        <w:t>公司报告期无非募集资金投资的重大项目。</w:t>
      </w:r>
    </w:p>
    <w:p>
      <w:pPr>
        <w:spacing w:line="240" w:lineRule="auto" w:before="1"/>
        <w:rPr>
          <w:rFonts w:ascii="宋体" w:hAnsi="宋体" w:cs="宋体" w:eastAsia="宋体" w:hint="default"/>
          <w:sz w:val="21"/>
          <w:szCs w:val="21"/>
        </w:rPr>
      </w:pPr>
    </w:p>
    <w:p>
      <w:pPr>
        <w:pStyle w:val="BodyText"/>
        <w:spacing w:line="240" w:lineRule="auto"/>
        <w:ind w:right="2880"/>
        <w:jc w:val="left"/>
      </w:pPr>
      <w:r>
        <w:rPr/>
        <w:t>七、公司控制的特殊目的主体情况</w:t>
      </w:r>
    </w:p>
    <w:p>
      <w:pPr>
        <w:spacing w:line="240" w:lineRule="auto" w:before="12"/>
        <w:rPr>
          <w:rFonts w:ascii="宋体" w:hAnsi="宋体" w:cs="宋体" w:eastAsia="宋体" w:hint="default"/>
          <w:sz w:val="25"/>
          <w:szCs w:val="25"/>
        </w:rPr>
      </w:pPr>
    </w:p>
    <w:p>
      <w:pPr>
        <w:pStyle w:val="BodyText"/>
        <w:spacing w:line="535" w:lineRule="auto"/>
        <w:ind w:right="7461"/>
        <w:jc w:val="left"/>
      </w:pPr>
      <w:r>
        <w:rPr/>
        <w:t>□ 适用 √</w:t>
      </w:r>
      <w:r>
        <w:rPr>
          <w:spacing w:val="-2"/>
        </w:rPr>
        <w:t> </w:t>
      </w:r>
      <w:r>
        <w:rPr/>
        <w:t>不适用</w:t>
      </w:r>
      <w:r>
        <w:rPr>
          <w:w w:val="100"/>
        </w:rPr>
        <w:t> </w:t>
      </w:r>
      <w:r>
        <w:rPr/>
        <w:t>八、公司未来发展的展望</w:t>
      </w:r>
    </w:p>
    <w:p>
      <w:pPr>
        <w:pStyle w:val="BodyText"/>
        <w:spacing w:line="273" w:lineRule="auto" w:before="81"/>
        <w:ind w:right="6516"/>
        <w:jc w:val="left"/>
      </w:pPr>
      <w:r>
        <w:rPr>
          <w:spacing w:val="-2"/>
        </w:rPr>
        <w:t>（一）行业竞争格局和发展趋势：</w:t>
      </w:r>
      <w:r>
        <w:rPr>
          <w:spacing w:val="-75"/>
        </w:rPr>
        <w:t> </w:t>
      </w:r>
      <w:r>
        <w:rPr>
          <w:spacing w:val="-75"/>
        </w:rPr>
      </w:r>
      <w:r>
        <w:rPr/>
        <w:t>1、行业竞争格局</w:t>
      </w:r>
    </w:p>
    <w:p>
      <w:pPr>
        <w:pStyle w:val="BodyText"/>
        <w:spacing w:line="240" w:lineRule="auto" w:before="7"/>
        <w:ind w:right="0"/>
        <w:jc w:val="left"/>
      </w:pPr>
      <w:r>
        <w:rPr/>
        <w:t>（1）票证印刷方面，低端票证由于进入壁垒低，市场处于完全竞争状态，企业之间的竞争更多是靠价格</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5"/>
        <w:jc w:val="both"/>
      </w:pPr>
      <w:r>
        <w:rPr>
          <w:spacing w:val="-2"/>
        </w:rPr>
        <w:t>战。高端防伪票证由于要求较高的防伪技术，具有工艺复杂，技术要求高，投资大等特点，形成了较高的</w:t>
      </w:r>
      <w:r>
        <w:rPr>
          <w:spacing w:val="-47"/>
        </w:rPr>
        <w:t> </w:t>
      </w:r>
      <w:r>
        <w:rPr>
          <w:spacing w:val="-47"/>
        </w:rPr>
      </w:r>
      <w:r>
        <w:rPr>
          <w:spacing w:val="-2"/>
        </w:rPr>
        <w:t>市场进入壁垒，市场竞争仍然较为充分，企业之间的竞争由质量、技术、价格逐步转向引导客户需求的变</w:t>
      </w:r>
      <w:r>
        <w:rPr>
          <w:spacing w:val="-47"/>
        </w:rPr>
        <w:t> </w:t>
      </w:r>
      <w:r>
        <w:rPr>
          <w:spacing w:val="-47"/>
        </w:rPr>
      </w:r>
      <w:r>
        <w:rPr>
          <w:spacing w:val="-2"/>
        </w:rPr>
        <w:t>化，如通过对传统票证进行技术升级，证件、票据加载电子标签，进而证件替换成卡片，引导客户需求的</w:t>
      </w:r>
      <w:r>
        <w:rPr>
          <w:spacing w:val="-44"/>
        </w:rPr>
        <w:t> </w:t>
      </w:r>
      <w:r>
        <w:rPr>
          <w:spacing w:val="-44"/>
        </w:rPr>
      </w:r>
      <w:r>
        <w:rPr/>
        <w:t>变化。</w:t>
      </w:r>
    </w:p>
    <w:p>
      <w:pPr>
        <w:pStyle w:val="BodyText"/>
        <w:spacing w:line="273" w:lineRule="auto" w:before="7"/>
        <w:ind w:right="145"/>
        <w:jc w:val="both"/>
      </w:pPr>
      <w:r>
        <w:rPr/>
        <w:t>（2）智能IC卡方面，</w:t>
      </w:r>
      <w:r>
        <w:rPr>
          <w:spacing w:val="-26"/>
        </w:rPr>
        <w:t> </w:t>
      </w:r>
      <w:r>
        <w:rPr/>
        <w:t>随着智能IC卡运用领域的不断扩大，芯片卡，银行卡、社保卡等产品更新换代速度</w:t>
      </w:r>
      <w:r>
        <w:rPr>
          <w:w w:val="100"/>
        </w:rPr>
        <w:t> </w:t>
      </w:r>
      <w:r>
        <w:rPr>
          <w:spacing w:val="-2"/>
        </w:rPr>
        <w:t>加快，进一步扩大了行业规模。同时，智能卡片运用技术更新也在加快，客户需求由单一的卡片印制和封</w:t>
      </w:r>
      <w:r>
        <w:rPr>
          <w:spacing w:val="-47"/>
        </w:rPr>
        <w:t> </w:t>
      </w:r>
      <w:r>
        <w:rPr>
          <w:spacing w:val="-47"/>
        </w:rPr>
      </w:r>
      <w:r>
        <w:rPr>
          <w:spacing w:val="-2"/>
        </w:rPr>
        <w:t>装需求逐渐提升为对整体解决方案的需求，行业竞争焦点逐步从传统的制卡能力扩展到智能卡操作系统平</w:t>
      </w:r>
      <w:r>
        <w:rPr>
          <w:spacing w:val="-42"/>
        </w:rPr>
        <w:t> </w:t>
      </w:r>
      <w:r>
        <w:rPr>
          <w:spacing w:val="-42"/>
        </w:rPr>
      </w:r>
      <w:r>
        <w:rPr/>
        <w:t>台开发和应用开发。</w:t>
      </w:r>
    </w:p>
    <w:p>
      <w:pPr>
        <w:pStyle w:val="BodyText"/>
        <w:spacing w:line="273" w:lineRule="auto" w:before="7"/>
        <w:ind w:right="229"/>
        <w:jc w:val="both"/>
      </w:pPr>
      <w:r>
        <w:rPr>
          <w:spacing w:val="-2"/>
        </w:rPr>
        <w:t>（3）彩票无纸化业务方面，随着互联网、智能手机的普及，彩票无纸化代购市场规模进一步扩大，代购</w:t>
      </w:r>
      <w:r>
        <w:rPr>
          <w:spacing w:val="-23"/>
        </w:rPr>
        <w:t> </w:t>
      </w:r>
      <w:r>
        <w:rPr>
          <w:spacing w:val="-23"/>
        </w:rPr>
      </w:r>
      <w:r>
        <w:rPr/>
        <w:t>市场的渠道、平台以及专业服务成为争取目标客户、抢占市场的重要因素。</w:t>
      </w:r>
    </w:p>
    <w:p>
      <w:pPr>
        <w:pStyle w:val="BodyText"/>
        <w:spacing w:line="240" w:lineRule="auto" w:before="7"/>
        <w:ind w:right="2880"/>
        <w:jc w:val="left"/>
      </w:pPr>
      <w:r>
        <w:rPr/>
        <w:t>2、行业发展趋势</w:t>
      </w:r>
    </w:p>
    <w:p>
      <w:pPr>
        <w:pStyle w:val="BodyText"/>
        <w:spacing w:line="290" w:lineRule="auto" w:before="78"/>
        <w:ind w:left="577" w:right="0" w:hanging="423"/>
        <w:jc w:val="left"/>
      </w:pPr>
      <w:r>
        <w:rPr/>
        <w:t>（</w:t>
      </w:r>
      <w:r>
        <w:rPr>
          <w:rFonts w:ascii="Times New Roman" w:hAnsi="Times New Roman" w:cs="Times New Roman" w:eastAsia="Times New Roman" w:hint="default"/>
        </w:rPr>
        <w:t>1</w:t>
      </w:r>
      <w:r>
        <w:rPr/>
        <w:t>）印刷行业规模仍将扩大，传统产品市场下滑</w:t>
      </w:r>
      <w:r>
        <w:rPr>
          <w:w w:val="100"/>
        </w:rPr>
        <w:t> </w:t>
      </w:r>
      <w:r>
        <w:rPr>
          <w:spacing w:val="-2"/>
        </w:rPr>
        <w:t>我国印刷业产值已超过万亿，成为世界印刷第二大国。随着宏观经济的换档升级，会创造更多的印刷</w:t>
      </w:r>
    </w:p>
    <w:p>
      <w:pPr>
        <w:pStyle w:val="BodyText"/>
        <w:spacing w:line="273" w:lineRule="auto"/>
        <w:ind w:right="123"/>
        <w:jc w:val="both"/>
      </w:pPr>
      <w:r>
        <w:rPr>
          <w:spacing w:val="-2"/>
        </w:rPr>
        <w:t>市场需求，未来印刷行业总体市场规模仍将扩大，但受新兴媒体的影响，预计传统印刷产品如书刊杂志、</w:t>
      </w:r>
      <w:r>
        <w:rPr>
          <w:spacing w:val="-22"/>
        </w:rPr>
        <w:t> </w:t>
      </w:r>
      <w:r>
        <w:rPr>
          <w:spacing w:val="-22"/>
        </w:rPr>
      </w:r>
      <w:r>
        <w:rPr/>
        <w:t>普通商业表格等市场规模将下滑，防伪产品、包装印刷及数字印刷产品规模将增加。</w:t>
      </w:r>
    </w:p>
    <w:p>
      <w:pPr>
        <w:pStyle w:val="BodyText"/>
        <w:spacing w:line="240" w:lineRule="auto" w:before="48"/>
        <w:ind w:right="2880"/>
        <w:jc w:val="left"/>
      </w:pPr>
      <w:r>
        <w:rPr/>
        <w:t>（2）绿色印刷及综合服务能力成为印刷企业最大竞争力</w:t>
      </w:r>
    </w:p>
    <w:p>
      <w:pPr>
        <w:pStyle w:val="BodyText"/>
        <w:spacing w:line="266" w:lineRule="auto" w:before="78"/>
        <w:ind w:right="145" w:firstLine="422"/>
        <w:jc w:val="both"/>
      </w:pP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w w:val="100"/>
        </w:rPr>
        <w:t> </w:t>
      </w:r>
      <w:r>
        <w:rPr>
          <w:w w:val="100"/>
        </w:rPr>
        <w:t>年 </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w w:val="100"/>
        </w:rPr>
        <w:t> </w:t>
      </w:r>
      <w:r>
        <w:rPr>
          <w:spacing w:val="-5"/>
          <w:w w:val="100"/>
        </w:rPr>
        <w:t>月，国务院印发了《关于推进文化创意和设计服务与相关产业融合发展的若干意见》，意见</w:t>
      </w:r>
      <w:r>
        <w:rPr>
          <w:w w:val="100"/>
        </w:rPr>
        <w:t> </w:t>
      </w:r>
      <w:r>
        <w:rPr>
          <w:spacing w:val="-2"/>
          <w:w w:val="100"/>
        </w:rPr>
        <w:t>提出将推进“数字绿色印刷发展，引导印刷复制加工向综合创意和设计服务转变”，未来印刷企业核心竞</w:t>
      </w:r>
      <w:r>
        <w:rPr>
          <w:spacing w:val="-94"/>
          <w:w w:val="100"/>
        </w:rPr>
        <w:t> </w:t>
      </w:r>
      <w:r>
        <w:rPr>
          <w:spacing w:val="-94"/>
          <w:w w:val="100"/>
        </w:rPr>
      </w:r>
      <w:r>
        <w:rPr>
          <w:spacing w:val="-2"/>
        </w:rPr>
        <w:t>争力将体现在企业自动化和数字化水平、信息技术融合与应用、印刷产品创意设计能力等方面，进一步要</w:t>
      </w:r>
      <w:r>
        <w:rPr>
          <w:spacing w:val="-44"/>
        </w:rPr>
        <w:t> </w:t>
      </w:r>
      <w:r>
        <w:rPr>
          <w:spacing w:val="-44"/>
        </w:rPr>
      </w:r>
      <w:r>
        <w:rPr/>
        <w:t>求企业主动通过推进绿色印刷、清洁生产等承担起社会责任。</w:t>
      </w:r>
    </w:p>
    <w:p>
      <w:pPr>
        <w:pStyle w:val="BodyText"/>
        <w:spacing w:line="240" w:lineRule="auto" w:before="52"/>
        <w:ind w:right="2880"/>
        <w:jc w:val="left"/>
      </w:pPr>
      <w:r>
        <w:rPr/>
        <w:t>（</w:t>
      </w:r>
      <w:r>
        <w:rPr>
          <w:rFonts w:ascii="Times New Roman" w:hAnsi="Times New Roman" w:cs="Times New Roman" w:eastAsia="Times New Roman" w:hint="default"/>
        </w:rPr>
        <w:t>3</w:t>
      </w:r>
      <w:r>
        <w:rPr/>
        <w:t>）智能卡行业规模快速增长，各种应用交互融合</w:t>
      </w:r>
    </w:p>
    <w:p>
      <w:pPr>
        <w:pStyle w:val="BodyText"/>
        <w:spacing w:line="256" w:lineRule="auto" w:before="62"/>
        <w:ind w:right="145" w:firstLine="420"/>
        <w:jc w:val="both"/>
      </w:pPr>
      <w:r>
        <w:rPr/>
        <w:t>中国人民银行《关于推进金融</w:t>
      </w:r>
      <w:r>
        <w:rPr>
          <w:spacing w:val="-52"/>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spacing w:val="-3"/>
        </w:rPr>
        <w:t>卡应用工作的意见》要求，自</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日起，在经济发达地区</w:t>
      </w:r>
      <w:r>
        <w:rPr>
          <w:w w:val="100"/>
        </w:rPr>
        <w:t> </w:t>
      </w:r>
      <w:r>
        <w:rPr/>
        <w:t>和重点合作行业领域，商业银行发行的、以人民币为结算账户的银行卡应为金融 </w:t>
      </w:r>
      <w:r>
        <w:rPr>
          <w:rFonts w:ascii="Times New Roman" w:hAnsi="Times New Roman" w:cs="Times New Roman" w:eastAsia="Times New Roman" w:hint="default"/>
        </w:rPr>
        <w:t>IC </w:t>
      </w:r>
      <w:r>
        <w:rPr/>
        <w:t>卡。</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年末，国内</w:t>
      </w:r>
      <w:r>
        <w:rPr>
          <w:w w:val="100"/>
        </w:rPr>
        <w:t> </w:t>
      </w:r>
      <w:r>
        <w:rPr/>
        <w:t>已发行金融</w:t>
      </w:r>
      <w:r>
        <w:rPr>
          <w:spacing w:val="-42"/>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卡超过</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亿张，增幅超过</w:t>
      </w:r>
      <w:r>
        <w:rPr>
          <w:spacing w:val="-42"/>
        </w:rPr>
        <w:t> </w:t>
      </w:r>
      <w:r>
        <w:rPr>
          <w:rFonts w:ascii="Times New Roman" w:hAnsi="Times New Roman" w:cs="Times New Roman" w:eastAsia="Times New Roman" w:hint="default"/>
        </w:rPr>
        <w:t>100%</w:t>
      </w:r>
      <w:r>
        <w:rPr/>
        <w:t>，预计未来几年仍将维持较高新增发卡量。与此同时，城</w:t>
      </w:r>
      <w:r>
        <w:rPr>
          <w:w w:val="100"/>
        </w:rPr>
        <w:t> </w:t>
      </w:r>
      <w:r>
        <w:rPr/>
        <w:t>市一卡通、市民卡、金融 </w:t>
      </w:r>
      <w:r>
        <w:rPr>
          <w:rFonts w:ascii="Times New Roman" w:hAnsi="Times New Roman" w:cs="Times New Roman" w:eastAsia="Times New Roman" w:hint="default"/>
        </w:rPr>
        <w:t>IC</w:t>
      </w:r>
      <w:r>
        <w:rPr>
          <w:rFonts w:ascii="Times New Roman" w:hAnsi="Times New Roman" w:cs="Times New Roman" w:eastAsia="Times New Roman" w:hint="default"/>
          <w:spacing w:val="21"/>
        </w:rPr>
        <w:t> </w:t>
      </w:r>
      <w:r>
        <w:rPr/>
        <w:t>卡、社保卡、健康卡、居住证及其它社会领域的应用卡，开始出现应用相互</w:t>
      </w:r>
      <w:r>
        <w:rPr>
          <w:w w:val="100"/>
        </w:rPr>
        <w:t> </w:t>
      </w:r>
      <w:r>
        <w:rPr/>
        <w:t>融合的趋势，对企业的系统开发和应用开发能力要求越来越高。</w:t>
      </w:r>
    </w:p>
    <w:p>
      <w:pPr>
        <w:pStyle w:val="BodyText"/>
        <w:spacing w:line="240" w:lineRule="auto" w:before="63"/>
        <w:ind w:right="2880"/>
        <w:jc w:val="left"/>
      </w:pPr>
      <w:r>
        <w:rPr/>
        <w:t>（</w:t>
      </w:r>
      <w:r>
        <w:rPr>
          <w:rFonts w:ascii="Times New Roman" w:hAnsi="Times New Roman" w:cs="Times New Roman" w:eastAsia="Times New Roman" w:hint="default"/>
        </w:rPr>
        <w:t>4</w:t>
      </w:r>
      <w:r>
        <w:rPr/>
        <w:t>）彩票行业保持快速发展，新渠道和新游戏需求逐渐明朗</w:t>
      </w:r>
    </w:p>
    <w:p>
      <w:pPr>
        <w:pStyle w:val="BodyText"/>
        <w:spacing w:line="266" w:lineRule="auto" w:before="59"/>
        <w:ind w:right="145"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年，全国彩票销量达到</w:t>
      </w:r>
      <w:r>
        <w:rPr>
          <w:spacing w:val="-51"/>
        </w:rPr>
        <w:t> </w:t>
      </w:r>
      <w:r>
        <w:rPr>
          <w:rFonts w:ascii="Times New Roman" w:hAnsi="Times New Roman" w:cs="Times New Roman" w:eastAsia="Times New Roman" w:hint="default"/>
        </w:rPr>
        <w:t>3823</w:t>
      </w:r>
      <w:r>
        <w:rPr>
          <w:rFonts w:ascii="Times New Roman" w:hAnsi="Times New Roman" w:cs="Times New Roman" w:eastAsia="Times New Roman" w:hint="default"/>
          <w:spacing w:val="1"/>
        </w:rPr>
        <w:t> </w:t>
      </w:r>
      <w:r>
        <w:rPr/>
        <w:t>亿元，增幅达到</w:t>
      </w:r>
      <w:r>
        <w:rPr>
          <w:spacing w:val="-51"/>
        </w:rPr>
        <w:t> </w:t>
      </w:r>
      <w:r>
        <w:rPr>
          <w:rFonts w:ascii="Times New Roman" w:hAnsi="Times New Roman" w:cs="Times New Roman" w:eastAsia="Times New Roman" w:hint="default"/>
        </w:rPr>
        <w:t>23%</w:t>
      </w:r>
      <w:r>
        <w:rPr/>
        <w:t>，最近几年均保持高速增长。新修订的《彩票</w:t>
      </w:r>
      <w:r>
        <w:rPr>
          <w:w w:val="100"/>
        </w:rPr>
        <w:t> </w:t>
      </w:r>
      <w:r>
        <w:rPr>
          <w:spacing w:val="-2"/>
        </w:rPr>
        <w:t>发行销售管理办法》中除实体店和电话销售彩票外，互联网和自助终端销售模式也获得认可。随着部分省</w:t>
      </w:r>
      <w:r>
        <w:rPr>
          <w:spacing w:val="-45"/>
        </w:rPr>
        <w:t> </w:t>
      </w:r>
      <w:r>
        <w:rPr>
          <w:spacing w:val="-45"/>
        </w:rPr>
      </w:r>
      <w:r>
        <w:rPr>
          <w:spacing w:val="-2"/>
        </w:rPr>
        <w:t>份彩票中心开启彩票游戏、游戏平台建设和电话销售彩票资格招投标，国内彩票销售新渠道及新游戏需求</w:t>
      </w:r>
      <w:r>
        <w:rPr>
          <w:spacing w:val="-43"/>
        </w:rPr>
        <w:t> </w:t>
      </w:r>
      <w:r>
        <w:rPr>
          <w:spacing w:val="-43"/>
        </w:rPr>
      </w:r>
      <w:r>
        <w:rPr/>
        <w:t>逐渐明朗，提升渠道开发能力和彩种研发能力渐成行业共识。</w:t>
      </w:r>
    </w:p>
    <w:p>
      <w:pPr>
        <w:pStyle w:val="BodyText"/>
        <w:spacing w:line="273" w:lineRule="auto" w:before="55"/>
        <w:ind w:left="577" w:right="0" w:hanging="423"/>
        <w:jc w:val="left"/>
      </w:pPr>
      <w:r>
        <w:rPr/>
        <w:t>（二）公司发展战略</w:t>
      </w:r>
      <w:r>
        <w:rPr>
          <w:w w:val="100"/>
        </w:rPr>
        <w:t> </w:t>
      </w:r>
      <w:r>
        <w:rPr>
          <w:spacing w:val="-2"/>
        </w:rPr>
        <w:t>1、创建拥有核心技术操作系统和应用开发能力来推动金融、通信、智能卡产品在行业中的知名度，</w:t>
      </w:r>
    </w:p>
    <w:p>
      <w:pPr>
        <w:pStyle w:val="BodyText"/>
        <w:spacing w:line="273" w:lineRule="auto" w:before="7"/>
        <w:ind w:left="577" w:right="0" w:hanging="423"/>
        <w:jc w:val="left"/>
      </w:pPr>
      <w:r>
        <w:rPr/>
        <w:t>从而推动业务发展和占有一定的市场份额，通过不懈的努力，立足于半导体行业。</w:t>
      </w:r>
      <w:r>
        <w:rPr>
          <w:w w:val="100"/>
        </w:rPr>
        <w:t> </w:t>
      </w:r>
      <w:r>
        <w:rPr>
          <w:spacing w:val="-2"/>
        </w:rPr>
        <w:t>2、彩票行业是朝阳产业，以彩票印制为基础，加大彩种研发投入，重视无纸化彩票的推广和平台建</w:t>
      </w:r>
    </w:p>
    <w:p>
      <w:pPr>
        <w:pStyle w:val="BodyText"/>
        <w:spacing w:line="273" w:lineRule="auto" w:before="7"/>
        <w:ind w:left="577" w:right="0" w:hanging="423"/>
        <w:jc w:val="left"/>
      </w:pPr>
      <w:r>
        <w:rPr/>
        <w:t>设，抓住移动互联网发展给无纸化彩票带来的机遇。</w:t>
      </w:r>
      <w:r>
        <w:rPr>
          <w:w w:val="100"/>
        </w:rPr>
        <w:t> </w:t>
      </w:r>
      <w:r>
        <w:rPr>
          <w:spacing w:val="-2"/>
        </w:rPr>
        <w:t>3、稳定目前核心业务，优化产品结构，积极推广智能包装和智能票证应用，创建细分领域智能产品</w:t>
      </w:r>
    </w:p>
    <w:p>
      <w:pPr>
        <w:pStyle w:val="BodyText"/>
        <w:spacing w:line="273" w:lineRule="auto" w:before="7"/>
        <w:ind w:left="577" w:right="0" w:hanging="423"/>
        <w:jc w:val="left"/>
      </w:pPr>
      <w:r>
        <w:rPr/>
        <w:t>公共服务平台，有计划地投入和培育市场应用环境。</w:t>
      </w:r>
      <w:r>
        <w:rPr>
          <w:w w:val="100"/>
        </w:rPr>
        <w:t> </w:t>
      </w:r>
      <w:r>
        <w:rPr>
          <w:spacing w:val="-2"/>
        </w:rPr>
        <w:t>4、优化资产结构，充分应用资本平台优势，不断创新和技术革新，创建有社会责任的企业集团。</w:t>
      </w:r>
    </w:p>
    <w:p>
      <w:pPr>
        <w:pStyle w:val="BodyText"/>
        <w:spacing w:line="273" w:lineRule="auto" w:before="7"/>
        <w:ind w:left="577" w:right="0" w:hanging="423"/>
        <w:jc w:val="left"/>
      </w:pPr>
      <w:r>
        <w:rPr/>
        <w:t>（三）经营计划：</w:t>
      </w:r>
      <w:r>
        <w:rPr>
          <w:w w:val="100"/>
        </w:rPr>
        <w:t> </w:t>
      </w:r>
      <w:r>
        <w:rPr>
          <w:spacing w:val="-2"/>
        </w:rPr>
        <w:t>1、继续推动智能IC卡全国营销网络布局以及操作系统的研发，提升公司市场营销和技术开发能力，</w:t>
      </w:r>
    </w:p>
    <w:p>
      <w:pPr>
        <w:pStyle w:val="BodyText"/>
        <w:spacing w:line="273" w:lineRule="auto" w:before="7"/>
        <w:ind w:left="577" w:right="0" w:hanging="423"/>
        <w:jc w:val="left"/>
      </w:pPr>
      <w:r>
        <w:rPr/>
        <w:t>拓宽公司智能IC卡产品在多行业领域的运用，如金融行业、票证行业、食品药品行业等领域。</w:t>
      </w:r>
      <w:r>
        <w:rPr>
          <w:w w:val="100"/>
        </w:rPr>
        <w:t> </w:t>
      </w:r>
      <w:r>
        <w:rPr>
          <w:spacing w:val="-2"/>
        </w:rPr>
        <w:t>2、积极拓展热敏票证产品市场，通过提升服务和产品技术，增加企业竞争能力，布局全国市场，稳</w:t>
      </w:r>
    </w:p>
    <w:p>
      <w:pPr>
        <w:spacing w:after="0" w:line="273"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left="577" w:right="99" w:hanging="423"/>
        <w:jc w:val="left"/>
      </w:pPr>
      <w:r>
        <w:rPr/>
        <w:t>定和提升市场份额。</w:t>
      </w:r>
      <w:r>
        <w:rPr>
          <w:w w:val="100"/>
        </w:rPr>
        <w:t> </w:t>
      </w:r>
      <w:r>
        <w:rPr>
          <w:spacing w:val="-2"/>
        </w:rPr>
        <w:t>3、持续跟踪彩票和体育事业的相关政策变化，及时对公司彩票无纸化业务模式进行调整。2015年公</w:t>
      </w:r>
    </w:p>
    <w:p>
      <w:pPr>
        <w:pStyle w:val="BodyText"/>
        <w:spacing w:line="273" w:lineRule="auto" w:before="7"/>
        <w:ind w:right="99"/>
        <w:jc w:val="left"/>
      </w:pPr>
      <w:r>
        <w:rPr>
          <w:spacing w:val="-2"/>
        </w:rPr>
        <w:t>司将继续推进彩票无纸化业务的销售平台建设和推广，做好现有用户的资讯维护、提升用户体验、提高品</w:t>
      </w:r>
      <w:r>
        <w:rPr>
          <w:spacing w:val="-44"/>
        </w:rPr>
        <w:t> </w:t>
      </w:r>
      <w:r>
        <w:rPr>
          <w:spacing w:val="-44"/>
        </w:rPr>
      </w:r>
      <w:r>
        <w:rPr/>
        <w:t>牌知名度，为彩票无纸化业务提升打下坚实的基础。</w:t>
      </w:r>
    </w:p>
    <w:p>
      <w:pPr>
        <w:pStyle w:val="BodyText"/>
        <w:spacing w:line="273" w:lineRule="auto" w:before="7"/>
        <w:ind w:right="99" w:firstLine="422"/>
        <w:jc w:val="left"/>
      </w:pPr>
      <w:r>
        <w:rPr/>
        <w:t>4、继续加大电子彩票事业部的建设和投入力度，继续吸引优秀研发人员，增强研发实力：积极分析</w:t>
      </w:r>
      <w:r>
        <w:rPr>
          <w:w w:val="100"/>
        </w:rPr>
        <w:t> </w:t>
      </w:r>
      <w:r>
        <w:rPr>
          <w:spacing w:val="-2"/>
        </w:rPr>
        <w:t>国内彩票市场，深入研究国际彩票市场和玩法，继续推动“彩票中国行”研发项目的实施；加大针对体育</w:t>
      </w:r>
      <w:r>
        <w:rPr>
          <w:spacing w:val="-45"/>
        </w:rPr>
        <w:t> </w:t>
      </w:r>
      <w:r>
        <w:rPr>
          <w:spacing w:val="-45"/>
        </w:rPr>
      </w:r>
      <w:r>
        <w:rPr>
          <w:spacing w:val="-2"/>
        </w:rPr>
        <w:t>赛事类新彩种、新玩法的开发力度，丰富新彩种、新玩法产品库；加大市场营销力度，尽快实现新彩种、</w:t>
      </w:r>
      <w:r>
        <w:rPr>
          <w:spacing w:val="-26"/>
        </w:rPr>
        <w:t> </w:t>
      </w:r>
      <w:r>
        <w:rPr>
          <w:spacing w:val="-26"/>
        </w:rPr>
      </w:r>
      <w:r>
        <w:rPr/>
        <w:t>新玩法的研发落地。</w:t>
      </w:r>
    </w:p>
    <w:p>
      <w:pPr>
        <w:pStyle w:val="BodyText"/>
        <w:spacing w:line="273" w:lineRule="auto" w:before="7"/>
        <w:ind w:left="577" w:right="99" w:hanging="423"/>
        <w:jc w:val="left"/>
      </w:pPr>
      <w:r>
        <w:rPr/>
        <w:t>（四）资金安排：</w:t>
      </w:r>
      <w:r>
        <w:rPr>
          <w:w w:val="100"/>
        </w:rPr>
        <w:t> </w:t>
      </w:r>
      <w:r>
        <w:rPr>
          <w:spacing w:val="-2"/>
        </w:rPr>
        <w:t>公司将积极利用自有资金，同时通过各种融资渠道合理融资，保障公司2015年项目计划的顺利进行。</w:t>
      </w:r>
    </w:p>
    <w:p>
      <w:pPr>
        <w:pStyle w:val="BodyText"/>
        <w:spacing w:line="240" w:lineRule="auto" w:before="7"/>
        <w:ind w:right="99"/>
        <w:jc w:val="left"/>
      </w:pPr>
      <w:r>
        <w:rPr/>
        <w:t>（五）可能面对的风险及应对措施：</w:t>
      </w:r>
    </w:p>
    <w:p>
      <w:pPr>
        <w:pStyle w:val="BodyText"/>
        <w:spacing w:line="256" w:lineRule="auto" w:before="78"/>
        <w:ind w:right="186" w:firstLine="422"/>
        <w:jc w:val="right"/>
      </w:pPr>
      <w:r>
        <w:rPr>
          <w:rFonts w:ascii="Times New Roman" w:hAnsi="Times New Roman" w:cs="Times New Roman" w:eastAsia="Times New Roman" w:hint="default"/>
        </w:rPr>
        <w:t>1</w:t>
      </w:r>
      <w:r>
        <w:rPr/>
        <w:t>、市场竞争进一步加剧的风险。票证产品产能过剩，市场集中度不高，市场竞争可能进一步加剧，</w:t>
      </w:r>
      <w:r>
        <w:rPr>
          <w:w w:val="100"/>
        </w:rPr>
        <w:t> </w:t>
      </w:r>
      <w:r>
        <w:rPr>
          <w:spacing w:val="-2"/>
        </w:rPr>
        <w:t>公司将从加大市场营销力度、提升技术水平，降低生产成本、提高服务质量等方面提升公司市场竞争力。</w:t>
      </w:r>
    </w:p>
    <w:p>
      <w:pPr>
        <w:pStyle w:val="BodyText"/>
        <w:spacing w:line="264" w:lineRule="auto" w:before="61"/>
        <w:ind w:right="99" w:firstLine="422"/>
        <w:jc w:val="left"/>
      </w:pPr>
      <w:r>
        <w:rPr>
          <w:rFonts w:ascii="Times New Roman" w:hAnsi="Times New Roman" w:cs="Times New Roman" w:eastAsia="Times New Roman" w:hint="default"/>
        </w:rPr>
        <w:t>2</w:t>
      </w:r>
      <w:r>
        <w:rPr/>
        <w:t>、经营成本上升的风险。原材料成本占主营业务成本的比例不断上升，人工成本逐年上涨，制造业</w:t>
      </w:r>
      <w:r>
        <w:rPr>
          <w:w w:val="100"/>
        </w:rPr>
        <w:t> </w:t>
      </w:r>
      <w:r>
        <w:rPr>
          <w:spacing w:val="-5"/>
        </w:rPr>
        <w:t>经营成本面临不断上升的压力。公司将从技术革新、提高自动化和精细化水平等方面进行管控，开源节流，</w:t>
      </w:r>
      <w:r>
        <w:rPr>
          <w:spacing w:val="-7"/>
        </w:rPr>
        <w:t> </w:t>
      </w:r>
      <w:r>
        <w:rPr>
          <w:spacing w:val="-7"/>
        </w:rPr>
      </w:r>
      <w:r>
        <w:rPr/>
        <w:t>降低经营成本上涨的风险。</w:t>
      </w:r>
    </w:p>
    <w:p>
      <w:pPr>
        <w:pStyle w:val="BodyText"/>
        <w:spacing w:line="266" w:lineRule="auto" w:before="57"/>
        <w:ind w:right="205" w:firstLine="420"/>
        <w:jc w:val="both"/>
      </w:pPr>
      <w:r>
        <w:rPr>
          <w:rFonts w:ascii="Times New Roman" w:hAnsi="Times New Roman" w:cs="Times New Roman" w:eastAsia="Times New Roman" w:hint="default"/>
        </w:rPr>
        <w:t>3</w:t>
      </w:r>
      <w:r>
        <w:rPr/>
        <w:t>、采购模式改变的风险。</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年国家体育彩票管理中心改变热敏票投注单印制管理方式，由原先的</w:t>
      </w:r>
      <w:r>
        <w:rPr>
          <w:w w:val="100"/>
        </w:rPr>
        <w:t> </w:t>
      </w:r>
      <w:r>
        <w:rPr>
          <w:spacing w:val="-2"/>
        </w:rPr>
        <w:t>集中采购变更为各省自行采购。目前，各省彩票中心已陆续开始招投标工作，未来公司存在因竞争加剧导</w:t>
      </w:r>
      <w:r>
        <w:rPr>
          <w:spacing w:val="-44"/>
        </w:rPr>
        <w:t> </w:t>
      </w:r>
      <w:r>
        <w:rPr>
          <w:spacing w:val="-44"/>
        </w:rPr>
      </w:r>
      <w:r>
        <w:rPr>
          <w:spacing w:val="-2"/>
        </w:rPr>
        <w:t>致产品价格下降和该业务市场份额下滑的风险。公司将继续发挥全国营销网络、产品技术和产品服务方面</w:t>
      </w:r>
      <w:r>
        <w:rPr>
          <w:spacing w:val="-43"/>
        </w:rPr>
        <w:t> </w:t>
      </w:r>
      <w:r>
        <w:rPr>
          <w:spacing w:val="-43"/>
        </w:rPr>
      </w:r>
      <w:r>
        <w:rPr/>
        <w:t>的优势，力争获得更大的市场份额。</w:t>
      </w:r>
    </w:p>
    <w:p>
      <w:pPr>
        <w:pStyle w:val="BodyText"/>
        <w:spacing w:line="264" w:lineRule="auto" w:before="55"/>
        <w:ind w:right="205" w:firstLine="420"/>
        <w:jc w:val="both"/>
      </w:pPr>
      <w:r>
        <w:rPr>
          <w:rFonts w:ascii="Times New Roman" w:hAnsi="Times New Roman" w:cs="Times New Roman" w:eastAsia="Times New Roman" w:hint="default"/>
        </w:rPr>
        <w:t>4</w:t>
      </w:r>
      <w:r>
        <w:rPr/>
        <w:t>、政策变化的风险。受相关管理部门的监管政策影响，公司彩票无纸化代购业务于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2 </w:t>
      </w:r>
      <w:r>
        <w:rPr/>
        <w:t>月</w:t>
      </w:r>
      <w:r>
        <w:rPr>
          <w:spacing w:val="-30"/>
        </w:rPr>
        <w:t> </w:t>
      </w:r>
      <w:r>
        <w:rPr>
          <w:rFonts w:ascii="Times New Roman" w:hAnsi="Times New Roman" w:cs="Times New Roman" w:eastAsia="Times New Roman" w:hint="default"/>
        </w:rPr>
        <w:t>25</w:t>
      </w:r>
      <w:r>
        <w:rPr>
          <w:rFonts w:ascii="Times New Roman" w:hAnsi="Times New Roman" w:cs="Times New Roman" w:eastAsia="Times New Roman" w:hint="default"/>
          <w:w w:val="100"/>
        </w:rPr>
        <w:t> </w:t>
      </w:r>
      <w:r>
        <w:rPr>
          <w:spacing w:val="-2"/>
        </w:rPr>
        <w:t>日起暂停，由于目前尚不明确此次彩票无纸化代购业务的恢复时间，该事项对公司未来业绩的影响存在一</w:t>
      </w:r>
      <w:r>
        <w:rPr>
          <w:spacing w:val="-42"/>
        </w:rPr>
        <w:t> </w:t>
      </w:r>
      <w:r>
        <w:rPr>
          <w:spacing w:val="-42"/>
        </w:rPr>
      </w:r>
      <w:r>
        <w:rPr/>
        <w:t>定不确定性。公司将持续关注政策的变化，做好相应的准备工作。</w:t>
      </w:r>
    </w:p>
    <w:p>
      <w:pPr>
        <w:spacing w:line="240" w:lineRule="auto" w:before="13"/>
        <w:rPr>
          <w:rFonts w:ascii="宋体" w:hAnsi="宋体" w:cs="宋体" w:eastAsia="宋体" w:hint="default"/>
          <w:sz w:val="23"/>
          <w:szCs w:val="23"/>
        </w:rPr>
      </w:pPr>
    </w:p>
    <w:p>
      <w:pPr>
        <w:pStyle w:val="BodyText"/>
        <w:spacing w:line="240" w:lineRule="auto"/>
        <w:ind w:right="99"/>
        <w:jc w:val="left"/>
      </w:pPr>
      <w:r>
        <w:rPr/>
        <w:t>九、董事会、监事会对会计师事务所本报告期“非标准审计报告”的说明</w:t>
      </w:r>
    </w:p>
    <w:p>
      <w:pPr>
        <w:spacing w:line="240" w:lineRule="auto" w:before="12"/>
        <w:rPr>
          <w:rFonts w:ascii="宋体" w:hAnsi="宋体" w:cs="宋体" w:eastAsia="宋体" w:hint="default"/>
          <w:sz w:val="25"/>
          <w:szCs w:val="25"/>
        </w:rPr>
      </w:pPr>
    </w:p>
    <w:p>
      <w:pPr>
        <w:pStyle w:val="BodyText"/>
        <w:spacing w:line="535" w:lineRule="auto"/>
        <w:ind w:right="1181"/>
        <w:jc w:val="left"/>
      </w:pPr>
      <w:r>
        <w:rPr/>
        <w:t>□ 适用 √</w:t>
      </w:r>
      <w:r>
        <w:rPr>
          <w:spacing w:val="-2"/>
        </w:rPr>
        <w:t> </w:t>
      </w:r>
      <w:r>
        <w:rPr/>
        <w:t>不适用</w:t>
      </w:r>
      <w:r>
        <w:rPr>
          <w:spacing w:val="-103"/>
        </w:rPr>
        <w:t> </w:t>
      </w:r>
      <w:r>
        <w:rPr>
          <w:spacing w:val="-103"/>
        </w:rPr>
      </w:r>
      <w:r>
        <w:rPr>
          <w:spacing w:val="-1"/>
        </w:rPr>
        <w:t>十、与上年度财务报告相比，会计政策、会计估计和核算方法发生变化的情况说明</w:t>
      </w:r>
    </w:p>
    <w:p>
      <w:pPr>
        <w:pStyle w:val="BodyText"/>
        <w:spacing w:line="307" w:lineRule="auto" w:before="81"/>
        <w:ind w:left="574" w:right="99" w:hanging="420"/>
        <w:jc w:val="left"/>
      </w:pPr>
      <w:r>
        <w:rPr/>
        <w:t>√ 适用 □</w:t>
      </w:r>
      <w:r>
        <w:rPr>
          <w:spacing w:val="-2"/>
        </w:rPr>
        <w:t> </w:t>
      </w:r>
      <w:r>
        <w:rPr/>
        <w:t>不适用</w:t>
      </w:r>
      <w:r>
        <w:rPr>
          <w:spacing w:val="-103"/>
        </w:rPr>
        <w:t> </w:t>
      </w:r>
      <w:r>
        <w:rPr>
          <w:spacing w:val="-103"/>
        </w:rPr>
      </w:r>
      <w:r>
        <w:rPr>
          <w:spacing w:val="-6"/>
        </w:rPr>
        <w:t>1、公司于2014年8月26日召开了第三届董事会第六次会议和第三届监事会第六次会议，审议通过了《关</w:t>
      </w:r>
    </w:p>
    <w:p>
      <w:pPr>
        <w:pStyle w:val="BodyText"/>
        <w:spacing w:line="253" w:lineRule="exact"/>
        <w:ind w:right="99"/>
        <w:jc w:val="left"/>
      </w:pPr>
      <w:r>
        <w:rPr/>
        <w:t>于调整公司部分固定资产折旧年限的议案》公司拟调整部分设备固定资产折旧年限。影响 2014</w:t>
      </w:r>
      <w:r>
        <w:rPr>
          <w:spacing w:val="-29"/>
        </w:rPr>
        <w:t> </w:t>
      </w:r>
      <w:r>
        <w:rPr/>
        <w:t>年度净利</w:t>
      </w:r>
    </w:p>
    <w:p>
      <w:pPr>
        <w:pStyle w:val="BodyText"/>
        <w:spacing w:line="307" w:lineRule="auto" w:before="37"/>
        <w:ind w:left="574" w:right="99" w:hanging="420"/>
        <w:jc w:val="left"/>
      </w:pPr>
      <w:r>
        <w:rPr/>
        <w:t>润580.98万元，不会导致公司 2014</w:t>
      </w:r>
      <w:r>
        <w:rPr>
          <w:spacing w:val="-2"/>
        </w:rPr>
        <w:t> </w:t>
      </w:r>
      <w:r>
        <w:rPr/>
        <w:t>年盈亏性质发生变化。</w:t>
      </w:r>
      <w:r>
        <w:rPr>
          <w:w w:val="100"/>
        </w:rPr>
        <w:t> </w:t>
      </w:r>
      <w:r>
        <w:rPr/>
        <w:t>2、公司于2015年3月2日召开了第三届董事会2015年第一次临时会议和第三届监事会2015年第一次临</w:t>
      </w:r>
    </w:p>
    <w:p>
      <w:pPr>
        <w:pStyle w:val="BodyText"/>
        <w:spacing w:line="253" w:lineRule="exact"/>
        <w:ind w:right="99"/>
        <w:jc w:val="left"/>
      </w:pPr>
      <w:r>
        <w:rPr/>
        <w:t>时会议，审议通过了《关于会计政策变更的议案》，本次会计政策变更是根据财政部最新修订的会计准则</w:t>
      </w:r>
    </w:p>
    <w:p>
      <w:pPr>
        <w:pStyle w:val="BodyText"/>
        <w:spacing w:line="273" w:lineRule="auto" w:before="37"/>
        <w:ind w:right="99"/>
        <w:jc w:val="left"/>
      </w:pPr>
      <w:r>
        <w:rPr>
          <w:spacing w:val="-2"/>
        </w:rPr>
        <w:t>并结合公司实际情况所进行的合理变更，不会导致公司的盈亏性质发生变化，对公司2014年净利润、所有</w:t>
      </w:r>
      <w:r>
        <w:rPr>
          <w:spacing w:val="-40"/>
        </w:rPr>
        <w:t> </w:t>
      </w:r>
      <w:r>
        <w:rPr>
          <w:spacing w:val="-40"/>
        </w:rPr>
      </w:r>
      <w:r>
        <w:rPr/>
        <w:t>者权益没有影响。</w:t>
      </w:r>
    </w:p>
    <w:p>
      <w:pPr>
        <w:spacing w:line="240" w:lineRule="auto" w:before="7"/>
        <w:rPr>
          <w:rFonts w:ascii="宋体" w:hAnsi="宋体" w:cs="宋体" w:eastAsia="宋体" w:hint="default"/>
          <w:sz w:val="23"/>
          <w:szCs w:val="23"/>
        </w:rPr>
      </w:pPr>
    </w:p>
    <w:p>
      <w:pPr>
        <w:pStyle w:val="BodyText"/>
        <w:spacing w:line="240" w:lineRule="auto"/>
        <w:ind w:right="99"/>
        <w:jc w:val="left"/>
      </w:pPr>
      <w:r>
        <w:rPr/>
        <w:t>十一、报告期内发生重大会计差错更正需追溯重述的情况说明</w:t>
      </w:r>
    </w:p>
    <w:p>
      <w:pPr>
        <w:spacing w:line="240" w:lineRule="auto" w:before="12"/>
        <w:rPr>
          <w:rFonts w:ascii="宋体" w:hAnsi="宋体" w:cs="宋体" w:eastAsia="宋体" w:hint="default"/>
          <w:sz w:val="25"/>
          <w:szCs w:val="25"/>
        </w:rPr>
      </w:pPr>
    </w:p>
    <w:p>
      <w:pPr>
        <w:pStyle w:val="BodyText"/>
        <w:spacing w:line="307" w:lineRule="auto"/>
        <w:ind w:right="4875"/>
        <w:jc w:val="left"/>
      </w:pPr>
      <w:r>
        <w:rPr/>
        <w:t>□ 适用 √</w:t>
      </w:r>
      <w:r>
        <w:rPr>
          <w:spacing w:val="-2"/>
        </w:rPr>
        <w:t> </w:t>
      </w:r>
      <w:r>
        <w:rPr/>
        <w:t>不适用</w:t>
      </w:r>
      <w:r>
        <w:rPr>
          <w:spacing w:val="-103"/>
        </w:rPr>
        <w:t> </w:t>
      </w:r>
      <w:r>
        <w:rPr>
          <w:spacing w:val="-103"/>
        </w:rPr>
      </w:r>
      <w:r>
        <w:rPr>
          <w:spacing w:val="-2"/>
        </w:rPr>
        <w:t>公司报告期无重大会计差错更正需追溯重述的情况。</w:t>
      </w:r>
    </w:p>
    <w:p>
      <w:pPr>
        <w:spacing w:after="0" w:line="307"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99"/>
        <w:jc w:val="left"/>
      </w:pPr>
      <w:r>
        <w:rPr/>
        <w:t>十二、与上年度财务报告相比，合并报表范围发生变化的情况说明</w:t>
      </w:r>
    </w:p>
    <w:p>
      <w:pPr>
        <w:spacing w:line="240" w:lineRule="auto" w:before="12"/>
        <w:rPr>
          <w:rFonts w:ascii="宋体" w:hAnsi="宋体" w:cs="宋体" w:eastAsia="宋体" w:hint="default"/>
          <w:sz w:val="25"/>
          <w:szCs w:val="25"/>
        </w:rPr>
      </w:pPr>
    </w:p>
    <w:p>
      <w:pPr>
        <w:pStyle w:val="BodyText"/>
        <w:spacing w:line="307" w:lineRule="auto"/>
        <w:ind w:right="4875"/>
        <w:jc w:val="left"/>
      </w:pPr>
      <w:r>
        <w:rPr/>
        <w:t>□ 适用 √</w:t>
      </w:r>
      <w:r>
        <w:rPr>
          <w:spacing w:val="-2"/>
        </w:rPr>
        <w:t> </w:t>
      </w:r>
      <w:r>
        <w:rPr/>
        <w:t>不适用</w:t>
      </w:r>
      <w:r>
        <w:rPr>
          <w:spacing w:val="-103"/>
        </w:rPr>
        <w:t> </w:t>
      </w:r>
      <w:r>
        <w:rPr>
          <w:spacing w:val="-103"/>
        </w:rPr>
      </w:r>
      <w:r>
        <w:rPr>
          <w:spacing w:val="-2"/>
        </w:rPr>
        <w:t>公司报告期无合并报表范围发生变化的情况。</w:t>
      </w:r>
    </w:p>
    <w:p>
      <w:pPr>
        <w:pStyle w:val="BodyText"/>
        <w:spacing w:line="614" w:lineRule="exact" w:before="32"/>
        <w:ind w:right="4875"/>
        <w:jc w:val="left"/>
      </w:pPr>
      <w:r>
        <w:rPr/>
        <w:t>十三、公司利润分配及分红派息情况</w:t>
      </w:r>
      <w:r>
        <w:rPr>
          <w:spacing w:val="-92"/>
        </w:rPr>
        <w:t> </w:t>
      </w:r>
      <w:r>
        <w:rPr>
          <w:spacing w:val="-92"/>
        </w:rPr>
      </w:r>
      <w:r>
        <w:rPr>
          <w:spacing w:val="-2"/>
        </w:rPr>
        <w:t>报告期内利润分配政策的制定、执行或调整情况</w:t>
      </w:r>
    </w:p>
    <w:p>
      <w:pPr>
        <w:pStyle w:val="BodyText"/>
        <w:spacing w:line="257" w:lineRule="exact"/>
        <w:ind w:right="99"/>
        <w:jc w:val="left"/>
      </w:pPr>
      <w:r>
        <w:rPr/>
        <w:t>√ 适用 □ 不适用</w:t>
      </w:r>
    </w:p>
    <w:p>
      <w:pPr>
        <w:pStyle w:val="BodyText"/>
        <w:spacing w:line="273" w:lineRule="auto" w:before="78"/>
        <w:ind w:right="99" w:firstLine="420"/>
        <w:jc w:val="left"/>
      </w:pPr>
      <w:r>
        <w:rPr/>
        <w:t>公司制定了长期和相对稳定的利润分配政策和办法，积极回报股东。在经济效益稳定增长的同时，公</w:t>
      </w:r>
      <w:r>
        <w:rPr>
          <w:w w:val="100"/>
        </w:rPr>
        <w:t> </w:t>
      </w:r>
      <w:r>
        <w:rPr>
          <w:spacing w:val="-2"/>
        </w:rPr>
        <w:t>司重视对投资者的合理回报，积极构建与股东的和谐关系。公司在《公司章程》中明确股利分配政策，每</w:t>
      </w:r>
      <w:r>
        <w:rPr>
          <w:spacing w:val="-45"/>
        </w:rPr>
        <w:t> </w:t>
      </w:r>
      <w:r>
        <w:rPr>
          <w:spacing w:val="-45"/>
        </w:rPr>
      </w:r>
      <w:r>
        <w:rPr/>
        <w:t>年根据实际情况，制定并执行稳定的利润分配方案。2012年7月12日，公司第二届董事会2012年第三次临</w:t>
      </w:r>
      <w:r>
        <w:rPr>
          <w:spacing w:val="-29"/>
        </w:rPr>
        <w:t> </w:t>
      </w:r>
      <w:r>
        <w:rPr>
          <w:spacing w:val="-29"/>
        </w:rPr>
      </w:r>
      <w:r>
        <w:rPr>
          <w:spacing w:val="-2"/>
        </w:rPr>
        <w:t>时会议审议通过了《公司未来三年（2012-2014年）股东回报规划》，明确规定了公司分红的条件和方式，</w:t>
      </w:r>
      <w:r>
        <w:rPr>
          <w:spacing w:val="-35"/>
        </w:rPr>
        <w:t> </w:t>
      </w:r>
      <w:r>
        <w:rPr>
          <w:spacing w:val="-35"/>
        </w:rPr>
      </w:r>
      <w:r>
        <w:rPr>
          <w:spacing w:val="-2"/>
        </w:rPr>
        <w:t>并且详细规定在足额提取法定公积金和任意公积金后，公司2012—2014年以现金方式累计分配的利润不得</w:t>
      </w:r>
      <w:r>
        <w:rPr>
          <w:spacing w:val="-35"/>
        </w:rPr>
        <w:t> </w:t>
      </w:r>
      <w:r>
        <w:rPr>
          <w:spacing w:val="-35"/>
        </w:rPr>
      </w:r>
      <w:r>
        <w:rPr/>
        <w:t>少于该三年实现平均可分配利润的30%。该计划的制定进一步明确了利润分配的方式和最低比例，从制度</w:t>
      </w:r>
      <w:r>
        <w:rPr>
          <w:spacing w:val="-28"/>
        </w:rPr>
        <w:t> </w:t>
      </w:r>
      <w:r>
        <w:rPr>
          <w:spacing w:val="-28"/>
        </w:rPr>
      </w:r>
      <w:r>
        <w:rPr/>
        <w:t>上保证了分红政策的有效实施。</w:t>
      </w:r>
    </w:p>
    <w:p>
      <w:pPr>
        <w:pStyle w:val="BodyText"/>
        <w:spacing w:line="273" w:lineRule="auto" w:before="7"/>
        <w:ind w:right="99" w:firstLine="420"/>
        <w:jc w:val="left"/>
      </w:pPr>
      <w:r>
        <w:rPr/>
        <w:t>自2008年公司上市以来，每年均实施利润分配方案。上市以来，公司合计派发现金12,940.47万元，</w:t>
      </w:r>
      <w:r>
        <w:rPr>
          <w:w w:val="100"/>
        </w:rPr>
        <w:t> </w:t>
      </w:r>
      <w:r>
        <w:rPr/>
        <w:t>年均派息率达到43.46%，其中2011年度高达71.65%。</w:t>
      </w: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9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4"/>
              <w:jc w:val="left"/>
              <w:rPr>
                <w:rFonts w:ascii="宋体" w:hAnsi="宋体" w:cs="宋体" w:eastAsia="宋体" w:hint="default"/>
                <w:sz w:val="21"/>
                <w:szCs w:val="21"/>
              </w:rPr>
            </w:pPr>
            <w:r>
              <w:rPr>
                <w:rFonts w:ascii="宋体" w:hAnsi="宋体" w:cs="宋体" w:eastAsia="宋体" w:hint="default"/>
                <w:spacing w:val="-6"/>
                <w:w w:val="100"/>
                <w:sz w:val="21"/>
                <w:szCs w:val="21"/>
              </w:rPr>
              <w:t>中小股东是否有充分表达意见和诉求的机会，其合法</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权益是否得到了充分保护：</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4"/>
              <w:jc w:val="left"/>
              <w:rPr>
                <w:rFonts w:ascii="宋体" w:hAnsi="宋体" w:cs="宋体" w:eastAsia="宋体" w:hint="default"/>
                <w:sz w:val="21"/>
                <w:szCs w:val="21"/>
              </w:rPr>
            </w:pPr>
            <w:r>
              <w:rPr>
                <w:rFonts w:ascii="宋体" w:hAnsi="宋体" w:cs="宋体" w:eastAsia="宋体" w:hint="default"/>
                <w:spacing w:val="-6"/>
                <w:w w:val="100"/>
                <w:sz w:val="21"/>
                <w:szCs w:val="21"/>
              </w:rPr>
              <w:t>现金分红政策进行调整或变更的，条件及程序是否合</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规、透明：</w:t>
            </w:r>
          </w:p>
        </w:tc>
        <w:tc>
          <w:tcPr>
            <w:tcW w:w="4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28"/>
        <w:ind w:right="99"/>
        <w:jc w:val="left"/>
      </w:pPr>
      <w:r>
        <w:rPr/>
        <w:t>公司近</w:t>
      </w:r>
      <w:r>
        <w:rPr>
          <w:spacing w:val="-55"/>
        </w:rPr>
        <w:t> </w:t>
      </w:r>
      <w:r>
        <w:rPr/>
        <w:t>3</w:t>
      </w:r>
      <w:r>
        <w:rPr>
          <w:spacing w:val="-55"/>
        </w:rPr>
        <w:t> </w:t>
      </w:r>
      <w:r>
        <w:rPr/>
        <w:t>年（含报告期）的利润分配预案或方案及资本公积金转增股本预案或方案情况</w:t>
      </w:r>
    </w:p>
    <w:p>
      <w:pPr>
        <w:pStyle w:val="BodyText"/>
        <w:spacing w:line="273" w:lineRule="auto" w:before="75"/>
        <w:ind w:right="207" w:firstLine="420"/>
        <w:jc w:val="both"/>
      </w:pPr>
      <w:r>
        <w:rPr>
          <w:spacing w:val="-6"/>
        </w:rPr>
        <w:t>（1）公司2012年度利润分配：根据公司2012年年度股东大会决议，以2012年12月31日总股本29,818.60</w:t>
      </w:r>
      <w:r>
        <w:rPr>
          <w:w w:val="100"/>
        </w:rPr>
        <w:t> </w:t>
      </w:r>
      <w:r>
        <w:rPr/>
        <w:t>万股为基数，向全体股东每10股派发现金红利0.556元（含税），共计派发现金红利1657.91416万元（含</w:t>
      </w:r>
      <w:r>
        <w:rPr>
          <w:spacing w:val="-31"/>
        </w:rPr>
        <w:t> </w:t>
      </w:r>
      <w:r>
        <w:rPr>
          <w:spacing w:val="-31"/>
        </w:rPr>
      </w:r>
      <w:r>
        <w:rPr/>
        <w:t>税）。公司2012年度不以资本公积金转增股本，不以未分配利润送股。</w:t>
      </w:r>
    </w:p>
    <w:p>
      <w:pPr>
        <w:pStyle w:val="BodyText"/>
        <w:spacing w:line="273" w:lineRule="auto" w:before="7"/>
        <w:ind w:right="207" w:firstLine="420"/>
        <w:jc w:val="both"/>
      </w:pPr>
      <w:r>
        <w:rPr>
          <w:spacing w:val="-2"/>
        </w:rPr>
        <w:t>（2）2013年利润分配方案为：以2013年12月31日总股本29,818.60万股为基数，每10股分配现金股利</w:t>
      </w:r>
      <w:r>
        <w:rPr>
          <w:w w:val="100"/>
        </w:rPr>
        <w:t> </w:t>
      </w:r>
      <w:r>
        <w:rPr/>
        <w:t>0.35元（含税），合计派发现金股利1043.65万元，剩余未分配利润结转至下一年度。</w:t>
      </w:r>
    </w:p>
    <w:p>
      <w:pPr>
        <w:pStyle w:val="BodyText"/>
        <w:spacing w:line="273" w:lineRule="auto" w:before="7"/>
        <w:ind w:right="205" w:firstLine="420"/>
        <w:jc w:val="both"/>
      </w:pPr>
      <w:r>
        <w:rPr/>
        <w:t>（3）2014年利润分配预案为：公司2014年度不派发现金红利，不以资本公积金转增股本，不以未分</w:t>
      </w:r>
      <w:r>
        <w:rPr>
          <w:w w:val="100"/>
        </w:rPr>
        <w:t> </w:t>
      </w:r>
      <w:r>
        <w:rPr/>
        <w:t>配利润送股，留存收益全部用于公司日常生产经营。</w:t>
      </w:r>
    </w:p>
    <w:p>
      <w:pPr>
        <w:spacing w:line="240" w:lineRule="auto" w:before="10"/>
        <w:rPr>
          <w:rFonts w:ascii="宋体" w:hAnsi="宋体" w:cs="宋体" w:eastAsia="宋体" w:hint="default"/>
          <w:sz w:val="24"/>
          <w:szCs w:val="24"/>
        </w:rPr>
      </w:pPr>
    </w:p>
    <w:p>
      <w:pPr>
        <w:pStyle w:val="BodyText"/>
        <w:spacing w:line="240" w:lineRule="auto" w:before="36"/>
        <w:ind w:right="99"/>
        <w:jc w:val="left"/>
      </w:pPr>
      <w:r>
        <w:rPr/>
        <w:t>公司近三年现金分红情况表</w:t>
      </w:r>
    </w:p>
    <w:p>
      <w:pPr>
        <w:pStyle w:val="BodyText"/>
        <w:spacing w:line="240" w:lineRule="auto" w:before="75"/>
        <w:ind w:left="0" w:right="20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50"/>
              <w:ind w:left="57" w:right="50"/>
              <w:jc w:val="left"/>
              <w:rPr>
                <w:rFonts w:ascii="宋体" w:hAnsi="宋体" w:cs="宋体" w:eastAsia="宋体" w:hint="default"/>
                <w:sz w:val="21"/>
                <w:szCs w:val="21"/>
              </w:rPr>
            </w:pPr>
            <w:r>
              <w:rPr>
                <w:rFonts w:ascii="宋体" w:hAnsi="宋体" w:cs="宋体" w:eastAsia="宋体" w:hint="default"/>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表中归属于上市</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50"/>
              <w:ind w:left="57" w:right="53"/>
              <w:jc w:val="left"/>
              <w:rPr>
                <w:rFonts w:ascii="宋体" w:hAnsi="宋体" w:cs="宋体" w:eastAsia="宋体" w:hint="default"/>
                <w:sz w:val="21"/>
                <w:szCs w:val="21"/>
              </w:rPr>
            </w:pPr>
            <w:r>
              <w:rPr>
                <w:rFonts w:ascii="宋体" w:hAnsi="宋体" w:cs="宋体" w:eastAsia="宋体" w:hint="default"/>
                <w:sz w:val="21"/>
                <w:szCs w:val="21"/>
              </w:rPr>
              <w:t>占合并报表中归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属于上市公司股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50"/>
              <w:ind w:left="57" w:right="50"/>
              <w:jc w:val="left"/>
              <w:rPr>
                <w:rFonts w:ascii="宋体" w:hAnsi="宋体" w:cs="宋体" w:eastAsia="宋体" w:hint="default"/>
                <w:sz w:val="21"/>
                <w:szCs w:val="21"/>
              </w:rPr>
            </w:pPr>
            <w:r>
              <w:rPr>
                <w:rFonts w:ascii="宋体" w:hAnsi="宋体" w:cs="宋体" w:eastAsia="宋体" w:hint="default"/>
                <w:sz w:val="21"/>
                <w:szCs w:val="21"/>
              </w:rPr>
              <w:t>以现金方式要约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回购股份资金计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50"/>
              <w:ind w:left="57" w:right="50"/>
              <w:jc w:val="left"/>
              <w:rPr>
                <w:rFonts w:ascii="宋体" w:hAnsi="宋体" w:cs="宋体" w:eastAsia="宋体" w:hint="default"/>
                <w:sz w:val="21"/>
                <w:szCs w:val="21"/>
              </w:rPr>
            </w:pPr>
            <w:r>
              <w:rPr>
                <w:rFonts w:ascii="宋体" w:hAnsi="宋体" w:cs="宋体" w:eastAsia="宋体" w:hint="default"/>
                <w:sz w:val="21"/>
                <w:szCs w:val="21"/>
              </w:rPr>
              <w:t>以现金方式要约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回购股份资金计</w:t>
            </w:r>
          </w:p>
        </w:tc>
      </w:tr>
    </w:tbl>
    <w:p>
      <w:pPr>
        <w:spacing w:after="0" w:line="271" w:lineRule="auto"/>
        <w:jc w:val="left"/>
        <w:rPr>
          <w:rFonts w:ascii="宋体" w:hAnsi="宋体" w:cs="宋体" w:eastAsia="宋体" w:hint="default"/>
          <w:sz w:val="21"/>
          <w:szCs w:val="21"/>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686" w:right="50" w:hanging="629"/>
              <w:jc w:val="left"/>
              <w:rPr>
                <w:rFonts w:ascii="宋体" w:hAnsi="宋体" w:cs="宋体" w:eastAsia="宋体" w:hint="default"/>
                <w:sz w:val="21"/>
                <w:szCs w:val="21"/>
              </w:rPr>
            </w:pPr>
            <w:r>
              <w:rPr>
                <w:rFonts w:ascii="宋体" w:hAnsi="宋体" w:cs="宋体" w:eastAsia="宋体" w:hint="default"/>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东的净利润的比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686" w:right="50" w:hanging="629"/>
              <w:jc w:val="left"/>
              <w:rPr>
                <w:rFonts w:ascii="宋体" w:hAnsi="宋体" w:cs="宋体" w:eastAsia="宋体" w:hint="default"/>
                <w:sz w:val="21"/>
                <w:szCs w:val="21"/>
              </w:rPr>
            </w:pPr>
            <w:r>
              <w:rPr>
                <w:rFonts w:ascii="宋体" w:hAnsi="宋体" w:cs="宋体" w:eastAsia="宋体" w:hint="default"/>
                <w:sz w:val="21"/>
                <w:szCs w:val="21"/>
              </w:rPr>
              <w:t>入现金分红的金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686" w:right="50" w:hanging="629"/>
              <w:jc w:val="left"/>
              <w:rPr>
                <w:rFonts w:ascii="宋体" w:hAnsi="宋体" w:cs="宋体" w:eastAsia="宋体" w:hint="default"/>
                <w:sz w:val="21"/>
                <w:szCs w:val="21"/>
              </w:rPr>
            </w:pPr>
            <w:r>
              <w:rPr>
                <w:rFonts w:ascii="宋体" w:hAnsi="宋体" w:cs="宋体" w:eastAsia="宋体" w:hint="default"/>
                <w:sz w:val="21"/>
                <w:szCs w:val="21"/>
              </w:rPr>
              <w:t>入现金分红的比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27,673,025.40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10,436,510.00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49,089,630.26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16,579,141.60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52,124,832.46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pStyle w:val="BodyText"/>
        <w:spacing w:line="240" w:lineRule="auto" w:before="28"/>
        <w:ind w:right="2880"/>
        <w:jc w:val="left"/>
      </w:pPr>
      <w:r>
        <w:rPr/>
        <w:t>公司报告期内盈利且母公司未分配利润为正但未提出现金红利分配预案</w:t>
      </w:r>
    </w:p>
    <w:p>
      <w:pPr>
        <w:pStyle w:val="BodyText"/>
        <w:spacing w:line="240" w:lineRule="auto" w:before="78"/>
        <w:ind w:right="2880"/>
        <w:jc w:val="left"/>
      </w:pPr>
      <w:r>
        <w:rPr/>
        <w:pict>
          <v:group style="position:absolute;margin-left:296.25827pt;margin-top:58.283676pt;width:238.7pt;height:31.2pt;mso-position-horizontal-relative:page;mso-position-vertical-relative:paragraph;z-index:-887776" coordorigin="5925,1166" coordsize="4774,624">
            <v:shape style="position:absolute;left:5925;top:1166;width:4774;height:624" coordorigin="5925,1166" coordsize="4774,624" path="m5925,1790l10699,1790,10699,1166,5925,1166,5925,1790xe" filled="true" fillcolor="#ffffff" stroked="false">
              <v:path arrowok="t"/>
              <v:fill type="solid"/>
            </v:shape>
            <w10:wrap type="none"/>
          </v:group>
        </w:pict>
      </w:r>
      <w:r>
        <w:rPr/>
        <w:t>√ 适用 □ 不适用</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1336" w:right="69" w:hanging="1260"/>
              <w:jc w:val="left"/>
              <w:rPr>
                <w:rFonts w:ascii="宋体" w:hAnsi="宋体" w:cs="宋体" w:eastAsia="宋体" w:hint="default"/>
                <w:sz w:val="21"/>
                <w:szCs w:val="21"/>
              </w:rPr>
            </w:pPr>
            <w:r>
              <w:rPr>
                <w:rFonts w:ascii="宋体" w:hAnsi="宋体" w:cs="宋体" w:eastAsia="宋体" w:hint="default"/>
                <w:spacing w:val="-2"/>
                <w:sz w:val="21"/>
                <w:szCs w:val="21"/>
              </w:rPr>
              <w:t>报告期内盈利且母公司未分配利润为正但未提出现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金红利分配预案的原因</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21"/>
                <w:szCs w:val="21"/>
              </w:rPr>
            </w:pPr>
            <w:r>
              <w:rPr>
                <w:rFonts w:ascii="宋体" w:hAnsi="宋体" w:cs="宋体" w:eastAsia="宋体" w:hint="default"/>
                <w:sz w:val="21"/>
                <w:szCs w:val="21"/>
              </w:rPr>
              <w:t>公司未分配利润的用途和使用计划</w:t>
            </w:r>
          </w:p>
        </w:tc>
      </w:tr>
      <w:tr>
        <w:trPr>
          <w:trHeight w:val="359" w:hRule="exact"/>
        </w:trPr>
        <w:tc>
          <w:tcPr>
            <w:tcW w:w="4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年度净利润较上年同期下降比例较大，且</w:t>
            </w:r>
          </w:p>
        </w:tc>
        <w:tc>
          <w:tcPr>
            <w:tcW w:w="47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日</w:t>
            </w:r>
            <w:r>
              <w:rPr>
                <w:rFonts w:ascii="宋体" w:hAnsi="宋体" w:cs="宋体" w:eastAsia="宋体" w:hint="default"/>
                <w:w w:val="100"/>
                <w:sz w:val="21"/>
                <w:szCs w:val="21"/>
              </w:rPr>
              <w:t>常</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和</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需要</w:t>
            </w:r>
            <w:r>
              <w:rPr>
                <w:rFonts w:ascii="宋体" w:hAnsi="宋体" w:cs="宋体" w:eastAsia="宋体" w:hint="default"/>
                <w:spacing w:val="-3"/>
                <w:w w:val="100"/>
                <w:sz w:val="21"/>
                <w:szCs w:val="21"/>
              </w:rPr>
              <w:t>大</w:t>
            </w:r>
            <w:r>
              <w:rPr>
                <w:rFonts w:ascii="宋体" w:hAnsi="宋体" w:cs="宋体" w:eastAsia="宋体" w:hint="default"/>
                <w:w w:val="100"/>
                <w:sz w:val="21"/>
                <w:szCs w:val="21"/>
              </w:rPr>
              <w:t>量</w:t>
            </w:r>
            <w:r>
              <w:rPr>
                <w:rFonts w:ascii="宋体" w:hAnsi="宋体" w:cs="宋体" w:eastAsia="宋体" w:hint="default"/>
                <w:spacing w:val="-3"/>
                <w:w w:val="100"/>
                <w:sz w:val="21"/>
                <w:szCs w:val="21"/>
              </w:rPr>
              <w:t>资</w:t>
            </w:r>
            <w:r>
              <w:rPr>
                <w:rFonts w:ascii="宋体" w:hAnsi="宋体" w:cs="宋体" w:eastAsia="宋体" w:hint="default"/>
                <w:spacing w:val="-1"/>
                <w:w w:val="100"/>
                <w:sz w:val="21"/>
                <w:szCs w:val="21"/>
              </w:rPr>
              <w:t>金</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考</w:t>
            </w:r>
            <w:r>
              <w:rPr>
                <w:rFonts w:ascii="宋体" w:hAnsi="宋体" w:cs="宋体" w:eastAsia="宋体" w:hint="default"/>
                <w:w w:val="100"/>
                <w:sz w:val="21"/>
                <w:szCs w:val="21"/>
              </w:rPr>
              <w:t>虑公</w:t>
            </w:r>
          </w:p>
        </w:tc>
        <w:tc>
          <w:tcPr>
            <w:tcW w:w="47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司目前经营状况以及未来发展需要，从长远利益出</w:t>
            </w: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公司将留存收益全部用于公司日常生产经营。</w:t>
            </w: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发，公司拟定 </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pacing w:val="-6"/>
                <w:sz w:val="21"/>
                <w:szCs w:val="21"/>
              </w:rPr>
              <w:t>年度不派发现金红利，不送红股</w:t>
            </w:r>
          </w:p>
        </w:tc>
        <w:tc>
          <w:tcPr>
            <w:tcW w:w="478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78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不以公积金转增股本。</w:t>
            </w:r>
          </w:p>
        </w:tc>
        <w:tc>
          <w:tcPr>
            <w:tcW w:w="4786"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pict>
          <v:shape style="position:absolute;margin-left:289.418274pt;margin-top:-95.13633pt;width:245.55pt;height:82pt;mso-position-horizontal-relative:page;mso-position-vertical-relative:paragraph;z-index:-88780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0" w:right="0"/>
                    <w:jc w:val="left"/>
                  </w:pPr>
                  <w:r>
                    <w:rPr>
                      <w:w w:val="100"/>
                    </w:rPr>
                    <w:t>，</w:t>
                  </w:r>
                </w:p>
              </w:txbxContent>
            </v:textbox>
            <w10:wrap type="none"/>
          </v:shape>
        </w:pict>
      </w:r>
      <w:r>
        <w:rPr/>
        <w:pict>
          <v:group style="position:absolute;margin-left:296.25827pt;margin-top:-44.376343pt;width:238.7pt;height:31.2pt;mso-position-horizontal-relative:page;mso-position-vertical-relative:paragraph;z-index:-887752" coordorigin="5925,-888" coordsize="4774,624">
            <v:shape style="position:absolute;left:5925;top:-888;width:4774;height:624" coordorigin="5925,-888" coordsize="4774,624" path="m5925,-264l10699,-264,10699,-888,5925,-888,5925,-264xe" filled="true" fillcolor="#ffffff" stroked="false">
              <v:path arrowok="t"/>
              <v:fill type="solid"/>
            </v:shape>
            <w10:wrap type="none"/>
          </v:group>
        </w:pict>
      </w:r>
      <w:r>
        <w:rPr/>
        <w:t>十四、本报告期利润分配及资本公积金转增股本预案</w:t>
      </w:r>
    </w:p>
    <w:p>
      <w:pPr>
        <w:spacing w:line="240" w:lineRule="auto" w:before="10"/>
        <w:rPr>
          <w:rFonts w:ascii="宋体" w:hAnsi="宋体" w:cs="宋体" w:eastAsia="宋体" w:hint="default"/>
          <w:sz w:val="25"/>
          <w:szCs w:val="25"/>
        </w:rPr>
      </w:pPr>
    </w:p>
    <w:p>
      <w:pPr>
        <w:pStyle w:val="BodyText"/>
        <w:spacing w:line="307" w:lineRule="auto"/>
        <w:ind w:right="2880"/>
        <w:jc w:val="left"/>
      </w:pPr>
      <w:r>
        <w:rPr/>
        <w:t>□ 适用 √</w:t>
      </w:r>
      <w:r>
        <w:rPr>
          <w:spacing w:val="-2"/>
        </w:rPr>
        <w:t> </w:t>
      </w:r>
      <w:r>
        <w:rPr/>
        <w:t>不适用</w:t>
      </w:r>
      <w:r>
        <w:rPr>
          <w:spacing w:val="-103"/>
        </w:rPr>
        <w:t> </w:t>
      </w:r>
      <w:r>
        <w:rPr>
          <w:spacing w:val="-103"/>
        </w:rPr>
      </w:r>
      <w:r>
        <w:rPr>
          <w:spacing w:val="-2"/>
        </w:rPr>
        <w:t>公司计划年度不派发现金红利，不送红股，不以公积金转增股本。</w:t>
      </w:r>
    </w:p>
    <w:p>
      <w:pPr>
        <w:spacing w:line="240" w:lineRule="auto" w:before="4"/>
        <w:rPr>
          <w:rFonts w:ascii="宋体" w:hAnsi="宋体" w:cs="宋体" w:eastAsia="宋体" w:hint="default"/>
          <w:sz w:val="21"/>
          <w:szCs w:val="21"/>
        </w:rPr>
      </w:pPr>
    </w:p>
    <w:p>
      <w:pPr>
        <w:pStyle w:val="BodyText"/>
        <w:spacing w:line="240" w:lineRule="auto"/>
        <w:ind w:right="2880"/>
        <w:jc w:val="left"/>
      </w:pPr>
      <w:r>
        <w:rPr/>
        <w:t>十五、社会责任情况</w:t>
      </w:r>
    </w:p>
    <w:p>
      <w:pPr>
        <w:spacing w:line="240" w:lineRule="auto" w:before="10"/>
        <w:rPr>
          <w:rFonts w:ascii="宋体" w:hAnsi="宋体" w:cs="宋体" w:eastAsia="宋体" w:hint="default"/>
          <w:sz w:val="25"/>
          <w:szCs w:val="25"/>
        </w:rPr>
      </w:pPr>
    </w:p>
    <w:p>
      <w:pPr>
        <w:pStyle w:val="BodyText"/>
        <w:spacing w:line="307" w:lineRule="auto"/>
        <w:ind w:right="1381"/>
        <w:jc w:val="left"/>
      </w:pPr>
      <w:r>
        <w:rPr/>
        <w:t>√ 适用 □</w:t>
      </w:r>
      <w:r>
        <w:rPr>
          <w:spacing w:val="-2"/>
        </w:rPr>
        <w:t> </w:t>
      </w:r>
      <w:r>
        <w:rPr/>
        <w:t>不适用</w:t>
      </w:r>
      <w:r>
        <w:rPr>
          <w:spacing w:val="-103"/>
        </w:rPr>
        <w:t> </w:t>
      </w:r>
      <w:r>
        <w:rPr>
          <w:spacing w:val="-103"/>
        </w:rPr>
      </w:r>
      <w:r>
        <w:rPr>
          <w:spacing w:val="-2"/>
        </w:rPr>
        <w:t>公司已披露社会责任报告，具体内容详见巨潮资讯网公司2015年3月20日公告。</w:t>
      </w:r>
      <w:r>
        <w:rPr>
          <w:spacing w:val="-36"/>
        </w:rPr>
        <w:t> </w:t>
      </w:r>
      <w:r>
        <w:rPr>
          <w:spacing w:val="-36"/>
        </w:rPr>
      </w:r>
      <w:r>
        <w:rPr/>
        <w:t>上市公司及其子公司是否属于国家环境保护部门规定的重污染行业</w:t>
      </w:r>
    </w:p>
    <w:p>
      <w:pPr>
        <w:pStyle w:val="BodyText"/>
        <w:spacing w:line="307" w:lineRule="auto" w:before="16"/>
        <w:ind w:right="2880"/>
        <w:jc w:val="left"/>
      </w:pPr>
      <w:r>
        <w:rPr/>
        <w:t>□ 是</w:t>
      </w:r>
      <w:r>
        <w:rPr>
          <w:spacing w:val="-2"/>
        </w:rPr>
        <w:t> </w:t>
      </w:r>
      <w:r>
        <w:rPr/>
        <w:t>√</w:t>
      </w:r>
      <w:r>
        <w:rPr>
          <w:spacing w:val="-2"/>
        </w:rPr>
        <w:t> </w:t>
      </w:r>
      <w:r>
        <w:rPr/>
        <w:t>否 □</w:t>
      </w:r>
      <w:r>
        <w:rPr>
          <w:spacing w:val="-2"/>
        </w:rPr>
        <w:t> </w:t>
      </w:r>
      <w:r>
        <w:rPr/>
        <w:t>不适用</w:t>
      </w:r>
      <w:r>
        <w:rPr>
          <w:spacing w:val="-100"/>
        </w:rPr>
        <w:t> </w:t>
      </w:r>
      <w:r>
        <w:rPr>
          <w:spacing w:val="-100"/>
        </w:rPr>
      </w:r>
      <w:r>
        <w:rPr>
          <w:spacing w:val="-2"/>
        </w:rPr>
        <w:t>上市公司及其子公司是否存在其他重大社会安全问题</w:t>
      </w:r>
    </w:p>
    <w:p>
      <w:pPr>
        <w:pStyle w:val="BodyText"/>
        <w:spacing w:line="307" w:lineRule="auto" w:before="19"/>
        <w:ind w:right="7356"/>
        <w:jc w:val="left"/>
      </w:pPr>
      <w:r>
        <w:rPr/>
        <w:t>□ 是 √ 否 □</w:t>
      </w:r>
      <w:r>
        <w:rPr>
          <w:spacing w:val="-1"/>
        </w:rPr>
        <w:t> </w:t>
      </w:r>
      <w:r>
        <w:rPr/>
        <w:t>不适用</w:t>
      </w:r>
      <w:r>
        <w:rPr>
          <w:w w:val="100"/>
        </w:rPr>
        <w:t> </w:t>
      </w:r>
      <w:r>
        <w:rPr>
          <w:spacing w:val="-2"/>
        </w:rPr>
        <w:t>报告期内是否被行政处罚</w:t>
      </w:r>
    </w:p>
    <w:p>
      <w:pPr>
        <w:pStyle w:val="BodyText"/>
        <w:spacing w:line="535" w:lineRule="auto" w:before="19"/>
        <w:ind w:right="2880"/>
        <w:jc w:val="left"/>
      </w:pPr>
      <w:r>
        <w:rPr/>
        <w:t>□ 是</w:t>
      </w:r>
      <w:r>
        <w:rPr>
          <w:spacing w:val="-2"/>
        </w:rPr>
        <w:t> </w:t>
      </w:r>
      <w:r>
        <w:rPr/>
        <w:t>√</w:t>
      </w:r>
      <w:r>
        <w:rPr>
          <w:spacing w:val="-2"/>
        </w:rPr>
        <w:t> </w:t>
      </w:r>
      <w:r>
        <w:rPr/>
        <w:t>否 □</w:t>
      </w:r>
      <w:r>
        <w:rPr>
          <w:spacing w:val="-2"/>
        </w:rPr>
        <w:t> </w:t>
      </w:r>
      <w:r>
        <w:rPr/>
        <w:t>不适用</w:t>
      </w:r>
      <w:r>
        <w:rPr>
          <w:spacing w:val="-100"/>
        </w:rPr>
        <w:t> </w:t>
      </w:r>
      <w:r>
        <w:rPr>
          <w:spacing w:val="-100"/>
        </w:rPr>
      </w:r>
      <w:r>
        <w:rPr>
          <w:spacing w:val="-1"/>
        </w:rPr>
        <w:t>十六、报告期内接待调研、沟通、采访等活动登记表</w:t>
      </w:r>
    </w:p>
    <w:p>
      <w:pPr>
        <w:pStyle w:val="BodyText"/>
        <w:spacing w:line="240" w:lineRule="auto" w:before="81"/>
        <w:ind w:right="2880"/>
        <w:jc w:val="left"/>
      </w:pPr>
      <w:r>
        <w:rPr/>
        <w:t>√ 适用 □ 不适用</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619" w:right="86" w:hanging="526"/>
              <w:jc w:val="left"/>
              <w:rPr>
                <w:rFonts w:ascii="宋体" w:hAnsi="宋体" w:cs="宋体" w:eastAsia="宋体" w:hint="default"/>
                <w:sz w:val="21"/>
                <w:szCs w:val="21"/>
              </w:rPr>
            </w:pPr>
            <w:r>
              <w:rPr>
                <w:rFonts w:ascii="宋体" w:hAnsi="宋体" w:cs="宋体" w:eastAsia="宋体" w:hint="default"/>
                <w:sz w:val="21"/>
                <w:szCs w:val="21"/>
              </w:rPr>
              <w:t>谈论的主要内容及提</w:t>
            </w:r>
            <w:r>
              <w:rPr>
                <w:rFonts w:ascii="宋体" w:hAnsi="宋体" w:cs="宋体" w:eastAsia="宋体" w:hint="default"/>
                <w:w w:val="100"/>
                <w:sz w:val="21"/>
                <w:szCs w:val="21"/>
              </w:rPr>
              <w:t> </w:t>
            </w:r>
            <w:r>
              <w:rPr>
                <w:rFonts w:ascii="宋体" w:hAnsi="宋体" w:cs="宋体" w:eastAsia="宋体" w:hint="default"/>
                <w:sz w:val="21"/>
                <w:szCs w:val="21"/>
              </w:rPr>
              <w:t>供的资料</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浙商证券股份</w:t>
            </w: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彩票无纸化业务的发</w:t>
            </w: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03</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1" w:lineRule="auto" w:before="123"/>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有限公司\方亚</w:t>
            </w:r>
          </w:p>
          <w:p>
            <w:pPr>
              <w:pStyle w:val="TableParagraph"/>
              <w:spacing w:line="273" w:lineRule="auto" w:before="37"/>
              <w:ind w:left="24" w:right="95"/>
              <w:jc w:val="left"/>
              <w:rPr>
                <w:rFonts w:ascii="宋体" w:hAnsi="宋体" w:cs="宋体" w:eastAsia="宋体" w:hint="default"/>
                <w:sz w:val="21"/>
                <w:szCs w:val="21"/>
              </w:rPr>
            </w:pPr>
            <w:r>
              <w:rPr>
                <w:rFonts w:ascii="宋体" w:hAnsi="宋体" w:cs="宋体" w:eastAsia="宋体" w:hint="default"/>
                <w:sz w:val="21"/>
                <w:szCs w:val="21"/>
              </w:rPr>
              <w:t>富邦基金管理</w:t>
            </w:r>
            <w:r>
              <w:rPr>
                <w:rFonts w:ascii="宋体" w:hAnsi="宋体" w:cs="宋体" w:eastAsia="宋体" w:hint="default"/>
                <w:w w:val="100"/>
                <w:sz w:val="21"/>
                <w:szCs w:val="21"/>
              </w:rPr>
              <w:t> </w:t>
            </w:r>
            <w:r>
              <w:rPr>
                <w:rFonts w:ascii="宋体" w:hAnsi="宋体" w:cs="宋体" w:eastAsia="宋体" w:hint="default"/>
                <w:sz w:val="21"/>
                <w:szCs w:val="21"/>
              </w:rPr>
              <w:t>有限公司\光大</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展对公司纸质彩票印</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pacing w:val="-9"/>
                <w:sz w:val="21"/>
                <w:szCs w:val="21"/>
              </w:rPr>
              <w:t>刷的影响，彩种研发项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9"/>
                <w:sz w:val="21"/>
                <w:szCs w:val="21"/>
              </w:rPr>
              <w:t>目的进展情况，公司债</w:t>
            </w:r>
          </w:p>
        </w:tc>
      </w:tr>
      <w:tr>
        <w:trPr>
          <w:trHeight w:val="316"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永明资产管理</w:t>
            </w: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项目的进展情况，动漫</w:t>
            </w:r>
          </w:p>
        </w:tc>
      </w:tr>
    </w:tbl>
    <w:p>
      <w:pPr>
        <w:spacing w:after="0" w:line="261" w:lineRule="exact"/>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9826pt;margin-top:72.098282pt;width:479.2pt;height:694.2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362"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梦工厂的情况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国泰君安证券</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兴业证券股份</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有限公司\汇超</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投资\招商基金</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公司彩票业务的总体</w:t>
                        </w: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10</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管理有限公司\</w:t>
                        </w:r>
                      </w:p>
                      <w:p>
                        <w:pPr>
                          <w:pStyle w:val="TableParagraph"/>
                          <w:spacing w:line="273" w:lineRule="auto" w:before="37"/>
                          <w:ind w:left="24" w:right="95"/>
                          <w:jc w:val="left"/>
                          <w:rPr>
                            <w:rFonts w:ascii="宋体" w:hAnsi="宋体" w:cs="宋体" w:eastAsia="宋体" w:hint="default"/>
                            <w:sz w:val="21"/>
                            <w:szCs w:val="21"/>
                          </w:rPr>
                        </w:pPr>
                        <w:r>
                          <w:rPr>
                            <w:rFonts w:ascii="宋体" w:hAnsi="宋体" w:cs="宋体" w:eastAsia="宋体" w:hint="default"/>
                            <w:sz w:val="21"/>
                            <w:szCs w:val="21"/>
                          </w:rPr>
                          <w:t>中国国际金融</w:t>
                        </w:r>
                        <w:r>
                          <w:rPr>
                            <w:rFonts w:ascii="宋体" w:hAnsi="宋体" w:cs="宋体" w:eastAsia="宋体" w:hint="default"/>
                            <w:w w:val="100"/>
                            <w:sz w:val="21"/>
                            <w:szCs w:val="21"/>
                          </w:rPr>
                          <w:t> </w:t>
                        </w:r>
                        <w:r>
                          <w:rPr>
                            <w:rFonts w:ascii="宋体" w:hAnsi="宋体" w:cs="宋体" w:eastAsia="宋体" w:hint="default"/>
                            <w:sz w:val="21"/>
                            <w:szCs w:val="21"/>
                          </w:rPr>
                          <w:t>有限公司\爱特</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发展情况，公司全自动</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pacing w:val="-9"/>
                            <w:sz w:val="21"/>
                            <w:szCs w:val="21"/>
                          </w:rPr>
                          <w:t>智能标签项目进展，彩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票无纸化项目进展情</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爱控股有限公</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况</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司\上海湘禾投</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资有限公司\景</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林资产管理有</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133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99"/>
                          <w:jc w:val="both"/>
                          <w:rPr>
                            <w:rFonts w:ascii="宋体" w:hAnsi="宋体" w:cs="宋体" w:eastAsia="宋体" w:hint="default"/>
                            <w:sz w:val="21"/>
                            <w:szCs w:val="21"/>
                          </w:rPr>
                        </w:pPr>
                        <w:r>
                          <w:rPr>
                            <w:rFonts w:ascii="宋体" w:hAnsi="宋体" w:cs="宋体" w:eastAsia="宋体" w:hint="default"/>
                            <w:sz w:val="21"/>
                            <w:szCs w:val="21"/>
                          </w:rPr>
                          <w:t>上海常春藤资</w:t>
                        </w:r>
                        <w:r>
                          <w:rPr>
                            <w:rFonts w:ascii="宋体" w:hAnsi="宋体" w:cs="宋体" w:eastAsia="宋体" w:hint="default"/>
                            <w:w w:val="100"/>
                            <w:sz w:val="21"/>
                            <w:szCs w:val="21"/>
                          </w:rPr>
                          <w:t> </w:t>
                        </w:r>
                        <w:r>
                          <w:rPr>
                            <w:rFonts w:ascii="宋体" w:hAnsi="宋体" w:cs="宋体" w:eastAsia="宋体" w:hint="default"/>
                            <w:sz w:val="21"/>
                            <w:szCs w:val="21"/>
                          </w:rPr>
                          <w:t>产管理有限公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56"/>
                          <w:jc w:val="both"/>
                          <w:rPr>
                            <w:rFonts w:ascii="宋体" w:hAnsi="宋体" w:cs="宋体" w:eastAsia="宋体" w:hint="default"/>
                            <w:sz w:val="21"/>
                            <w:szCs w:val="21"/>
                          </w:rPr>
                        </w:pPr>
                        <w:r>
                          <w:rPr>
                            <w:rFonts w:ascii="宋体" w:hAnsi="宋体" w:cs="宋体" w:eastAsia="宋体" w:hint="default"/>
                            <w:sz w:val="21"/>
                            <w:szCs w:val="21"/>
                          </w:rPr>
                          <w:t>公司印刷业务发展情</w:t>
                        </w:r>
                        <w:r>
                          <w:rPr>
                            <w:rFonts w:ascii="宋体" w:hAnsi="宋体" w:cs="宋体" w:eastAsia="宋体" w:hint="default"/>
                            <w:w w:val="100"/>
                            <w:sz w:val="21"/>
                            <w:szCs w:val="21"/>
                          </w:rPr>
                          <w:t> </w:t>
                        </w:r>
                        <w:r>
                          <w:rPr>
                            <w:rFonts w:ascii="宋体" w:hAnsi="宋体" w:cs="宋体" w:eastAsia="宋体" w:hint="default"/>
                            <w:sz w:val="21"/>
                            <w:szCs w:val="21"/>
                          </w:rPr>
                          <w:t>况，物联网业务情况</w:t>
                        </w:r>
                        <w:r>
                          <w:rPr>
                            <w:rFonts w:ascii="宋体" w:hAnsi="宋体" w:cs="宋体" w:eastAsia="宋体" w:hint="default"/>
                            <w:w w:val="100"/>
                            <w:sz w:val="21"/>
                            <w:szCs w:val="21"/>
                          </w:rPr>
                          <w:t> </w:t>
                        </w:r>
                        <w:r>
                          <w:rPr>
                            <w:rFonts w:ascii="宋体" w:hAnsi="宋体" w:cs="宋体" w:eastAsia="宋体" w:hint="default"/>
                            <w:sz w:val="21"/>
                            <w:szCs w:val="21"/>
                          </w:rPr>
                          <w:t>手机彩票游戏项目的</w:t>
                        </w:r>
                        <w:r>
                          <w:rPr>
                            <w:rFonts w:ascii="宋体" w:hAnsi="宋体" w:cs="宋体" w:eastAsia="宋体" w:hint="default"/>
                            <w:w w:val="100"/>
                            <w:sz w:val="21"/>
                            <w:szCs w:val="21"/>
                          </w:rPr>
                          <w:t> </w:t>
                        </w:r>
                        <w:r>
                          <w:rPr>
                            <w:rFonts w:ascii="宋体" w:hAnsi="宋体" w:cs="宋体" w:eastAsia="宋体" w:hint="default"/>
                            <w:sz w:val="21"/>
                            <w:szCs w:val="21"/>
                          </w:rPr>
                          <w:t>发展情况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无纸化彩票业务发展</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公司四楼会议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中信建投证券</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情况，包装印刷项目今</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9"/>
                            <w:sz w:val="21"/>
                            <w:szCs w:val="21"/>
                          </w:rPr>
                          <w:t>年的业务计划，智能卡</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业务开展情况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9"/>
                            <w:sz w:val="21"/>
                            <w:szCs w:val="21"/>
                          </w:rPr>
                          <w:t>公司智能卡项目、彩票</w:t>
                        </w: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东莞市塘厦镇</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199"/>
                          <w:jc w:val="left"/>
                          <w:rPr>
                            <w:rFonts w:ascii="宋体" w:hAnsi="宋体" w:cs="宋体" w:eastAsia="宋体" w:hint="default"/>
                            <w:sz w:val="21"/>
                            <w:szCs w:val="21"/>
                          </w:rPr>
                        </w:pPr>
                        <w:r>
                          <w:rPr>
                            <w:rFonts w:ascii="宋体" w:hAnsi="宋体" w:cs="宋体" w:eastAsia="宋体" w:hint="default"/>
                            <w:sz w:val="21"/>
                            <w:szCs w:val="21"/>
                          </w:rPr>
                          <w:t>国泰君安证券</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无纸化项目进展情况</w:t>
                        </w:r>
                      </w:p>
                      <w:p>
                        <w:pPr>
                          <w:pStyle w:val="TableParagraph"/>
                          <w:spacing w:line="273" w:lineRule="auto" w:before="37"/>
                          <w:ind w:left="24" w:right="105"/>
                          <w:jc w:val="left"/>
                          <w:rPr>
                            <w:rFonts w:ascii="宋体" w:hAnsi="宋体" w:cs="宋体" w:eastAsia="宋体" w:hint="default"/>
                            <w:sz w:val="21"/>
                            <w:szCs w:val="21"/>
                          </w:rPr>
                        </w:pPr>
                        <w:r>
                          <w:rPr>
                            <w:rFonts w:ascii="宋体" w:hAnsi="宋体" w:cs="宋体" w:eastAsia="宋体" w:hint="default"/>
                            <w:sz w:val="21"/>
                            <w:szCs w:val="21"/>
                          </w:rPr>
                          <w:t>北京鸿博昊天项目</w:t>
                        </w:r>
                        <w:r>
                          <w:rPr>
                            <w:rFonts w:ascii="宋体" w:hAnsi="宋体" w:cs="宋体" w:eastAsia="宋体" w:hint="default"/>
                            <w:w w:val="100"/>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年的业务开展情</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公司高端包装印刷项</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公司四楼会议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长城证券有限</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目，公司数字化印刷项</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9"/>
                            <w:sz w:val="21"/>
                            <w:szCs w:val="21"/>
                          </w:rPr>
                          <w:t>目，智能卡项目，公司</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彩票业务进展情况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9"/>
                            <w:sz w:val="21"/>
                            <w:szCs w:val="21"/>
                          </w:rPr>
                          <w:t>公司票证项目、彩票无</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厦门</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兴业证券股份</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纸化项目进展情况，数</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字化印刷基地的开展</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公司全自动智能标签</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中信证券股份</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项目，彩票无纸化项目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9"/>
                            <w:sz w:val="21"/>
                            <w:szCs w:val="21"/>
                          </w:rPr>
                          <w:t>进展情况，北京数字化</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印刷基地的建设情况</w:t>
                        </w:r>
                      </w:p>
                    </w:tc>
                  </w:tr>
                  <w:tr>
                    <w:trPr>
                      <w:trHeight w:val="102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z w:val="21"/>
                            <w:szCs w:val="21"/>
                          </w:rPr>
                          <w:t>广发证券股份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无纸化彩票业务的战</w:t>
                        </w:r>
                        <w:r>
                          <w:rPr>
                            <w:rFonts w:ascii="宋体" w:hAnsi="宋体" w:cs="宋体" w:eastAsia="宋体" w:hint="default"/>
                            <w:w w:val="100"/>
                            <w:sz w:val="21"/>
                            <w:szCs w:val="21"/>
                          </w:rPr>
                          <w:t> </w:t>
                        </w:r>
                        <w:r>
                          <w:rPr>
                            <w:rFonts w:ascii="宋体" w:hAnsi="宋体" w:cs="宋体" w:eastAsia="宋体" w:hint="default"/>
                            <w:spacing w:val="-9"/>
                            <w:sz w:val="21"/>
                            <w:szCs w:val="21"/>
                          </w:rPr>
                          <w:t>略定位，全自动智能标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签项目进展情况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6"/>
        <w:ind w:left="0" w:right="174"/>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6"/>
        <w:ind w:left="0" w:right="174"/>
        <w:jc w:val="right"/>
      </w:pPr>
      <w:r>
        <w:rPr>
          <w:w w:val="100"/>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before="36"/>
        <w:ind w:left="0" w:right="174"/>
        <w:jc w:val="right"/>
      </w:pPr>
      <w:r>
        <w:rPr/>
        <w:pict>
          <v:shape style="position:absolute;margin-left:56.49826pt;margin-top:-144.93631pt;width:479.2pt;height:624.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196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95"/>
                          <w:jc w:val="left"/>
                          <w:rPr>
                            <w:rFonts w:ascii="宋体" w:hAnsi="宋体" w:cs="宋体" w:eastAsia="宋体" w:hint="default"/>
                            <w:sz w:val="21"/>
                            <w:szCs w:val="21"/>
                          </w:rPr>
                        </w:pPr>
                        <w:r>
                          <w:rPr>
                            <w:rFonts w:ascii="宋体" w:hAnsi="宋体" w:cs="宋体" w:eastAsia="宋体" w:hint="default"/>
                            <w:sz w:val="21"/>
                            <w:szCs w:val="21"/>
                          </w:rPr>
                          <w:t>中信证券股份</w:t>
                        </w:r>
                        <w:r>
                          <w:rPr>
                            <w:rFonts w:ascii="宋体" w:hAnsi="宋体" w:cs="宋体" w:eastAsia="宋体" w:hint="default"/>
                            <w:w w:val="100"/>
                            <w:sz w:val="21"/>
                            <w:szCs w:val="21"/>
                          </w:rPr>
                          <w:t> </w:t>
                        </w:r>
                        <w:r>
                          <w:rPr>
                            <w:rFonts w:ascii="宋体" w:hAnsi="宋体" w:cs="宋体" w:eastAsia="宋体" w:hint="default"/>
                            <w:sz w:val="21"/>
                            <w:szCs w:val="21"/>
                          </w:rPr>
                          <w:t>有限公司\国泰</w:t>
                        </w:r>
                        <w:r>
                          <w:rPr>
                            <w:rFonts w:ascii="宋体" w:hAnsi="宋体" w:cs="宋体" w:eastAsia="宋体" w:hint="default"/>
                            <w:w w:val="100"/>
                            <w:sz w:val="21"/>
                            <w:szCs w:val="21"/>
                          </w:rPr>
                          <w:t> </w:t>
                        </w:r>
                        <w:r>
                          <w:rPr>
                            <w:rFonts w:ascii="宋体" w:hAnsi="宋体" w:cs="宋体" w:eastAsia="宋体" w:hint="default"/>
                            <w:sz w:val="21"/>
                            <w:szCs w:val="21"/>
                          </w:rPr>
                          <w:t>君安证券股份</w:t>
                        </w:r>
                        <w:r>
                          <w:rPr>
                            <w:rFonts w:ascii="宋体" w:hAnsi="宋体" w:cs="宋体" w:eastAsia="宋体" w:hint="default"/>
                            <w:w w:val="100"/>
                            <w:sz w:val="21"/>
                            <w:szCs w:val="21"/>
                          </w:rPr>
                          <w:t> </w:t>
                        </w:r>
                        <w:r>
                          <w:rPr>
                            <w:rFonts w:ascii="宋体" w:hAnsi="宋体" w:cs="宋体" w:eastAsia="宋体" w:hint="default"/>
                            <w:sz w:val="21"/>
                            <w:szCs w:val="21"/>
                          </w:rPr>
                          <w:t>有限公司\浙商</w:t>
                        </w:r>
                        <w:r>
                          <w:rPr>
                            <w:rFonts w:ascii="宋体" w:hAnsi="宋体" w:cs="宋体" w:eastAsia="宋体" w:hint="default"/>
                            <w:w w:val="100"/>
                            <w:sz w:val="21"/>
                            <w:szCs w:val="21"/>
                          </w:rPr>
                          <w:t> </w:t>
                        </w:r>
                        <w:r>
                          <w:rPr>
                            <w:rFonts w:ascii="宋体" w:hAnsi="宋体" w:cs="宋体" w:eastAsia="宋体" w:hint="default"/>
                            <w:sz w:val="21"/>
                            <w:szCs w:val="21"/>
                          </w:rPr>
                          <w:t>证券股份有限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z w:val="21"/>
                            <w:szCs w:val="21"/>
                          </w:rPr>
                          <w:t>公司业务情况及</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w w:val="100"/>
                            <w:sz w:val="21"/>
                            <w:szCs w:val="21"/>
                          </w:rPr>
                          <w:t> </w:t>
                        </w:r>
                        <w:r>
                          <w:rPr>
                            <w:rFonts w:ascii="宋体" w:hAnsi="宋体" w:cs="宋体" w:eastAsia="宋体" w:hint="default"/>
                            <w:spacing w:val="-9"/>
                            <w:sz w:val="21"/>
                            <w:szCs w:val="21"/>
                          </w:rPr>
                          <w:t>年半年度经营情况，公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司彩种研发的进展情</w:t>
                        </w:r>
                        <w:r>
                          <w:rPr>
                            <w:rFonts w:ascii="宋体" w:hAnsi="宋体" w:cs="宋体" w:eastAsia="宋体" w:hint="default"/>
                            <w:w w:val="100"/>
                            <w:sz w:val="21"/>
                            <w:szCs w:val="21"/>
                          </w:rPr>
                          <w:t> </w:t>
                        </w:r>
                        <w:r>
                          <w:rPr>
                            <w:rFonts w:ascii="宋体" w:hAnsi="宋体" w:cs="宋体" w:eastAsia="宋体" w:hint="default"/>
                            <w:spacing w:val="-9"/>
                            <w:sz w:val="21"/>
                            <w:szCs w:val="21"/>
                          </w:rPr>
                          <w:t>况，北京鸿博昊天项目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的诉讼情况</w:t>
                        </w:r>
                      </w:p>
                    </w:tc>
                  </w:tr>
                  <w:tr>
                    <w:trPr>
                      <w:trHeight w:val="360"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年半年度经</w:t>
                        </w:r>
                      </w:p>
                    </w:tc>
                  </w:tr>
                  <w:tr>
                    <w:trPr>
                      <w:trHeight w:val="311"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营情况，公司彩种研</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03</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4" w:right="199"/>
                          <w:jc w:val="left"/>
                          <w:rPr>
                            <w:rFonts w:ascii="宋体" w:hAnsi="宋体" w:cs="宋体" w:eastAsia="宋体" w:hint="default"/>
                            <w:sz w:val="21"/>
                            <w:szCs w:val="21"/>
                          </w:rPr>
                        </w:pPr>
                        <w:r>
                          <w:rPr>
                            <w:rFonts w:ascii="宋体" w:hAnsi="宋体" w:cs="宋体" w:eastAsia="宋体" w:hint="default"/>
                            <w:sz w:val="21"/>
                            <w:szCs w:val="21"/>
                          </w:rPr>
                          <w:t>信达证券股份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发、智能卡项目、彩票</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无纸化项目进展情况</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鸿博昊天项目的诉讼</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公司彩种研发进展及</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发展计划，公司业务方</w:t>
                        </w:r>
                      </w:p>
                    </w:tc>
                  </w:tr>
                  <w:tr>
                    <w:trPr>
                      <w:trHeight w:val="624"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公司四楼会议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华富基金管理</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面的总体计划，智能卡</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9"/>
                            <w:sz w:val="21"/>
                            <w:szCs w:val="21"/>
                          </w:rPr>
                          <w:t>项目、彩票无纸化项目</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进展情况，公司文化创</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意产业情况</w:t>
                        </w:r>
                      </w:p>
                    </w:tc>
                  </w:tr>
                  <w:tr>
                    <w:trPr>
                      <w:trHeight w:val="360"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宏源证券股份</w:t>
                        </w: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福建省体育彩票电话</w:t>
                        </w:r>
                      </w:p>
                    </w:tc>
                  </w:tr>
                  <w:tr>
                    <w:trPr>
                      <w:trHeight w:val="623"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06</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有限公司\海富</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通基金管理有</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系统平台和游戏平台</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9"/>
                            <w:sz w:val="21"/>
                            <w:szCs w:val="21"/>
                          </w:rPr>
                          <w:t>建设招投标情况，公司</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彩票业务发展情况</w:t>
                        </w:r>
                      </w:p>
                    </w:tc>
                  </w:tr>
                  <w:tr>
                    <w:trPr>
                      <w:trHeight w:val="359"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福建省体育彩彩票电</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话系统平台和游戏平</w:t>
                        </w:r>
                      </w:p>
                    </w:tc>
                  </w:tr>
                  <w:tr>
                    <w:trPr>
                      <w:trHeight w:val="936"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199"/>
                          <w:jc w:val="left"/>
                          <w:rPr>
                            <w:rFonts w:ascii="宋体" w:hAnsi="宋体" w:cs="宋体" w:eastAsia="宋体" w:hint="default"/>
                            <w:sz w:val="21"/>
                            <w:szCs w:val="21"/>
                          </w:rPr>
                        </w:pPr>
                        <w:r>
                          <w:rPr>
                            <w:rFonts w:ascii="宋体" w:hAnsi="宋体" w:cs="宋体" w:eastAsia="宋体" w:hint="default"/>
                            <w:sz w:val="21"/>
                            <w:szCs w:val="21"/>
                          </w:rPr>
                          <w:t>东兴证券股份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台建设招投标的进展</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公司智能标签业务发</w:t>
                        </w:r>
                        <w:r>
                          <w:rPr>
                            <w:rFonts w:ascii="宋体" w:hAnsi="宋体" w:cs="宋体" w:eastAsia="宋体" w:hint="default"/>
                            <w:w w:val="100"/>
                            <w:sz w:val="21"/>
                            <w:szCs w:val="21"/>
                          </w:rPr>
                          <w:t> </w:t>
                        </w:r>
                        <w:r>
                          <w:rPr>
                            <w:rFonts w:ascii="宋体" w:hAnsi="宋体" w:cs="宋体" w:eastAsia="宋体" w:hint="default"/>
                            <w:spacing w:val="-9"/>
                            <w:sz w:val="21"/>
                            <w:szCs w:val="21"/>
                          </w:rPr>
                          <w:t>展情况，公司与银联电</w:t>
                        </w:r>
                      </w:p>
                    </w:tc>
                  </w:tr>
                  <w:tr>
                    <w:trPr>
                      <w:trHeight w:val="312" w:hRule="exact"/>
                    </w:trPr>
                    <w:tc>
                      <w:tcPr>
                        <w:tcW w:w="1495" w:type="dxa"/>
                        <w:tcBorders>
                          <w:top w:val="nil" w:sz="6" w:space="0" w:color="auto"/>
                          <w:left w:val="single" w:sz="4" w:space="0" w:color="000000"/>
                          <w:bottom w:val="nil" w:sz="6" w:space="0" w:color="auto"/>
                          <w:right w:val="single" w:sz="4" w:space="0" w:color="000000"/>
                        </w:tcBorders>
                      </w:tcPr>
                      <w:p>
                        <w:pPr/>
                      </w:p>
                    </w:tc>
                    <w:tc>
                      <w:tcPr>
                        <w:tcW w:w="1495"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子支付合作平台建设</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进展</w:t>
                        </w:r>
                      </w:p>
                    </w:tc>
                  </w:tr>
                  <w:tr>
                    <w:trPr>
                      <w:trHeight w:val="360"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无锡双龙剩余</w:t>
                        </w:r>
                        <w:r>
                          <w:rPr>
                            <w:rFonts w:ascii="宋体" w:hAnsi="宋体" w:cs="宋体" w:eastAsia="宋体" w:hint="default"/>
                            <w:spacing w:val="-71"/>
                            <w:sz w:val="21"/>
                            <w:szCs w:val="21"/>
                          </w:rPr>
                          <w:t> </w:t>
                        </w:r>
                        <w:r>
                          <w:rPr>
                            <w:rFonts w:ascii="宋体" w:hAnsi="宋体" w:cs="宋体" w:eastAsia="宋体" w:hint="default"/>
                            <w:sz w:val="21"/>
                            <w:szCs w:val="21"/>
                          </w:rPr>
                          <w:t>40%股权</w:t>
                        </w:r>
                      </w:p>
                    </w:tc>
                  </w:tr>
                  <w:tr>
                    <w:trPr>
                      <w:trHeight w:val="623"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71" w:lineRule="auto"/>
                          <w:ind w:left="24" w:right="199"/>
                          <w:jc w:val="left"/>
                          <w:rPr>
                            <w:rFonts w:ascii="宋体" w:hAnsi="宋体" w:cs="宋体" w:eastAsia="宋体" w:hint="default"/>
                            <w:sz w:val="21"/>
                            <w:szCs w:val="21"/>
                          </w:rPr>
                        </w:pPr>
                        <w:r>
                          <w:rPr>
                            <w:rFonts w:ascii="宋体" w:hAnsi="宋体" w:cs="宋体" w:eastAsia="宋体" w:hint="default"/>
                            <w:sz w:val="21"/>
                            <w:szCs w:val="21"/>
                          </w:rPr>
                          <w:t>中银国际证券</w:t>
                        </w:r>
                        <w:r>
                          <w:rPr>
                            <w:rFonts w:ascii="宋体" w:hAnsi="宋体" w:cs="宋体" w:eastAsia="宋体" w:hint="default"/>
                            <w:w w:val="100"/>
                            <w:sz w:val="21"/>
                            <w:szCs w:val="21"/>
                          </w:rPr>
                          <w:t> </w:t>
                        </w:r>
                        <w:r>
                          <w:rPr>
                            <w:rFonts w:ascii="宋体" w:hAnsi="宋体" w:cs="宋体" w:eastAsia="宋体" w:hint="default"/>
                            <w:sz w:val="21"/>
                            <w:szCs w:val="21"/>
                          </w:rPr>
                          <w:t>有限责任公司</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收购事项、彩票无纸化</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业务的发展和智能</w:t>
                        </w:r>
                        <w:r>
                          <w:rPr>
                            <w:rFonts w:ascii="宋体" w:hAnsi="宋体" w:cs="宋体" w:eastAsia="宋体" w:hint="default"/>
                            <w:spacing w:val="-55"/>
                            <w:sz w:val="21"/>
                            <w:szCs w:val="21"/>
                          </w:rPr>
                          <w:t> </w:t>
                        </w:r>
                        <w:r>
                          <w:rPr>
                            <w:rFonts w:ascii="宋体" w:hAnsi="宋体" w:cs="宋体" w:eastAsia="宋体" w:hint="default"/>
                            <w:sz w:val="21"/>
                            <w:szCs w:val="21"/>
                          </w:rPr>
                          <w:t>IC</w:t>
                        </w:r>
                      </w:p>
                    </w:tc>
                  </w:tr>
                  <w:tr>
                    <w:trPr>
                      <w:trHeight w:val="357"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卡业务的进展情况</w:t>
                        </w:r>
                      </w:p>
                    </w:tc>
                  </w:tr>
                  <w:tr>
                    <w:trPr>
                      <w:trHeight w:val="165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12</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197"/>
                          <w:jc w:val="left"/>
                          <w:rPr>
                            <w:rFonts w:ascii="宋体" w:hAnsi="宋体" w:cs="宋体" w:eastAsia="宋体" w:hint="default"/>
                            <w:sz w:val="21"/>
                            <w:szCs w:val="21"/>
                          </w:rPr>
                        </w:pPr>
                        <w:r>
                          <w:rPr>
                            <w:rFonts w:ascii="宋体" w:hAnsi="宋体" w:cs="宋体" w:eastAsia="宋体" w:hint="default"/>
                            <w:sz w:val="21"/>
                            <w:szCs w:val="21"/>
                          </w:rPr>
                          <w:t>公司四楼会议</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95"/>
                          <w:jc w:val="left"/>
                          <w:rPr>
                            <w:rFonts w:ascii="宋体" w:hAnsi="宋体" w:cs="宋体" w:eastAsia="宋体" w:hint="default"/>
                            <w:sz w:val="21"/>
                            <w:szCs w:val="21"/>
                          </w:rPr>
                        </w:pPr>
                        <w:r>
                          <w:rPr>
                            <w:rFonts w:ascii="宋体" w:hAnsi="宋体" w:cs="宋体" w:eastAsia="宋体" w:hint="default"/>
                            <w:sz w:val="21"/>
                            <w:szCs w:val="21"/>
                          </w:rPr>
                          <w:t>中信证券股份</w:t>
                        </w:r>
                        <w:r>
                          <w:rPr>
                            <w:rFonts w:ascii="宋体" w:hAnsi="宋体" w:cs="宋体" w:eastAsia="宋体" w:hint="default"/>
                            <w:w w:val="100"/>
                            <w:sz w:val="21"/>
                            <w:szCs w:val="21"/>
                          </w:rPr>
                          <w:t> </w:t>
                        </w:r>
                        <w:r>
                          <w:rPr>
                            <w:rFonts w:ascii="宋体" w:hAnsi="宋体" w:cs="宋体" w:eastAsia="宋体" w:hint="default"/>
                            <w:sz w:val="21"/>
                            <w:szCs w:val="21"/>
                          </w:rPr>
                          <w:t>有限公司\交银</w:t>
                        </w:r>
                        <w:r>
                          <w:rPr>
                            <w:rFonts w:ascii="宋体" w:hAnsi="宋体" w:cs="宋体" w:eastAsia="宋体" w:hint="default"/>
                            <w:w w:val="100"/>
                            <w:sz w:val="21"/>
                            <w:szCs w:val="21"/>
                          </w:rPr>
                          <w:t> </w:t>
                        </w:r>
                        <w:r>
                          <w:rPr>
                            <w:rFonts w:ascii="宋体" w:hAnsi="宋体" w:cs="宋体" w:eastAsia="宋体" w:hint="default"/>
                            <w:sz w:val="21"/>
                            <w:szCs w:val="21"/>
                          </w:rPr>
                          <w:t>施罗德基金管</w:t>
                        </w:r>
                        <w:r>
                          <w:rPr>
                            <w:rFonts w:ascii="宋体" w:hAnsi="宋体" w:cs="宋体" w:eastAsia="宋体" w:hint="default"/>
                            <w:w w:val="100"/>
                            <w:sz w:val="21"/>
                            <w:szCs w:val="21"/>
                          </w:rPr>
                          <w:t> </w:t>
                        </w:r>
                        <w:r>
                          <w:rPr>
                            <w:rFonts w:ascii="宋体" w:hAnsi="宋体" w:cs="宋体" w:eastAsia="宋体" w:hint="default"/>
                            <w:sz w:val="21"/>
                            <w:szCs w:val="21"/>
                          </w:rPr>
                          <w:t>理有限公司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公司北京及四川项目</w:t>
                        </w:r>
                        <w:r>
                          <w:rPr>
                            <w:rFonts w:ascii="宋体" w:hAnsi="宋体" w:cs="宋体" w:eastAsia="宋体" w:hint="default"/>
                            <w:w w:val="100"/>
                            <w:sz w:val="21"/>
                            <w:szCs w:val="21"/>
                          </w:rPr>
                          <w:t> </w:t>
                        </w:r>
                        <w:r>
                          <w:rPr>
                            <w:rFonts w:ascii="宋体" w:hAnsi="宋体" w:cs="宋体" w:eastAsia="宋体" w:hint="default"/>
                            <w:spacing w:val="-9"/>
                            <w:sz w:val="21"/>
                            <w:szCs w:val="21"/>
                          </w:rPr>
                          <w:t>发展计划，公司彩票业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9"/>
                            <w:sz w:val="21"/>
                            <w:szCs w:val="21"/>
                          </w:rPr>
                          <w:t>务发展情况；福建省体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育彩票招投标进展；北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京诉讼事项进展情况</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0" w:right="174"/>
        <w:jc w:val="right"/>
      </w:pPr>
      <w:r>
        <w:rPr>
          <w:w w:val="100"/>
        </w:rPr>
        <w:t>，</w:t>
      </w:r>
    </w:p>
    <w:p>
      <w:pPr>
        <w:spacing w:after="0" w:line="240" w:lineRule="auto"/>
        <w:jc w:val="righ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48"/>
        <w:jc w:val="center"/>
      </w:pPr>
      <w:bookmarkStart w:name="_TOC_250007" w:id="5"/>
      <w:r>
        <w:rPr/>
        <w:t>第五节</w:t>
      </w:r>
      <w:r>
        <w:rPr>
          <w:spacing w:val="5"/>
        </w:rPr>
        <w:t> </w:t>
      </w:r>
      <w:bookmarkEnd w:id="5"/>
      <w:r>
        <w:rPr/>
        <w:t>重要事项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6"/>
        <w:ind w:right="2880"/>
        <w:jc w:val="left"/>
      </w:pPr>
      <w:r>
        <w:rPr/>
        <w:t>一、重大诉讼仲裁事项</w:t>
      </w:r>
    </w:p>
    <w:p>
      <w:pPr>
        <w:spacing w:line="240" w:lineRule="auto" w:before="10"/>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本报告期公司无重大诉讼、仲裁事项。</w:t>
      </w:r>
    </w:p>
    <w:p>
      <w:pPr>
        <w:spacing w:line="240" w:lineRule="auto" w:before="1"/>
        <w:rPr>
          <w:rFonts w:ascii="宋体" w:hAnsi="宋体" w:cs="宋体" w:eastAsia="宋体" w:hint="default"/>
          <w:sz w:val="21"/>
          <w:szCs w:val="21"/>
        </w:rPr>
      </w:pPr>
    </w:p>
    <w:p>
      <w:pPr>
        <w:pStyle w:val="BodyText"/>
        <w:spacing w:line="240" w:lineRule="auto"/>
        <w:ind w:right="2880"/>
        <w:jc w:val="left"/>
      </w:pPr>
      <w:r>
        <w:rPr/>
        <w:t>二、媒体质疑情况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48" w:right="0"/>
              <w:jc w:val="left"/>
              <w:rPr>
                <w:rFonts w:ascii="宋体" w:hAnsi="宋体" w:cs="宋体" w:eastAsia="宋体" w:hint="default"/>
                <w:sz w:val="21"/>
                <w:szCs w:val="21"/>
              </w:rPr>
            </w:pPr>
            <w:r>
              <w:rPr>
                <w:rFonts w:ascii="宋体" w:hAnsi="宋体" w:cs="宋体" w:eastAsia="宋体" w:hint="default"/>
                <w:sz w:val="21"/>
                <w:szCs w:val="21"/>
              </w:rPr>
              <w:t>媒体质疑事项说明</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360"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 年 3 月 15 日，央视 315</w:t>
            </w: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晚会“消费预警”环节曝光了橡皮</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擦、涂改液中有害物质严重超标的</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6"/>
                <w:sz w:val="21"/>
                <w:szCs w:val="21"/>
              </w:rPr>
              <w:t>情况，随后，有媒体刊登了题为《央</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视 315 曝光黑名单</w:t>
            </w:r>
            <w:r>
              <w:rPr>
                <w:rFonts w:ascii="宋体" w:hAnsi="宋体" w:cs="宋体" w:eastAsia="宋体" w:hint="default"/>
                <w:spacing w:val="2"/>
                <w:sz w:val="21"/>
                <w:szCs w:val="21"/>
              </w:rPr>
              <w:t> </w:t>
            </w:r>
            <w:r>
              <w:rPr>
                <w:rFonts w:ascii="宋体" w:hAnsi="宋体" w:cs="宋体" w:eastAsia="宋体" w:hint="default"/>
                <w:sz w:val="21"/>
                <w:szCs w:val="21"/>
              </w:rPr>
              <w:t>波及多家上</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市公司》的报道，报道中“部分文</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具被指不安全三家上市公司遭遇</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黑天</w:t>
            </w:r>
            <w:r>
              <w:rPr>
                <w:rFonts w:ascii="宋体" w:hAnsi="宋体" w:cs="宋体" w:eastAsia="宋体" w:hint="default"/>
                <w:spacing w:val="-3"/>
                <w:w w:val="100"/>
                <w:sz w:val="21"/>
                <w:szCs w:val="21"/>
              </w:rPr>
              <w:t>鹅</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列</w:t>
            </w:r>
            <w:r>
              <w:rPr>
                <w:rFonts w:ascii="宋体" w:hAnsi="宋体" w:cs="宋体" w:eastAsia="宋体" w:hint="default"/>
                <w:w w:val="100"/>
                <w:sz w:val="21"/>
                <w:szCs w:val="21"/>
              </w:rPr>
              <w:t>出</w:t>
            </w:r>
            <w:r>
              <w:rPr>
                <w:rFonts w:ascii="宋体" w:hAnsi="宋体" w:cs="宋体" w:eastAsia="宋体" w:hint="default"/>
                <w:spacing w:val="-3"/>
                <w:w w:val="100"/>
                <w:sz w:val="21"/>
                <w:szCs w:val="21"/>
              </w:rPr>
              <w:t>了</w:t>
            </w:r>
            <w:r>
              <w:rPr>
                <w:rFonts w:ascii="宋体" w:hAnsi="宋体" w:cs="宋体" w:eastAsia="宋体" w:hint="default"/>
                <w:w w:val="100"/>
                <w:sz w:val="21"/>
                <w:szCs w:val="21"/>
              </w:rPr>
              <w:t>包</w:t>
            </w:r>
            <w:r>
              <w:rPr>
                <w:rFonts w:ascii="宋体" w:hAnsi="宋体" w:cs="宋体" w:eastAsia="宋体" w:hint="default"/>
                <w:spacing w:val="-3"/>
                <w:w w:val="100"/>
                <w:sz w:val="21"/>
                <w:szCs w:val="21"/>
              </w:rPr>
              <w:t>括鸿</w:t>
            </w:r>
            <w:r>
              <w:rPr>
                <w:rFonts w:ascii="宋体" w:hAnsi="宋体" w:cs="宋体" w:eastAsia="宋体" w:hint="default"/>
                <w:w w:val="100"/>
                <w:sz w:val="21"/>
                <w:szCs w:val="21"/>
              </w:rPr>
              <w:t>博股份</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在内</w:t>
            </w:r>
            <w:r>
              <w:rPr>
                <w:rFonts w:ascii="宋体" w:hAnsi="宋体" w:cs="宋体" w:eastAsia="宋体" w:hint="default"/>
                <w:spacing w:val="-3"/>
                <w:w w:val="100"/>
                <w:sz w:val="21"/>
                <w:szCs w:val="21"/>
              </w:rPr>
              <w:t>的</w:t>
            </w:r>
            <w:r>
              <w:rPr>
                <w:rFonts w:ascii="宋体" w:hAnsi="宋体" w:cs="宋体" w:eastAsia="宋体" w:hint="default"/>
                <w:w w:val="100"/>
                <w:sz w:val="21"/>
                <w:szCs w:val="21"/>
              </w:rPr>
              <w:t>三家</w:t>
            </w:r>
            <w:r>
              <w:rPr>
                <w:rFonts w:ascii="宋体" w:hAnsi="宋体" w:cs="宋体" w:eastAsia="宋体" w:hint="default"/>
                <w:spacing w:val="-2"/>
                <w:sz w:val="21"/>
                <w:szCs w:val="21"/>
              </w:rPr>
              <w:t> </w:t>
            </w:r>
            <w:r>
              <w:rPr>
                <w:rFonts w:ascii="宋体" w:hAnsi="宋体" w:cs="宋体" w:eastAsia="宋体" w:hint="default"/>
                <w:w w:val="100"/>
                <w:sz w:val="21"/>
                <w:szCs w:val="21"/>
              </w:rPr>
              <w:t>A</w:t>
            </w:r>
            <w:r>
              <w:rPr>
                <w:rFonts w:ascii="宋体" w:hAnsi="宋体" w:cs="宋体" w:eastAsia="宋体" w:hint="default"/>
                <w:spacing w:val="-2"/>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公司</w:t>
            </w:r>
            <w:r>
              <w:rPr>
                <w:rFonts w:ascii="宋体" w:hAnsi="宋体" w:cs="宋体" w:eastAsia="宋体" w:hint="default"/>
                <w:spacing w:val="-12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针</w:t>
            </w:r>
            <w:r>
              <w:rPr>
                <w:rFonts w:ascii="宋体" w:hAnsi="宋体" w:cs="宋体" w:eastAsia="宋体" w:hint="default"/>
                <w:w w:val="100"/>
                <w:sz w:val="21"/>
                <w:szCs w:val="21"/>
              </w:rPr>
              <w:t>对</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4" w:right="0"/>
              <w:jc w:val="left"/>
              <w:rPr>
                <w:rFonts w:ascii="宋体" w:hAnsi="宋体" w:cs="宋体" w:eastAsia="宋体" w:hint="default"/>
                <w:sz w:val="21"/>
                <w:szCs w:val="21"/>
              </w:rPr>
            </w:pPr>
            <w:hyperlink r:id="rId11">
              <w:r>
                <w:rPr>
                  <w:rFonts w:ascii="宋体"/>
                  <w:sz w:val="21"/>
                </w:rPr>
                <w:t>http://www.cninfo.com.cn/</w:t>
              </w:r>
            </w:hyperlink>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上述媒体报道，公司于 </w:t>
            </w:r>
            <w:r>
              <w:rPr>
                <w:rFonts w:ascii="宋体" w:hAnsi="宋体" w:cs="宋体" w:eastAsia="宋体" w:hint="default"/>
                <w:sz w:val="21"/>
                <w:szCs w:val="21"/>
              </w:rPr>
              <w:t>2014 年</w:t>
            </w:r>
            <w:r>
              <w:rPr>
                <w:rFonts w:ascii="宋体" w:hAnsi="宋体" w:cs="宋体" w:eastAsia="宋体" w:hint="default"/>
                <w:spacing w:val="13"/>
                <w:sz w:val="21"/>
                <w:szCs w:val="21"/>
              </w:rPr>
              <w:t> </w:t>
            </w:r>
            <w:r>
              <w:rPr>
                <w:rFonts w:ascii="宋体" w:hAnsi="宋体" w:cs="宋体" w:eastAsia="宋体" w:hint="default"/>
                <w:sz w:val="21"/>
                <w:szCs w:val="21"/>
              </w:rPr>
              <w:t>3</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月 17</w:t>
            </w:r>
            <w:r>
              <w:rPr>
                <w:rFonts w:ascii="宋体" w:hAnsi="宋体" w:cs="宋体" w:eastAsia="宋体" w:hint="default"/>
                <w:spacing w:val="15"/>
                <w:sz w:val="21"/>
                <w:szCs w:val="21"/>
              </w:rPr>
              <w:t> </w:t>
            </w:r>
            <w:r>
              <w:rPr>
                <w:rFonts w:ascii="宋体" w:hAnsi="宋体" w:cs="宋体" w:eastAsia="宋体" w:hint="default"/>
                <w:spacing w:val="-3"/>
                <w:sz w:val="21"/>
                <w:szCs w:val="21"/>
              </w:rPr>
              <w:t>日刊登澄清公告，指出公司</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经营范围及主要产品均未涉及央</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视 315</w:t>
            </w:r>
            <w:r>
              <w:rPr>
                <w:rFonts w:ascii="宋体" w:hAnsi="宋体" w:cs="宋体" w:eastAsia="宋体" w:hint="default"/>
                <w:spacing w:val="-1"/>
                <w:sz w:val="21"/>
                <w:szCs w:val="21"/>
              </w:rPr>
              <w:t> </w:t>
            </w:r>
            <w:r>
              <w:rPr>
                <w:rFonts w:ascii="宋体" w:hAnsi="宋体" w:cs="宋体" w:eastAsia="宋体" w:hint="default"/>
                <w:sz w:val="21"/>
                <w:szCs w:val="21"/>
              </w:rPr>
              <w:t>晚会“消费预警”环节曝</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光的橡皮擦、涂改液等文具产品的</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生产和/或销售。媒体质疑并未对</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公司生产经营造成影响。</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三、控股股东及其关联方对上市公司的非经营性占用资金情况</w:t>
      </w:r>
    </w:p>
    <w:p>
      <w:pPr>
        <w:spacing w:line="240" w:lineRule="auto" w:before="12"/>
        <w:rPr>
          <w:rFonts w:ascii="宋体" w:hAnsi="宋体" w:cs="宋体" w:eastAsia="宋体" w:hint="default"/>
          <w:sz w:val="25"/>
          <w:szCs w:val="25"/>
        </w:rPr>
      </w:pPr>
    </w:p>
    <w:p>
      <w:pPr>
        <w:pStyle w:val="BodyText"/>
        <w:spacing w:line="307" w:lineRule="auto"/>
        <w:ind w:right="2880"/>
        <w:jc w:val="left"/>
      </w:pPr>
      <w:r>
        <w:rPr/>
        <w:t>□ 适用 √</w:t>
      </w:r>
      <w:r>
        <w:rPr>
          <w:spacing w:val="-2"/>
        </w:rPr>
        <w:t> </w:t>
      </w:r>
      <w:r>
        <w:rPr/>
        <w:t>不适用</w:t>
      </w:r>
      <w:r>
        <w:rPr>
          <w:spacing w:val="-103"/>
        </w:rPr>
        <w:t> </w:t>
      </w:r>
      <w:r>
        <w:rPr>
          <w:spacing w:val="-103"/>
        </w:rPr>
      </w:r>
      <w:r>
        <w:rPr>
          <w:spacing w:val="-2"/>
        </w:rPr>
        <w:t>公司报告期不存在控股股东及其关联方对上市公司的非经营性占用资金。</w:t>
      </w:r>
    </w:p>
    <w:p>
      <w:pPr>
        <w:spacing w:line="240" w:lineRule="auto" w:before="4"/>
        <w:rPr>
          <w:rFonts w:ascii="宋体" w:hAnsi="宋体" w:cs="宋体" w:eastAsia="宋体" w:hint="default"/>
          <w:sz w:val="21"/>
          <w:szCs w:val="21"/>
        </w:rPr>
      </w:pPr>
    </w:p>
    <w:p>
      <w:pPr>
        <w:pStyle w:val="BodyText"/>
        <w:spacing w:line="240" w:lineRule="auto"/>
        <w:ind w:right="2880"/>
        <w:jc w:val="left"/>
      </w:pPr>
      <w:r>
        <w:rPr/>
        <w:t>四、破产重整相关事项</w:t>
      </w:r>
    </w:p>
    <w:p>
      <w:pPr>
        <w:spacing w:line="240" w:lineRule="auto" w:before="12"/>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公司报告期未发生破产重整相关事项。</w:t>
      </w:r>
    </w:p>
    <w:p>
      <w:pPr>
        <w:spacing w:after="0" w:line="30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7" w:lineRule="auto" w:before="36"/>
        <w:ind w:right="8091"/>
        <w:jc w:val="left"/>
      </w:pPr>
      <w:r>
        <w:rPr/>
        <w:t>五、资产交易事项</w:t>
      </w:r>
      <w:r>
        <w:rPr>
          <w:spacing w:val="-96"/>
        </w:rPr>
        <w:t> </w:t>
      </w:r>
      <w:r>
        <w:rPr/>
        <w:t>1、收购资产情况</w:t>
      </w:r>
    </w:p>
    <w:p>
      <w:pPr>
        <w:pStyle w:val="BodyText"/>
        <w:spacing w:line="307" w:lineRule="auto" w:before="76"/>
        <w:ind w:right="7356"/>
        <w:jc w:val="left"/>
      </w:pPr>
      <w:r>
        <w:rPr/>
        <w:t>□ 适用 √</w:t>
      </w:r>
      <w:r>
        <w:rPr>
          <w:spacing w:val="-2"/>
        </w:rPr>
        <w:t> </w:t>
      </w:r>
      <w:r>
        <w:rPr/>
        <w:t>不适用</w:t>
      </w:r>
      <w:r>
        <w:rPr>
          <w:w w:val="100"/>
        </w:rPr>
        <w:t> </w:t>
      </w:r>
      <w:r>
        <w:rPr>
          <w:spacing w:val="-2"/>
        </w:rPr>
        <w:t>公司报告期未收购资产。</w:t>
      </w:r>
    </w:p>
    <w:p>
      <w:pPr>
        <w:spacing w:line="240" w:lineRule="auto" w:before="1"/>
        <w:rPr>
          <w:rFonts w:ascii="宋体" w:hAnsi="宋体" w:cs="宋体" w:eastAsia="宋体" w:hint="default"/>
          <w:sz w:val="21"/>
          <w:szCs w:val="21"/>
        </w:rPr>
      </w:pPr>
    </w:p>
    <w:p>
      <w:pPr>
        <w:pStyle w:val="BodyText"/>
        <w:spacing w:line="240" w:lineRule="auto"/>
        <w:ind w:right="2880"/>
        <w:jc w:val="left"/>
      </w:pPr>
      <w:r>
        <w:rPr/>
        <w:t>2、出售资产情况</w:t>
      </w:r>
    </w:p>
    <w:p>
      <w:pPr>
        <w:spacing w:line="240" w:lineRule="auto" w:before="12"/>
        <w:rPr>
          <w:rFonts w:ascii="宋体" w:hAnsi="宋体" w:cs="宋体" w:eastAsia="宋体" w:hint="default"/>
          <w:sz w:val="25"/>
          <w:szCs w:val="25"/>
        </w:rPr>
      </w:pPr>
    </w:p>
    <w:p>
      <w:pPr>
        <w:pStyle w:val="BodyText"/>
        <w:spacing w:line="307" w:lineRule="auto"/>
        <w:ind w:right="7356"/>
        <w:jc w:val="left"/>
      </w:pPr>
      <w:r>
        <w:rPr/>
        <w:t>□ 适用 √</w:t>
      </w:r>
      <w:r>
        <w:rPr>
          <w:spacing w:val="-2"/>
        </w:rPr>
        <w:t> </w:t>
      </w:r>
      <w:r>
        <w:rPr/>
        <w:t>不适用</w:t>
      </w:r>
      <w:r>
        <w:rPr>
          <w:w w:val="100"/>
        </w:rPr>
        <w:t> </w:t>
      </w:r>
      <w:r>
        <w:rPr>
          <w:spacing w:val="-2"/>
        </w:rPr>
        <w:t>公司报告期未出售资产。</w:t>
      </w:r>
    </w:p>
    <w:p>
      <w:pPr>
        <w:spacing w:line="240" w:lineRule="auto" w:before="4"/>
        <w:rPr>
          <w:rFonts w:ascii="宋体" w:hAnsi="宋体" w:cs="宋体" w:eastAsia="宋体" w:hint="default"/>
          <w:sz w:val="21"/>
          <w:szCs w:val="21"/>
        </w:rPr>
      </w:pPr>
    </w:p>
    <w:p>
      <w:pPr>
        <w:pStyle w:val="BodyText"/>
        <w:spacing w:line="240" w:lineRule="auto"/>
        <w:ind w:right="2880"/>
        <w:jc w:val="left"/>
      </w:pPr>
      <w:r>
        <w:rPr/>
        <w:t>3、企业合并情况</w:t>
      </w:r>
    </w:p>
    <w:p>
      <w:pPr>
        <w:spacing w:line="240" w:lineRule="auto" w:before="10"/>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spacing w:val="-103"/>
        </w:rPr>
        <w:t> </w:t>
      </w:r>
      <w:r>
        <w:rPr>
          <w:spacing w:val="-103"/>
        </w:rPr>
      </w:r>
      <w:r>
        <w:rPr/>
        <w:t>公司报告期未发生企业合并情况。</w:t>
      </w:r>
    </w:p>
    <w:p>
      <w:pPr>
        <w:spacing w:line="240" w:lineRule="auto" w:before="4"/>
        <w:rPr>
          <w:rFonts w:ascii="宋体" w:hAnsi="宋体" w:cs="宋体" w:eastAsia="宋体" w:hint="default"/>
          <w:sz w:val="21"/>
          <w:szCs w:val="21"/>
        </w:rPr>
      </w:pPr>
    </w:p>
    <w:p>
      <w:pPr>
        <w:pStyle w:val="BodyText"/>
        <w:spacing w:line="240" w:lineRule="auto"/>
        <w:ind w:right="2880"/>
        <w:jc w:val="left"/>
      </w:pPr>
      <w:r>
        <w:rPr/>
        <w:t>六、公司股权激励的实施情况及其影响</w:t>
      </w:r>
    </w:p>
    <w:p>
      <w:pPr>
        <w:spacing w:line="240" w:lineRule="auto" w:before="12"/>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公司报告期无股权激励计划及其实施情况。</w:t>
      </w:r>
    </w:p>
    <w:p>
      <w:pPr>
        <w:spacing w:line="240" w:lineRule="auto" w:before="4"/>
        <w:rPr>
          <w:rFonts w:ascii="宋体" w:hAnsi="宋体" w:cs="宋体" w:eastAsia="宋体" w:hint="default"/>
          <w:sz w:val="21"/>
          <w:szCs w:val="21"/>
        </w:rPr>
      </w:pPr>
    </w:p>
    <w:p>
      <w:pPr>
        <w:pStyle w:val="BodyText"/>
        <w:spacing w:line="537" w:lineRule="auto"/>
        <w:ind w:right="6516"/>
        <w:jc w:val="left"/>
      </w:pPr>
      <w:r>
        <w:rPr/>
        <w:t>七、重大关联交易</w:t>
      </w:r>
      <w:r>
        <w:rPr>
          <w:spacing w:val="-96"/>
        </w:rPr>
        <w:t> </w:t>
      </w:r>
      <w:r>
        <w:rPr>
          <w:spacing w:val="-1"/>
        </w:rPr>
        <w:t>1、与日常经营相关的关联交易</w:t>
      </w:r>
    </w:p>
    <w:p>
      <w:pPr>
        <w:pStyle w:val="BodyText"/>
        <w:spacing w:line="307" w:lineRule="auto" w:before="76"/>
        <w:ind w:right="4492"/>
        <w:jc w:val="left"/>
      </w:pPr>
      <w:r>
        <w:rPr/>
        <w:t>□ 适用 √</w:t>
      </w:r>
      <w:r>
        <w:rPr>
          <w:spacing w:val="-2"/>
        </w:rPr>
        <w:t> </w:t>
      </w:r>
      <w:r>
        <w:rPr/>
        <w:t>不适用</w:t>
      </w:r>
      <w:r>
        <w:rPr>
          <w:spacing w:val="-103"/>
        </w:rPr>
        <w:t> </w:t>
      </w:r>
      <w:r>
        <w:rPr>
          <w:spacing w:val="-103"/>
        </w:rPr>
      </w:r>
      <w:r>
        <w:rPr>
          <w:spacing w:val="-2"/>
        </w:rPr>
        <w:t>公司报告期未发生与日常经营相关的关联交易。</w:t>
      </w:r>
    </w:p>
    <w:p>
      <w:pPr>
        <w:spacing w:line="240" w:lineRule="auto" w:before="4"/>
        <w:rPr>
          <w:rFonts w:ascii="宋体" w:hAnsi="宋体" w:cs="宋体" w:eastAsia="宋体" w:hint="default"/>
          <w:sz w:val="21"/>
          <w:szCs w:val="21"/>
        </w:rPr>
      </w:pPr>
    </w:p>
    <w:p>
      <w:pPr>
        <w:pStyle w:val="BodyText"/>
        <w:spacing w:line="240" w:lineRule="auto"/>
        <w:ind w:right="2880"/>
        <w:jc w:val="left"/>
      </w:pPr>
      <w:r>
        <w:rPr/>
        <w:t>2、资产收购、出售发生的关联交易</w:t>
      </w:r>
    </w:p>
    <w:p>
      <w:pPr>
        <w:spacing w:line="240" w:lineRule="auto" w:before="12"/>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公司报告期未发生资产收购、出售的关联交易。</w:t>
      </w:r>
    </w:p>
    <w:p>
      <w:pPr>
        <w:spacing w:line="240" w:lineRule="auto" w:before="4"/>
        <w:rPr>
          <w:rFonts w:ascii="宋体" w:hAnsi="宋体" w:cs="宋体" w:eastAsia="宋体" w:hint="default"/>
          <w:sz w:val="21"/>
          <w:szCs w:val="21"/>
        </w:rPr>
      </w:pPr>
    </w:p>
    <w:p>
      <w:pPr>
        <w:pStyle w:val="BodyText"/>
        <w:spacing w:line="240" w:lineRule="auto"/>
        <w:ind w:right="2880"/>
        <w:jc w:val="left"/>
      </w:pPr>
      <w:r>
        <w:rPr/>
        <w:t>3、共同对外投资的关联交易</w:t>
      </w:r>
    </w:p>
    <w:p>
      <w:pPr>
        <w:spacing w:line="240" w:lineRule="auto" w:before="12"/>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公司报告期未发生共同对外投资的关联交易。</w:t>
      </w:r>
    </w:p>
    <w:p>
      <w:pPr>
        <w:spacing w:line="240" w:lineRule="auto" w:before="1"/>
        <w:rPr>
          <w:rFonts w:ascii="宋体" w:hAnsi="宋体" w:cs="宋体" w:eastAsia="宋体" w:hint="default"/>
          <w:sz w:val="21"/>
          <w:szCs w:val="21"/>
        </w:rPr>
      </w:pPr>
    </w:p>
    <w:p>
      <w:pPr>
        <w:pStyle w:val="BodyText"/>
        <w:spacing w:line="240" w:lineRule="auto"/>
        <w:ind w:right="2880"/>
        <w:jc w:val="left"/>
      </w:pPr>
      <w:r>
        <w:rPr/>
        <w:t>4、关联债权债务往来</w:t>
      </w:r>
    </w:p>
    <w:p>
      <w:pPr>
        <w:spacing w:line="240" w:lineRule="auto" w:before="12"/>
        <w:rPr>
          <w:rFonts w:ascii="宋体" w:hAnsi="宋体" w:cs="宋体" w:eastAsia="宋体" w:hint="default"/>
          <w:sz w:val="25"/>
          <w:szCs w:val="25"/>
        </w:rPr>
      </w:pPr>
    </w:p>
    <w:p>
      <w:pPr>
        <w:pStyle w:val="BodyText"/>
        <w:spacing w:line="307" w:lineRule="auto"/>
        <w:ind w:right="4492"/>
        <w:jc w:val="left"/>
      </w:pPr>
      <w:r>
        <w:rPr/>
        <w:t>□ 适用 √</w:t>
      </w:r>
      <w:r>
        <w:rPr>
          <w:spacing w:val="-2"/>
        </w:rPr>
        <w:t> </w:t>
      </w:r>
      <w:r>
        <w:rPr/>
        <w:t>不适用</w:t>
      </w:r>
      <w:r>
        <w:rPr>
          <w:spacing w:val="-103"/>
        </w:rPr>
        <w:t> </w:t>
      </w:r>
      <w:r>
        <w:rPr>
          <w:spacing w:val="-103"/>
        </w:rPr>
      </w:r>
      <w:r>
        <w:rPr>
          <w:spacing w:val="-2"/>
        </w:rPr>
        <w:t>公司报告期不存在关联债权债务往来。</w:t>
      </w:r>
    </w:p>
    <w:p>
      <w:pPr>
        <w:spacing w:after="0" w:line="307" w:lineRule="auto"/>
        <w:jc w:val="left"/>
        <w:sectPr>
          <w:footerReference w:type="default" r:id="rId14"/>
          <w:pgSz w:w="11910" w:h="16840"/>
          <w:pgMar w:footer="979" w:header="747" w:top="1060" w:bottom="1160" w:left="980" w:right="980"/>
          <w:pgNumType w:start="3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5、其他关联交易</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公司报告期无其他关联交易。</w:t>
      </w:r>
    </w:p>
    <w:p>
      <w:pPr>
        <w:spacing w:line="240" w:lineRule="auto" w:before="4"/>
        <w:rPr>
          <w:rFonts w:ascii="宋体" w:hAnsi="宋体" w:cs="宋体" w:eastAsia="宋体" w:hint="default"/>
          <w:sz w:val="21"/>
          <w:szCs w:val="21"/>
        </w:rPr>
      </w:pPr>
    </w:p>
    <w:p>
      <w:pPr>
        <w:pStyle w:val="BodyText"/>
        <w:spacing w:line="537" w:lineRule="auto"/>
        <w:ind w:right="4492"/>
        <w:jc w:val="left"/>
      </w:pPr>
      <w:r>
        <w:rPr/>
        <w:t>八、重大合同及其履行情况</w:t>
      </w:r>
      <w:r>
        <w:rPr>
          <w:spacing w:val="-97"/>
        </w:rPr>
        <w:t> </w:t>
      </w:r>
      <w:r>
        <w:rPr>
          <w:spacing w:val="-97"/>
        </w:rPr>
      </w:r>
      <w:r>
        <w:rPr>
          <w:spacing w:val="-1"/>
        </w:rPr>
        <w:t>1、托管、承包、租赁事项情况</w:t>
      </w:r>
    </w:p>
    <w:p>
      <w:pPr>
        <w:pStyle w:val="BodyText"/>
        <w:spacing w:line="240" w:lineRule="auto" w:before="76"/>
        <w:ind w:right="2880"/>
        <w:jc w:val="left"/>
      </w:pPr>
      <w:r>
        <w:rPr/>
        <w:t>（1）托管情况</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公司报告期不存在托管情况。</w:t>
      </w:r>
    </w:p>
    <w:p>
      <w:pPr>
        <w:spacing w:line="240" w:lineRule="auto" w:before="4"/>
        <w:rPr>
          <w:rFonts w:ascii="宋体" w:hAnsi="宋体" w:cs="宋体" w:eastAsia="宋体" w:hint="default"/>
          <w:sz w:val="21"/>
          <w:szCs w:val="21"/>
        </w:rPr>
      </w:pPr>
    </w:p>
    <w:p>
      <w:pPr>
        <w:pStyle w:val="BodyText"/>
        <w:spacing w:line="240" w:lineRule="auto"/>
        <w:ind w:right="2880"/>
        <w:jc w:val="left"/>
      </w:pPr>
      <w:r>
        <w:rPr/>
        <w:t>（2）承包情况</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公司报告期不存在承包情况。</w:t>
      </w:r>
    </w:p>
    <w:p>
      <w:pPr>
        <w:spacing w:line="240" w:lineRule="auto" w:before="1"/>
        <w:rPr>
          <w:rFonts w:ascii="宋体" w:hAnsi="宋体" w:cs="宋体" w:eastAsia="宋体" w:hint="default"/>
          <w:sz w:val="21"/>
          <w:szCs w:val="21"/>
        </w:rPr>
      </w:pPr>
    </w:p>
    <w:p>
      <w:pPr>
        <w:pStyle w:val="BodyText"/>
        <w:spacing w:line="240" w:lineRule="auto"/>
        <w:ind w:right="2880"/>
        <w:jc w:val="left"/>
      </w:pPr>
      <w:r>
        <w:rPr/>
        <w:t>（3）租赁情况</w:t>
      </w:r>
    </w:p>
    <w:p>
      <w:pPr>
        <w:spacing w:line="240" w:lineRule="auto" w:before="12"/>
        <w:rPr>
          <w:rFonts w:ascii="宋体" w:hAnsi="宋体" w:cs="宋体" w:eastAsia="宋体" w:hint="default"/>
          <w:sz w:val="25"/>
          <w:szCs w:val="25"/>
        </w:rPr>
      </w:pPr>
    </w:p>
    <w:p>
      <w:pPr>
        <w:pStyle w:val="BodyText"/>
        <w:spacing w:line="307" w:lineRule="auto"/>
        <w:ind w:right="7986"/>
        <w:jc w:val="left"/>
      </w:pPr>
      <w:r>
        <w:rPr/>
        <w:t>√ 适用 □ 不适用</w:t>
      </w:r>
      <w:r>
        <w:rPr>
          <w:w w:val="100"/>
        </w:rPr>
        <w:t> </w:t>
      </w:r>
      <w:r>
        <w:rPr/>
        <w:t>租赁情况说明</w:t>
      </w:r>
    </w:p>
    <w:p>
      <w:pPr>
        <w:pStyle w:val="BodyText"/>
        <w:spacing w:line="273" w:lineRule="auto" w:before="19"/>
        <w:ind w:right="229" w:firstLine="420"/>
        <w:jc w:val="left"/>
      </w:pPr>
      <w:r>
        <w:rPr>
          <w:spacing w:val="-2"/>
        </w:rPr>
        <w:t>1、本公司的控股子公司无锡双龙信息纸有限公司向其股东无锡市正栋电脑纸品厂租入房屋建筑物，</w:t>
      </w:r>
      <w:r>
        <w:rPr>
          <w:w w:val="100"/>
        </w:rPr>
        <w:t> </w:t>
      </w:r>
      <w:r>
        <w:rPr/>
        <w:t>并承诺2011-2014年，按40万与当年净利润的15%较高者，同时不高于100万元支付租赁金。</w:t>
      </w:r>
    </w:p>
    <w:p>
      <w:pPr>
        <w:pStyle w:val="BodyText"/>
        <w:spacing w:line="273" w:lineRule="auto" w:before="7"/>
        <w:ind w:right="123" w:firstLine="420"/>
        <w:jc w:val="both"/>
      </w:pPr>
      <w:r>
        <w:rPr/>
        <w:t>2、2010 年 12 月 18</w:t>
      </w:r>
      <w:r>
        <w:rPr>
          <w:spacing w:val="-9"/>
        </w:rPr>
        <w:t> </w:t>
      </w:r>
      <w:r>
        <w:rPr/>
        <w:t>日，本公司全资子公司鸿博昊天与北京国彩签订了《租赁经营资产框架协议》</w:t>
      </w:r>
      <w:r>
        <w:rPr>
          <w:w w:val="100"/>
        </w:rPr>
        <w:t> </w:t>
      </w:r>
      <w:r>
        <w:rPr>
          <w:spacing w:val="-2"/>
        </w:rPr>
        <w:t>及补充协议，鸿博昊天租赁北京国彩厂房及设备进行生产经营。协议履行过程中，由于北京国彩存在故意</w:t>
      </w:r>
      <w:r>
        <w:rPr>
          <w:spacing w:val="-43"/>
        </w:rPr>
        <w:t> </w:t>
      </w:r>
      <w:r>
        <w:rPr>
          <w:spacing w:val="-43"/>
        </w:rPr>
      </w:r>
      <w:r>
        <w:rPr/>
        <w:t>隐瞒设备真实价值之情形，且其出租厂房存在安全隐患，鸿博昊天于 2013 年 5 月 15</w:t>
      </w:r>
      <w:r>
        <w:rPr>
          <w:spacing w:val="-10"/>
        </w:rPr>
        <w:t> </w:t>
      </w:r>
      <w:r>
        <w:rPr/>
        <w:t>日致函北京国彩</w:t>
      </w:r>
    </w:p>
    <w:p>
      <w:pPr>
        <w:pStyle w:val="BodyText"/>
        <w:spacing w:line="240" w:lineRule="auto" w:before="7"/>
        <w:ind w:right="0"/>
        <w:jc w:val="left"/>
      </w:pPr>
      <w:r>
        <w:rPr/>
        <w:t>解除双方之间签署的上述协议，2013 年 6 月 24</w:t>
      </w:r>
      <w:r>
        <w:rPr>
          <w:spacing w:val="41"/>
        </w:rPr>
        <w:t> </w:t>
      </w:r>
      <w:r>
        <w:rPr>
          <w:spacing w:val="-3"/>
        </w:rPr>
        <w:t>日，双方签署备忘录，鸿博昊天将有关场地、厂房、设</w:t>
      </w:r>
    </w:p>
    <w:p>
      <w:pPr>
        <w:pStyle w:val="BodyText"/>
        <w:spacing w:line="240" w:lineRule="auto" w:before="37"/>
        <w:ind w:right="0"/>
        <w:jc w:val="left"/>
      </w:pPr>
      <w:r>
        <w:rPr>
          <w:spacing w:val="-3"/>
        </w:rPr>
        <w:t>备等交还北京国彩，双方终止合作。鸿博昊天及其子公司昊天国彩于 </w:t>
      </w:r>
      <w:r>
        <w:rPr/>
        <w:t>2013 年 10 月 17</w:t>
      </w:r>
      <w:r>
        <w:rPr>
          <w:spacing w:val="60"/>
        </w:rPr>
        <w:t> </w:t>
      </w:r>
      <w:r>
        <w:rPr/>
        <w:t>日向北京市通州</w:t>
      </w:r>
    </w:p>
    <w:p>
      <w:pPr>
        <w:pStyle w:val="BodyText"/>
        <w:spacing w:line="240" w:lineRule="auto" w:before="37"/>
        <w:ind w:right="0"/>
        <w:jc w:val="left"/>
      </w:pPr>
      <w:r>
        <w:rPr>
          <w:spacing w:val="-2"/>
        </w:rPr>
        <w:t>区人民法院提起民事诉讼，要求北京国彩向鸿博昊天返还租赁保证金、已支付的设备转让款等共计</w:t>
      </w:r>
      <w:r>
        <w:rPr>
          <w:spacing w:val="62"/>
        </w:rPr>
        <w:t> </w:t>
      </w:r>
      <w:r>
        <w:rPr>
          <w:spacing w:val="-2"/>
        </w:rPr>
        <w:t>7,425</w:t>
      </w:r>
    </w:p>
    <w:p>
      <w:pPr>
        <w:pStyle w:val="BodyText"/>
        <w:spacing w:line="273" w:lineRule="auto" w:before="37"/>
        <w:ind w:right="229"/>
        <w:jc w:val="left"/>
      </w:pPr>
      <w:r>
        <w:rPr/>
        <w:t>万元。鸿博昊天于 2015 年 1 月 30 日收到北京市通州区人民法院（2013）通民初字第</w:t>
      </w:r>
      <w:r>
        <w:rPr>
          <w:spacing w:val="-9"/>
        </w:rPr>
        <w:t> </w:t>
      </w:r>
      <w:r>
        <w:rPr/>
        <w:t>16156号《民事</w:t>
      </w:r>
      <w:r>
        <w:rPr>
          <w:w w:val="100"/>
        </w:rPr>
        <w:t> </w:t>
      </w:r>
      <w:r>
        <w:rPr/>
        <w:t>判决书》，具体内容详见公司《关于子公司诉讼事项的进展公告》（2015-002）。</w:t>
      </w:r>
    </w:p>
    <w:p>
      <w:pPr>
        <w:spacing w:line="240" w:lineRule="auto" w:before="0"/>
        <w:rPr>
          <w:rFonts w:ascii="宋体" w:hAnsi="宋体" w:cs="宋体" w:eastAsia="宋体" w:hint="default"/>
          <w:sz w:val="20"/>
          <w:szCs w:val="20"/>
        </w:rPr>
      </w:pPr>
    </w:p>
    <w:p>
      <w:pPr>
        <w:pStyle w:val="BodyText"/>
        <w:spacing w:line="240" w:lineRule="auto" w:before="137"/>
        <w:ind w:right="2880"/>
        <w:jc w:val="left"/>
      </w:pPr>
      <w:r>
        <w:rPr/>
        <w:t>为公司带来的损益达到公司报告期利润总额</w:t>
      </w:r>
      <w:r>
        <w:rPr>
          <w:spacing w:val="-56"/>
        </w:rPr>
        <w:t> </w:t>
      </w:r>
      <w:r>
        <w:rPr/>
        <w:t>10%以上的项目</w:t>
      </w:r>
    </w:p>
    <w:p>
      <w:pPr>
        <w:pStyle w:val="BodyText"/>
        <w:spacing w:line="240" w:lineRule="auto" w:before="78"/>
        <w:ind w:right="2880"/>
        <w:jc w:val="left"/>
      </w:pPr>
      <w:r>
        <w:rPr/>
        <w:t>□ 适用 √ 不适用</w:t>
      </w:r>
    </w:p>
    <w:p>
      <w:pPr>
        <w:pStyle w:val="BodyText"/>
        <w:spacing w:line="535" w:lineRule="auto" w:before="75"/>
        <w:ind w:right="1381"/>
        <w:jc w:val="left"/>
      </w:pPr>
      <w:r>
        <w:rPr>
          <w:spacing w:val="-2"/>
        </w:rPr>
        <w:t>公司报告期不存在为公司带来的损益达到公司报告期利润总额</w:t>
      </w:r>
      <w:r>
        <w:rPr/>
        <w:t> </w:t>
      </w:r>
      <w:r>
        <w:rPr>
          <w:spacing w:val="-2"/>
        </w:rPr>
        <w:t>10%以上的租赁项目。</w:t>
      </w:r>
      <w:r>
        <w:rPr>
          <w:spacing w:val="-87"/>
        </w:rPr>
        <w:t> </w:t>
      </w:r>
      <w:r>
        <w:rPr>
          <w:spacing w:val="-87"/>
        </w:rPr>
      </w:r>
      <w:r>
        <w:rPr/>
        <w:t>2、担保情况</w:t>
      </w:r>
    </w:p>
    <w:p>
      <w:pPr>
        <w:pStyle w:val="BodyText"/>
        <w:spacing w:line="240" w:lineRule="auto" w:before="81"/>
        <w:ind w:right="2880"/>
        <w:jc w:val="left"/>
      </w:pPr>
      <w:r>
        <w:rPr/>
        <w:t>√ 适用 □ 不适用</w:t>
      </w:r>
    </w:p>
    <w:p>
      <w:pPr>
        <w:pStyle w:val="BodyText"/>
        <w:spacing w:line="240" w:lineRule="auto" w:before="75"/>
        <w:ind w:left="0" w:right="147"/>
        <w:jc w:val="right"/>
      </w:pPr>
      <w:r>
        <w:rPr>
          <w:spacing w:val="-1"/>
        </w:rPr>
        <w:t>单位：万元</w:t>
      </w:r>
    </w:p>
    <w:p>
      <w:pPr>
        <w:spacing w:line="240" w:lineRule="auto" w:before="4"/>
        <w:rPr>
          <w:rFonts w:ascii="宋体" w:hAnsi="宋体" w:cs="宋体" w:eastAsia="宋体" w:hint="default"/>
          <w:sz w:val="7"/>
          <w:szCs w:val="7"/>
        </w:rPr>
      </w:pPr>
    </w:p>
    <w:p>
      <w:pPr>
        <w:spacing w:line="403" w:lineRule="exact"/>
        <w:ind w:left="155"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2pt;mso-position-horizontal-relative:char;mso-position-vertical-relative:line" type="#_x0000_t202" filled="true" fillcolor="#d3d3d3" stroked="true" strokeweight=".47999pt" strokecolor="#000000">
            <w10:anchorlock/>
            <v:textbox inset="0,0,0,0">
              <w:txbxContent>
                <w:p>
                  <w:pPr>
                    <w:pStyle w:val="BodyText"/>
                    <w:spacing w:line="240" w:lineRule="auto" w:before="28"/>
                    <w:ind w:left="2677" w:right="0"/>
                    <w:jc w:val="left"/>
                  </w:pPr>
                  <w:r>
                    <w:rPr/>
                    <w:t>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3"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3"/>
        <w:gridCol w:w="937"/>
        <w:gridCol w:w="937"/>
        <w:gridCol w:w="1212"/>
        <w:gridCol w:w="1176"/>
        <w:gridCol w:w="1094"/>
        <w:gridCol w:w="1015"/>
        <w:gridCol w:w="806"/>
        <w:gridCol w:w="787"/>
      </w:tblGrid>
      <w:tr>
        <w:trPr>
          <w:trHeight w:val="1026"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5" w:right="37"/>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7" w:right="53" w:hanging="420"/>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4" w:right="77"/>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4" w:right="67"/>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025"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5" w:right="37"/>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1"/>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7" w:right="53" w:hanging="420"/>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4" w:right="77"/>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4" w:right="67"/>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1027"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93"/>
              <w:jc w:val="left"/>
              <w:rPr>
                <w:rFonts w:ascii="宋体" w:hAnsi="宋体" w:cs="宋体" w:eastAsia="宋体" w:hint="default"/>
                <w:sz w:val="21"/>
                <w:szCs w:val="21"/>
              </w:rPr>
            </w:pPr>
            <w:r>
              <w:rPr>
                <w:rFonts w:ascii="宋体" w:hAnsi="宋体" w:cs="宋体" w:eastAsia="宋体" w:hint="default"/>
                <w:sz w:val="21"/>
                <w:szCs w:val="21"/>
              </w:rPr>
              <w:t>重庆市鸿海印务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5,000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216"/>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5"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93"/>
              <w:jc w:val="left"/>
              <w:rPr>
                <w:rFonts w:ascii="宋体" w:hAnsi="宋体" w:cs="宋体" w:eastAsia="宋体" w:hint="default"/>
                <w:sz w:val="21"/>
                <w:szCs w:val="21"/>
              </w:rPr>
            </w:pPr>
            <w:r>
              <w:rPr>
                <w:rFonts w:ascii="宋体" w:hAnsi="宋体" w:cs="宋体" w:eastAsia="宋体" w:hint="default"/>
                <w:sz w:val="21"/>
                <w:szCs w:val="21"/>
              </w:rPr>
              <w:t>鸿博昊天科技有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6,000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216"/>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7"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93"/>
              <w:jc w:val="left"/>
              <w:rPr>
                <w:rFonts w:ascii="宋体" w:hAnsi="宋体" w:cs="宋体" w:eastAsia="宋体" w:hint="default"/>
                <w:sz w:val="21"/>
                <w:szCs w:val="21"/>
              </w:rPr>
            </w:pPr>
            <w:r>
              <w:rPr>
                <w:rFonts w:ascii="宋体" w:hAnsi="宋体" w:cs="宋体" w:eastAsia="宋体" w:hint="default"/>
                <w:sz w:val="21"/>
                <w:szCs w:val="21"/>
              </w:rPr>
              <w:t>无锡双龙信息纸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5,000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216"/>
              <w:jc w:val="left"/>
              <w:rPr>
                <w:rFonts w:ascii="宋体" w:hAnsi="宋体" w:cs="宋体" w:eastAsia="宋体" w:hint="default"/>
                <w:sz w:val="21"/>
                <w:szCs w:val="21"/>
              </w:rPr>
            </w:pPr>
            <w:r>
              <w:rPr>
                <w:rFonts w:ascii="宋体" w:hAnsi="宋体" w:cs="宋体" w:eastAsia="宋体" w:hint="default"/>
                <w:sz w:val="21"/>
                <w:szCs w:val="21"/>
              </w:rPr>
              <w:t>连带责任</w:t>
            </w:r>
            <w:r>
              <w:rPr>
                <w:rFonts w:ascii="宋体" w:hAnsi="宋体" w:cs="宋体" w:eastAsia="宋体" w:hint="default"/>
                <w:w w:val="100"/>
                <w:sz w:val="21"/>
                <w:szCs w:val="21"/>
              </w:rPr>
              <w:t> </w:t>
            </w:r>
            <w:r>
              <w:rPr>
                <w:rFonts w:ascii="宋体" w:hAnsi="宋体" w:cs="宋体" w:eastAsia="宋体" w:hint="default"/>
                <w:sz w:val="21"/>
                <w:szCs w:val="21"/>
              </w:rPr>
              <w:t>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1"/>
              <w:jc w:val="left"/>
              <w:rPr>
                <w:rFonts w:ascii="宋体" w:hAnsi="宋体" w:cs="宋体" w:eastAsia="宋体" w:hint="default"/>
                <w:sz w:val="21"/>
                <w:szCs w:val="21"/>
              </w:rPr>
            </w:pPr>
            <w:r>
              <w:rPr>
                <w:rFonts w:ascii="宋体" w:hAnsi="宋体" w:cs="宋体" w:eastAsia="宋体" w:hint="default"/>
                <w:spacing w:val="-2"/>
                <w:sz w:val="21"/>
                <w:szCs w:val="21"/>
              </w:rPr>
              <w:t>报告期内审批对子公司担</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保额度合计（B1）</w:t>
            </w:r>
          </w:p>
        </w:tc>
        <w:tc>
          <w:tcPr>
            <w:tcW w:w="2149"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32"/>
              <w:jc w:val="left"/>
              <w:rPr>
                <w:rFonts w:ascii="宋体" w:hAnsi="宋体" w:cs="宋体" w:eastAsia="宋体" w:hint="default"/>
                <w:sz w:val="21"/>
                <w:szCs w:val="21"/>
              </w:rPr>
            </w:pPr>
            <w:r>
              <w:rPr>
                <w:rFonts w:ascii="宋体" w:hAnsi="宋体" w:cs="宋体" w:eastAsia="宋体" w:hint="default"/>
                <w:spacing w:val="-2"/>
                <w:sz w:val="21"/>
                <w:szCs w:val="21"/>
              </w:rPr>
              <w:t>报告期内对子公司担保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实际发生额合计（B2）</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3,500</w:t>
            </w:r>
          </w:p>
        </w:tc>
      </w:tr>
      <w:tr>
        <w:trPr>
          <w:trHeight w:val="720"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1"/>
              <w:jc w:val="left"/>
              <w:rPr>
                <w:rFonts w:ascii="宋体" w:hAnsi="宋体" w:cs="宋体" w:eastAsia="宋体" w:hint="default"/>
                <w:sz w:val="21"/>
                <w:szCs w:val="21"/>
              </w:rPr>
            </w:pPr>
            <w:r>
              <w:rPr>
                <w:rFonts w:ascii="宋体" w:hAnsi="宋体" w:cs="宋体" w:eastAsia="宋体" w:hint="default"/>
                <w:spacing w:val="-2"/>
                <w:sz w:val="21"/>
                <w:szCs w:val="21"/>
              </w:rPr>
              <w:t>报告期末已审批的对子公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司担保额度合计（B3）</w:t>
            </w:r>
          </w:p>
        </w:tc>
        <w:tc>
          <w:tcPr>
            <w:tcW w:w="2149"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16,000</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32"/>
              <w:jc w:val="left"/>
              <w:rPr>
                <w:rFonts w:ascii="宋体" w:hAnsi="宋体" w:cs="宋体" w:eastAsia="宋体" w:hint="default"/>
                <w:sz w:val="21"/>
                <w:szCs w:val="21"/>
              </w:rPr>
            </w:pPr>
            <w:r>
              <w:rPr>
                <w:rFonts w:ascii="宋体" w:hAnsi="宋体" w:cs="宋体" w:eastAsia="宋体" w:hint="default"/>
                <w:spacing w:val="-2"/>
                <w:sz w:val="21"/>
                <w:szCs w:val="21"/>
              </w:rPr>
              <w:t>报告期末对子公司实际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担保余额合计（B4）</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3,500</w:t>
            </w:r>
          </w:p>
        </w:tc>
      </w:tr>
      <w:tr>
        <w:trPr>
          <w:trHeight w:val="396"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715"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1"/>
              <w:jc w:val="left"/>
              <w:rPr>
                <w:rFonts w:ascii="宋体" w:hAnsi="宋体" w:cs="宋体" w:eastAsia="宋体" w:hint="default"/>
                <w:sz w:val="21"/>
                <w:szCs w:val="21"/>
              </w:rPr>
            </w:pPr>
            <w:r>
              <w:rPr>
                <w:rFonts w:ascii="宋体" w:hAnsi="宋体" w:cs="宋体" w:eastAsia="宋体" w:hint="default"/>
                <w:spacing w:val="-2"/>
                <w:sz w:val="21"/>
                <w:szCs w:val="21"/>
              </w:rPr>
              <w:t>报告期内审批担保额度合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计（A1+B1）</w:t>
            </w:r>
          </w:p>
        </w:tc>
        <w:tc>
          <w:tcPr>
            <w:tcW w:w="2149"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32"/>
              <w:jc w:val="left"/>
              <w:rPr>
                <w:rFonts w:ascii="宋体" w:hAnsi="宋体" w:cs="宋体" w:eastAsia="宋体" w:hint="default"/>
                <w:sz w:val="21"/>
                <w:szCs w:val="21"/>
              </w:rPr>
            </w:pPr>
            <w:r>
              <w:rPr>
                <w:rFonts w:ascii="宋体" w:hAnsi="宋体" w:cs="宋体" w:eastAsia="宋体" w:hint="default"/>
                <w:spacing w:val="-2"/>
                <w:sz w:val="21"/>
                <w:szCs w:val="21"/>
              </w:rPr>
              <w:t>报告期内担保实际发生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额合计（A2+B2）</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3,500</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1"/>
              <w:jc w:val="left"/>
              <w:rPr>
                <w:rFonts w:ascii="宋体" w:hAnsi="宋体" w:cs="宋体" w:eastAsia="宋体" w:hint="default"/>
                <w:sz w:val="21"/>
                <w:szCs w:val="21"/>
              </w:rPr>
            </w:pPr>
            <w:r>
              <w:rPr>
                <w:rFonts w:ascii="宋体" w:hAnsi="宋体" w:cs="宋体" w:eastAsia="宋体" w:hint="default"/>
                <w:spacing w:val="-2"/>
                <w:sz w:val="21"/>
                <w:szCs w:val="21"/>
              </w:rPr>
              <w:t>报告期末已审批的担保额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度合计（A3+B3）</w:t>
            </w:r>
          </w:p>
        </w:tc>
        <w:tc>
          <w:tcPr>
            <w:tcW w:w="2149"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16,000</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32"/>
              <w:jc w:val="left"/>
              <w:rPr>
                <w:rFonts w:ascii="宋体" w:hAnsi="宋体" w:cs="宋体" w:eastAsia="宋体" w:hint="default"/>
                <w:sz w:val="21"/>
                <w:szCs w:val="21"/>
              </w:rPr>
            </w:pPr>
            <w:r>
              <w:rPr>
                <w:rFonts w:ascii="宋体" w:hAnsi="宋体" w:cs="宋体" w:eastAsia="宋体" w:hint="default"/>
                <w:spacing w:val="-2"/>
                <w:sz w:val="21"/>
                <w:szCs w:val="21"/>
              </w:rPr>
              <w:t>报告期末实际担保余额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合计（A4+B4）</w:t>
            </w:r>
          </w:p>
        </w:tc>
        <w:tc>
          <w:tcPr>
            <w:tcW w:w="26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3,500</w:t>
            </w:r>
          </w:p>
        </w:tc>
      </w:tr>
      <w:tr>
        <w:trPr>
          <w:trHeight w:val="407"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7"/>
                <w:sz w:val="21"/>
                <w:szCs w:val="21"/>
              </w:rPr>
              <w:t> </w:t>
            </w:r>
            <w:r>
              <w:rPr>
                <w:rFonts w:ascii="宋体" w:hAnsi="宋体" w:cs="宋体" w:eastAsia="宋体" w:hint="default"/>
                <w:sz w:val="21"/>
                <w:szCs w:val="21"/>
              </w:rPr>
              <w:t>A4+B4）占公司净资产的比例</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4.06%</w:t>
            </w:r>
          </w:p>
        </w:tc>
      </w:tr>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pStyle w:val="BodyText"/>
        <w:spacing w:line="240" w:lineRule="auto" w:before="29"/>
        <w:ind w:right="2880"/>
        <w:jc w:val="left"/>
      </w:pPr>
      <w:r>
        <w:rPr/>
        <w:t>采用复合方式担保的具体情况说明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（1）违规对外担保情况</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公司报告期无违规对外担保情况。</w:t>
      </w:r>
    </w:p>
    <w:p>
      <w:pPr>
        <w:spacing w:line="240" w:lineRule="auto" w:before="1"/>
        <w:rPr>
          <w:rFonts w:ascii="宋体" w:hAnsi="宋体" w:cs="宋体" w:eastAsia="宋体" w:hint="default"/>
          <w:sz w:val="21"/>
          <w:szCs w:val="21"/>
        </w:rPr>
      </w:pPr>
    </w:p>
    <w:p>
      <w:pPr>
        <w:pStyle w:val="BodyText"/>
        <w:spacing w:line="240" w:lineRule="auto"/>
        <w:ind w:right="2880"/>
        <w:jc w:val="left"/>
      </w:pPr>
      <w:r>
        <w:rPr/>
        <w:t>3、其他重大合同</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公司报告期不存在其他重大合同。</w:t>
      </w:r>
    </w:p>
    <w:p>
      <w:pPr>
        <w:spacing w:after="0" w:line="30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4、其他重大交易</w:t>
      </w:r>
    </w:p>
    <w:p>
      <w:pPr>
        <w:spacing w:line="240" w:lineRule="auto" w:before="12"/>
        <w:rPr>
          <w:rFonts w:ascii="宋体" w:hAnsi="宋体" w:cs="宋体" w:eastAsia="宋体" w:hint="default"/>
          <w:sz w:val="25"/>
          <w:szCs w:val="25"/>
        </w:rPr>
      </w:pPr>
    </w:p>
    <w:p>
      <w:pPr>
        <w:pStyle w:val="BodyText"/>
        <w:spacing w:line="307" w:lineRule="auto"/>
        <w:ind w:right="6516"/>
        <w:jc w:val="left"/>
      </w:pPr>
      <w:r>
        <w:rPr/>
        <w:t>□ 适用 √</w:t>
      </w:r>
      <w:r>
        <w:rPr>
          <w:spacing w:val="-2"/>
        </w:rPr>
        <w:t> </w:t>
      </w:r>
      <w:r>
        <w:rPr/>
        <w:t>不适用</w:t>
      </w:r>
      <w:r>
        <w:rPr>
          <w:w w:val="100"/>
        </w:rPr>
        <w:t> </w:t>
      </w:r>
      <w:r>
        <w:rPr>
          <w:spacing w:val="-2"/>
        </w:rPr>
        <w:t>公司报告期不存在其他重大交易。</w:t>
      </w:r>
    </w:p>
    <w:p>
      <w:pPr>
        <w:spacing w:line="240" w:lineRule="auto" w:before="4"/>
        <w:rPr>
          <w:rFonts w:ascii="宋体" w:hAnsi="宋体" w:cs="宋体" w:eastAsia="宋体" w:hint="default"/>
          <w:sz w:val="21"/>
          <w:szCs w:val="21"/>
        </w:rPr>
      </w:pPr>
    </w:p>
    <w:p>
      <w:pPr>
        <w:pStyle w:val="BodyText"/>
        <w:spacing w:line="240" w:lineRule="auto"/>
        <w:ind w:right="2880"/>
        <w:jc w:val="left"/>
      </w:pPr>
      <w:r>
        <w:rPr/>
        <w:t>九、承诺事项履行情况</w:t>
      </w:r>
    </w:p>
    <w:p>
      <w:pPr>
        <w:spacing w:line="240" w:lineRule="auto" w:before="12"/>
        <w:rPr>
          <w:rFonts w:ascii="宋体" w:hAnsi="宋体" w:cs="宋体" w:eastAsia="宋体" w:hint="default"/>
          <w:sz w:val="25"/>
          <w:szCs w:val="25"/>
        </w:rPr>
      </w:pPr>
    </w:p>
    <w:p>
      <w:pPr>
        <w:pStyle w:val="BodyText"/>
        <w:spacing w:line="240" w:lineRule="auto"/>
        <w:ind w:right="0"/>
        <w:jc w:val="left"/>
      </w:pPr>
      <w:r>
        <w:rPr/>
        <w:t>1、公司或持股</w:t>
      </w:r>
      <w:r>
        <w:rPr>
          <w:spacing w:val="-22"/>
        </w:rPr>
        <w:t> </w:t>
      </w:r>
      <w:r>
        <w:rPr/>
        <w:t>5%以上股东在报告期内发生或以前期间发生但持续到报告期内的承诺事项</w:t>
      </w:r>
    </w:p>
    <w:p>
      <w:pPr>
        <w:spacing w:line="240" w:lineRule="auto" w:before="10"/>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04"/>
        <w:gridCol w:w="1274"/>
        <w:gridCol w:w="1277"/>
        <w:gridCol w:w="1277"/>
        <w:gridCol w:w="1274"/>
        <w:gridCol w:w="1260"/>
      </w:tblGrid>
      <w:tr>
        <w:trPr>
          <w:trHeight w:val="401"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承诺事由</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03"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204" w:type="dxa"/>
            <w:vMerge w:val="restart"/>
            <w:tcBorders>
              <w:top w:val="single" w:sz="4" w:space="0" w:color="000000"/>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2010 年</w:t>
            </w:r>
            <w:r>
              <w:rPr>
                <w:rFonts w:ascii="宋体" w:hAnsi="宋体" w:cs="宋体" w:eastAsia="宋体" w:hint="default"/>
                <w:spacing w:val="2"/>
                <w:sz w:val="21"/>
                <w:szCs w:val="21"/>
              </w:rPr>
              <w:t> </w:t>
            </w:r>
            <w:r>
              <w:rPr>
                <w:rFonts w:ascii="宋体" w:hAnsi="宋体" w:cs="宋体" w:eastAsia="宋体" w:hint="default"/>
                <w:sz w:val="21"/>
                <w:szCs w:val="21"/>
              </w:rPr>
              <w:t>2</w:t>
            </w:r>
          </w:p>
        </w:tc>
        <w:tc>
          <w:tcPr>
            <w:tcW w:w="1277"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月 1 日，公</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司与正栋厂</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及邓正栋先</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生就无锡双</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龙</w:t>
            </w:r>
            <w:r>
              <w:rPr>
                <w:rFonts w:ascii="宋体" w:hAnsi="宋体" w:cs="宋体" w:eastAsia="宋体" w:hint="default"/>
                <w:spacing w:val="2"/>
                <w:sz w:val="21"/>
                <w:szCs w:val="21"/>
              </w:rPr>
              <w:t> </w:t>
            </w:r>
            <w:r>
              <w:rPr>
                <w:rFonts w:ascii="宋体" w:hAnsi="宋体" w:cs="宋体" w:eastAsia="宋体" w:hint="default"/>
                <w:sz w:val="21"/>
                <w:szCs w:val="21"/>
              </w:rPr>
              <w:t>60%股权</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转让事宜签</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署了《股权转</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让协议书》并</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20"/>
              <w:jc w:val="left"/>
              <w:rPr>
                <w:rFonts w:ascii="宋体" w:hAnsi="宋体" w:cs="宋体" w:eastAsia="宋体" w:hint="default"/>
                <w:sz w:val="21"/>
                <w:szCs w:val="21"/>
              </w:rPr>
            </w:pPr>
            <w:r>
              <w:rPr>
                <w:rFonts w:ascii="宋体" w:hAnsi="宋体" w:cs="宋体" w:eastAsia="宋体" w:hint="default"/>
                <w:sz w:val="21"/>
                <w:szCs w:val="21"/>
              </w:rPr>
              <w:t>已实际履行。</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2015 年</w:t>
            </w:r>
            <w:r>
              <w:rPr>
                <w:rFonts w:ascii="宋体" w:hAnsi="宋体" w:cs="宋体" w:eastAsia="宋体" w:hint="default"/>
                <w:spacing w:val="2"/>
                <w:sz w:val="21"/>
                <w:szCs w:val="21"/>
              </w:rPr>
              <w:t> </w:t>
            </w:r>
            <w:r>
              <w:rPr>
                <w:rFonts w:ascii="宋体" w:hAnsi="宋体" w:cs="宋体" w:eastAsia="宋体" w:hint="default"/>
                <w:sz w:val="21"/>
                <w:szCs w:val="21"/>
              </w:rPr>
              <w:t>3</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月 2 日公司</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第三届董事</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会 2015</w:t>
            </w:r>
            <w:r>
              <w:rPr>
                <w:rFonts w:ascii="宋体" w:hAnsi="宋体" w:cs="宋体" w:eastAsia="宋体" w:hint="default"/>
                <w:spacing w:val="1"/>
                <w:sz w:val="21"/>
                <w:szCs w:val="21"/>
              </w:rPr>
              <w:t> </w:t>
            </w:r>
            <w:r>
              <w:rPr>
                <w:rFonts w:ascii="宋体" w:hAnsi="宋体" w:cs="宋体" w:eastAsia="宋体" w:hint="default"/>
                <w:sz w:val="21"/>
                <w:szCs w:val="21"/>
              </w:rPr>
              <w:t>年</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w:t>
            </w:r>
          </w:p>
        </w:tc>
        <w:tc>
          <w:tcPr>
            <w:tcW w:w="1260" w:type="dxa"/>
            <w:tcBorders>
              <w:top w:val="nil" w:sz="6" w:space="0" w:color="auto"/>
              <w:left w:val="single" w:sz="4" w:space="0" w:color="000000"/>
              <w:bottom w:val="nil" w:sz="6" w:space="0" w:color="auto"/>
              <w:right w:val="single" w:sz="4" w:space="0" w:color="000000"/>
            </w:tcBorders>
          </w:tcPr>
          <w:p>
            <w:pPr/>
          </w:p>
        </w:tc>
      </w:tr>
      <w:tr>
        <w:trPr>
          <w:trHeight w:val="106" w:hRule="exact"/>
        </w:trPr>
        <w:tc>
          <w:tcPr>
            <w:tcW w:w="3204" w:type="dxa"/>
            <w:vMerge/>
            <w:tcBorders>
              <w:left w:val="single" w:sz="4" w:space="0" w:color="000000"/>
              <w:bottom w:val="nil" w:sz="6" w:space="0" w:color="auto"/>
              <w:right w:val="single" w:sz="4" w:space="0" w:color="000000"/>
            </w:tcBorders>
            <w:shd w:val="clear" w:color="auto" w:fill="D3D3D3"/>
          </w:tcPr>
          <w:p>
            <w:pPr/>
          </w:p>
        </w:tc>
        <w:tc>
          <w:tcPr>
            <w:tcW w:w="1274" w:type="dxa"/>
            <w:vMerge w:val="restart"/>
            <w:tcBorders>
              <w:top w:val="nil" w:sz="6" w:space="0" w:color="auto"/>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vMerge w:val="restart"/>
            <w:tcBorders>
              <w:top w:val="nil" w:sz="6" w:space="0" w:color="auto"/>
              <w:left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第一次临时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会议审议通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过了《关于与</w:t>
            </w:r>
          </w:p>
        </w:tc>
        <w:tc>
          <w:tcPr>
            <w:tcW w:w="1277" w:type="dxa"/>
            <w:vMerge/>
            <w:tcBorders>
              <w:left w:val="single" w:sz="4" w:space="0" w:color="000000"/>
              <w:right w:val="single" w:sz="4" w:space="0" w:color="000000"/>
            </w:tcBorders>
          </w:tcPr>
          <w:p>
            <w:pPr/>
          </w:p>
        </w:tc>
        <w:tc>
          <w:tcPr>
            <w:tcW w:w="1274" w:type="dxa"/>
            <w:vMerge w:val="restart"/>
            <w:tcBorders>
              <w:top w:val="nil" w:sz="6" w:space="0" w:color="auto"/>
              <w:left w:val="single" w:sz="4" w:space="0" w:color="000000"/>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日至 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12 月 31 日</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或 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60" w:type="dxa"/>
            <w:vMerge w:val="restart"/>
            <w:tcBorders>
              <w:top w:val="nil" w:sz="6" w:space="0" w:color="auto"/>
              <w:left w:val="single" w:sz="4" w:space="0" w:color="000000"/>
              <w:right w:val="single" w:sz="4" w:space="0" w:color="000000"/>
            </w:tcBorders>
          </w:tcPr>
          <w:p>
            <w:pPr>
              <w:pStyle w:val="TableParagraph"/>
              <w:spacing w:line="271" w:lineRule="auto" w:before="134"/>
              <w:ind w:left="24" w:right="170"/>
              <w:jc w:val="left"/>
              <w:rPr>
                <w:rFonts w:ascii="宋体" w:hAnsi="宋体" w:cs="宋体" w:eastAsia="宋体" w:hint="default"/>
                <w:sz w:val="21"/>
                <w:szCs w:val="21"/>
              </w:rPr>
            </w:pPr>
            <w:r>
              <w:rPr>
                <w:rFonts w:ascii="宋体" w:hAnsi="宋体" w:cs="宋体" w:eastAsia="宋体" w:hint="default"/>
                <w:sz w:val="21"/>
                <w:szCs w:val="21"/>
              </w:rPr>
              <w:t>承诺履行期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限尚未届至</w:t>
            </w:r>
          </w:p>
        </w:tc>
      </w:tr>
      <w:tr>
        <w:trPr>
          <w:trHeight w:val="703"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before="28"/>
              <w:ind w:left="24" w:right="223"/>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收购报告书或权益变动报告书中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所作承诺</w:t>
            </w: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127" w:hRule="exact"/>
        </w:trPr>
        <w:tc>
          <w:tcPr>
            <w:tcW w:w="3204" w:type="dxa"/>
            <w:vMerge w:val="restart"/>
            <w:tcBorders>
              <w:top w:val="nil" w:sz="6" w:space="0" w:color="auto"/>
              <w:left w:val="single" w:sz="4" w:space="0" w:color="000000"/>
              <w:right w:val="single" w:sz="4" w:space="0" w:color="000000"/>
            </w:tcBorders>
            <w:shd w:val="clear" w:color="auto" w:fill="D3D3D3"/>
          </w:tcPr>
          <w:p>
            <w:pPr/>
          </w:p>
        </w:tc>
        <w:tc>
          <w:tcPr>
            <w:tcW w:w="1274" w:type="dxa"/>
            <w:vMerge/>
            <w:tcBorders>
              <w:left w:val="single" w:sz="4" w:space="0" w:color="000000"/>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74" w:type="dxa"/>
            <w:vMerge/>
            <w:tcBorders>
              <w:left w:val="single" w:sz="4" w:space="0" w:color="000000"/>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r>
      <w:tr>
        <w:trPr>
          <w:trHeight w:val="323"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无锡市正栋</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59"/>
              <w:jc w:val="center"/>
              <w:rPr>
                <w:rFonts w:ascii="宋体" w:hAnsi="宋体" w:cs="宋体" w:eastAsia="宋体" w:hint="default"/>
                <w:sz w:val="21"/>
                <w:szCs w:val="21"/>
              </w:rPr>
            </w:pPr>
            <w:r>
              <w:rPr>
                <w:rFonts w:ascii="宋体" w:hAnsi="宋体" w:cs="宋体" w:eastAsia="宋体" w:hint="default"/>
                <w:sz w:val="21"/>
                <w:szCs w:val="21"/>
              </w:rPr>
              <w:t>12 月 31 日</w:t>
            </w: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电脑纸品厂</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签订&lt;补充协</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议（二）&gt;的</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承诺在</w:t>
            </w:r>
            <w:r>
              <w:rPr>
                <w:rFonts w:ascii="宋体" w:hAnsi="宋体" w:cs="宋体" w:eastAsia="宋体" w:hint="default"/>
                <w:spacing w:val="1"/>
                <w:sz w:val="21"/>
                <w:szCs w:val="21"/>
              </w:rPr>
              <w:t> </w:t>
            </w:r>
            <w:r>
              <w:rPr>
                <w:rFonts w:ascii="宋体" w:hAnsi="宋体" w:cs="宋体" w:eastAsia="宋体" w:hint="default"/>
                <w:sz w:val="21"/>
                <w:szCs w:val="21"/>
              </w:rPr>
              <w:t>2016</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年 12 月</w:t>
            </w:r>
            <w:r>
              <w:rPr>
                <w:rFonts w:ascii="宋体" w:hAnsi="宋体" w:cs="宋体" w:eastAsia="宋体" w:hint="default"/>
                <w:spacing w:val="-1"/>
                <w:sz w:val="21"/>
                <w:szCs w:val="21"/>
              </w:rPr>
              <w:t> </w:t>
            </w:r>
            <w:r>
              <w:rPr>
                <w:rFonts w:ascii="宋体" w:hAnsi="宋体" w:cs="宋体" w:eastAsia="宋体" w:hint="default"/>
                <w:sz w:val="21"/>
                <w:szCs w:val="21"/>
              </w:rPr>
              <w:t>31</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日（届时任一</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方没有提出</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股权收购或</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被收购的情</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形下该日期</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可确定在</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20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2017 年</w:t>
            </w:r>
            <w:r>
              <w:rPr>
                <w:rFonts w:ascii="宋体" w:hAnsi="宋体" w:cs="宋体" w:eastAsia="宋体" w:hint="default"/>
                <w:spacing w:val="2"/>
                <w:sz w:val="21"/>
                <w:szCs w:val="21"/>
              </w:rPr>
              <w:t> </w:t>
            </w:r>
            <w:r>
              <w:rPr>
                <w:rFonts w:ascii="宋体" w:hAnsi="宋体" w:cs="宋体" w:eastAsia="宋体" w:hint="default"/>
                <w:sz w:val="21"/>
                <w:szCs w:val="21"/>
              </w:rPr>
              <w:t>12</w:t>
            </w:r>
          </w:p>
        </w:tc>
        <w:tc>
          <w:tcPr>
            <w:tcW w:w="1277"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3203"/>
        <w:gridCol w:w="1274"/>
        <w:gridCol w:w="1277"/>
        <w:gridCol w:w="1277"/>
        <w:gridCol w:w="1274"/>
        <w:gridCol w:w="1260"/>
      </w:tblGrid>
      <w:tr>
        <w:trPr>
          <w:trHeight w:val="318" w:hRule="exact"/>
        </w:trPr>
        <w:tc>
          <w:tcPr>
            <w:tcW w:w="3203"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z w:val="21"/>
                <w:szCs w:val="21"/>
              </w:rPr>
              <w:t> </w:t>
            </w:r>
            <w:r>
              <w:rPr>
                <w:rFonts w:ascii="宋体" w:hAnsi="宋体" w:cs="宋体" w:eastAsia="宋体" w:hint="default"/>
                <w:w w:val="100"/>
                <w:sz w:val="21"/>
                <w:szCs w:val="21"/>
              </w:rPr>
              <w:t>31</w:t>
            </w:r>
            <w:r>
              <w:rPr>
                <w:rFonts w:ascii="宋体" w:hAnsi="宋体" w:cs="宋体" w:eastAsia="宋体"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1277"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或正栋厂对</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双龙公司不</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再有经营主</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导权这二种</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情形之一出</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现时收购正</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栋厂所持有</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的双龙公司</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57"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40%的股权。</w:t>
            </w: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59" w:hRule="exact"/>
        </w:trPr>
        <w:tc>
          <w:tcPr>
            <w:tcW w:w="3203"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未经正栋厂</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书面同意，自</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股权转让协</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议签订后五</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年之内，公司</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2010 年</w:t>
            </w:r>
            <w:r>
              <w:rPr>
                <w:rFonts w:ascii="宋体" w:hAnsi="宋体" w:cs="宋体" w:eastAsia="宋体" w:hint="default"/>
                <w:spacing w:val="2"/>
                <w:sz w:val="21"/>
                <w:szCs w:val="21"/>
              </w:rPr>
              <w:t> </w:t>
            </w:r>
            <w:r>
              <w:rPr>
                <w:rFonts w:ascii="宋体" w:hAnsi="宋体" w:cs="宋体" w:eastAsia="宋体" w:hint="default"/>
                <w:sz w:val="21"/>
                <w:szCs w:val="21"/>
              </w:rPr>
              <w:t>2</w:t>
            </w:r>
          </w:p>
        </w:tc>
        <w:tc>
          <w:tcPr>
            <w:tcW w:w="126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不得在江苏</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省区域对与</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月 1</w:t>
            </w:r>
            <w:r>
              <w:rPr>
                <w:rFonts w:ascii="宋体" w:hAnsi="宋体" w:cs="宋体" w:eastAsia="宋体" w:hint="default"/>
                <w:spacing w:val="-51"/>
                <w:sz w:val="21"/>
                <w:szCs w:val="21"/>
              </w:rPr>
              <w:t> </w:t>
            </w:r>
            <w:r>
              <w:rPr>
                <w:rFonts w:ascii="宋体" w:hAnsi="宋体" w:cs="宋体" w:eastAsia="宋体" w:hint="default"/>
                <w:sz w:val="21"/>
                <w:szCs w:val="21"/>
              </w:rPr>
              <w:t>日至</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2015 年 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无锡双龙存</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日</w:t>
            </w: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在业务竞争</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关系的其他</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公司实施并</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203"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购行为。</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2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在本人及本</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人三代以内</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的直系、旁系</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亲属拥有贵</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公司实际控</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制权期间，本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人及本人投</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1" w:lineRule="auto" w:before="131"/>
              <w:ind w:left="22" w:right="223"/>
              <w:jc w:val="left"/>
              <w:rPr>
                <w:rFonts w:ascii="宋体" w:hAnsi="宋体" w:cs="宋体" w:eastAsia="宋体" w:hint="default"/>
                <w:sz w:val="21"/>
                <w:szCs w:val="21"/>
              </w:rPr>
            </w:pPr>
            <w:r>
              <w:rPr>
                <w:rFonts w:ascii="宋体" w:hAnsi="宋体" w:cs="宋体" w:eastAsia="宋体" w:hint="default"/>
                <w:spacing w:val="-2"/>
                <w:sz w:val="21"/>
                <w:szCs w:val="21"/>
              </w:rPr>
              <w:t>首次公开发行或再融资时所作承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诺</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71" w:lineRule="auto" w:before="123"/>
              <w:ind w:left="24" w:right="83"/>
              <w:jc w:val="left"/>
              <w:rPr>
                <w:rFonts w:ascii="宋体" w:hAnsi="宋体" w:cs="宋体" w:eastAsia="宋体" w:hint="default"/>
                <w:sz w:val="21"/>
                <w:szCs w:val="21"/>
              </w:rPr>
            </w:pPr>
            <w:r>
              <w:rPr>
                <w:rFonts w:ascii="宋体" w:hAnsi="宋体" w:cs="宋体" w:eastAsia="宋体" w:hint="default"/>
                <w:sz w:val="21"/>
                <w:szCs w:val="21"/>
              </w:rPr>
              <w:t>尤丽娟;尤玉</w:t>
            </w:r>
            <w:r>
              <w:rPr>
                <w:rFonts w:ascii="宋体" w:hAnsi="宋体" w:cs="宋体" w:eastAsia="宋体" w:hint="default"/>
                <w:w w:val="100"/>
                <w:sz w:val="21"/>
                <w:szCs w:val="21"/>
              </w:rPr>
              <w:t> </w:t>
            </w:r>
            <w:r>
              <w:rPr>
                <w:rFonts w:ascii="宋体" w:hAnsi="宋体" w:cs="宋体" w:eastAsia="宋体" w:hint="default"/>
                <w:sz w:val="21"/>
                <w:szCs w:val="21"/>
              </w:rPr>
              <w:t>仙;尤友岳;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尤雪仙;尤友</w:t>
            </w:r>
            <w:r>
              <w:rPr>
                <w:rFonts w:ascii="宋体" w:hAnsi="宋体" w:cs="宋体" w:eastAsia="宋体" w:hint="default"/>
                <w:w w:val="100"/>
                <w:sz w:val="21"/>
                <w:szCs w:val="21"/>
              </w:rPr>
              <w:t> </w:t>
            </w:r>
            <w:r>
              <w:rPr>
                <w:rFonts w:ascii="宋体" w:hAnsi="宋体" w:cs="宋体" w:eastAsia="宋体" w:hint="default"/>
                <w:sz w:val="21"/>
                <w:szCs w:val="21"/>
              </w:rPr>
              <w:t>鸾;章棉桃;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苏凤娇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资控股的公</w:t>
            </w:r>
          </w:p>
          <w:p>
            <w:pPr>
              <w:pStyle w:val="TableParagraph"/>
              <w:spacing w:line="273" w:lineRule="auto" w:before="37"/>
              <w:ind w:left="24" w:right="19"/>
              <w:jc w:val="left"/>
              <w:rPr>
                <w:rFonts w:ascii="宋体" w:hAnsi="宋体" w:cs="宋体" w:eastAsia="宋体" w:hint="default"/>
                <w:sz w:val="21"/>
                <w:szCs w:val="21"/>
              </w:rPr>
            </w:pPr>
            <w:r>
              <w:rPr>
                <w:rFonts w:ascii="宋体" w:hAnsi="宋体" w:cs="宋体" w:eastAsia="宋体" w:hint="default"/>
                <w:spacing w:val="-8"/>
                <w:sz w:val="21"/>
                <w:szCs w:val="21"/>
              </w:rPr>
              <w:t>司、企业将不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在中国境内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外以任何形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式从事与贵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公司主营业</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2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务或者主要</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产品相同或</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者相似的公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司、企业或者</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其他经济组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织；若贵公司</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2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将来开拓新</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3203"/>
        <w:gridCol w:w="1274"/>
        <w:gridCol w:w="1277"/>
        <w:gridCol w:w="1277"/>
        <w:gridCol w:w="1274"/>
        <w:gridCol w:w="1260"/>
      </w:tblGrid>
      <w:tr>
        <w:trPr>
          <w:trHeight w:val="318" w:hRule="exact"/>
        </w:trPr>
        <w:tc>
          <w:tcPr>
            <w:tcW w:w="3203"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4" w:right="-20"/>
              <w:jc w:val="left"/>
              <w:rPr>
                <w:rFonts w:ascii="宋体" w:hAnsi="宋体" w:cs="宋体" w:eastAsia="宋体" w:hint="default"/>
                <w:sz w:val="21"/>
                <w:szCs w:val="21"/>
              </w:rPr>
            </w:pPr>
            <w:r>
              <w:rPr>
                <w:rFonts w:ascii="宋体" w:hAnsi="宋体" w:cs="宋体" w:eastAsia="宋体" w:hint="default"/>
                <w:sz w:val="21"/>
                <w:szCs w:val="21"/>
              </w:rPr>
              <w:t>的业务领域，</w:t>
            </w:r>
          </w:p>
        </w:tc>
        <w:tc>
          <w:tcPr>
            <w:tcW w:w="1277"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贵公司享有</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优先权，本人</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及本人投资</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20"/>
              <w:jc w:val="left"/>
              <w:rPr>
                <w:rFonts w:ascii="宋体" w:hAnsi="宋体" w:cs="宋体" w:eastAsia="宋体" w:hint="default"/>
                <w:sz w:val="21"/>
                <w:szCs w:val="21"/>
              </w:rPr>
            </w:pPr>
            <w:r>
              <w:rPr>
                <w:rFonts w:ascii="宋体" w:hAnsi="宋体" w:cs="宋体" w:eastAsia="宋体" w:hint="default"/>
                <w:sz w:val="21"/>
                <w:szCs w:val="21"/>
              </w:rPr>
              <w:t>控股的公司、</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企业将不再</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发展同类业</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57" w:hRule="exact"/>
        </w:trPr>
        <w:tc>
          <w:tcPr>
            <w:tcW w:w="3203"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59" w:hRule="exact"/>
        </w:trPr>
        <w:tc>
          <w:tcPr>
            <w:tcW w:w="32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本人将避免</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与贵公司进</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20"/>
              <w:jc w:val="left"/>
              <w:rPr>
                <w:rFonts w:ascii="宋体" w:hAnsi="宋体" w:cs="宋体" w:eastAsia="宋体" w:hint="default"/>
                <w:sz w:val="21"/>
                <w:szCs w:val="21"/>
              </w:rPr>
            </w:pPr>
            <w:r>
              <w:rPr>
                <w:rFonts w:ascii="宋体" w:hAnsi="宋体" w:cs="宋体" w:eastAsia="宋体" w:hint="default"/>
                <w:sz w:val="21"/>
                <w:szCs w:val="21"/>
              </w:rPr>
              <w:t>行关联交易；</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如因贵公司</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生产经营需</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要而无法避</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免关联交易</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时，本人将严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格执行相关</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回避制度，依</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法诚信地履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行股东的义</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尤丽娟;尤玉</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务，不会利用</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仙;尤友岳;</w:t>
            </w:r>
          </w:p>
          <w:p>
            <w:pPr>
              <w:pStyle w:val="TableParagraph"/>
              <w:spacing w:line="273" w:lineRule="auto" w:before="37"/>
              <w:ind w:left="24" w:right="83"/>
              <w:jc w:val="left"/>
              <w:rPr>
                <w:rFonts w:ascii="宋体" w:hAnsi="宋体" w:cs="宋体" w:eastAsia="宋体" w:hint="default"/>
                <w:sz w:val="21"/>
                <w:szCs w:val="21"/>
              </w:rPr>
            </w:pPr>
            <w:r>
              <w:rPr>
                <w:rFonts w:ascii="宋体" w:hAnsi="宋体" w:cs="宋体" w:eastAsia="宋体" w:hint="default"/>
                <w:sz w:val="21"/>
                <w:szCs w:val="21"/>
              </w:rPr>
              <w:t>尤雪仙;尤友</w:t>
            </w:r>
            <w:r>
              <w:rPr>
                <w:rFonts w:ascii="宋体" w:hAnsi="宋体" w:cs="宋体" w:eastAsia="宋体" w:hint="default"/>
                <w:w w:val="100"/>
                <w:sz w:val="21"/>
                <w:szCs w:val="21"/>
              </w:rPr>
              <w:t> </w:t>
            </w:r>
            <w:r>
              <w:rPr>
                <w:rFonts w:ascii="宋体" w:hAnsi="宋体" w:cs="宋体" w:eastAsia="宋体" w:hint="default"/>
                <w:sz w:val="21"/>
                <w:szCs w:val="21"/>
              </w:rPr>
              <w:t>鸾;章棉桃;</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关联人的地</w:t>
            </w:r>
          </w:p>
          <w:p>
            <w:pPr>
              <w:pStyle w:val="TableParagraph"/>
              <w:spacing w:line="273" w:lineRule="auto" w:before="37"/>
              <w:ind w:left="24" w:right="19"/>
              <w:jc w:val="left"/>
              <w:rPr>
                <w:rFonts w:ascii="宋体" w:hAnsi="宋体" w:cs="宋体" w:eastAsia="宋体" w:hint="default"/>
                <w:sz w:val="21"/>
                <w:szCs w:val="21"/>
              </w:rPr>
            </w:pPr>
            <w:r>
              <w:rPr>
                <w:rFonts w:ascii="宋体" w:hAnsi="宋体" w:cs="宋体" w:eastAsia="宋体" w:hint="default"/>
                <w:spacing w:val="-8"/>
                <w:sz w:val="21"/>
                <w:szCs w:val="21"/>
              </w:rPr>
              <w:t>位，就上述关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联交易采取</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任何行动以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6"/>
              <w:ind w:left="22" w:right="0"/>
              <w:jc w:val="left"/>
              <w:rPr>
                <w:rFonts w:ascii="宋体" w:hAnsi="宋体" w:cs="宋体" w:eastAsia="宋体" w:hint="default"/>
                <w:sz w:val="21"/>
                <w:szCs w:val="21"/>
              </w:rPr>
            </w:pPr>
            <w:r>
              <w:rPr>
                <w:rFonts w:ascii="宋体" w:hAnsi="宋体" w:cs="宋体" w:eastAsia="宋体" w:hint="default"/>
                <w:sz w:val="21"/>
                <w:szCs w:val="21"/>
              </w:rPr>
              <w:t>其他对公司中小股东所作承诺</w:t>
            </w: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促使贵公司</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8"/>
                <w:sz w:val="21"/>
                <w:szCs w:val="21"/>
              </w:rPr>
              <w:t>股东大会、董</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事会作出侵</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犯贵公司及</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其他股东合</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法权益的决</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议；贵公司与</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本人之间的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关联交易将</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遵循公正、公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平的原则进</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8"/>
                <w:sz w:val="21"/>
                <w:szCs w:val="21"/>
              </w:rPr>
              <w:t>公司根据《公</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司法》等有关</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法律法规及</w:t>
            </w:r>
          </w:p>
          <w:p>
            <w:pPr>
              <w:pStyle w:val="TableParagraph"/>
              <w:spacing w:line="273" w:lineRule="auto" w:before="37"/>
              <w:ind w:left="24" w:right="-2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w w:val="100"/>
                <w:sz w:val="21"/>
                <w:szCs w:val="21"/>
              </w:rPr>
              <w:t> </w:t>
            </w:r>
            <w:r>
              <w:rPr>
                <w:rFonts w:ascii="宋体" w:hAnsi="宋体" w:cs="宋体" w:eastAsia="宋体" w:hint="default"/>
                <w:spacing w:val="-8"/>
                <w:sz w:val="21"/>
                <w:szCs w:val="21"/>
              </w:rPr>
              <w:t>的规定，足额</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31</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312" w:hRule="exact"/>
        </w:trPr>
        <w:tc>
          <w:tcPr>
            <w:tcW w:w="3203" w:type="dxa"/>
            <w:tcBorders>
              <w:top w:val="nil" w:sz="6" w:space="0" w:color="auto"/>
              <w:left w:val="single" w:sz="4" w:space="0" w:color="000000"/>
              <w:bottom w:val="nil" w:sz="6" w:space="0" w:color="auto"/>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提取法定公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2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积金、任意公</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3203"/>
        <w:gridCol w:w="1274"/>
        <w:gridCol w:w="1277"/>
        <w:gridCol w:w="1277"/>
        <w:gridCol w:w="1274"/>
        <w:gridCol w:w="1260"/>
      </w:tblGrid>
      <w:tr>
        <w:trPr>
          <w:trHeight w:val="318" w:hRule="exact"/>
        </w:trPr>
        <w:tc>
          <w:tcPr>
            <w:tcW w:w="3203"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积金以后，公</w:t>
            </w:r>
          </w:p>
        </w:tc>
        <w:tc>
          <w:tcPr>
            <w:tcW w:w="1277"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年以现</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金方式累计</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分配的利润</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应不少于该</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三年实现的</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年均可分配</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利润的百分</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之三十，具体</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分红比例由</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根据中国证</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监会的有关</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规定和公司</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实际情况拟</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定，由公司股</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东大会审议</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57" w:hRule="exact"/>
        </w:trPr>
        <w:tc>
          <w:tcPr>
            <w:tcW w:w="3203"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决定。</w:t>
            </w: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359" w:hRule="exact"/>
        </w:trPr>
        <w:tc>
          <w:tcPr>
            <w:tcW w:w="3203"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日起的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4" w:right="83"/>
              <w:jc w:val="left"/>
              <w:rPr>
                <w:rFonts w:ascii="宋体" w:hAnsi="宋体" w:cs="宋体" w:eastAsia="宋体" w:hint="default"/>
                <w:sz w:val="21"/>
                <w:szCs w:val="21"/>
              </w:rPr>
            </w:pPr>
            <w:r>
              <w:rPr>
                <w:rFonts w:ascii="宋体" w:hAnsi="宋体" w:cs="宋体" w:eastAsia="宋体" w:hint="default"/>
                <w:sz w:val="21"/>
                <w:szCs w:val="21"/>
              </w:rPr>
              <w:t>尤丽娟;尤玉</w:t>
            </w:r>
            <w:r>
              <w:rPr>
                <w:rFonts w:ascii="宋体" w:hAnsi="宋体" w:cs="宋体" w:eastAsia="宋体" w:hint="default"/>
                <w:w w:val="100"/>
                <w:sz w:val="21"/>
                <w:szCs w:val="21"/>
              </w:rPr>
              <w:t> </w:t>
            </w:r>
            <w:r>
              <w:rPr>
                <w:rFonts w:ascii="宋体" w:hAnsi="宋体" w:cs="宋体" w:eastAsia="宋体" w:hint="default"/>
                <w:sz w:val="21"/>
                <w:szCs w:val="21"/>
              </w:rPr>
              <w:t>仙;尤友岳;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尤雪仙;尤友</w:t>
            </w:r>
            <w:r>
              <w:rPr>
                <w:rFonts w:ascii="宋体" w:hAnsi="宋体" w:cs="宋体" w:eastAsia="宋体" w:hint="default"/>
                <w:w w:val="100"/>
                <w:sz w:val="21"/>
                <w:szCs w:val="21"/>
              </w:rPr>
              <w:t> </w:t>
            </w:r>
            <w:r>
              <w:rPr>
                <w:rFonts w:ascii="宋体" w:hAnsi="宋体" w:cs="宋体" w:eastAsia="宋体" w:hint="default"/>
                <w:sz w:val="21"/>
                <w:szCs w:val="21"/>
              </w:rPr>
              <w:t>鸾;章棉桃;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苏凤娇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未来六个月</w:t>
            </w:r>
          </w:p>
          <w:p>
            <w:pPr>
              <w:pStyle w:val="TableParagraph"/>
              <w:spacing w:line="273" w:lineRule="auto" w:before="37"/>
              <w:ind w:left="24" w:right="19"/>
              <w:jc w:val="left"/>
              <w:rPr>
                <w:rFonts w:ascii="宋体" w:hAnsi="宋体" w:cs="宋体" w:eastAsia="宋体" w:hint="default"/>
                <w:sz w:val="21"/>
                <w:szCs w:val="21"/>
              </w:rPr>
            </w:pPr>
            <w:r>
              <w:rPr>
                <w:rFonts w:ascii="宋体" w:hAnsi="宋体" w:cs="宋体" w:eastAsia="宋体" w:hint="default"/>
                <w:sz w:val="21"/>
                <w:szCs w:val="21"/>
              </w:rPr>
              <w:t>内累计减持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股份数量可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能达到或超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过公司总股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w w:val="100"/>
                <w:sz w:val="21"/>
                <w:szCs w:val="21"/>
              </w:rPr>
              <w:t>本的</w:t>
            </w:r>
            <w:r>
              <w:rPr>
                <w:rFonts w:ascii="宋体" w:hAnsi="宋体" w:cs="宋体" w:eastAsia="宋体" w:hint="default"/>
                <w:spacing w:val="-54"/>
                <w:w w:val="100"/>
                <w:sz w:val="21"/>
                <w:szCs w:val="21"/>
              </w:rPr>
              <w:t> </w:t>
            </w:r>
            <w:r>
              <w:rPr>
                <w:rFonts w:ascii="宋体" w:hAnsi="宋体" w:cs="宋体" w:eastAsia="宋体" w:hint="default"/>
                <w:spacing w:val="-20"/>
                <w:w w:val="100"/>
                <w:sz w:val="21"/>
                <w:szCs w:val="21"/>
              </w:rPr>
              <w:t>5%，但不</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14</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已履行完毕</w:t>
            </w: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超过公司总</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股本的</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963" w:hRule="exact"/>
        </w:trPr>
        <w:tc>
          <w:tcPr>
            <w:tcW w:w="3203"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83"/>
              <w:jc w:val="left"/>
              <w:rPr>
                <w:rFonts w:ascii="宋体" w:hAnsi="宋体" w:cs="宋体" w:eastAsia="宋体" w:hint="default"/>
                <w:sz w:val="21"/>
                <w:szCs w:val="21"/>
              </w:rPr>
            </w:pPr>
            <w:r>
              <w:rPr>
                <w:rFonts w:ascii="宋体" w:hAnsi="宋体" w:cs="宋体" w:eastAsia="宋体" w:hint="default"/>
                <w:sz w:val="21"/>
                <w:szCs w:val="21"/>
              </w:rPr>
              <w:t>尤丽娟;尤玉</w:t>
            </w:r>
            <w:r>
              <w:rPr>
                <w:rFonts w:ascii="宋体" w:hAnsi="宋体" w:cs="宋体" w:eastAsia="宋体" w:hint="default"/>
                <w:w w:val="100"/>
                <w:sz w:val="21"/>
                <w:szCs w:val="21"/>
              </w:rPr>
              <w:t> </w:t>
            </w:r>
            <w:r>
              <w:rPr>
                <w:rFonts w:ascii="宋体" w:hAnsi="宋体" w:cs="宋体" w:eastAsia="宋体" w:hint="default"/>
                <w:sz w:val="21"/>
                <w:szCs w:val="21"/>
              </w:rPr>
              <w:t>仙;尤友岳;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尤雪仙;尤友</w:t>
            </w:r>
            <w:r>
              <w:rPr>
                <w:rFonts w:ascii="宋体" w:hAnsi="宋体" w:cs="宋体" w:eastAsia="宋体" w:hint="default"/>
                <w:w w:val="100"/>
                <w:sz w:val="21"/>
                <w:szCs w:val="21"/>
              </w:rPr>
              <w:t> </w:t>
            </w:r>
            <w:r>
              <w:rPr>
                <w:rFonts w:ascii="宋体" w:hAnsi="宋体" w:cs="宋体" w:eastAsia="宋体" w:hint="default"/>
                <w:sz w:val="21"/>
                <w:szCs w:val="21"/>
              </w:rPr>
              <w:t>鸾;章棉桃;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苏凤娇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日至</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auto" w:before="37"/>
              <w:ind w:left="24" w:right="-2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日的六个</w:t>
            </w:r>
            <w:r>
              <w:rPr>
                <w:rFonts w:ascii="宋体" w:hAnsi="宋体" w:cs="宋体" w:eastAsia="宋体" w:hint="default"/>
                <w:w w:val="100"/>
                <w:sz w:val="21"/>
                <w:szCs w:val="21"/>
              </w:rPr>
              <w:t> </w:t>
            </w:r>
            <w:r>
              <w:rPr>
                <w:rFonts w:ascii="宋体" w:hAnsi="宋体" w:cs="宋体" w:eastAsia="宋体" w:hint="default"/>
                <w:sz w:val="21"/>
                <w:szCs w:val="21"/>
              </w:rPr>
              <w:t>月内不再减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08</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24" w:right="0"/>
              <w:jc w:val="left"/>
              <w:rPr>
                <w:rFonts w:ascii="宋体" w:hAnsi="宋体" w:cs="宋体" w:eastAsia="宋体" w:hint="default"/>
                <w:sz w:val="21"/>
                <w:szCs w:val="21"/>
              </w:rPr>
            </w:pPr>
            <w:r>
              <w:rPr>
                <w:rFonts w:ascii="宋体" w:hAnsi="宋体" w:cs="宋体" w:eastAsia="宋体" w:hint="default"/>
                <w:sz w:val="21"/>
                <w:szCs w:val="21"/>
              </w:rPr>
              <w:t>已履行完毕</w:t>
            </w:r>
          </w:p>
        </w:tc>
      </w:tr>
      <w:tr>
        <w:trPr>
          <w:trHeight w:val="359" w:hRule="exact"/>
        </w:trPr>
        <w:tc>
          <w:tcPr>
            <w:tcW w:w="3203"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尤丽娟;尤玉</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日起连</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仙;尤友岳;</w:t>
            </w:r>
          </w:p>
          <w:p>
            <w:pPr>
              <w:pStyle w:val="TableParagraph"/>
              <w:spacing w:line="273" w:lineRule="auto" w:before="37"/>
              <w:ind w:left="24" w:right="83"/>
              <w:jc w:val="left"/>
              <w:rPr>
                <w:rFonts w:ascii="宋体" w:hAnsi="宋体" w:cs="宋体" w:eastAsia="宋体" w:hint="default"/>
                <w:sz w:val="21"/>
                <w:szCs w:val="21"/>
              </w:rPr>
            </w:pPr>
            <w:r>
              <w:rPr>
                <w:rFonts w:ascii="宋体" w:hAnsi="宋体" w:cs="宋体" w:eastAsia="宋体" w:hint="default"/>
                <w:sz w:val="21"/>
                <w:szCs w:val="21"/>
              </w:rPr>
              <w:t>尤雪仙;尤友</w:t>
            </w:r>
            <w:r>
              <w:rPr>
                <w:rFonts w:ascii="宋体" w:hAnsi="宋体" w:cs="宋体" w:eastAsia="宋体" w:hint="default"/>
                <w:w w:val="100"/>
                <w:sz w:val="21"/>
                <w:szCs w:val="21"/>
              </w:rPr>
              <w:t> </w:t>
            </w:r>
            <w:r>
              <w:rPr>
                <w:rFonts w:ascii="宋体" w:hAnsi="宋体" w:cs="宋体" w:eastAsia="宋体" w:hint="default"/>
                <w:sz w:val="21"/>
                <w:szCs w:val="21"/>
              </w:rPr>
              <w:t>鸾;章棉桃;</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续六个月内</w:t>
            </w:r>
          </w:p>
          <w:p>
            <w:pPr>
              <w:pStyle w:val="TableParagraph"/>
              <w:spacing w:line="273" w:lineRule="auto" w:before="37"/>
              <w:ind w:left="24" w:right="187"/>
              <w:jc w:val="left"/>
              <w:rPr>
                <w:rFonts w:ascii="宋体" w:hAnsi="宋体" w:cs="宋体" w:eastAsia="宋体" w:hint="default"/>
                <w:sz w:val="21"/>
                <w:szCs w:val="21"/>
              </w:rPr>
            </w:pPr>
            <w:r>
              <w:rPr>
                <w:rFonts w:ascii="宋体" w:hAnsi="宋体" w:cs="宋体" w:eastAsia="宋体" w:hint="default"/>
                <w:sz w:val="21"/>
                <w:szCs w:val="21"/>
              </w:rPr>
              <w:t>减持公司股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份的比例低</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17</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严格履行</w:t>
            </w:r>
          </w:p>
        </w:tc>
      </w:tr>
      <w:tr>
        <w:trPr>
          <w:trHeight w:val="312" w:hRule="exact"/>
        </w:trPr>
        <w:tc>
          <w:tcPr>
            <w:tcW w:w="3203"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苏凤娇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于公司总股</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203"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本的</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6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734"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8.8pt;height:36.75pt;mso-position-horizontal-relative:char;mso-position-vertical-relative:line" coordorigin="0,0" coordsize="9576,735">
            <v:group style="position:absolute;left:3182;top:367;width:22;height:351" coordorigin="3182,367" coordsize="22,351">
              <v:shape style="position:absolute;left:3182;top:367;width:22;height:351" coordorigin="3182,367" coordsize="22,351" path="m3182,718l3204,718,3204,367,3182,367,3182,718xe" filled="true" fillcolor="#d3d3d3" stroked="false">
                <v:path arrowok="t"/>
                <v:fill type="solid"/>
              </v:shape>
            </v:group>
            <v:group style="position:absolute;left:12;top:367;width:22;height:351" coordorigin="12,367" coordsize="22,351">
              <v:shape style="position:absolute;left:12;top:367;width:22;height:351" coordorigin="12,367" coordsize="22,351" path="m12,718l34,718,34,367,12,367,12,718xe" filled="true" fillcolor="#d3d3d3" stroked="false">
                <v:path arrowok="t"/>
                <v:fill type="solid"/>
              </v:shape>
            </v:group>
            <v:group style="position:absolute;left:34;top:14;width:3149;height:353" coordorigin="34,14" coordsize="3149,353">
              <v:shape style="position:absolute;left:34;top:14;width:3149;height:353" coordorigin="34,14" coordsize="3149,353" path="m34,14l3182,14,3182,367,34,367,34,14xe" filled="true" fillcolor="#d3d3d3" stroked="false">
                <v:path arrowok="t"/>
                <v:fill type="solid"/>
              </v:shape>
            </v:group>
            <v:group style="position:absolute;left:34;top:367;width:3149;height:351" coordorigin="34,367" coordsize="3149,351">
              <v:shape style="position:absolute;left:34;top:367;width:3149;height:351" coordorigin="34,367" coordsize="3149,351" path="m34,367l3182,367,3182,718,34,718,34,367xe" filled="true" fillcolor="#d3d3d3" stroked="false">
                <v:path arrowok="t"/>
                <v:fill type="solid"/>
              </v:shape>
            </v:group>
            <v:group style="position:absolute;left:10;top:10;width:3195;height:2" coordorigin="10,10" coordsize="3195,2">
              <v:shape style="position:absolute;left:10;top:10;width:3195;height:2" coordorigin="10,10" coordsize="3195,0" path="m10,10l3204,10e" filled="false" stroked="true" strokeweight=".47999pt" strokecolor="#000000">
                <v:path arrowok="t"/>
              </v:shape>
            </v:group>
            <v:group style="position:absolute;left:3214;top:10;width:6353;height:2" coordorigin="3214,10" coordsize="6353,2">
              <v:shape style="position:absolute;left:3214;top:10;width:6353;height:2" coordorigin="3214,10" coordsize="6353,0" path="m3214,10l9566,10e" filled="false" stroked="true" strokeweight=".47999pt" strokecolor="#000000">
                <v:path arrowok="t"/>
              </v:shape>
            </v:group>
            <v:group style="position:absolute;left:5;top:5;width:2;height:725" coordorigin="5,5" coordsize="2,725">
              <v:shape style="position:absolute;left:5;top:5;width:2;height:725" coordorigin="5,5" coordsize="0,725" path="m5,5l5,730e" filled="false" stroked="true" strokeweight=".47999pt" strokecolor="#000000">
                <v:path arrowok="t"/>
              </v:shape>
            </v:group>
            <v:group style="position:absolute;left:10;top:725;width:3195;height:2" coordorigin="10,725" coordsize="3195,2">
              <v:shape style="position:absolute;left:10;top:725;width:3195;height:2" coordorigin="10,725" coordsize="3195,0" path="m10,725l3204,725e" filled="false" stroked="true" strokeweight=".47999pt" strokecolor="#000000">
                <v:path arrowok="t"/>
              </v:shape>
            </v:group>
            <v:group style="position:absolute;left:3209;top:5;width:2;height:725" coordorigin="3209,5" coordsize="2,725">
              <v:shape style="position:absolute;left:3209;top:5;width:2;height:725" coordorigin="3209,5" coordsize="0,725" path="m3209,5l3209,730e" filled="false" stroked="true" strokeweight=".47999pt" strokecolor="#000000">
                <v:path arrowok="t"/>
              </v:shape>
            </v:group>
            <v:group style="position:absolute;left:3214;top:725;width:6353;height:2" coordorigin="3214,725" coordsize="6353,2">
              <v:shape style="position:absolute;left:3214;top:725;width:6353;height:2" coordorigin="3214,725" coordsize="6353,0" path="m3214,725l9566,725e" filled="false" stroked="true" strokeweight=".47999pt" strokecolor="#000000">
                <v:path arrowok="t"/>
              </v:shape>
            </v:group>
            <v:group style="position:absolute;left:9571;top:5;width:2;height:725" coordorigin="9571,5" coordsize="2,725">
              <v:shape style="position:absolute;left:9571;top:5;width:2;height:725" coordorigin="9571,5" coordsize="0,725" path="m9571,5l9571,730e" filled="false" stroked="true" strokeweight=".47999pt" strokecolor="#000000">
                <v:path arrowok="t"/>
              </v:shape>
              <v:shape style="position:absolute;left:6;top:10;width:3203;height:716" type="#_x0000_t202" filled="false" stroked="false">
                <v:textbox inset="0,0,0,0">
                  <w:txbxContent>
                    <w:p>
                      <w:pPr>
                        <w:spacing w:line="273" w:lineRule="auto" w:before="33"/>
                        <w:ind w:left="27" w:right="228" w:firstLine="0"/>
                        <w:jc w:val="left"/>
                        <w:rPr>
                          <w:rFonts w:ascii="宋体" w:hAnsi="宋体" w:cs="宋体" w:eastAsia="宋体" w:hint="default"/>
                          <w:sz w:val="21"/>
                          <w:szCs w:val="21"/>
                        </w:rPr>
                      </w:pPr>
                      <w:r>
                        <w:rPr>
                          <w:rFonts w:ascii="宋体" w:hAnsi="宋体" w:cs="宋体" w:eastAsia="宋体" w:hint="default"/>
                          <w:spacing w:val="-2"/>
                          <w:sz w:val="21"/>
                          <w:szCs w:val="21"/>
                        </w:rPr>
                        <w:t>未完成履行的具体原因及下一步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计划（如有）</w:t>
                      </w:r>
                    </w:p>
                  </w:txbxContent>
                </v:textbox>
                <w10:wrap type="none"/>
              </v:shape>
              <v:shape style="position:absolute;left:3238;top:262;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txbxContent>
                </v:textbox>
                <w10:wrap type="none"/>
              </v:shape>
            </v:group>
          </v:group>
        </w:pict>
      </w:r>
      <w:r>
        <w:rPr>
          <w:rFonts w:ascii="Times New Roman" w:hAnsi="Times New Roman" w:cs="Times New Roman" w:eastAsia="Times New Roman" w:hint="default"/>
          <w:position w:val="-14"/>
          <w:sz w:val="20"/>
          <w:szCs w:val="20"/>
        </w:rPr>
      </w:r>
    </w:p>
    <w:p>
      <w:pPr>
        <w:spacing w:line="240" w:lineRule="auto" w:before="5"/>
        <w:rPr>
          <w:rFonts w:ascii="Times New Roman" w:hAnsi="Times New Roman" w:cs="Times New Roman" w:eastAsia="Times New Roman" w:hint="default"/>
          <w:sz w:val="21"/>
          <w:szCs w:val="21"/>
        </w:rPr>
      </w:pPr>
    </w:p>
    <w:p>
      <w:pPr>
        <w:pStyle w:val="BodyText"/>
        <w:spacing w:line="273" w:lineRule="auto" w:before="36"/>
        <w:ind w:right="0"/>
        <w:jc w:val="left"/>
      </w:pPr>
      <w:r>
        <w:rPr/>
        <w:t>2、公司资产或项目存在盈利预测，且报告期仍处在盈利预测期间，公司就资产或项目达到原盈利预测及</w:t>
      </w:r>
      <w:r>
        <w:rPr>
          <w:spacing w:val="-27"/>
        </w:rPr>
        <w:t> </w:t>
      </w:r>
      <w:r>
        <w:rPr>
          <w:spacing w:val="-27"/>
        </w:rPr>
      </w:r>
      <w:r>
        <w:rPr/>
        <w:t>其原因做出说明</w:t>
      </w:r>
    </w:p>
    <w:p>
      <w:pPr>
        <w:spacing w:line="240" w:lineRule="auto" w:before="9"/>
        <w:rPr>
          <w:rFonts w:ascii="宋体" w:hAnsi="宋体" w:cs="宋体" w:eastAsia="宋体" w:hint="default"/>
          <w:sz w:val="23"/>
          <w:szCs w:val="23"/>
        </w:rPr>
      </w:pPr>
    </w:p>
    <w:p>
      <w:pPr>
        <w:pStyle w:val="BodyText"/>
        <w:spacing w:line="535" w:lineRule="auto"/>
        <w:ind w:right="6621"/>
        <w:jc w:val="left"/>
      </w:pPr>
      <w:r>
        <w:rPr/>
        <w:pict>
          <v:shape style="position:absolute;margin-left:56.558266pt;margin-top:79.463676pt;width:480.3pt;height:176.9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4"/>
                    <w:gridCol w:w="5683"/>
                  </w:tblGrid>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95</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三年</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林新田</w:t>
                        </w:r>
                        <w:r>
                          <w:rPr>
                            <w:rFonts w:ascii="宋体" w:hAnsi="宋体" w:cs="宋体" w:eastAsia="宋体" w:hint="default"/>
                            <w:spacing w:val="1"/>
                            <w:sz w:val="21"/>
                            <w:szCs w:val="21"/>
                          </w:rPr>
                          <w:t> </w:t>
                        </w:r>
                        <w:r>
                          <w:rPr>
                            <w:rFonts w:ascii="宋体" w:hAnsi="宋体" w:cs="宋体" w:eastAsia="宋体" w:hint="default"/>
                            <w:sz w:val="21"/>
                            <w:szCs w:val="21"/>
                          </w:rPr>
                          <w:t>邓伟</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w w:val="100"/>
                            <w:sz w:val="21"/>
                            <w:szCs w:val="21"/>
                          </w:rPr>
                          <w:t>境外</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报</w:t>
                        </w:r>
                        <w:r>
                          <w:rPr>
                            <w:rFonts w:ascii="宋体" w:hAnsi="宋体" w:cs="宋体" w:eastAsia="宋体" w:hint="default"/>
                            <w:spacing w:val="-1"/>
                            <w:w w:val="100"/>
                            <w:sz w:val="21"/>
                            <w:szCs w:val="21"/>
                          </w:rPr>
                          <w:t>酬</w:t>
                        </w:r>
                        <w:r>
                          <w:rPr>
                            <w:rFonts w:ascii="宋体" w:hAnsi="宋体" w:cs="宋体" w:eastAsia="宋体" w:hint="default"/>
                            <w:spacing w:val="-3"/>
                            <w:w w:val="100"/>
                            <w:sz w:val="21"/>
                            <w:szCs w:val="21"/>
                          </w:rPr>
                          <w:t>（</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w w:val="100"/>
                            <w:sz w:val="21"/>
                          </w:rPr>
                          <w:t>0</w:t>
                        </w:r>
                      </w:p>
                    </w:tc>
                  </w:tr>
                  <w:tr>
                    <w:trPr>
                      <w:trHeight w:val="714" w:hRule="exact"/>
                    </w:trPr>
                    <w:tc>
                      <w:tcPr>
                        <w:tcW w:w="3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2" w:hRule="exact"/>
                    </w:trPr>
                    <w:tc>
                      <w:tcPr>
                        <w:tcW w:w="388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pacing w:val="-5"/>
                            <w:sz w:val="21"/>
                            <w:szCs w:val="21"/>
                          </w:rPr>
                          <w:t>境外会计师事务所注册会计师姓名（如有</w:t>
                        </w:r>
                      </w:p>
                    </w:tc>
                    <w:tc>
                      <w:tcPr>
                        <w:tcW w:w="568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t>□ 适用 √</w:t>
      </w:r>
      <w:r>
        <w:rPr>
          <w:spacing w:val="-2"/>
        </w:rPr>
        <w:t> </w:t>
      </w:r>
      <w:r>
        <w:rPr/>
        <w:t>不适用</w:t>
      </w:r>
      <w:r>
        <w:rPr>
          <w:w w:val="100"/>
        </w:rPr>
        <w:t> </w:t>
      </w:r>
      <w:r>
        <w:rPr/>
        <w:t>十、聘任、解聘会计师事务所情况</w:t>
      </w:r>
      <w:r>
        <w:rPr>
          <w:spacing w:val="-93"/>
        </w:rPr>
        <w:t> </w:t>
      </w:r>
      <w:r>
        <w:rPr>
          <w:spacing w:val="-93"/>
        </w:rPr>
      </w:r>
      <w:r>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6"/>
        <w:ind w:right="2880"/>
        <w:jc w:val="left"/>
      </w:pPr>
      <w:r>
        <w:rPr/>
        <w:pict>
          <v:shape style="position:absolute;margin-left:244.418259pt;margin-top:-19.656336pt;width:290.55pt;height:19.6pt;mso-position-horizontal-relative:page;mso-position-vertical-relative:paragraph;z-index:-887584"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t>当期是否改聘会计师事务所</w:t>
      </w:r>
    </w:p>
    <w:p>
      <w:pPr>
        <w:pStyle w:val="BodyText"/>
        <w:spacing w:line="307" w:lineRule="auto" w:before="75"/>
        <w:ind w:right="4492"/>
        <w:jc w:val="left"/>
      </w:pPr>
      <w:r>
        <w:rPr/>
        <w:t>□ 是</w:t>
      </w:r>
      <w:r>
        <w:rPr>
          <w:spacing w:val="-2"/>
        </w:rPr>
        <w:t> </w:t>
      </w:r>
      <w:r>
        <w:rPr/>
        <w:t>√</w:t>
      </w:r>
      <w:r>
        <w:rPr>
          <w:spacing w:val="-2"/>
        </w:rPr>
        <w:t> </w:t>
      </w:r>
      <w:r>
        <w:rPr/>
        <w:t>否</w:t>
      </w:r>
      <w:r>
        <w:rPr>
          <w:spacing w:val="-101"/>
        </w:rPr>
        <w:t> </w:t>
      </w:r>
      <w:r>
        <w:rPr>
          <w:spacing w:val="-101"/>
        </w:rPr>
      </w:r>
      <w:r>
        <w:rPr>
          <w:spacing w:val="-2"/>
        </w:rPr>
        <w:t>聘请内部控制审计会计师事务所、财务顾问或保荐人情况</w:t>
      </w:r>
    </w:p>
    <w:p>
      <w:pPr>
        <w:pStyle w:val="BodyText"/>
        <w:spacing w:line="532" w:lineRule="auto" w:before="19"/>
        <w:ind w:right="0"/>
        <w:jc w:val="left"/>
      </w:pPr>
      <w:r>
        <w:rPr/>
        <w:t>□ 适用 √</w:t>
      </w:r>
      <w:r>
        <w:rPr>
          <w:spacing w:val="-2"/>
        </w:rPr>
        <w:t> </w:t>
      </w:r>
      <w:r>
        <w:rPr/>
        <w:t>不适用</w:t>
      </w:r>
      <w:r>
        <w:rPr>
          <w:spacing w:val="-103"/>
        </w:rPr>
        <w:t> </w:t>
      </w:r>
      <w:r>
        <w:rPr>
          <w:spacing w:val="-103"/>
        </w:rPr>
      </w:r>
      <w:r>
        <w:rPr>
          <w:spacing w:val="-1"/>
        </w:rPr>
        <w:t>十一、监事会、独立董事（如适用）对会计师事务所本报告期“非标准审计报告”的说明</w:t>
      </w:r>
    </w:p>
    <w:p>
      <w:pPr>
        <w:pStyle w:val="BodyText"/>
        <w:spacing w:line="535" w:lineRule="auto" w:before="83"/>
        <w:ind w:right="7671"/>
        <w:jc w:val="left"/>
      </w:pPr>
      <w:r>
        <w:rPr/>
        <w:t>□ 适用 √</w:t>
      </w:r>
      <w:r>
        <w:rPr>
          <w:spacing w:val="-1"/>
        </w:rPr>
        <w:t> </w:t>
      </w:r>
      <w:r>
        <w:rPr/>
        <w:t>不适用</w:t>
      </w:r>
      <w:r>
        <w:rPr>
          <w:w w:val="100"/>
        </w:rPr>
        <w:t> </w:t>
      </w:r>
      <w:r>
        <w:rPr/>
        <w:t>十二、处罚及整改情况</w:t>
      </w:r>
    </w:p>
    <w:p>
      <w:pPr>
        <w:pStyle w:val="BodyText"/>
        <w:spacing w:line="307" w:lineRule="auto" w:before="81"/>
        <w:ind w:right="6306"/>
        <w:jc w:val="left"/>
      </w:pPr>
      <w:r>
        <w:rPr/>
        <w:t>□ 适用 √</w:t>
      </w:r>
      <w:r>
        <w:rPr>
          <w:spacing w:val="-2"/>
        </w:rPr>
        <w:t> </w:t>
      </w:r>
      <w:r>
        <w:rPr/>
        <w:t>不适用</w:t>
      </w:r>
      <w:r>
        <w:rPr>
          <w:spacing w:val="-103"/>
        </w:rPr>
        <w:t> </w:t>
      </w:r>
      <w:r>
        <w:rPr>
          <w:spacing w:val="-103"/>
        </w:rPr>
      </w:r>
      <w:r>
        <w:rPr/>
        <w:t>公司报告期不存在处罚及整改情况。</w:t>
      </w:r>
    </w:p>
    <w:p>
      <w:pPr>
        <w:spacing w:line="240" w:lineRule="auto" w:before="1"/>
        <w:rPr>
          <w:rFonts w:ascii="宋体" w:hAnsi="宋体" w:cs="宋体" w:eastAsia="宋体" w:hint="default"/>
          <w:sz w:val="21"/>
          <w:szCs w:val="21"/>
        </w:rPr>
      </w:pPr>
    </w:p>
    <w:p>
      <w:pPr>
        <w:pStyle w:val="BodyText"/>
        <w:spacing w:line="240" w:lineRule="auto"/>
        <w:ind w:right="2880"/>
        <w:jc w:val="left"/>
      </w:pPr>
      <w:r>
        <w:rPr/>
        <w:t>十三、年度报告披露后面临暂停上市和终止上市情况</w:t>
      </w:r>
    </w:p>
    <w:p>
      <w:pPr>
        <w:spacing w:line="240" w:lineRule="auto" w:before="12"/>
        <w:rPr>
          <w:rFonts w:ascii="宋体" w:hAnsi="宋体" w:cs="宋体" w:eastAsia="宋体" w:hint="default"/>
          <w:sz w:val="25"/>
          <w:szCs w:val="25"/>
        </w:rPr>
      </w:pPr>
    </w:p>
    <w:p>
      <w:pPr>
        <w:pStyle w:val="BodyText"/>
        <w:spacing w:line="535" w:lineRule="auto"/>
        <w:ind w:right="6516"/>
        <w:jc w:val="left"/>
      </w:pPr>
      <w:r>
        <w:rPr/>
        <w:t>□ 适用 √</w:t>
      </w:r>
      <w:r>
        <w:rPr>
          <w:spacing w:val="-2"/>
        </w:rPr>
        <w:t> </w:t>
      </w:r>
      <w:r>
        <w:rPr/>
        <w:t>不适用</w:t>
      </w:r>
      <w:r>
        <w:rPr>
          <w:w w:val="100"/>
        </w:rPr>
        <w:t> </w:t>
      </w:r>
      <w:r>
        <w:rPr>
          <w:spacing w:val="-1"/>
        </w:rPr>
        <w:t>十四、其他重大事项的说明</w:t>
      </w:r>
    </w:p>
    <w:p>
      <w:pPr>
        <w:pStyle w:val="BodyText"/>
        <w:spacing w:line="240" w:lineRule="auto" w:before="81"/>
        <w:ind w:right="288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201" w:firstLine="420"/>
        <w:jc w:val="left"/>
      </w:pPr>
      <w:r>
        <w:rPr/>
        <w:t>（一）公司债事项。2014 年 1 月 13</w:t>
      </w:r>
      <w:r>
        <w:rPr>
          <w:spacing w:val="-30"/>
        </w:rPr>
        <w:t> </w:t>
      </w:r>
      <w:r>
        <w:rPr/>
        <w:t>日，鸿博股份有限公司收到中国证券监督管理委员会发的《关</w:t>
      </w:r>
      <w:r>
        <w:rPr>
          <w:w w:val="100"/>
        </w:rPr>
        <w:t> </w:t>
      </w:r>
      <w:r>
        <w:rPr>
          <w:spacing w:val="-5"/>
          <w:w w:val="100"/>
        </w:rPr>
        <w:t>于核准鸿博股份有限公司公开发行公司债券的批复》（证监许可[2014]54</w:t>
      </w:r>
      <w:r>
        <w:rPr>
          <w:w w:val="100"/>
        </w:rPr>
        <w:t> </w:t>
      </w:r>
      <w:r>
        <w:rPr>
          <w:spacing w:val="-9"/>
          <w:w w:val="100"/>
        </w:rPr>
        <w:t>号），核准公司发行总额不超过</w:t>
      </w:r>
      <w:r>
        <w:rPr>
          <w:spacing w:val="-72"/>
          <w:w w:val="100"/>
        </w:rPr>
        <w:t> </w:t>
      </w:r>
      <w:r>
        <w:rPr>
          <w:spacing w:val="-72"/>
          <w:w w:val="100"/>
        </w:rPr>
      </w:r>
      <w:r>
        <w:rPr/>
        <w:t>3.3亿元的公司债券。由于受宏观经济环境影响，公司拟发行的公司债券综合融资成本较高，不能有效降</w:t>
      </w:r>
      <w:r>
        <w:rPr>
          <w:w w:val="100"/>
        </w:rPr>
        <w:t> </w:t>
      </w:r>
      <w:r>
        <w:rPr>
          <w:spacing w:val="-2"/>
        </w:rPr>
        <w:t>低公司财务费用。为更好地保障和维护公司及全体股东的利益，公司未在本次公司债券批复有效期内实施</w:t>
      </w:r>
      <w:r>
        <w:rPr>
          <w:spacing w:val="-42"/>
        </w:rPr>
        <w:t> </w:t>
      </w:r>
      <w:r>
        <w:rPr>
          <w:spacing w:val="-42"/>
        </w:rPr>
      </w:r>
      <w:r>
        <w:rPr>
          <w:spacing w:val="-7"/>
        </w:rPr>
        <w:t>本次公司债券的发行，该批复至 </w:t>
      </w:r>
      <w:r>
        <w:rPr/>
        <w:t>2014 年 7 月 6 </w:t>
      </w:r>
      <w:r>
        <w:rPr>
          <w:spacing w:val="-9"/>
        </w:rPr>
        <w:t>日到期自动失效。公司于 </w:t>
      </w:r>
      <w:r>
        <w:rPr/>
        <w:t>2014 年 7 月 3</w:t>
      </w:r>
      <w:r>
        <w:rPr>
          <w:spacing w:val="60"/>
        </w:rPr>
        <w:t> </w:t>
      </w:r>
      <w:r>
        <w:rPr>
          <w:spacing w:val="-15"/>
        </w:rPr>
        <w:t>日披露了《关</w:t>
      </w:r>
      <w:r>
        <w:rPr>
          <w:w w:val="100"/>
        </w:rPr>
        <w:t> </w:t>
      </w:r>
      <w:r>
        <w:rPr>
          <w:spacing w:val="-3"/>
          <w:w w:val="100"/>
        </w:rPr>
        <w:t>于公司获准发行公司债券批复到期的公告》，详细情况请查阅巨潮资讯网</w:t>
      </w:r>
      <w:hyperlink r:id="rId11">
        <w:r>
          <w:rPr>
            <w:spacing w:val="-3"/>
            <w:w w:val="100"/>
          </w:rPr>
          <w:t>（http://www.cninfo.com.cn</w:t>
        </w:r>
      </w:hyperlink>
      <w:r>
        <w:rPr>
          <w:spacing w:val="-3"/>
          <w:w w:val="100"/>
        </w:rPr>
        <w:t>）</w:t>
      </w:r>
      <w:r>
        <w:rPr>
          <w:spacing w:val="-104"/>
          <w:w w:val="100"/>
        </w:rPr>
        <w:t> </w:t>
      </w:r>
      <w:r>
        <w:rPr>
          <w:spacing w:val="-104"/>
          <w:w w:val="100"/>
        </w:rPr>
      </w:r>
      <w:r>
        <w:rPr/>
        <w:t>公司公告。</w:t>
      </w:r>
    </w:p>
    <w:p>
      <w:pPr>
        <w:pStyle w:val="BodyText"/>
        <w:spacing w:line="273" w:lineRule="auto" w:before="7"/>
        <w:ind w:right="289" w:firstLine="420"/>
        <w:jc w:val="both"/>
      </w:pPr>
      <w:r>
        <w:rPr/>
        <w:t>（二）无锡双龙剩余 40%股权收购事项。2010 年 2 月 1</w:t>
      </w:r>
      <w:r>
        <w:rPr>
          <w:spacing w:val="-8"/>
        </w:rPr>
        <w:t> </w:t>
      </w:r>
      <w:r>
        <w:rPr/>
        <w:t>日，公司与无锡市正栋电脑纸品厂（以下</w:t>
      </w:r>
      <w:r>
        <w:rPr>
          <w:w w:val="100"/>
        </w:rPr>
        <w:t> </w:t>
      </w:r>
      <w:r>
        <w:rPr>
          <w:spacing w:val="-7"/>
          <w:w w:val="100"/>
        </w:rPr>
        <w:t>简称“正栋厂”）及邓正栋先生就无锡双龙</w:t>
      </w:r>
      <w:r>
        <w:rPr>
          <w:spacing w:val="16"/>
          <w:w w:val="100"/>
        </w:rPr>
        <w:t> </w:t>
      </w:r>
      <w:r>
        <w:rPr>
          <w:spacing w:val="-2"/>
          <w:w w:val="100"/>
        </w:rPr>
        <w:t>60%股权转让事宜签署了《股权转让协议书》并已实际履行。</w:t>
      </w:r>
      <w:r>
        <w:rPr>
          <w:spacing w:val="-102"/>
          <w:w w:val="100"/>
        </w:rPr>
        <w:t> </w:t>
      </w:r>
      <w:r>
        <w:rPr>
          <w:spacing w:val="-102"/>
          <w:w w:val="100"/>
        </w:rPr>
      </w:r>
      <w:r>
        <w:rPr/>
        <w:t>2015 年 3 月 2 日公司第三届董事会 2015</w:t>
      </w:r>
      <w:r>
        <w:rPr>
          <w:spacing w:val="-10"/>
        </w:rPr>
        <w:t> </w:t>
      </w:r>
      <w:r>
        <w:rPr/>
        <w:t>年第一次临时会议审议通过了《关于与无锡市正栋电脑纸品</w:t>
      </w:r>
    </w:p>
    <w:p>
      <w:pPr>
        <w:pStyle w:val="BodyText"/>
        <w:spacing w:line="240" w:lineRule="auto" w:before="7"/>
        <w:ind w:right="99"/>
        <w:jc w:val="left"/>
      </w:pPr>
      <w:r>
        <w:rPr>
          <w:w w:val="100"/>
        </w:rPr>
        <w:t>厂签</w:t>
      </w:r>
      <w:r>
        <w:rPr>
          <w:spacing w:val="-3"/>
          <w:w w:val="100"/>
        </w:rPr>
        <w:t>订</w:t>
      </w:r>
      <w:r>
        <w:rPr>
          <w:w w:val="100"/>
        </w:rPr>
        <w:t>&lt;</w:t>
      </w:r>
      <w:r>
        <w:rPr>
          <w:spacing w:val="-3"/>
          <w:w w:val="100"/>
        </w:rPr>
        <w:t>补</w:t>
      </w:r>
      <w:r>
        <w:rPr>
          <w:w w:val="100"/>
        </w:rPr>
        <w:t>充</w:t>
      </w:r>
      <w:r>
        <w:rPr>
          <w:spacing w:val="-3"/>
          <w:w w:val="100"/>
        </w:rPr>
        <w:t>协</w:t>
      </w:r>
      <w:r>
        <w:rPr>
          <w:spacing w:val="-1"/>
          <w:w w:val="100"/>
        </w:rPr>
        <w:t>议</w:t>
      </w:r>
      <w:r>
        <w:rPr>
          <w:spacing w:val="-3"/>
          <w:w w:val="100"/>
        </w:rPr>
        <w:t>（</w:t>
      </w:r>
      <w:r>
        <w:rPr>
          <w:w w:val="100"/>
        </w:rPr>
        <w:t>二）</w:t>
      </w:r>
      <w:r>
        <w:rPr>
          <w:spacing w:val="-3"/>
          <w:w w:val="100"/>
        </w:rPr>
        <w:t>&gt;</w:t>
      </w:r>
      <w:r>
        <w:rPr>
          <w:w w:val="100"/>
        </w:rPr>
        <w:t>的议</w:t>
      </w:r>
      <w:r>
        <w:rPr>
          <w:spacing w:val="-3"/>
          <w:w w:val="100"/>
        </w:rPr>
        <w:t>案</w:t>
      </w:r>
      <w:r>
        <w:rPr>
          <w:spacing w:val="-106"/>
          <w:w w:val="100"/>
        </w:rPr>
        <w:t>》</w:t>
      </w:r>
      <w:r>
        <w:rPr>
          <w:spacing w:val="-3"/>
          <w:w w:val="100"/>
        </w:rPr>
        <w:t>，</w:t>
      </w:r>
      <w:r>
        <w:rPr>
          <w:w w:val="100"/>
        </w:rPr>
        <w:t>公</w:t>
      </w:r>
      <w:r>
        <w:rPr>
          <w:spacing w:val="-3"/>
          <w:w w:val="100"/>
        </w:rPr>
        <w:t>司</w:t>
      </w:r>
      <w:r>
        <w:rPr>
          <w:w w:val="100"/>
        </w:rPr>
        <w:t>承</w:t>
      </w:r>
      <w:r>
        <w:rPr>
          <w:spacing w:val="-3"/>
          <w:w w:val="100"/>
        </w:rPr>
        <w:t>诺</w:t>
      </w:r>
      <w:r>
        <w:rPr>
          <w:w w:val="100"/>
        </w:rPr>
        <w:t>在</w:t>
      </w:r>
      <w:r>
        <w:rPr/>
        <w:t> </w:t>
      </w:r>
      <w:r>
        <w:rPr>
          <w:w w:val="100"/>
        </w:rPr>
        <w:t>2</w:t>
      </w:r>
      <w:r>
        <w:rPr>
          <w:spacing w:val="-3"/>
          <w:w w:val="100"/>
        </w:rPr>
        <w:t>01</w:t>
      </w:r>
      <w:r>
        <w:rPr>
          <w:w w:val="100"/>
        </w:rPr>
        <w:t>6</w:t>
      </w:r>
      <w:r>
        <w:rPr/>
        <w:t> </w:t>
      </w:r>
      <w:r>
        <w:rPr>
          <w:w w:val="100"/>
        </w:rPr>
        <w:t>年</w:t>
      </w:r>
      <w:r>
        <w:rPr/>
        <w:t> </w:t>
      </w:r>
      <w:r>
        <w:rPr>
          <w:spacing w:val="-3"/>
          <w:w w:val="100"/>
        </w:rPr>
        <w:t>1</w:t>
      </w:r>
      <w:r>
        <w:rPr>
          <w:w w:val="100"/>
        </w:rPr>
        <w:t>2</w:t>
      </w:r>
      <w:r>
        <w:rPr/>
        <w:t> </w:t>
      </w:r>
      <w:r>
        <w:rPr>
          <w:w w:val="100"/>
        </w:rPr>
        <w:t>月</w:t>
      </w:r>
      <w:r>
        <w:rPr>
          <w:spacing w:val="-2"/>
        </w:rPr>
        <w:t> </w:t>
      </w:r>
      <w:r>
        <w:rPr>
          <w:w w:val="100"/>
        </w:rPr>
        <w:t>31</w:t>
      </w:r>
      <w:r>
        <w:rPr>
          <w:spacing w:val="-2"/>
        </w:rPr>
        <w:t> </w:t>
      </w:r>
      <w:r>
        <w:rPr>
          <w:w w:val="100"/>
        </w:rPr>
        <w:t>日</w:t>
      </w:r>
      <w:r>
        <w:rPr>
          <w:spacing w:val="-3"/>
          <w:w w:val="100"/>
        </w:rPr>
        <w:t>（</w:t>
      </w:r>
      <w:r>
        <w:rPr>
          <w:w w:val="100"/>
        </w:rPr>
        <w:t>届</w:t>
      </w:r>
      <w:r>
        <w:rPr>
          <w:spacing w:val="-3"/>
          <w:w w:val="100"/>
        </w:rPr>
        <w:t>时</w:t>
      </w:r>
      <w:r>
        <w:rPr>
          <w:w w:val="100"/>
        </w:rPr>
        <w:t>任一</w:t>
      </w:r>
      <w:r>
        <w:rPr>
          <w:spacing w:val="-3"/>
          <w:w w:val="100"/>
        </w:rPr>
        <w:t>方</w:t>
      </w:r>
      <w:r>
        <w:rPr>
          <w:w w:val="100"/>
        </w:rPr>
        <w:t>没</w:t>
      </w:r>
      <w:r>
        <w:rPr>
          <w:spacing w:val="-3"/>
          <w:w w:val="100"/>
        </w:rPr>
        <w:t>有</w:t>
      </w:r>
      <w:r>
        <w:rPr>
          <w:w w:val="100"/>
        </w:rPr>
        <w:t>提</w:t>
      </w:r>
      <w:r>
        <w:rPr>
          <w:spacing w:val="-3"/>
          <w:w w:val="100"/>
        </w:rPr>
        <w:t>出</w:t>
      </w:r>
      <w:r>
        <w:rPr>
          <w:w w:val="100"/>
        </w:rPr>
        <w:t>股</w:t>
      </w:r>
      <w:r>
        <w:rPr>
          <w:spacing w:val="-3"/>
          <w:w w:val="100"/>
        </w:rPr>
        <w:t>权</w:t>
      </w:r>
      <w:r>
        <w:rPr>
          <w:w w:val="100"/>
        </w:rPr>
        <w:t>收</w:t>
      </w:r>
      <w:r>
        <w:rPr>
          <w:spacing w:val="-3"/>
          <w:w w:val="100"/>
        </w:rPr>
        <w:t>购</w:t>
      </w:r>
      <w:r>
        <w:rPr>
          <w:w w:val="100"/>
        </w:rPr>
        <w:t>或</w:t>
      </w:r>
    </w:p>
    <w:p>
      <w:pPr>
        <w:pStyle w:val="BodyText"/>
        <w:spacing w:line="273" w:lineRule="auto" w:before="37"/>
        <w:ind w:right="99"/>
        <w:jc w:val="left"/>
      </w:pPr>
      <w:r>
        <w:rPr>
          <w:spacing w:val="-2"/>
          <w:w w:val="100"/>
        </w:rPr>
        <w:t>被收购的情形下该日期可确定在</w:t>
      </w:r>
      <w:r>
        <w:rPr>
          <w:w w:val="100"/>
        </w:rPr>
        <w:t> </w:t>
      </w:r>
      <w:r>
        <w:rPr>
          <w:spacing w:val="-1"/>
          <w:w w:val="100"/>
        </w:rPr>
        <w:t>2017</w:t>
      </w:r>
      <w:r>
        <w:rPr>
          <w:w w:val="100"/>
        </w:rPr>
        <w:t> 年 12 月 </w:t>
      </w:r>
      <w:r>
        <w:rPr>
          <w:spacing w:val="-2"/>
          <w:w w:val="100"/>
        </w:rPr>
        <w:t>31</w:t>
      </w:r>
      <w:r>
        <w:rPr>
          <w:w w:val="100"/>
        </w:rPr>
        <w:t> </w:t>
      </w:r>
      <w:r>
        <w:rPr>
          <w:spacing w:val="-6"/>
          <w:w w:val="100"/>
        </w:rPr>
        <w:t>日）；或正栋厂对双龙公司不再有经营主导权这二种</w:t>
      </w:r>
      <w:r>
        <w:rPr>
          <w:spacing w:val="-100"/>
          <w:w w:val="100"/>
        </w:rPr>
        <w:t> </w:t>
      </w:r>
      <w:r>
        <w:rPr>
          <w:spacing w:val="-100"/>
          <w:w w:val="100"/>
        </w:rPr>
      </w:r>
      <w:r>
        <w:rPr/>
        <w:t>情形之一出现时收购正栋厂所持有的双龙公司</w:t>
      </w:r>
      <w:r>
        <w:rPr>
          <w:spacing w:val="-16"/>
        </w:rPr>
        <w:t> </w:t>
      </w:r>
      <w:r>
        <w:rPr/>
        <w:t>40%的股权，公司于2015年3月3日披露了《关于与无锡市正</w:t>
      </w:r>
      <w:r>
        <w:rPr>
          <w:w w:val="100"/>
        </w:rPr>
        <w:t> </w:t>
      </w:r>
      <w:r>
        <w:rPr>
          <w:spacing w:val="-4"/>
          <w:w w:val="100"/>
        </w:rPr>
        <w:t>栋电脑纸品厂签订&lt;补充协议（二）&gt;的公告》，详细情况请查阅巨潮资讯网</w:t>
      </w:r>
      <w:hyperlink r:id="rId11">
        <w:r>
          <w:rPr>
            <w:spacing w:val="-4"/>
            <w:w w:val="100"/>
          </w:rPr>
          <w:t>（http://www.cninfo.com.cn</w:t>
        </w:r>
      </w:hyperlink>
      <w:r>
        <w:rPr>
          <w:spacing w:val="-4"/>
          <w:w w:val="100"/>
        </w:rPr>
        <w:t>）</w:t>
      </w:r>
      <w:r>
        <w:rPr>
          <w:spacing w:val="-65"/>
          <w:w w:val="100"/>
        </w:rPr>
        <w:t> </w:t>
      </w:r>
      <w:r>
        <w:rPr>
          <w:spacing w:val="-65"/>
          <w:w w:val="100"/>
        </w:rPr>
      </w:r>
      <w:r>
        <w:rPr/>
        <w:t>公司公告。</w:t>
      </w:r>
    </w:p>
    <w:p>
      <w:pPr>
        <w:pStyle w:val="BodyText"/>
        <w:spacing w:line="240" w:lineRule="auto" w:before="7"/>
        <w:ind w:left="574" w:right="99"/>
        <w:jc w:val="left"/>
      </w:pPr>
      <w:r>
        <w:rPr>
          <w:spacing w:val="-3"/>
        </w:rPr>
        <w:t>（三）诉讼事项。鸿博昊天及其子公司昊天国彩于 </w:t>
      </w:r>
      <w:r>
        <w:rPr/>
        <w:t>2013 年 10 月 17</w:t>
      </w:r>
      <w:r>
        <w:rPr>
          <w:spacing w:val="36"/>
        </w:rPr>
        <w:t> </w:t>
      </w:r>
      <w:r>
        <w:rPr/>
        <w:t>日向北京市通州区人民法院提</w:t>
      </w:r>
    </w:p>
    <w:p>
      <w:pPr>
        <w:pStyle w:val="BodyText"/>
        <w:spacing w:line="240" w:lineRule="auto" w:before="37"/>
        <w:ind w:right="99"/>
        <w:jc w:val="left"/>
      </w:pPr>
      <w:r>
        <w:rPr/>
        <w:t>起民事诉讼，要求北京国彩向鸿博昊天返还租赁保证金、已支付的设备转让款等共计 7,425</w:t>
      </w:r>
      <w:r>
        <w:rPr>
          <w:spacing w:val="-11"/>
        </w:rPr>
        <w:t> </w:t>
      </w:r>
      <w:r>
        <w:rPr/>
        <w:t>万元（具体</w:t>
      </w:r>
    </w:p>
    <w:p>
      <w:pPr>
        <w:pStyle w:val="BodyText"/>
        <w:spacing w:line="240" w:lineRule="auto" w:before="37"/>
        <w:ind w:right="99"/>
        <w:jc w:val="left"/>
      </w:pPr>
      <w:r>
        <w:rPr>
          <w:w w:val="100"/>
        </w:rPr>
        <w:t>情况</w:t>
      </w:r>
      <w:r>
        <w:rPr>
          <w:spacing w:val="-3"/>
          <w:w w:val="100"/>
        </w:rPr>
        <w:t>请</w:t>
      </w:r>
      <w:r>
        <w:rPr>
          <w:w w:val="100"/>
        </w:rPr>
        <w:t>查</w:t>
      </w:r>
      <w:r>
        <w:rPr>
          <w:spacing w:val="-3"/>
          <w:w w:val="100"/>
        </w:rPr>
        <w:t>阅</w:t>
      </w:r>
      <w:r>
        <w:rPr>
          <w:w w:val="100"/>
        </w:rPr>
        <w:t>巨</w:t>
      </w:r>
      <w:r>
        <w:rPr>
          <w:spacing w:val="-3"/>
          <w:w w:val="100"/>
        </w:rPr>
        <w:t>潮</w:t>
      </w:r>
      <w:r>
        <w:rPr>
          <w:w w:val="100"/>
        </w:rPr>
        <w:t>资</w:t>
      </w:r>
      <w:r>
        <w:rPr>
          <w:spacing w:val="-3"/>
          <w:w w:val="100"/>
        </w:rPr>
        <w:t>讯</w:t>
      </w:r>
      <w:r>
        <w:rPr>
          <w:w w:val="100"/>
        </w:rPr>
        <w:t>网</w:t>
      </w:r>
      <w:r>
        <w:rPr>
          <w:spacing w:val="-3"/>
          <w:w w:val="100"/>
        </w:rPr>
        <w:t>公</w:t>
      </w:r>
      <w:r>
        <w:rPr>
          <w:w w:val="100"/>
        </w:rPr>
        <w:t>司</w:t>
      </w:r>
      <w:r>
        <w:rPr/>
        <w:t> </w:t>
      </w:r>
      <w:r>
        <w:rPr>
          <w:w w:val="100"/>
        </w:rPr>
        <w:t>20</w:t>
      </w:r>
      <w:r>
        <w:rPr>
          <w:spacing w:val="-3"/>
          <w:w w:val="100"/>
        </w:rPr>
        <w:t>1</w:t>
      </w:r>
      <w:r>
        <w:rPr>
          <w:w w:val="100"/>
        </w:rPr>
        <w:t>3</w:t>
      </w:r>
      <w:r>
        <w:rPr/>
        <w:t> </w:t>
      </w:r>
      <w:r>
        <w:rPr>
          <w:w w:val="100"/>
        </w:rPr>
        <w:t>年</w:t>
      </w:r>
      <w:r>
        <w:rPr>
          <w:spacing w:val="-2"/>
        </w:rPr>
        <w:t> </w:t>
      </w:r>
      <w:r>
        <w:rPr>
          <w:w w:val="100"/>
        </w:rPr>
        <w:t>10</w:t>
      </w:r>
      <w:r>
        <w:rPr>
          <w:spacing w:val="-2"/>
        </w:rPr>
        <w:t> </w:t>
      </w:r>
      <w:r>
        <w:rPr>
          <w:w w:val="100"/>
        </w:rPr>
        <w:t>月</w:t>
      </w:r>
      <w:r>
        <w:rPr/>
        <w:t> </w:t>
      </w:r>
      <w:r>
        <w:rPr>
          <w:spacing w:val="-3"/>
          <w:w w:val="100"/>
        </w:rPr>
        <w:t>2</w:t>
      </w:r>
      <w:r>
        <w:rPr>
          <w:w w:val="100"/>
        </w:rPr>
        <w:t>3</w:t>
      </w:r>
      <w:r>
        <w:rPr/>
        <w:t> </w:t>
      </w:r>
      <w:r>
        <w:rPr>
          <w:spacing w:val="-3"/>
          <w:w w:val="100"/>
        </w:rPr>
        <w:t>日</w:t>
      </w:r>
      <w:r>
        <w:rPr>
          <w:w w:val="100"/>
        </w:rPr>
        <w:t>公司</w:t>
      </w:r>
      <w:r>
        <w:rPr>
          <w:spacing w:val="-3"/>
          <w:w w:val="100"/>
        </w:rPr>
        <w:t>公</w:t>
      </w:r>
      <w:r>
        <w:rPr>
          <w:spacing w:val="-1"/>
          <w:w w:val="100"/>
        </w:rPr>
        <w:t>告</w:t>
      </w:r>
      <w:r>
        <w:rPr>
          <w:spacing w:val="-108"/>
          <w:w w:val="100"/>
        </w:rPr>
        <w:t>）</w:t>
      </w:r>
      <w:r>
        <w:rPr>
          <w:spacing w:val="-22"/>
          <w:w w:val="100"/>
        </w:rPr>
        <w:t>。</w:t>
      </w:r>
      <w:r>
        <w:rPr>
          <w:spacing w:val="-3"/>
          <w:w w:val="100"/>
        </w:rPr>
        <w:t>鸿</w:t>
      </w:r>
      <w:r>
        <w:rPr>
          <w:w w:val="100"/>
        </w:rPr>
        <w:t>博</w:t>
      </w:r>
      <w:r>
        <w:rPr>
          <w:spacing w:val="-3"/>
          <w:w w:val="100"/>
        </w:rPr>
        <w:t>昊</w:t>
      </w:r>
      <w:r>
        <w:rPr>
          <w:w w:val="100"/>
        </w:rPr>
        <w:t>天于</w:t>
      </w:r>
      <w:r>
        <w:rPr>
          <w:spacing w:val="-2"/>
        </w:rPr>
        <w:t> </w:t>
      </w:r>
      <w:r>
        <w:rPr>
          <w:spacing w:val="-3"/>
          <w:w w:val="100"/>
        </w:rPr>
        <w:t>2</w:t>
      </w:r>
      <w:r>
        <w:rPr>
          <w:w w:val="100"/>
        </w:rPr>
        <w:t>015</w:t>
      </w:r>
      <w:r>
        <w:rPr/>
        <w:t> </w:t>
      </w:r>
      <w:r>
        <w:rPr>
          <w:w w:val="100"/>
        </w:rPr>
        <w:t>年</w:t>
      </w:r>
      <w:r>
        <w:rPr>
          <w:spacing w:val="-2"/>
        </w:rPr>
        <w:t> </w:t>
      </w:r>
      <w:r>
        <w:rPr>
          <w:w w:val="100"/>
        </w:rPr>
        <w:t>1</w:t>
      </w:r>
      <w:r>
        <w:rPr>
          <w:spacing w:val="-2"/>
        </w:rPr>
        <w:t> </w:t>
      </w:r>
      <w:r>
        <w:rPr>
          <w:w w:val="100"/>
        </w:rPr>
        <w:t>月</w:t>
      </w:r>
      <w:r>
        <w:rPr/>
        <w:t> </w:t>
      </w:r>
      <w:r>
        <w:rPr>
          <w:w w:val="100"/>
        </w:rPr>
        <w:t>30</w:t>
      </w:r>
      <w:r>
        <w:rPr>
          <w:spacing w:val="-2"/>
        </w:rPr>
        <w:t> </w:t>
      </w:r>
      <w:r>
        <w:rPr>
          <w:spacing w:val="-3"/>
          <w:w w:val="100"/>
        </w:rPr>
        <w:t>日</w:t>
      </w:r>
      <w:r>
        <w:rPr>
          <w:w w:val="100"/>
        </w:rPr>
        <w:t>收</w:t>
      </w:r>
      <w:r>
        <w:rPr>
          <w:spacing w:val="-3"/>
          <w:w w:val="100"/>
        </w:rPr>
        <w:t>到北</w:t>
      </w:r>
      <w:r>
        <w:rPr>
          <w:w w:val="100"/>
        </w:rPr>
        <w:t>京</w:t>
      </w:r>
    </w:p>
    <w:p>
      <w:pPr>
        <w:pStyle w:val="BodyText"/>
        <w:spacing w:line="273" w:lineRule="auto" w:before="37"/>
        <w:ind w:right="99"/>
        <w:jc w:val="left"/>
      </w:pPr>
      <w:r>
        <w:rPr>
          <w:w w:val="100"/>
        </w:rPr>
        <w:t>市通</w:t>
      </w:r>
      <w:r>
        <w:rPr>
          <w:spacing w:val="-3"/>
          <w:w w:val="100"/>
        </w:rPr>
        <w:t>州</w:t>
      </w:r>
      <w:r>
        <w:rPr>
          <w:w w:val="100"/>
        </w:rPr>
        <w:t>区</w:t>
      </w:r>
      <w:r>
        <w:rPr>
          <w:spacing w:val="-3"/>
          <w:w w:val="100"/>
        </w:rPr>
        <w:t>人</w:t>
      </w:r>
      <w:r>
        <w:rPr>
          <w:w w:val="100"/>
        </w:rPr>
        <w:t>民</w:t>
      </w:r>
      <w:r>
        <w:rPr>
          <w:spacing w:val="-3"/>
          <w:w w:val="100"/>
        </w:rPr>
        <w:t>法</w:t>
      </w:r>
      <w:r>
        <w:rPr>
          <w:spacing w:val="-1"/>
          <w:w w:val="100"/>
        </w:rPr>
        <w:t>院</w:t>
      </w:r>
      <w:r>
        <w:rPr>
          <w:spacing w:val="-3"/>
          <w:w w:val="100"/>
        </w:rPr>
        <w:t>（</w:t>
      </w:r>
      <w:r>
        <w:rPr>
          <w:w w:val="100"/>
        </w:rPr>
        <w:t>201</w:t>
      </w:r>
      <w:r>
        <w:rPr>
          <w:spacing w:val="-3"/>
          <w:w w:val="100"/>
        </w:rPr>
        <w:t>3</w:t>
      </w:r>
      <w:r>
        <w:rPr>
          <w:w w:val="100"/>
        </w:rPr>
        <w:t>）通</w:t>
      </w:r>
      <w:r>
        <w:rPr>
          <w:spacing w:val="-3"/>
          <w:w w:val="100"/>
        </w:rPr>
        <w:t>民</w:t>
      </w:r>
      <w:r>
        <w:rPr>
          <w:w w:val="100"/>
        </w:rPr>
        <w:t>初</w:t>
      </w:r>
      <w:r>
        <w:rPr>
          <w:spacing w:val="-3"/>
          <w:w w:val="100"/>
        </w:rPr>
        <w:t>字</w:t>
      </w:r>
      <w:r>
        <w:rPr>
          <w:w w:val="100"/>
        </w:rPr>
        <w:t>第</w:t>
      </w:r>
      <w:r>
        <w:rPr/>
        <w:t> </w:t>
      </w:r>
      <w:r>
        <w:rPr>
          <w:spacing w:val="-3"/>
          <w:w w:val="100"/>
        </w:rPr>
        <w:t>1</w:t>
      </w:r>
      <w:r>
        <w:rPr>
          <w:w w:val="100"/>
        </w:rPr>
        <w:t>615</w:t>
      </w:r>
      <w:r>
        <w:rPr>
          <w:spacing w:val="-3"/>
          <w:w w:val="100"/>
        </w:rPr>
        <w:t>6</w:t>
      </w:r>
      <w:r>
        <w:rPr>
          <w:w w:val="100"/>
        </w:rPr>
        <w:t>号</w:t>
      </w:r>
      <w:r>
        <w:rPr>
          <w:spacing w:val="-3"/>
          <w:w w:val="100"/>
        </w:rPr>
        <w:t>《</w:t>
      </w:r>
      <w:r>
        <w:rPr>
          <w:w w:val="100"/>
        </w:rPr>
        <w:t>民事</w:t>
      </w:r>
      <w:r>
        <w:rPr>
          <w:spacing w:val="-3"/>
          <w:w w:val="100"/>
        </w:rPr>
        <w:t>判</w:t>
      </w:r>
      <w:r>
        <w:rPr>
          <w:w w:val="100"/>
        </w:rPr>
        <w:t>决</w:t>
      </w:r>
      <w:r>
        <w:rPr>
          <w:spacing w:val="-3"/>
          <w:w w:val="100"/>
        </w:rPr>
        <w:t>书</w:t>
      </w:r>
      <w:r>
        <w:rPr>
          <w:spacing w:val="-106"/>
          <w:w w:val="100"/>
        </w:rPr>
        <w:t>》</w:t>
      </w:r>
      <w:r>
        <w:rPr>
          <w:spacing w:val="-3"/>
          <w:w w:val="100"/>
        </w:rPr>
        <w:t>，</w:t>
      </w:r>
      <w:r>
        <w:rPr>
          <w:w w:val="100"/>
        </w:rPr>
        <w:t>公</w:t>
      </w:r>
      <w:r>
        <w:rPr>
          <w:spacing w:val="-3"/>
          <w:w w:val="100"/>
        </w:rPr>
        <w:t>司</w:t>
      </w:r>
      <w:r>
        <w:rPr>
          <w:w w:val="100"/>
        </w:rPr>
        <w:t>于</w:t>
      </w:r>
      <w:r>
        <w:rPr/>
        <w:t> </w:t>
      </w:r>
      <w:r>
        <w:rPr>
          <w:w w:val="100"/>
        </w:rPr>
        <w:t>2</w:t>
      </w:r>
      <w:r>
        <w:rPr>
          <w:spacing w:val="-3"/>
          <w:w w:val="100"/>
        </w:rPr>
        <w:t>01</w:t>
      </w:r>
      <w:r>
        <w:rPr>
          <w:w w:val="100"/>
        </w:rPr>
        <w:t>5</w:t>
      </w:r>
      <w:r>
        <w:rPr/>
        <w:t> </w:t>
      </w:r>
      <w:r>
        <w:rPr>
          <w:w w:val="100"/>
        </w:rPr>
        <w:t>年</w:t>
      </w:r>
      <w:r>
        <w:rPr/>
        <w:t> </w:t>
      </w:r>
      <w:r>
        <w:rPr>
          <w:w w:val="100"/>
        </w:rPr>
        <w:t>2</w:t>
      </w:r>
      <w:r>
        <w:rPr>
          <w:spacing w:val="-2"/>
        </w:rPr>
        <w:t> </w:t>
      </w:r>
      <w:r>
        <w:rPr>
          <w:w w:val="100"/>
        </w:rPr>
        <w:t>月</w:t>
      </w:r>
      <w:r>
        <w:rPr>
          <w:spacing w:val="-2"/>
        </w:rPr>
        <w:t> </w:t>
      </w:r>
      <w:r>
        <w:rPr>
          <w:w w:val="100"/>
        </w:rPr>
        <w:t>3</w:t>
      </w:r>
      <w:r>
        <w:rPr/>
        <w:t> </w:t>
      </w:r>
      <w:r>
        <w:rPr>
          <w:spacing w:val="-3"/>
          <w:w w:val="100"/>
        </w:rPr>
        <w:t>日</w:t>
      </w:r>
      <w:r>
        <w:rPr>
          <w:w w:val="100"/>
        </w:rPr>
        <w:t>披</w:t>
      </w:r>
      <w:r>
        <w:rPr>
          <w:spacing w:val="-3"/>
          <w:w w:val="100"/>
        </w:rPr>
        <w:t>露</w:t>
      </w:r>
      <w:r>
        <w:rPr>
          <w:spacing w:val="-1"/>
          <w:w w:val="100"/>
        </w:rPr>
        <w:t>了</w:t>
      </w:r>
      <w:r>
        <w:rPr>
          <w:spacing w:val="-3"/>
          <w:w w:val="100"/>
        </w:rPr>
        <w:t>《</w:t>
      </w:r>
      <w:r>
        <w:rPr>
          <w:w w:val="100"/>
        </w:rPr>
        <w:t>关</w:t>
      </w:r>
      <w:r>
        <w:rPr>
          <w:w w:val="100"/>
        </w:rPr>
        <w:t> 于子</w:t>
      </w:r>
      <w:r>
        <w:rPr>
          <w:spacing w:val="-3"/>
          <w:w w:val="100"/>
        </w:rPr>
        <w:t>公</w:t>
      </w:r>
      <w:r>
        <w:rPr>
          <w:w w:val="100"/>
        </w:rPr>
        <w:t>司</w:t>
      </w:r>
      <w:r>
        <w:rPr>
          <w:spacing w:val="-3"/>
          <w:w w:val="100"/>
        </w:rPr>
        <w:t>诉</w:t>
      </w:r>
      <w:r>
        <w:rPr>
          <w:w w:val="100"/>
        </w:rPr>
        <w:t>讼</w:t>
      </w:r>
      <w:r>
        <w:rPr>
          <w:spacing w:val="-3"/>
          <w:w w:val="100"/>
        </w:rPr>
        <w:t>事</w:t>
      </w:r>
      <w:r>
        <w:rPr>
          <w:w w:val="100"/>
        </w:rPr>
        <w:t>项</w:t>
      </w:r>
      <w:r>
        <w:rPr>
          <w:spacing w:val="-3"/>
          <w:w w:val="100"/>
        </w:rPr>
        <w:t>的</w:t>
      </w:r>
      <w:r>
        <w:rPr>
          <w:w w:val="100"/>
        </w:rPr>
        <w:t>进</w:t>
      </w:r>
      <w:r>
        <w:rPr>
          <w:spacing w:val="-3"/>
          <w:w w:val="100"/>
        </w:rPr>
        <w:t>展</w:t>
      </w:r>
      <w:r>
        <w:rPr>
          <w:w w:val="100"/>
        </w:rPr>
        <w:t>公</w:t>
      </w:r>
      <w:r>
        <w:rPr>
          <w:spacing w:val="-1"/>
          <w:w w:val="100"/>
        </w:rPr>
        <w:t>告</w:t>
      </w:r>
      <w:r>
        <w:rPr>
          <w:spacing w:val="-108"/>
          <w:w w:val="100"/>
        </w:rPr>
        <w:t>》</w:t>
      </w:r>
      <w:r>
        <w:rPr>
          <w:w w:val="100"/>
        </w:rPr>
        <w:t>，</w:t>
      </w:r>
      <w:r>
        <w:rPr>
          <w:spacing w:val="-3"/>
          <w:w w:val="100"/>
        </w:rPr>
        <w:t>详</w:t>
      </w:r>
      <w:r>
        <w:rPr>
          <w:w w:val="100"/>
        </w:rPr>
        <w:t>细</w:t>
      </w:r>
      <w:r>
        <w:rPr>
          <w:spacing w:val="-3"/>
          <w:w w:val="100"/>
        </w:rPr>
        <w:t>情</w:t>
      </w:r>
      <w:r>
        <w:rPr>
          <w:w w:val="100"/>
        </w:rPr>
        <w:t>况</w:t>
      </w:r>
      <w:r>
        <w:rPr>
          <w:spacing w:val="-3"/>
          <w:w w:val="100"/>
        </w:rPr>
        <w:t>请</w:t>
      </w:r>
      <w:r>
        <w:rPr>
          <w:w w:val="100"/>
        </w:rPr>
        <w:t>查</w:t>
      </w:r>
      <w:r>
        <w:rPr>
          <w:spacing w:val="-3"/>
          <w:w w:val="100"/>
        </w:rPr>
        <w:t>阅巨</w:t>
      </w:r>
      <w:r>
        <w:rPr>
          <w:w w:val="100"/>
        </w:rPr>
        <w:t>潮资</w:t>
      </w:r>
      <w:r>
        <w:rPr>
          <w:spacing w:val="-3"/>
          <w:w w:val="100"/>
        </w:rPr>
        <w:t>讯</w:t>
      </w:r>
      <w:r>
        <w:rPr>
          <w:spacing w:val="-1"/>
          <w:w w:val="100"/>
        </w:rPr>
        <w:t>网</w:t>
      </w:r>
      <w:r>
        <w:rPr>
          <w:spacing w:val="-3"/>
          <w:w w:val="100"/>
        </w:rPr>
        <w:t>（</w:t>
      </w:r>
      <w:hyperlink r:id="rId11">
        <w:r>
          <w:rPr>
            <w:w w:val="100"/>
          </w:rPr>
          <w:t>htt</w:t>
        </w:r>
        <w:r>
          <w:rPr>
            <w:spacing w:val="-3"/>
            <w:w w:val="100"/>
          </w:rPr>
          <w:t>p</w:t>
        </w:r>
        <w:r>
          <w:rPr>
            <w:w w:val="100"/>
          </w:rPr>
          <w:t>://</w:t>
        </w:r>
        <w:r>
          <w:rPr>
            <w:spacing w:val="-3"/>
            <w:w w:val="100"/>
          </w:rPr>
          <w:t>w</w:t>
        </w:r>
        <w:r>
          <w:rPr>
            <w:w w:val="100"/>
          </w:rPr>
          <w:t>ww.</w:t>
        </w:r>
        <w:r>
          <w:rPr>
            <w:spacing w:val="-3"/>
            <w:w w:val="100"/>
          </w:rPr>
          <w:t>cn</w:t>
        </w:r>
        <w:r>
          <w:rPr>
            <w:w w:val="100"/>
          </w:rPr>
          <w:t>info.</w:t>
        </w:r>
        <w:r>
          <w:rPr>
            <w:spacing w:val="-3"/>
            <w:w w:val="100"/>
          </w:rPr>
          <w:t>c</w:t>
        </w:r>
        <w:r>
          <w:rPr>
            <w:w w:val="100"/>
          </w:rPr>
          <w:t>om.</w:t>
        </w:r>
        <w:r>
          <w:rPr>
            <w:spacing w:val="-3"/>
            <w:w w:val="100"/>
          </w:rPr>
          <w:t>c</w:t>
        </w:r>
        <w:r>
          <w:rPr>
            <w:spacing w:val="-1"/>
            <w:w w:val="100"/>
          </w:rPr>
          <w:t>n</w:t>
        </w:r>
      </w:hyperlink>
      <w:r>
        <w:rPr>
          <w:spacing w:val="-3"/>
          <w:w w:val="100"/>
        </w:rPr>
        <w:t>）</w:t>
      </w:r>
      <w:r>
        <w:rPr>
          <w:w w:val="100"/>
        </w:rPr>
        <w:t>公</w:t>
      </w:r>
      <w:r>
        <w:rPr>
          <w:spacing w:val="-3"/>
          <w:w w:val="100"/>
        </w:rPr>
        <w:t>司</w:t>
      </w:r>
      <w:r>
        <w:rPr>
          <w:w w:val="100"/>
        </w:rPr>
        <w:t>公</w:t>
      </w:r>
      <w:r>
        <w:rPr>
          <w:spacing w:val="-3"/>
          <w:w w:val="100"/>
        </w:rPr>
        <w:t>告</w:t>
      </w:r>
      <w:r>
        <w:rPr>
          <w:w w:val="100"/>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right="99"/>
        <w:jc w:val="left"/>
      </w:pPr>
      <w:r>
        <w:rPr/>
        <w:t>十五、公司子公司重要事项</w:t>
      </w:r>
    </w:p>
    <w:p>
      <w:pPr>
        <w:spacing w:line="240" w:lineRule="auto" w:before="12"/>
        <w:rPr>
          <w:rFonts w:ascii="宋体" w:hAnsi="宋体" w:cs="宋体" w:eastAsia="宋体" w:hint="default"/>
          <w:sz w:val="25"/>
          <w:szCs w:val="25"/>
        </w:rPr>
      </w:pPr>
    </w:p>
    <w:p>
      <w:pPr>
        <w:pStyle w:val="BodyText"/>
        <w:spacing w:line="240" w:lineRule="auto"/>
        <w:ind w:right="99"/>
        <w:jc w:val="left"/>
      </w:pPr>
      <w:r>
        <w:rPr/>
        <w:t>√ 适用 □ 不适用</w:t>
      </w:r>
    </w:p>
    <w:p>
      <w:pPr>
        <w:spacing w:line="240" w:lineRule="auto" w:before="8"/>
        <w:rPr>
          <w:rFonts w:ascii="宋体" w:hAnsi="宋体" w:cs="宋体" w:eastAsia="宋体" w:hint="default"/>
          <w:sz w:val="25"/>
          <w:szCs w:val="25"/>
        </w:rPr>
      </w:pPr>
    </w:p>
    <w:p>
      <w:pPr>
        <w:pStyle w:val="BodyText"/>
        <w:spacing w:line="537" w:lineRule="auto"/>
        <w:ind w:right="99"/>
        <w:jc w:val="left"/>
      </w:pPr>
      <w:r>
        <w:rPr/>
        <w:t>本公司之孙公司海宁青禾阳光影视文化有限公司于</w:t>
      </w:r>
      <w:r>
        <w:rPr>
          <w:spacing w:val="-56"/>
        </w:rPr>
        <w:t> </w:t>
      </w:r>
      <w:r>
        <w:rPr/>
        <w:t>2014</w:t>
      </w:r>
      <w:r>
        <w:rPr>
          <w:spacing w:val="-56"/>
        </w:rPr>
        <w:t> </w:t>
      </w:r>
      <w:r>
        <w:rPr/>
        <w:t>年</w:t>
      </w:r>
      <w:r>
        <w:rPr>
          <w:spacing w:val="-54"/>
        </w:rPr>
        <w:t> </w:t>
      </w:r>
      <w:r>
        <w:rPr/>
        <w:t>12</w:t>
      </w:r>
      <w:r>
        <w:rPr>
          <w:spacing w:val="-56"/>
        </w:rPr>
        <w:t> </w:t>
      </w:r>
      <w:r>
        <w:rPr/>
        <w:t>月</w:t>
      </w:r>
      <w:r>
        <w:rPr>
          <w:spacing w:val="-54"/>
        </w:rPr>
        <w:t> </w:t>
      </w:r>
      <w:r>
        <w:rPr/>
        <w:t>18</w:t>
      </w:r>
      <w:r>
        <w:rPr>
          <w:spacing w:val="-54"/>
        </w:rPr>
        <w:t> </w:t>
      </w:r>
      <w:r>
        <w:rPr/>
        <w:t>日依据股东会决议解散。</w:t>
      </w:r>
      <w:r>
        <w:rPr>
          <w:w w:val="100"/>
        </w:rPr>
        <w:t> </w:t>
      </w:r>
      <w:r>
        <w:rPr/>
        <w:t>十六、公司发行公司债券的情况</w:t>
      </w:r>
    </w:p>
    <w:p>
      <w:pPr>
        <w:pStyle w:val="BodyText"/>
        <w:spacing w:line="240" w:lineRule="auto" w:before="79"/>
        <w:ind w:right="99"/>
        <w:jc w:val="left"/>
      </w:pPr>
      <w:r>
        <w:rPr/>
        <w:t>□ 适用 √ 不适用</w:t>
      </w:r>
    </w:p>
    <w:p>
      <w:pPr>
        <w:spacing w:after="0" w:line="240"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48"/>
        <w:jc w:val="center"/>
      </w:pPr>
      <w:bookmarkStart w:name="_TOC_250006" w:id="6"/>
      <w:r>
        <w:rPr/>
        <w:t>第六节</w:t>
      </w:r>
      <w:r>
        <w:rPr>
          <w:spacing w:val="9"/>
        </w:rPr>
        <w:t> </w:t>
      </w:r>
      <w:bookmarkEnd w:id="6"/>
      <w:r>
        <w:rPr/>
        <w:t>股份变动及股东情况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6"/>
        <w:ind w:right="2880"/>
        <w:jc w:val="left"/>
      </w:pPr>
      <w:r>
        <w:rPr/>
        <w:t>一、股份变动情况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spacing w:val="-1"/>
        </w:rPr>
        <w:t>单位：股</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033"/>
        <w:gridCol w:w="842"/>
        <w:gridCol w:w="842"/>
        <w:gridCol w:w="842"/>
        <w:gridCol w:w="842"/>
        <w:gridCol w:w="842"/>
        <w:gridCol w:w="842"/>
        <w:gridCol w:w="845"/>
        <w:gridCol w:w="814"/>
        <w:gridCol w:w="818"/>
      </w:tblGrid>
      <w:tr>
        <w:trPr>
          <w:trHeight w:val="401"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4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715"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12" w:right="96" w:hanging="212"/>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06" w:right="96"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118,777</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,058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39.83%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-6,387,</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549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-6,387,</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112,389</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,509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37.69%</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118,777</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,058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39.83%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-6,387,</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549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-6,387,</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112,389</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,509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37.69%</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118,777</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,058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39.83%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-6,387,</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549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-6,387,</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549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112,389</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,509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37.69%</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179,408</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,942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60.17%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6,387,5</w:t>
            </w:r>
          </w:p>
          <w:p>
            <w:pPr>
              <w:pStyle w:val="TableParagraph"/>
              <w:spacing w:line="240" w:lineRule="auto" w:before="37"/>
              <w:ind w:right="19"/>
              <w:jc w:val="right"/>
              <w:rPr>
                <w:rFonts w:ascii="宋体" w:hAnsi="宋体" w:cs="宋体" w:eastAsia="宋体" w:hint="default"/>
                <w:sz w:val="21"/>
                <w:szCs w:val="21"/>
              </w:rPr>
            </w:pPr>
            <w:r>
              <w:rPr>
                <w:rFonts w:ascii="宋体"/>
                <w:sz w:val="21"/>
              </w:rPr>
              <w:t>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6,387,5</w:t>
            </w:r>
          </w:p>
          <w:p>
            <w:pPr>
              <w:pStyle w:val="TableParagraph"/>
              <w:spacing w:line="240" w:lineRule="auto" w:before="37"/>
              <w:ind w:right="23"/>
              <w:jc w:val="right"/>
              <w:rPr>
                <w:rFonts w:ascii="宋体" w:hAnsi="宋体" w:cs="宋体" w:eastAsia="宋体" w:hint="default"/>
                <w:sz w:val="21"/>
                <w:szCs w:val="21"/>
              </w:rPr>
            </w:pPr>
            <w:r>
              <w:rPr>
                <w:rFonts w:ascii="宋体"/>
                <w:sz w:val="21"/>
              </w:rPr>
              <w:t>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185,796</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,491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62.31%</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179,408</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,942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60.17%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6,387,5</w:t>
            </w:r>
          </w:p>
          <w:p>
            <w:pPr>
              <w:pStyle w:val="TableParagraph"/>
              <w:spacing w:line="240" w:lineRule="auto" w:before="37"/>
              <w:ind w:right="19"/>
              <w:jc w:val="right"/>
              <w:rPr>
                <w:rFonts w:ascii="宋体" w:hAnsi="宋体" w:cs="宋体" w:eastAsia="宋体" w:hint="default"/>
                <w:sz w:val="21"/>
                <w:szCs w:val="21"/>
              </w:rPr>
            </w:pPr>
            <w:r>
              <w:rPr>
                <w:rFonts w:ascii="宋体"/>
                <w:sz w:val="21"/>
              </w:rPr>
              <w:t>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6,387,5</w:t>
            </w:r>
          </w:p>
          <w:p>
            <w:pPr>
              <w:pStyle w:val="TableParagraph"/>
              <w:spacing w:line="240" w:lineRule="auto" w:before="37"/>
              <w:ind w:right="23"/>
              <w:jc w:val="right"/>
              <w:rPr>
                <w:rFonts w:ascii="宋体" w:hAnsi="宋体" w:cs="宋体" w:eastAsia="宋体" w:hint="default"/>
                <w:sz w:val="21"/>
                <w:szCs w:val="21"/>
              </w:rPr>
            </w:pPr>
            <w:r>
              <w:rPr>
                <w:rFonts w:ascii="宋体"/>
                <w:sz w:val="21"/>
              </w:rPr>
              <w:t>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185,796</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,491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62.31%</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3"/>
                <w:sz w:val="21"/>
                <w:szCs w:val="21"/>
              </w:rPr>
              <w:t>2、境内上市的外资股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3"/>
                <w:sz w:val="21"/>
                <w:szCs w:val="21"/>
              </w:rPr>
              <w:t>3、境外上市的外资股</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298,186</w:t>
            </w:r>
          </w:p>
          <w:p>
            <w:pPr>
              <w:pStyle w:val="TableParagraph"/>
              <w:spacing w:line="240" w:lineRule="auto" w:before="37"/>
              <w:ind w:left="391" w:right="0"/>
              <w:jc w:val="left"/>
              <w:rPr>
                <w:rFonts w:ascii="宋体" w:hAnsi="宋体" w:cs="宋体" w:eastAsia="宋体" w:hint="default"/>
                <w:sz w:val="21"/>
                <w:szCs w:val="21"/>
              </w:rPr>
            </w:pPr>
            <w:r>
              <w:rPr>
                <w:rFonts w:ascii="宋体"/>
                <w:sz w:val="21"/>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298,186</w:t>
            </w:r>
          </w:p>
          <w:p>
            <w:pPr>
              <w:pStyle w:val="TableParagraph"/>
              <w:spacing w:line="240" w:lineRule="auto" w:before="37"/>
              <w:ind w:left="362" w:right="0"/>
              <w:jc w:val="left"/>
              <w:rPr>
                <w:rFonts w:ascii="宋体" w:hAnsi="宋体" w:cs="宋体" w:eastAsia="宋体" w:hint="default"/>
                <w:sz w:val="21"/>
                <w:szCs w:val="21"/>
              </w:rPr>
            </w:pPr>
            <w:r>
              <w:rPr>
                <w:rFonts w:ascii="宋体"/>
                <w:sz w:val="21"/>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28"/>
        <w:ind w:right="2880"/>
        <w:jc w:val="left"/>
      </w:pPr>
      <w:r>
        <w:rPr/>
        <w:t>股份变动的原因</w:t>
      </w:r>
    </w:p>
    <w:p>
      <w:pPr>
        <w:pStyle w:val="BodyText"/>
        <w:spacing w:line="290" w:lineRule="auto" w:before="78"/>
        <w:ind w:right="0"/>
        <w:jc w:val="left"/>
      </w:pPr>
      <w:r>
        <w:rPr/>
        <w:t>√ 适用 □</w:t>
      </w:r>
      <w:r>
        <w:rPr>
          <w:spacing w:val="-2"/>
        </w:rPr>
        <w:t> </w:t>
      </w:r>
      <w:r>
        <w:rPr/>
        <w:t>不适用</w:t>
      </w:r>
      <w:r>
        <w:rPr>
          <w:spacing w:val="-103"/>
        </w:rPr>
        <w:t> </w:t>
      </w:r>
      <w:r>
        <w:rPr>
          <w:spacing w:val="-103"/>
        </w:rPr>
      </w:r>
      <w:r>
        <w:rPr>
          <w:spacing w:val="-2"/>
        </w:rPr>
        <w:t>公司董事、监事、高级管理人员所持股份自任职之日起每年按其前一年度末所持股份的75%锁定为高管锁</w:t>
      </w:r>
      <w:r>
        <w:rPr>
          <w:spacing w:val="-20"/>
        </w:rPr>
        <w:t> </w:t>
      </w:r>
      <w:r>
        <w:rPr>
          <w:spacing w:val="-20"/>
        </w:rPr>
      </w:r>
      <w:r>
        <w:rPr/>
        <w:t>定股。</w:t>
      </w:r>
    </w:p>
    <w:p>
      <w:pPr>
        <w:spacing w:line="240" w:lineRule="auto" w:before="6"/>
        <w:rPr>
          <w:rFonts w:ascii="宋体" w:hAnsi="宋体" w:cs="宋体" w:eastAsia="宋体" w:hint="default"/>
          <w:sz w:val="26"/>
          <w:szCs w:val="26"/>
        </w:rPr>
      </w:pPr>
    </w:p>
    <w:p>
      <w:pPr>
        <w:pStyle w:val="BodyText"/>
        <w:spacing w:line="240" w:lineRule="auto"/>
        <w:ind w:right="2880"/>
        <w:jc w:val="left"/>
      </w:pPr>
      <w:r>
        <w:rPr/>
        <w:t>股份变动的批准情况</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307" w:lineRule="auto" w:before="36"/>
        <w:ind w:right="7890"/>
        <w:jc w:val="left"/>
      </w:pPr>
      <w:r>
        <w:rPr/>
        <w:t>□ 适用 √</w:t>
      </w:r>
      <w:r>
        <w:rPr>
          <w:spacing w:val="-1"/>
        </w:rPr>
        <w:t> </w:t>
      </w:r>
      <w:r>
        <w:rPr/>
        <w:t>不适用</w:t>
      </w:r>
      <w:r>
        <w:rPr>
          <w:w w:val="100"/>
        </w:rPr>
        <w:t> </w:t>
      </w:r>
      <w:r>
        <w:rPr>
          <w:spacing w:val="-1"/>
        </w:rPr>
        <w:t>股份变动的过户情况</w:t>
      </w:r>
    </w:p>
    <w:p>
      <w:pPr>
        <w:pStyle w:val="BodyText"/>
        <w:spacing w:line="290" w:lineRule="auto" w:before="16"/>
        <w:ind w:right="0"/>
        <w:jc w:val="left"/>
      </w:pPr>
      <w:r>
        <w:rPr/>
        <w:t>□ 适用 √</w:t>
      </w:r>
      <w:r>
        <w:rPr>
          <w:spacing w:val="-2"/>
        </w:rPr>
        <w:t> </w:t>
      </w:r>
      <w:r>
        <w:rPr/>
        <w:t>不适用</w:t>
      </w:r>
      <w:r>
        <w:rPr>
          <w:spacing w:val="-103"/>
        </w:rPr>
        <w:t> </w:t>
      </w:r>
      <w:r>
        <w:rPr>
          <w:spacing w:val="-103"/>
        </w:rPr>
      </w:r>
      <w:r>
        <w:rPr>
          <w:spacing w:val="-2"/>
        </w:rPr>
        <w:t>股份变动对最近一年和最近一期基本每股收益和稀释每股收益、归属于公司普通股股东的每股净资产等财</w:t>
      </w:r>
      <w:r>
        <w:rPr>
          <w:spacing w:val="-42"/>
        </w:rPr>
        <w:t> </w:t>
      </w:r>
      <w:r>
        <w:rPr>
          <w:spacing w:val="-42"/>
        </w:rPr>
      </w:r>
      <w:r>
        <w:rPr/>
        <w:t>务指标的影响</w:t>
      </w:r>
    </w:p>
    <w:p>
      <w:pPr>
        <w:pStyle w:val="BodyText"/>
        <w:spacing w:line="307" w:lineRule="auto" w:before="34"/>
        <w:ind w:right="4492"/>
        <w:jc w:val="left"/>
      </w:pPr>
      <w:r>
        <w:rPr/>
        <w:t>□ 适用 √</w:t>
      </w:r>
      <w:r>
        <w:rPr>
          <w:spacing w:val="-2"/>
        </w:rPr>
        <w:t> </w:t>
      </w:r>
      <w:r>
        <w:rPr/>
        <w:t>不适用</w:t>
      </w:r>
      <w:r>
        <w:rPr>
          <w:spacing w:val="-103"/>
        </w:rPr>
        <w:t> </w:t>
      </w:r>
      <w:r>
        <w:rPr>
          <w:spacing w:val="-103"/>
        </w:rPr>
      </w:r>
      <w:r>
        <w:rPr>
          <w:spacing w:val="-2"/>
        </w:rPr>
        <w:t>公司认为必要或证券监管机构要求披露的其他内容</w:t>
      </w:r>
    </w:p>
    <w:p>
      <w:pPr>
        <w:pStyle w:val="BodyText"/>
        <w:spacing w:line="535" w:lineRule="auto" w:before="19"/>
        <w:ind w:right="6306"/>
        <w:jc w:val="left"/>
      </w:pPr>
      <w:r>
        <w:rPr/>
        <w:t>□ 适用 √</w:t>
      </w:r>
      <w:r>
        <w:rPr>
          <w:spacing w:val="-2"/>
        </w:rPr>
        <w:t> </w:t>
      </w:r>
      <w:r>
        <w:rPr/>
        <w:t>不适用</w:t>
      </w:r>
      <w:r>
        <w:rPr>
          <w:spacing w:val="-103"/>
        </w:rPr>
        <w:t> </w:t>
      </w:r>
      <w:r>
        <w:rPr>
          <w:spacing w:val="-103"/>
        </w:rPr>
      </w:r>
      <w:r>
        <w:rPr/>
        <w:t>二、证券发行与上市情况</w:t>
      </w:r>
      <w:r>
        <w:rPr>
          <w:spacing w:val="-95"/>
        </w:rPr>
        <w:t> </w:t>
      </w:r>
      <w:r>
        <w:rPr>
          <w:spacing w:val="-95"/>
        </w:rPr>
      </w:r>
      <w:r>
        <w:rPr/>
        <w:t>1、报告期末近三年历次证券发行情况</w:t>
      </w:r>
    </w:p>
    <w:p>
      <w:pPr>
        <w:pStyle w:val="BodyText"/>
        <w:spacing w:line="535" w:lineRule="auto" w:before="79"/>
        <w:ind w:right="2880"/>
        <w:jc w:val="left"/>
      </w:pPr>
      <w:r>
        <w:rPr/>
        <w:t>□ 适用 √</w:t>
      </w:r>
      <w:r>
        <w:rPr>
          <w:spacing w:val="-2"/>
        </w:rPr>
        <w:t> </w:t>
      </w:r>
      <w:r>
        <w:rPr/>
        <w:t>不适用</w:t>
      </w:r>
      <w:r>
        <w:rPr>
          <w:spacing w:val="-103"/>
        </w:rPr>
        <w:t> </w:t>
      </w:r>
      <w:r>
        <w:rPr>
          <w:spacing w:val="-103"/>
        </w:rPr>
      </w:r>
      <w:r>
        <w:rPr>
          <w:spacing w:val="-1"/>
        </w:rPr>
        <w:t>2、公司股份总数及股东结构的变动、公司资产和负债结构的变动情况说明</w:t>
      </w:r>
    </w:p>
    <w:p>
      <w:pPr>
        <w:pStyle w:val="BodyText"/>
        <w:spacing w:line="532" w:lineRule="auto" w:before="81"/>
        <w:ind w:right="7356"/>
        <w:jc w:val="left"/>
      </w:pPr>
      <w:r>
        <w:rPr/>
        <w:t>□ 适用 √</w:t>
      </w:r>
      <w:r>
        <w:rPr>
          <w:spacing w:val="-2"/>
        </w:rPr>
        <w:t> </w:t>
      </w:r>
      <w:r>
        <w:rPr/>
        <w:t>不适用</w:t>
      </w:r>
      <w:r>
        <w:rPr>
          <w:w w:val="100"/>
        </w:rPr>
        <w:t> </w:t>
      </w:r>
      <w:r>
        <w:rPr/>
        <w:t>3、现存的内部职工股情况</w:t>
      </w:r>
    </w:p>
    <w:p>
      <w:pPr>
        <w:pStyle w:val="BodyText"/>
        <w:spacing w:line="535" w:lineRule="auto" w:before="83"/>
        <w:ind w:right="7146"/>
        <w:jc w:val="left"/>
      </w:pPr>
      <w:r>
        <w:rPr/>
        <w:t>□ 适用 √</w:t>
      </w:r>
      <w:r>
        <w:rPr>
          <w:spacing w:val="-2"/>
        </w:rPr>
        <w:t> </w:t>
      </w:r>
      <w:r>
        <w:rPr/>
        <w:t>不适用</w:t>
      </w:r>
      <w:r>
        <w:rPr>
          <w:w w:val="100"/>
        </w:rPr>
        <w:t> </w:t>
      </w:r>
      <w:r>
        <w:rPr/>
        <w:t>三、股东和实际控制人情况</w:t>
      </w:r>
      <w:r>
        <w:rPr>
          <w:spacing w:val="-97"/>
        </w:rPr>
        <w:t> </w:t>
      </w:r>
      <w:r>
        <w:rPr>
          <w:spacing w:val="-97"/>
        </w:rPr>
      </w:r>
      <w:r>
        <w:rPr/>
        <w:t>1、公司股东数量及持股情况</w:t>
      </w:r>
    </w:p>
    <w:p>
      <w:pPr>
        <w:pStyle w:val="BodyText"/>
        <w:spacing w:line="240" w:lineRule="auto" w:before="79"/>
        <w:ind w:left="0" w:right="147"/>
        <w:jc w:val="right"/>
      </w:pPr>
      <w:r>
        <w:rPr>
          <w:spacing w:val="-1"/>
        </w:rPr>
        <w:t>单位：股</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3"/>
        <w:gridCol w:w="233"/>
        <w:gridCol w:w="1133"/>
        <w:gridCol w:w="463"/>
        <w:gridCol w:w="401"/>
        <w:gridCol w:w="797"/>
        <w:gridCol w:w="394"/>
        <w:gridCol w:w="403"/>
        <w:gridCol w:w="797"/>
        <w:gridCol w:w="396"/>
        <w:gridCol w:w="456"/>
        <w:gridCol w:w="1138"/>
        <w:gridCol w:w="230"/>
        <w:gridCol w:w="1366"/>
      </w:tblGrid>
      <w:tr>
        <w:trPr>
          <w:trHeight w:val="1344" w:hRule="exact"/>
        </w:trPr>
        <w:tc>
          <w:tcPr>
            <w:tcW w:w="15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86"/>
              <w:jc w:val="left"/>
              <w:rPr>
                <w:rFonts w:ascii="宋体" w:hAnsi="宋体" w:cs="宋体" w:eastAsia="宋体" w:hint="default"/>
                <w:sz w:val="21"/>
                <w:szCs w:val="21"/>
              </w:rPr>
            </w:pPr>
            <w:r>
              <w:rPr>
                <w:rFonts w:ascii="宋体" w:hAnsi="宋体" w:cs="宋体" w:eastAsia="宋体" w:hint="default"/>
                <w:sz w:val="21"/>
                <w:szCs w:val="21"/>
              </w:rPr>
              <w:t>报告期末普通股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股东总数</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3" w:right="0"/>
              <w:jc w:val="left"/>
              <w:rPr>
                <w:rFonts w:ascii="宋体" w:hAnsi="宋体" w:cs="宋体" w:eastAsia="宋体" w:hint="default"/>
                <w:sz w:val="21"/>
                <w:szCs w:val="21"/>
              </w:rPr>
            </w:pPr>
            <w:r>
              <w:rPr>
                <w:rFonts w:ascii="宋体"/>
                <w:sz w:val="21"/>
              </w:rPr>
              <w:t>27,133</w:t>
            </w:r>
          </w:p>
        </w:tc>
        <w:tc>
          <w:tcPr>
            <w:tcW w:w="15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81"/>
              <w:jc w:val="both"/>
              <w:rPr>
                <w:rFonts w:ascii="宋体" w:hAnsi="宋体" w:cs="宋体" w:eastAsia="宋体" w:hint="default"/>
                <w:sz w:val="21"/>
                <w:szCs w:val="21"/>
              </w:rPr>
            </w:pPr>
            <w:r>
              <w:rPr>
                <w:rFonts w:ascii="宋体" w:hAnsi="宋体" w:cs="宋体" w:eastAsia="宋体" w:hint="default"/>
                <w:sz w:val="21"/>
                <w:szCs w:val="21"/>
              </w:rPr>
              <w:t>年度报告披露日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前第</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w:t>
            </w:r>
            <w:r>
              <w:rPr>
                <w:rFonts w:ascii="宋体" w:hAnsi="宋体" w:cs="宋体" w:eastAsia="宋体" w:hint="default"/>
                <w:w w:val="100"/>
                <w:sz w:val="21"/>
                <w:szCs w:val="21"/>
              </w:rPr>
              <w:t> </w:t>
            </w:r>
            <w:r>
              <w:rPr>
                <w:rFonts w:ascii="宋体" w:hAnsi="宋体" w:cs="宋体" w:eastAsia="宋体" w:hint="default"/>
                <w:sz w:val="21"/>
                <w:szCs w:val="21"/>
              </w:rPr>
              <w:t>末普通股股东总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5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1" w:right="0"/>
              <w:jc w:val="left"/>
              <w:rPr>
                <w:rFonts w:ascii="宋体" w:hAnsi="宋体" w:cs="宋体" w:eastAsia="宋体" w:hint="default"/>
                <w:sz w:val="21"/>
                <w:szCs w:val="21"/>
              </w:rPr>
            </w:pPr>
            <w:r>
              <w:rPr>
                <w:rFonts w:ascii="宋体"/>
                <w:sz w:val="21"/>
              </w:rPr>
              <w:t>16,254</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84"/>
              <w:jc w:val="both"/>
              <w:rPr>
                <w:rFonts w:ascii="宋体" w:hAnsi="宋体" w:cs="宋体" w:eastAsia="宋体" w:hint="default"/>
                <w:sz w:val="21"/>
                <w:szCs w:val="21"/>
              </w:rPr>
            </w:pPr>
            <w:r>
              <w:rPr>
                <w:rFonts w:ascii="宋体" w:hAnsi="宋体" w:cs="宋体" w:eastAsia="宋体" w:hint="default"/>
                <w:sz w:val="21"/>
                <w:szCs w:val="21"/>
              </w:rPr>
              <w:t>报告期末表决权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恢复的优先股股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东总数（如有）</w:t>
            </w:r>
          </w:p>
          <w:p>
            <w:pPr>
              <w:pStyle w:val="TableParagraph"/>
              <w:spacing w:line="240" w:lineRule="auto" w:before="7"/>
              <w:ind w:left="24" w:right="0"/>
              <w:jc w:val="both"/>
              <w:rPr>
                <w:rFonts w:ascii="宋体" w:hAnsi="宋体" w:cs="宋体" w:eastAsia="宋体" w:hint="default"/>
                <w:sz w:val="21"/>
                <w:szCs w:val="21"/>
              </w:rPr>
            </w:pPr>
            <w:r>
              <w:rPr>
                <w:rFonts w:ascii="宋体" w:hAnsi="宋体" w:cs="宋体" w:eastAsia="宋体" w:hint="default"/>
                <w:sz w:val="21"/>
                <w:szCs w:val="21"/>
              </w:rPr>
              <w:t>（参见注</w:t>
            </w:r>
            <w:r>
              <w:rPr>
                <w:rFonts w:ascii="宋体" w:hAnsi="宋体" w:cs="宋体" w:eastAsia="宋体" w:hint="default"/>
                <w:spacing w:val="-53"/>
                <w:sz w:val="21"/>
                <w:szCs w:val="21"/>
              </w:rPr>
              <w:t> </w:t>
            </w:r>
            <w:r>
              <w:rPr>
                <w:rFonts w:ascii="宋体" w:hAnsi="宋体" w:cs="宋体" w:eastAsia="宋体" w:hint="default"/>
                <w:sz w:val="21"/>
                <w:szCs w:val="21"/>
              </w:rPr>
              <w:t>8）</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r>
      <w:tr>
        <w:trPr>
          <w:trHeight w:val="396"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81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4"/>
                <w:sz w:val="21"/>
                <w:szCs w:val="21"/>
              </w:rPr>
              <w:t> </w:t>
            </w:r>
            <w:r>
              <w:rPr>
                <w:rFonts w:ascii="宋体" w:hAnsi="宋体" w:cs="宋体" w:eastAsia="宋体" w:hint="default"/>
                <w:sz w:val="21"/>
                <w:szCs w:val="21"/>
              </w:rPr>
              <w:t>5%以上的股东或前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6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21" w:right="108"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末持股</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79" w:right="72"/>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内增减</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05" w:right="101"/>
              <w:jc w:val="both"/>
              <w:rPr>
                <w:rFonts w:ascii="宋体" w:hAnsi="宋体" w:cs="宋体" w:eastAsia="宋体" w:hint="default"/>
                <w:sz w:val="21"/>
                <w:szCs w:val="21"/>
              </w:rPr>
            </w:pPr>
            <w:r>
              <w:rPr>
                <w:rFonts w:ascii="宋体" w:hAnsi="宋体" w:cs="宋体" w:eastAsia="宋体" w:hint="default"/>
                <w:sz w:val="21"/>
                <w:szCs w:val="21"/>
              </w:rPr>
              <w:t>持有无</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2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935"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1366" w:type="dxa"/>
            <w:gridSpan w:val="2"/>
            <w:vMerge/>
            <w:tcBorders>
              <w:left w:val="single" w:sz="4" w:space="0" w:color="000000"/>
              <w:bottom w:val="single" w:sz="4" w:space="0" w:color="000000"/>
              <w:right w:val="single" w:sz="4" w:space="0" w:color="000000"/>
            </w:tcBorders>
            <w:shd w:val="clear" w:color="auto" w:fill="D3D3D3"/>
          </w:tcPr>
          <w:p>
            <w:pPr/>
          </w:p>
        </w:tc>
        <w:tc>
          <w:tcPr>
            <w:tcW w:w="864"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52"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sz w:val="21"/>
              </w:rPr>
              <w:t>18.95%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 w:right="0"/>
              <w:jc w:val="left"/>
              <w:rPr>
                <w:rFonts w:ascii="宋体" w:hAnsi="宋体" w:cs="宋体" w:eastAsia="宋体" w:hint="default"/>
                <w:sz w:val="21"/>
                <w:szCs w:val="21"/>
              </w:rPr>
            </w:pPr>
            <w:r>
              <w:rPr>
                <w:rFonts w:ascii="宋体"/>
                <w:sz w:val="21"/>
              </w:rPr>
              <w:t>56,500,</w:t>
            </w:r>
          </w:p>
          <w:p>
            <w:pPr>
              <w:pStyle w:val="TableParagraph"/>
              <w:spacing w:line="240" w:lineRule="auto" w:before="34"/>
              <w:ind w:left="451" w:right="0"/>
              <w:jc w:val="left"/>
              <w:rPr>
                <w:rFonts w:ascii="宋体" w:hAnsi="宋体" w:cs="宋体" w:eastAsia="宋体" w:hint="default"/>
                <w:sz w:val="21"/>
                <w:szCs w:val="21"/>
              </w:rPr>
            </w:pPr>
            <w:r>
              <w:rPr>
                <w:rFonts w:ascii="宋体"/>
                <w:sz w:val="21"/>
              </w:rPr>
              <w:t>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sz w:val="21"/>
              </w:rPr>
              <w:t>-11,330</w:t>
            </w:r>
          </w:p>
          <w:p>
            <w:pPr>
              <w:pStyle w:val="TableParagraph"/>
              <w:spacing w:line="240" w:lineRule="auto" w:before="34"/>
              <w:ind w:left="24" w:right="0"/>
              <w:jc w:val="lef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 w:right="0"/>
              <w:jc w:val="left"/>
              <w:rPr>
                <w:rFonts w:ascii="宋体" w:hAnsi="宋体" w:cs="宋体" w:eastAsia="宋体" w:hint="default"/>
                <w:sz w:val="21"/>
                <w:szCs w:val="21"/>
              </w:rPr>
            </w:pPr>
            <w:r>
              <w:rPr>
                <w:rFonts w:ascii="宋体"/>
                <w:sz w:val="21"/>
              </w:rPr>
              <w:t>50,872,</w:t>
            </w:r>
          </w:p>
          <w:p>
            <w:pPr>
              <w:pStyle w:val="TableParagraph"/>
              <w:spacing w:line="240" w:lineRule="auto" w:before="34"/>
              <w:ind w:left="451" w:right="0"/>
              <w:jc w:val="left"/>
              <w:rPr>
                <w:rFonts w:ascii="宋体" w:hAnsi="宋体" w:cs="宋体" w:eastAsia="宋体" w:hint="default"/>
                <w:sz w:val="21"/>
                <w:szCs w:val="21"/>
              </w:rPr>
            </w:pPr>
            <w:r>
              <w:rPr>
                <w:rFonts w:ascii="宋体"/>
                <w:sz w:val="21"/>
              </w:rPr>
              <w:t>500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5,627,5</w:t>
            </w:r>
          </w:p>
          <w:p>
            <w:pPr>
              <w:pStyle w:val="TableParagraph"/>
              <w:spacing w:line="240" w:lineRule="auto" w:before="34"/>
              <w:ind w:right="23"/>
              <w:jc w:val="right"/>
              <w:rPr>
                <w:rFonts w:ascii="宋体" w:hAnsi="宋体" w:cs="宋体" w:eastAsia="宋体" w:hint="default"/>
                <w:sz w:val="21"/>
                <w:szCs w:val="21"/>
              </w:rPr>
            </w:pPr>
            <w:r>
              <w:rPr>
                <w:rFonts w:ascii="宋体"/>
                <w:sz w:val="21"/>
              </w:rPr>
              <w:t>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21"/>
                <w:szCs w:val="21"/>
              </w:rPr>
            </w:pPr>
            <w:r>
              <w:rPr>
                <w:rFonts w:ascii="宋体"/>
                <w:sz w:val="21"/>
              </w:rPr>
              <w:t>15.21%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45,340,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500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-15,113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45,340,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500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sz w:val="21"/>
              </w:rPr>
              <w:t>44,560,000</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4" w:right="0"/>
              <w:jc w:val="left"/>
              <w:rPr>
                <w:rFonts w:ascii="宋体" w:hAnsi="宋体" w:cs="宋体" w:eastAsia="宋体" w:hint="default"/>
                <w:sz w:val="21"/>
                <w:szCs w:val="21"/>
              </w:rPr>
            </w:pPr>
            <w:r>
              <w:rPr>
                <w:rFonts w:ascii="宋体"/>
                <w:sz w:val="21"/>
              </w:rPr>
              <w:t>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宋体" w:hAnsi="宋体" w:cs="宋体" w:eastAsia="宋体" w:hint="default"/>
                <w:sz w:val="21"/>
                <w:szCs w:val="21"/>
              </w:rPr>
            </w:pPr>
            <w:r>
              <w:rPr>
                <w:rFonts w:ascii="宋体"/>
                <w:sz w:val="21"/>
              </w:rPr>
              <w:t>15,504,</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宋体" w:hAnsi="宋体" w:cs="宋体" w:eastAsia="宋体" w:hint="default"/>
                <w:sz w:val="21"/>
                <w:szCs w:val="21"/>
              </w:rPr>
            </w:pPr>
            <w:r>
              <w:rPr>
                <w:rFonts w:ascii="宋体"/>
                <w:sz w:val="21"/>
              </w:rPr>
              <w:t>11,628,</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4" w:right="0"/>
              <w:jc w:val="left"/>
              <w:rPr>
                <w:rFonts w:ascii="宋体" w:hAnsi="宋体" w:cs="宋体" w:eastAsia="宋体" w:hint="default"/>
                <w:sz w:val="21"/>
                <w:szCs w:val="21"/>
              </w:rPr>
            </w:pPr>
            <w:r>
              <w:rPr>
                <w:rFonts w:ascii="宋体"/>
                <w:sz w:val="21"/>
              </w:rPr>
              <w:t>3,876,0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98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3"/>
        <w:gridCol w:w="1366"/>
        <w:gridCol w:w="864"/>
        <w:gridCol w:w="797"/>
        <w:gridCol w:w="797"/>
        <w:gridCol w:w="797"/>
        <w:gridCol w:w="852"/>
        <w:gridCol w:w="1368"/>
        <w:gridCol w:w="1366"/>
      </w:tblGrid>
      <w:tr>
        <w:trPr>
          <w:trHeight w:val="362" w:hRule="exact"/>
        </w:trPr>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1" w:right="0"/>
              <w:jc w:val="lef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2.15%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6,410,2</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-3,200,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6,410,2</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2.01%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6,004,0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4,503,0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1,501,0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4,000,000</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王玉娟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0.73%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2,164,6</w:t>
            </w:r>
          </w:p>
          <w:p>
            <w:pPr>
              <w:pStyle w:val="TableParagraph"/>
              <w:spacing w:line="240" w:lineRule="auto" w:before="37"/>
              <w:ind w:right="19"/>
              <w:jc w:val="right"/>
              <w:rPr>
                <w:rFonts w:ascii="宋体" w:hAnsi="宋体" w:cs="宋体" w:eastAsia="宋体" w:hint="default"/>
                <w:sz w:val="21"/>
                <w:szCs w:val="21"/>
              </w:rPr>
            </w:pPr>
            <w:r>
              <w:rPr>
                <w:rFonts w:ascii="宋体"/>
                <w:sz w:val="21"/>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2,164,6</w:t>
            </w:r>
          </w:p>
          <w:p>
            <w:pPr>
              <w:pStyle w:val="TableParagraph"/>
              <w:spacing w:line="240" w:lineRule="auto" w:before="37"/>
              <w:ind w:right="23"/>
              <w:jc w:val="right"/>
              <w:rPr>
                <w:rFonts w:ascii="宋体" w:hAnsi="宋体" w:cs="宋体" w:eastAsia="宋体" w:hint="default"/>
                <w:sz w:val="21"/>
                <w:szCs w:val="21"/>
              </w:rPr>
            </w:pPr>
            <w:r>
              <w:rPr>
                <w:rFonts w:ascii="宋体"/>
                <w:sz w:val="21"/>
              </w:rPr>
              <w:t>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1,938,0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1,938,0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1,900,000</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邹雅洁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0.53%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1,571,9</w:t>
            </w:r>
          </w:p>
          <w:p>
            <w:pPr>
              <w:pStyle w:val="TableParagraph"/>
              <w:spacing w:line="240" w:lineRule="auto" w:before="37"/>
              <w:ind w:right="19"/>
              <w:jc w:val="right"/>
              <w:rPr>
                <w:rFonts w:ascii="宋体" w:hAnsi="宋体" w:cs="宋体" w:eastAsia="宋体" w:hint="default"/>
                <w:sz w:val="21"/>
                <w:szCs w:val="21"/>
              </w:rPr>
            </w:pPr>
            <w:r>
              <w:rPr>
                <w:rFonts w:ascii="宋体"/>
                <w:sz w:val="21"/>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1,571,9</w:t>
            </w:r>
          </w:p>
          <w:p>
            <w:pPr>
              <w:pStyle w:val="TableParagraph"/>
              <w:spacing w:line="240" w:lineRule="auto" w:before="37"/>
              <w:ind w:right="23"/>
              <w:jc w:val="right"/>
              <w:rPr>
                <w:rFonts w:ascii="宋体" w:hAnsi="宋体" w:cs="宋体" w:eastAsia="宋体" w:hint="default"/>
                <w:sz w:val="21"/>
                <w:szCs w:val="21"/>
              </w:rPr>
            </w:pPr>
            <w:r>
              <w:rPr>
                <w:rFonts w:ascii="宋体"/>
                <w:sz w:val="21"/>
              </w:rPr>
              <w:t>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张丽芬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1,468,8</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1,468,8</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周光江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0.49%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1,448,8</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1,448,8</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67"/>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r>
              <w:rPr>
                <w:rFonts w:ascii="宋体" w:hAnsi="宋体" w:cs="宋体" w:eastAsia="宋体" w:hint="default"/>
                <w:w w:val="100"/>
                <w:sz w:val="21"/>
                <w:szCs w:val="21"/>
              </w:rPr>
              <w:t> </w:t>
            </w:r>
            <w:r>
              <w:rPr>
                <w:rFonts w:ascii="宋体" w:hAnsi="宋体" w:cs="宋体" w:eastAsia="宋体" w:hint="default"/>
                <w:sz w:val="21"/>
                <w:szCs w:val="21"/>
              </w:rPr>
              <w:t>售新股成为前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名股东的情</w:t>
            </w:r>
            <w:r>
              <w:rPr>
                <w:rFonts w:ascii="宋体" w:hAnsi="宋体" w:cs="宋体" w:eastAsia="宋体" w:hint="default"/>
                <w:w w:val="100"/>
                <w:sz w:val="21"/>
                <w:szCs w:val="21"/>
              </w:rPr>
              <w:t> </w:t>
            </w:r>
            <w:r>
              <w:rPr>
                <w:rFonts w:ascii="宋体" w:hAnsi="宋体" w:cs="宋体" w:eastAsia="宋体" w:hint="default"/>
                <w:spacing w:val="-13"/>
                <w:w w:val="100"/>
                <w:sz w:val="21"/>
                <w:szCs w:val="21"/>
              </w:rPr>
              <w:t>况（如有）（参见注</w:t>
            </w:r>
            <w:r>
              <w:rPr>
                <w:rFonts w:ascii="宋体" w:hAnsi="宋体" w:cs="宋体" w:eastAsia="宋体" w:hint="default"/>
                <w:spacing w:val="-53"/>
                <w:w w:val="100"/>
                <w:sz w:val="21"/>
                <w:szCs w:val="21"/>
              </w:rPr>
              <w:t> </w:t>
            </w:r>
            <w:r>
              <w:rPr>
                <w:rFonts w:ascii="宋体" w:hAnsi="宋体" w:cs="宋体" w:eastAsia="宋体" w:hint="default"/>
                <w:w w:val="100"/>
                <w:sz w:val="21"/>
                <w:szCs w:val="21"/>
              </w:rPr>
              <w:t>3）</w:t>
            </w:r>
          </w:p>
        </w:tc>
        <w:tc>
          <w:tcPr>
            <w:tcW w:w="6840" w:type="dxa"/>
            <w:gridSpan w:val="7"/>
            <w:tcBorders>
              <w:top w:val="single" w:sz="4" w:space="0" w:color="000000"/>
              <w:left w:val="single" w:sz="12" w:space="0" w:color="D3D3D3"/>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3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7"/>
            <w:vMerge w:val="restart"/>
            <w:tcBorders>
              <w:top w:val="single" w:sz="4" w:space="0" w:color="000000"/>
              <w:left w:val="single" w:sz="4" w:space="0" w:color="000000"/>
              <w:right w:val="single" w:sz="4" w:space="0" w:color="000000"/>
            </w:tcBorders>
          </w:tcPr>
          <w:p>
            <w:pPr>
              <w:pStyle w:val="TableParagraph"/>
              <w:spacing w:line="283" w:lineRule="auto" w:before="28"/>
              <w:ind w:left="24" w:right="79"/>
              <w:jc w:val="left"/>
              <w:rPr>
                <w:rFonts w:ascii="宋体" w:hAnsi="宋体" w:cs="宋体" w:eastAsia="宋体" w:hint="default"/>
                <w:sz w:val="21"/>
                <w:szCs w:val="21"/>
              </w:rPr>
            </w:pPr>
            <w:r>
              <w:rPr>
                <w:rFonts w:ascii="宋体" w:hAnsi="宋体" w:cs="宋体" w:eastAsia="宋体" w:hint="default"/>
                <w:spacing w:val="-2"/>
                <w:sz w:val="21"/>
                <w:szCs w:val="21"/>
              </w:rPr>
              <w:t>1.本公司前十名股东中尤玉仙、尤丽娟、尤友鸾、尤友岳、尤雪仙、章棉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桃系同一家族成员。</w:t>
            </w:r>
            <w:r>
              <w:rPr>
                <w:rFonts w:ascii="宋体" w:hAnsi="宋体" w:cs="宋体" w:eastAsia="宋体" w:hint="default"/>
                <w:w w:val="100"/>
                <w:sz w:val="21"/>
                <w:szCs w:val="21"/>
              </w:rPr>
              <w:t> </w:t>
            </w:r>
            <w:r>
              <w:rPr>
                <w:rFonts w:ascii="宋体" w:hAnsi="宋体" w:cs="宋体" w:eastAsia="宋体" w:hint="default"/>
                <w:spacing w:val="-2"/>
                <w:sz w:val="21"/>
                <w:szCs w:val="21"/>
              </w:rPr>
              <w:t>2.除上述股东外，公司未知其他股东之间是否存在关联关系或属于《上市</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公司收购管理办法》中规定的一致行动人。</w:t>
            </w:r>
          </w:p>
        </w:tc>
      </w:tr>
      <w:tr>
        <w:trPr>
          <w:trHeight w:val="706"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8"/>
              <w:ind w:left="24" w:right="17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840" w:type="dxa"/>
            <w:gridSpan w:val="7"/>
            <w:vMerge/>
            <w:tcBorders>
              <w:left w:val="single" w:sz="4" w:space="0" w:color="000000"/>
              <w:right w:val="single" w:sz="4" w:space="0" w:color="000000"/>
            </w:tcBorders>
          </w:tcPr>
          <w:p>
            <w:pPr/>
          </w:p>
        </w:tc>
      </w:tr>
      <w:tr>
        <w:trPr>
          <w:trHeight w:val="33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7"/>
            <w:vMerge/>
            <w:tcBorders>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7" w:hRule="exact"/>
        </w:trPr>
        <w:tc>
          <w:tcPr>
            <w:tcW w:w="2729" w:type="dxa"/>
            <w:gridSpan w:val="2"/>
            <w:vMerge w:val="restart"/>
            <w:tcBorders>
              <w:top w:val="nil" w:sz="6" w:space="0" w:color="auto"/>
              <w:left w:val="single" w:sz="4" w:space="0" w:color="000000"/>
              <w:right w:val="single" w:sz="4" w:space="0" w:color="000000"/>
            </w:tcBorders>
          </w:tcPr>
          <w:p>
            <w:pPr>
              <w:pStyle w:val="TableParagraph"/>
              <w:tabs>
                <w:tab w:pos="940" w:val="left" w:leader="none"/>
                <w:tab w:pos="2697" w:val="left" w:leader="none"/>
              </w:tabs>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股东名称</w:t>
              <w:tab/>
            </w:r>
            <w:r>
              <w:rPr>
                <w:rFonts w:ascii="宋体" w:hAnsi="宋体" w:cs="宋体" w:eastAsia="宋体" w:hint="default"/>
                <w:sz w:val="21"/>
                <w:szCs w:val="21"/>
              </w:rPr>
            </w:r>
          </w:p>
        </w:tc>
        <w:tc>
          <w:tcPr>
            <w:tcW w:w="4106" w:type="dxa"/>
            <w:gridSpan w:val="5"/>
            <w:vMerge w:val="restart"/>
            <w:tcBorders>
              <w:top w:val="nil" w:sz="6" w:space="0" w:color="auto"/>
              <w:left w:val="single" w:sz="4" w:space="0" w:color="000000"/>
              <w:right w:val="single" w:sz="4" w:space="0" w:color="000000"/>
            </w:tcBorders>
          </w:tcPr>
          <w:p>
            <w:pPr>
              <w:pStyle w:val="TableParagraph"/>
              <w:tabs>
                <w:tab w:pos="472" w:val="left" w:leader="none"/>
                <w:tab w:pos="4072" w:val="left" w:leader="none"/>
              </w:tabs>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报告期末持有无限售条件股份数量</w:t>
              <w:tab/>
            </w:r>
            <w:r>
              <w:rPr>
                <w:rFonts w:ascii="宋体" w:hAnsi="宋体" w:cs="宋体" w:eastAsia="宋体" w:hint="default"/>
                <w:sz w:val="21"/>
                <w:szCs w:val="21"/>
              </w:rPr>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729" w:type="dxa"/>
            <w:gridSpan w:val="2"/>
            <w:vMerge/>
            <w:tcBorders>
              <w:left w:val="single" w:sz="4" w:space="0" w:color="000000"/>
              <w:bottom w:val="nil" w:sz="6" w:space="0" w:color="auto"/>
              <w:right w:val="single" w:sz="4" w:space="0" w:color="000000"/>
            </w:tcBorders>
          </w:tcPr>
          <w:p>
            <w:pPr/>
          </w:p>
        </w:tc>
        <w:tc>
          <w:tcPr>
            <w:tcW w:w="4106" w:type="dxa"/>
            <w:gridSpan w:val="5"/>
            <w:vMerge/>
            <w:tcBorders>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4"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6,410,200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6,410,200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5,627,500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5,627,500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3,876,000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3,876,000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王玉娟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2,164,640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2,164,640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1,938,000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1,938,000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邹雅洁</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1,571,908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1,571,908</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1,501,000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1,501,000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张丽芬</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1,468,800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1,468,800</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周光江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1,448,800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1,448,800</w:t>
            </w:r>
          </w:p>
        </w:tc>
      </w:tr>
      <w:tr>
        <w:trPr>
          <w:trHeight w:val="401" w:hRule="exact"/>
        </w:trPr>
        <w:tc>
          <w:tcPr>
            <w:tcW w:w="2729" w:type="dxa"/>
            <w:gridSpan w:val="2"/>
            <w:tcBorders>
              <w:top w:val="single" w:sz="4" w:space="0" w:color="000000"/>
              <w:left w:val="single" w:sz="4" w:space="0" w:color="000000"/>
              <w:bottom w:val="single" w:sz="12" w:space="0" w:color="D3D3D3"/>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曹德钢</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1,419,257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1,419,257</w:t>
            </w: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名无限售流通股股东之</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9"/>
              <w:jc w:val="left"/>
              <w:rPr>
                <w:rFonts w:ascii="宋体" w:hAnsi="宋体" w:cs="宋体" w:eastAsia="宋体" w:hint="default"/>
                <w:sz w:val="21"/>
                <w:szCs w:val="21"/>
              </w:rPr>
            </w:pPr>
            <w:r>
              <w:rPr>
                <w:rFonts w:ascii="宋体" w:hAnsi="宋体" w:cs="宋体" w:eastAsia="宋体" w:hint="default"/>
                <w:spacing w:val="-2"/>
                <w:sz w:val="21"/>
                <w:szCs w:val="21"/>
              </w:rPr>
              <w:t>1.本公司前十名股东中尤雪仙、尤丽娟、尤友岳、尤友鸾、章棉桃系同一</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家族成员。</w:t>
            </w:r>
          </w:p>
        </w:tc>
      </w:tr>
    </w:tbl>
    <w:p>
      <w:pPr>
        <w:spacing w:after="0" w:line="271"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2728"/>
        <w:gridCol w:w="6840"/>
      </w:tblGrid>
      <w:tr>
        <w:trPr>
          <w:trHeight w:val="674"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67"/>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6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pacing w:val="-2"/>
                <w:sz w:val="21"/>
                <w:szCs w:val="21"/>
              </w:rPr>
              <w:t>2.除上述股东外，公司未知其他股东之间是否存在关联关系或属于《上市</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公司收购管理办法》中规定的一致行动人。</w:t>
            </w:r>
          </w:p>
        </w:tc>
      </w:tr>
      <w:tr>
        <w:trPr>
          <w:trHeight w:val="359" w:hRule="exact"/>
        </w:trPr>
        <w:tc>
          <w:tcPr>
            <w:tcW w:w="27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14"/>
                <w:sz w:val="21"/>
                <w:szCs w:val="21"/>
              </w:rPr>
              <w:t>1、前 </w:t>
            </w:r>
            <w:r>
              <w:rPr>
                <w:rFonts w:ascii="宋体" w:hAnsi="宋体" w:cs="宋体" w:eastAsia="宋体" w:hint="default"/>
                <w:sz w:val="21"/>
                <w:szCs w:val="21"/>
              </w:rPr>
              <w:t>10</w:t>
            </w:r>
            <w:r>
              <w:rPr>
                <w:rFonts w:ascii="宋体" w:hAnsi="宋体" w:cs="宋体" w:eastAsia="宋体" w:hint="default"/>
                <w:spacing w:val="9"/>
                <w:sz w:val="21"/>
                <w:szCs w:val="21"/>
              </w:rPr>
              <w:t> </w:t>
            </w:r>
            <w:r>
              <w:rPr>
                <w:rFonts w:ascii="宋体" w:hAnsi="宋体" w:cs="宋体" w:eastAsia="宋体" w:hint="default"/>
                <w:sz w:val="21"/>
                <w:szCs w:val="21"/>
              </w:rPr>
              <w:t>名无限售条件之一普通股股东王玉娟通过普通证券账户持有公司</w:t>
            </w:r>
          </w:p>
        </w:tc>
      </w:tr>
      <w:tr>
        <w:trPr>
          <w:trHeight w:val="312"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 0 </w:t>
            </w:r>
            <w:r>
              <w:rPr>
                <w:rFonts w:ascii="宋体" w:hAnsi="宋体" w:cs="宋体" w:eastAsia="宋体" w:hint="default"/>
                <w:spacing w:val="-4"/>
                <w:sz w:val="21"/>
                <w:szCs w:val="21"/>
              </w:rPr>
              <w:t>股，通过交易担保证券账户持有公司股份 </w:t>
            </w:r>
            <w:r>
              <w:rPr>
                <w:rFonts w:ascii="宋体" w:hAnsi="宋体" w:cs="宋体" w:eastAsia="宋体" w:hint="default"/>
                <w:sz w:val="21"/>
                <w:szCs w:val="21"/>
              </w:rPr>
              <w:t>2,164,640</w:t>
            </w:r>
            <w:r>
              <w:rPr>
                <w:rFonts w:ascii="宋体" w:hAnsi="宋体" w:cs="宋体" w:eastAsia="宋体" w:hint="default"/>
                <w:spacing w:val="-23"/>
                <w:sz w:val="21"/>
                <w:szCs w:val="21"/>
              </w:rPr>
              <w:t> </w:t>
            </w:r>
            <w:r>
              <w:rPr>
                <w:rFonts w:ascii="宋体" w:hAnsi="宋体" w:cs="宋体" w:eastAsia="宋体" w:hint="default"/>
                <w:spacing w:val="-9"/>
                <w:sz w:val="21"/>
                <w:szCs w:val="21"/>
              </w:rPr>
              <w:t>股，合计持有</w:t>
            </w:r>
          </w:p>
        </w:tc>
      </w:tr>
      <w:tr>
        <w:trPr>
          <w:trHeight w:val="331"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公司股份 2,164,640</w:t>
            </w:r>
            <w:r>
              <w:rPr>
                <w:rFonts w:ascii="宋体" w:hAnsi="宋体" w:cs="宋体" w:eastAsia="宋体" w:hint="default"/>
                <w:spacing w:val="-2"/>
                <w:sz w:val="21"/>
                <w:szCs w:val="21"/>
              </w:rPr>
              <w:t> </w:t>
            </w:r>
            <w:r>
              <w:rPr>
                <w:rFonts w:ascii="宋体" w:hAnsi="宋体" w:cs="宋体" w:eastAsia="宋体" w:hint="default"/>
                <w:sz w:val="21"/>
                <w:szCs w:val="21"/>
              </w:rPr>
              <w:t>股。</w:t>
            </w:r>
          </w:p>
        </w:tc>
      </w:tr>
      <w:tr>
        <w:trPr>
          <w:trHeight w:val="331"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pacing w:val="-14"/>
                <w:sz w:val="21"/>
                <w:szCs w:val="21"/>
              </w:rPr>
              <w:t>2、前 </w:t>
            </w:r>
            <w:r>
              <w:rPr>
                <w:rFonts w:ascii="宋体" w:hAnsi="宋体" w:cs="宋体" w:eastAsia="宋体" w:hint="default"/>
                <w:sz w:val="21"/>
                <w:szCs w:val="21"/>
              </w:rPr>
              <w:t>10</w:t>
            </w:r>
            <w:r>
              <w:rPr>
                <w:rFonts w:ascii="宋体" w:hAnsi="宋体" w:cs="宋体" w:eastAsia="宋体" w:hint="default"/>
                <w:spacing w:val="9"/>
                <w:sz w:val="21"/>
                <w:szCs w:val="21"/>
              </w:rPr>
              <w:t> </w:t>
            </w:r>
            <w:r>
              <w:rPr>
                <w:rFonts w:ascii="宋体" w:hAnsi="宋体" w:cs="宋体" w:eastAsia="宋体" w:hint="default"/>
                <w:sz w:val="21"/>
                <w:szCs w:val="21"/>
              </w:rPr>
              <w:t>名无限售条件之一普通股股东邹雅洁通过普通证券账户持有公司</w:t>
            </w:r>
          </w:p>
        </w:tc>
      </w:tr>
      <w:tr>
        <w:trPr>
          <w:trHeight w:val="1289"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64"/>
              <w:ind w:left="22" w:right="67"/>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名普通股股东参与融资</w:t>
            </w:r>
            <w:r>
              <w:rPr>
                <w:rFonts w:ascii="宋体" w:hAnsi="宋体" w:cs="宋体" w:eastAsia="宋体" w:hint="default"/>
                <w:w w:val="100"/>
                <w:sz w:val="21"/>
                <w:szCs w:val="21"/>
              </w:rPr>
              <w:t> </w:t>
            </w:r>
            <w:r>
              <w:rPr>
                <w:rFonts w:ascii="宋体" w:hAnsi="宋体" w:cs="宋体" w:eastAsia="宋体" w:hint="default"/>
                <w:sz w:val="21"/>
                <w:szCs w:val="21"/>
              </w:rPr>
              <w:t>融券业务股东情况说明（如</w:t>
            </w:r>
            <w:r>
              <w:rPr>
                <w:rFonts w:ascii="宋体" w:hAnsi="宋体" w:cs="宋体" w:eastAsia="宋体" w:hint="default"/>
                <w:w w:val="100"/>
                <w:sz w:val="21"/>
                <w:szCs w:val="21"/>
              </w:rPr>
              <w:t> </w:t>
            </w:r>
            <w:r>
              <w:rPr>
                <w:rFonts w:ascii="宋体" w:hAnsi="宋体" w:cs="宋体" w:eastAsia="宋体" w:hint="default"/>
                <w:spacing w:val="-19"/>
                <w:w w:val="100"/>
                <w:sz w:val="21"/>
                <w:szCs w:val="21"/>
              </w:rPr>
              <w:t>有）（参见注</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4）</w:t>
            </w: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 0 </w:t>
            </w:r>
            <w:r>
              <w:rPr>
                <w:rFonts w:ascii="宋体" w:hAnsi="宋体" w:cs="宋体" w:eastAsia="宋体" w:hint="default"/>
                <w:spacing w:val="-4"/>
                <w:sz w:val="21"/>
                <w:szCs w:val="21"/>
              </w:rPr>
              <w:t>股，通过交易担保证券账户持有公司股份 </w:t>
            </w:r>
            <w:r>
              <w:rPr>
                <w:rFonts w:ascii="宋体" w:hAnsi="宋体" w:cs="宋体" w:eastAsia="宋体" w:hint="default"/>
                <w:sz w:val="21"/>
                <w:szCs w:val="21"/>
              </w:rPr>
              <w:t>1,571,908</w:t>
            </w:r>
            <w:r>
              <w:rPr>
                <w:rFonts w:ascii="宋体" w:hAnsi="宋体" w:cs="宋体" w:eastAsia="宋体" w:hint="default"/>
                <w:spacing w:val="-23"/>
                <w:sz w:val="21"/>
                <w:szCs w:val="21"/>
              </w:rPr>
              <w:t> </w:t>
            </w:r>
            <w:r>
              <w:rPr>
                <w:rFonts w:ascii="宋体" w:hAnsi="宋体" w:cs="宋体" w:eastAsia="宋体" w:hint="default"/>
                <w:spacing w:val="-9"/>
                <w:sz w:val="21"/>
                <w:szCs w:val="21"/>
              </w:rPr>
              <w:t>股，合计持有</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公司股份 1,571,908</w:t>
            </w:r>
            <w:r>
              <w:rPr>
                <w:rFonts w:ascii="宋体" w:hAnsi="宋体" w:cs="宋体" w:eastAsia="宋体" w:hint="default"/>
                <w:spacing w:val="-2"/>
                <w:sz w:val="21"/>
                <w:szCs w:val="21"/>
              </w:rPr>
              <w:t> </w:t>
            </w:r>
            <w:r>
              <w:rPr>
                <w:rFonts w:ascii="宋体" w:hAnsi="宋体" w:cs="宋体" w:eastAsia="宋体" w:hint="default"/>
                <w:sz w:val="21"/>
                <w:szCs w:val="21"/>
              </w:rPr>
              <w:t>股。</w:t>
            </w:r>
          </w:p>
          <w:p>
            <w:pPr>
              <w:pStyle w:val="TableParagraph"/>
              <w:spacing w:line="240" w:lineRule="auto" w:before="78"/>
              <w:ind w:left="24" w:right="0"/>
              <w:jc w:val="left"/>
              <w:rPr>
                <w:rFonts w:ascii="宋体" w:hAnsi="宋体" w:cs="宋体" w:eastAsia="宋体" w:hint="default"/>
                <w:sz w:val="21"/>
                <w:szCs w:val="21"/>
              </w:rPr>
            </w:pPr>
            <w:r>
              <w:rPr>
                <w:rFonts w:ascii="宋体" w:hAnsi="宋体" w:cs="宋体" w:eastAsia="宋体" w:hint="default"/>
                <w:spacing w:val="-14"/>
                <w:sz w:val="21"/>
                <w:szCs w:val="21"/>
              </w:rPr>
              <w:t>3、前 </w:t>
            </w:r>
            <w:r>
              <w:rPr>
                <w:rFonts w:ascii="宋体" w:hAnsi="宋体" w:cs="宋体" w:eastAsia="宋体" w:hint="default"/>
                <w:sz w:val="21"/>
                <w:szCs w:val="21"/>
              </w:rPr>
              <w:t>10</w:t>
            </w:r>
            <w:r>
              <w:rPr>
                <w:rFonts w:ascii="宋体" w:hAnsi="宋体" w:cs="宋体" w:eastAsia="宋体" w:hint="default"/>
                <w:spacing w:val="9"/>
                <w:sz w:val="21"/>
                <w:szCs w:val="21"/>
              </w:rPr>
              <w:t> </w:t>
            </w:r>
            <w:r>
              <w:rPr>
                <w:rFonts w:ascii="宋体" w:hAnsi="宋体" w:cs="宋体" w:eastAsia="宋体" w:hint="default"/>
                <w:sz w:val="21"/>
                <w:szCs w:val="21"/>
              </w:rPr>
              <w:t>名无限售条件之一普通股股东张丽芬通过普通证券账户持有公司</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股份 0 </w:t>
            </w:r>
            <w:r>
              <w:rPr>
                <w:rFonts w:ascii="宋体" w:hAnsi="宋体" w:cs="宋体" w:eastAsia="宋体" w:hint="default"/>
                <w:spacing w:val="-3"/>
                <w:sz w:val="21"/>
                <w:szCs w:val="21"/>
              </w:rPr>
              <w:t>股，通过交易担保证券账户持有公司股份 </w:t>
            </w:r>
            <w:r>
              <w:rPr>
                <w:rFonts w:ascii="宋体" w:hAnsi="宋体" w:cs="宋体" w:eastAsia="宋体" w:hint="default"/>
                <w:sz w:val="21"/>
                <w:szCs w:val="21"/>
              </w:rPr>
              <w:t>1,468,800</w:t>
            </w:r>
            <w:r>
              <w:rPr>
                <w:rFonts w:ascii="宋体" w:hAnsi="宋体" w:cs="宋体" w:eastAsia="宋体" w:hint="default"/>
                <w:spacing w:val="-65"/>
                <w:sz w:val="21"/>
                <w:szCs w:val="21"/>
              </w:rPr>
              <w:t> </w:t>
            </w:r>
            <w:r>
              <w:rPr>
                <w:rFonts w:ascii="宋体" w:hAnsi="宋体" w:cs="宋体" w:eastAsia="宋体" w:hint="default"/>
                <w:spacing w:val="-5"/>
                <w:sz w:val="21"/>
                <w:szCs w:val="21"/>
              </w:rPr>
              <w:t>股，合计持有</w:t>
            </w:r>
          </w:p>
        </w:tc>
      </w:tr>
      <w:tr>
        <w:trPr>
          <w:trHeight w:val="332"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公司股份 1,468,800</w:t>
            </w:r>
            <w:r>
              <w:rPr>
                <w:rFonts w:ascii="宋体" w:hAnsi="宋体" w:cs="宋体" w:eastAsia="宋体" w:hint="default"/>
                <w:spacing w:val="-2"/>
                <w:sz w:val="21"/>
                <w:szCs w:val="21"/>
              </w:rPr>
              <w:t> </w:t>
            </w:r>
            <w:r>
              <w:rPr>
                <w:rFonts w:ascii="宋体" w:hAnsi="宋体" w:cs="宋体" w:eastAsia="宋体" w:hint="default"/>
                <w:sz w:val="21"/>
                <w:szCs w:val="21"/>
              </w:rPr>
              <w:t>股。</w:t>
            </w:r>
          </w:p>
        </w:tc>
      </w:tr>
      <w:tr>
        <w:trPr>
          <w:trHeight w:val="332"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pacing w:val="-14"/>
                <w:sz w:val="21"/>
                <w:szCs w:val="21"/>
              </w:rPr>
              <w:t>4、前 </w:t>
            </w:r>
            <w:r>
              <w:rPr>
                <w:rFonts w:ascii="宋体" w:hAnsi="宋体" w:cs="宋体" w:eastAsia="宋体" w:hint="default"/>
                <w:sz w:val="21"/>
                <w:szCs w:val="21"/>
              </w:rPr>
              <w:t>10</w:t>
            </w:r>
            <w:r>
              <w:rPr>
                <w:rFonts w:ascii="宋体" w:hAnsi="宋体" w:cs="宋体" w:eastAsia="宋体" w:hint="default"/>
                <w:spacing w:val="9"/>
                <w:sz w:val="21"/>
                <w:szCs w:val="21"/>
              </w:rPr>
              <w:t> </w:t>
            </w:r>
            <w:r>
              <w:rPr>
                <w:rFonts w:ascii="宋体" w:hAnsi="宋体" w:cs="宋体" w:eastAsia="宋体" w:hint="default"/>
                <w:sz w:val="21"/>
                <w:szCs w:val="21"/>
              </w:rPr>
              <w:t>名无限售条件之一普通股股东周光江通过普通证券账户持有公司</w:t>
            </w:r>
          </w:p>
        </w:tc>
      </w:tr>
      <w:tr>
        <w:trPr>
          <w:trHeight w:val="312"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
        </w:tc>
        <w:tc>
          <w:tcPr>
            <w:tcW w:w="684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 0 </w:t>
            </w:r>
            <w:r>
              <w:rPr>
                <w:rFonts w:ascii="宋体" w:hAnsi="宋体" w:cs="宋体" w:eastAsia="宋体" w:hint="default"/>
                <w:spacing w:val="-3"/>
                <w:sz w:val="21"/>
                <w:szCs w:val="21"/>
              </w:rPr>
              <w:t>股，通过交易担保证券账户持有公司股份 </w:t>
            </w:r>
            <w:r>
              <w:rPr>
                <w:rFonts w:ascii="宋体" w:hAnsi="宋体" w:cs="宋体" w:eastAsia="宋体" w:hint="default"/>
                <w:sz w:val="21"/>
                <w:szCs w:val="21"/>
              </w:rPr>
              <w:t>1,448,800</w:t>
            </w:r>
            <w:r>
              <w:rPr>
                <w:rFonts w:ascii="宋体" w:hAnsi="宋体" w:cs="宋体" w:eastAsia="宋体" w:hint="default"/>
                <w:spacing w:val="-65"/>
                <w:sz w:val="21"/>
                <w:szCs w:val="21"/>
              </w:rPr>
              <w:t> </w:t>
            </w:r>
            <w:r>
              <w:rPr>
                <w:rFonts w:ascii="宋体" w:hAnsi="宋体" w:cs="宋体" w:eastAsia="宋体" w:hint="default"/>
                <w:spacing w:val="-5"/>
                <w:sz w:val="21"/>
                <w:szCs w:val="21"/>
              </w:rPr>
              <w:t>股，合计持有</w:t>
            </w:r>
          </w:p>
        </w:tc>
      </w:tr>
      <w:tr>
        <w:trPr>
          <w:trHeight w:val="354" w:hRule="exact"/>
        </w:trPr>
        <w:tc>
          <w:tcPr>
            <w:tcW w:w="27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公司股份 1,448,800</w:t>
            </w:r>
            <w:r>
              <w:rPr>
                <w:rFonts w:ascii="宋体" w:hAnsi="宋体" w:cs="宋体" w:eastAsia="宋体" w:hint="default"/>
                <w:spacing w:val="-56"/>
                <w:sz w:val="21"/>
                <w:szCs w:val="21"/>
              </w:rPr>
              <w:t> </w:t>
            </w:r>
            <w:r>
              <w:rPr>
                <w:rFonts w:ascii="宋体" w:hAnsi="宋体" w:cs="宋体" w:eastAsia="宋体" w:hint="default"/>
                <w:sz w:val="21"/>
                <w:szCs w:val="21"/>
              </w:rPr>
              <w:t>股。</w:t>
            </w:r>
          </w:p>
        </w:tc>
      </w:tr>
    </w:tbl>
    <w:p>
      <w:pPr>
        <w:pStyle w:val="BodyText"/>
        <w:spacing w:line="240" w:lineRule="auto" w:before="28"/>
        <w:ind w:right="0"/>
        <w:jc w:val="left"/>
      </w:pPr>
      <w:r>
        <w:rPr/>
        <w:t>公司前</w:t>
      </w:r>
      <w:r>
        <w:rPr>
          <w:spacing w:val="-54"/>
        </w:rPr>
        <w:t> </w:t>
      </w:r>
      <w:r>
        <w:rPr/>
        <w:t>10</w:t>
      </w:r>
      <w:r>
        <w:rPr>
          <w:spacing w:val="-56"/>
        </w:rPr>
        <w:t> </w:t>
      </w:r>
      <w:r>
        <w:rPr/>
        <w:t>名普通股股东、前</w:t>
      </w:r>
      <w:r>
        <w:rPr>
          <w:spacing w:val="-54"/>
        </w:rPr>
        <w:t> </w:t>
      </w:r>
      <w:r>
        <w:rPr/>
        <w:t>10</w:t>
      </w:r>
      <w:r>
        <w:rPr>
          <w:spacing w:val="-56"/>
        </w:rPr>
        <w:t> </w:t>
      </w:r>
      <w:r>
        <w:rPr/>
        <w:t>名无限售条件普通股股东在报告期内是否进行约定购回交易</w:t>
      </w:r>
    </w:p>
    <w:p>
      <w:pPr>
        <w:pStyle w:val="BodyText"/>
        <w:spacing w:line="240" w:lineRule="auto" w:before="78"/>
        <w:ind w:right="2880"/>
        <w:jc w:val="left"/>
      </w:pPr>
      <w:r>
        <w:rPr/>
        <w:t>□ 是 √ 否</w:t>
      </w:r>
    </w:p>
    <w:p>
      <w:pPr>
        <w:pStyle w:val="BodyText"/>
        <w:spacing w:line="535" w:lineRule="auto" w:before="75"/>
        <w:ind w:right="1381"/>
        <w:jc w:val="left"/>
      </w:pPr>
      <w:r>
        <w:rPr/>
        <w:t>公司前</w:t>
      </w:r>
      <w:r>
        <w:rPr>
          <w:spacing w:val="-54"/>
        </w:rPr>
        <w:t> </w:t>
      </w:r>
      <w:r>
        <w:rPr/>
        <w:t>10</w:t>
      </w:r>
      <w:r>
        <w:rPr>
          <w:spacing w:val="-56"/>
        </w:rPr>
        <w:t> </w:t>
      </w:r>
      <w:r>
        <w:rPr/>
        <w:t>名普通股股东、前</w:t>
      </w:r>
      <w:r>
        <w:rPr>
          <w:spacing w:val="-54"/>
        </w:rPr>
        <w:t> </w:t>
      </w:r>
      <w:r>
        <w:rPr/>
        <w:t>10</w:t>
      </w:r>
      <w:r>
        <w:rPr>
          <w:spacing w:val="-56"/>
        </w:rPr>
        <w:t> </w:t>
      </w:r>
      <w:r>
        <w:rPr/>
        <w:t>名无限售条件普通股股东在报告期内未进行约定购回交易。</w:t>
      </w:r>
      <w:r>
        <w:rPr>
          <w:w w:val="100"/>
        </w:rPr>
        <w:t> </w:t>
      </w:r>
      <w:r>
        <w:rPr/>
        <w:t>2、公司控股股东情况</w:t>
      </w:r>
    </w:p>
    <w:p>
      <w:pPr>
        <w:pStyle w:val="BodyText"/>
        <w:spacing w:line="240" w:lineRule="auto" w:before="81"/>
        <w:ind w:right="2880"/>
        <w:jc w:val="left"/>
      </w:pPr>
      <w:r>
        <w:rPr/>
        <w:t>自然人</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32"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12"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9" w:hRule="exact"/>
        </w:trPr>
        <w:tc>
          <w:tcPr>
            <w:tcW w:w="33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尤丽娟：2007 年 3</w:t>
            </w:r>
            <w:r>
              <w:rPr>
                <w:rFonts w:ascii="宋体" w:hAnsi="宋体" w:cs="宋体" w:eastAsia="宋体" w:hint="default"/>
                <w:spacing w:val="-2"/>
                <w:sz w:val="21"/>
                <w:szCs w:val="21"/>
              </w:rPr>
              <w:t> </w:t>
            </w:r>
            <w:r>
              <w:rPr>
                <w:rFonts w:ascii="宋体" w:hAnsi="宋体" w:cs="宋体" w:eastAsia="宋体" w:hint="default"/>
                <w:sz w:val="21"/>
                <w:szCs w:val="21"/>
              </w:rPr>
              <w:t>月—至今任职鸿博股份有限公司董事长</w:t>
            </w:r>
          </w:p>
        </w:tc>
      </w:tr>
      <w:tr>
        <w:trPr>
          <w:trHeight w:val="352"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尤玉仙：2007 年 3</w:t>
            </w:r>
            <w:r>
              <w:rPr>
                <w:rFonts w:ascii="宋体" w:hAnsi="宋体" w:cs="宋体" w:eastAsia="宋体" w:hint="default"/>
                <w:spacing w:val="-1"/>
                <w:sz w:val="21"/>
                <w:szCs w:val="21"/>
              </w:rPr>
              <w:t> </w:t>
            </w:r>
            <w:r>
              <w:rPr>
                <w:rFonts w:ascii="宋体" w:hAnsi="宋体" w:cs="宋体" w:eastAsia="宋体" w:hint="default"/>
                <w:sz w:val="21"/>
                <w:szCs w:val="21"/>
              </w:rPr>
              <w:t>月—至今任职鸿博股份有限公司副董事长</w:t>
            </w:r>
          </w:p>
        </w:tc>
      </w:tr>
      <w:tr>
        <w:trPr>
          <w:trHeight w:val="331"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尤友岳：2007 年 3</w:t>
            </w:r>
            <w:r>
              <w:rPr>
                <w:rFonts w:ascii="宋体" w:hAnsi="宋体" w:cs="宋体" w:eastAsia="宋体" w:hint="default"/>
                <w:spacing w:val="-1"/>
                <w:sz w:val="21"/>
                <w:szCs w:val="21"/>
              </w:rPr>
              <w:t> </w:t>
            </w:r>
            <w:r>
              <w:rPr>
                <w:rFonts w:ascii="宋体" w:hAnsi="宋体" w:cs="宋体" w:eastAsia="宋体" w:hint="default"/>
                <w:sz w:val="21"/>
                <w:szCs w:val="21"/>
              </w:rPr>
              <w:t>月—至今任职鸿博股份有限公司副董事长兼总</w:t>
            </w:r>
          </w:p>
        </w:tc>
      </w:tr>
      <w:tr>
        <w:trPr>
          <w:trHeight w:val="665"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4"/>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经理</w:t>
            </w:r>
          </w:p>
          <w:p>
            <w:pPr>
              <w:pStyle w:val="TableParagraph"/>
              <w:spacing w:line="240" w:lineRule="auto" w:before="78"/>
              <w:ind w:left="24" w:right="0"/>
              <w:jc w:val="left"/>
              <w:rPr>
                <w:rFonts w:ascii="宋体" w:hAnsi="宋体" w:cs="宋体" w:eastAsia="宋体" w:hint="default"/>
                <w:sz w:val="21"/>
                <w:szCs w:val="21"/>
              </w:rPr>
            </w:pPr>
            <w:r>
              <w:rPr>
                <w:rFonts w:ascii="宋体" w:hAnsi="宋体" w:cs="宋体" w:eastAsia="宋体" w:hint="default"/>
                <w:sz w:val="21"/>
                <w:szCs w:val="21"/>
              </w:rPr>
              <w:t>尤友鸾：2007 年 3</w:t>
            </w:r>
            <w:r>
              <w:rPr>
                <w:rFonts w:ascii="宋体" w:hAnsi="宋体" w:cs="宋体" w:eastAsia="宋体" w:hint="default"/>
                <w:spacing w:val="-2"/>
                <w:sz w:val="21"/>
                <w:szCs w:val="21"/>
              </w:rPr>
              <w:t> </w:t>
            </w:r>
            <w:r>
              <w:rPr>
                <w:rFonts w:ascii="宋体" w:hAnsi="宋体" w:cs="宋体" w:eastAsia="宋体" w:hint="default"/>
                <w:sz w:val="21"/>
                <w:szCs w:val="21"/>
              </w:rPr>
              <w:t>月—至今任职鸿博股份有限公司总经理助理、</w:t>
            </w:r>
          </w:p>
        </w:tc>
      </w:tr>
      <w:tr>
        <w:trPr>
          <w:trHeight w:val="332"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352"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尤雪仙：退休</w:t>
            </w:r>
          </w:p>
        </w:tc>
      </w:tr>
      <w:tr>
        <w:trPr>
          <w:trHeight w:val="376" w:hRule="exact"/>
        </w:trPr>
        <w:tc>
          <w:tcPr>
            <w:tcW w:w="33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章棉桃：退休</w:t>
            </w:r>
          </w:p>
        </w:tc>
      </w:tr>
      <w:tr>
        <w:trPr>
          <w:trHeight w:val="715"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43"/>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28"/>
        <w:ind w:right="2880"/>
        <w:jc w:val="left"/>
      </w:pPr>
      <w:r>
        <w:rPr/>
        <w:t>控股股东报告期内变更</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307" w:lineRule="auto" w:before="36"/>
        <w:ind w:right="6516"/>
        <w:jc w:val="left"/>
      </w:pPr>
      <w:r>
        <w:rPr/>
        <w:t>□ 适用 √</w:t>
      </w:r>
      <w:r>
        <w:rPr>
          <w:spacing w:val="-2"/>
        </w:rPr>
        <w:t> </w:t>
      </w:r>
      <w:r>
        <w:rPr/>
        <w:t>不适用</w:t>
      </w:r>
      <w:r>
        <w:rPr>
          <w:w w:val="100"/>
        </w:rPr>
        <w:t> </w:t>
      </w:r>
      <w:r>
        <w:rPr>
          <w:spacing w:val="-2"/>
        </w:rPr>
        <w:t>公司报告期控股股东未发生变更。</w:t>
      </w:r>
    </w:p>
    <w:p>
      <w:pPr>
        <w:spacing w:line="240" w:lineRule="auto" w:before="1"/>
        <w:rPr>
          <w:rFonts w:ascii="宋体" w:hAnsi="宋体" w:cs="宋体" w:eastAsia="宋体" w:hint="default"/>
          <w:sz w:val="21"/>
          <w:szCs w:val="21"/>
        </w:rPr>
      </w:pPr>
    </w:p>
    <w:p>
      <w:pPr>
        <w:pStyle w:val="BodyText"/>
        <w:spacing w:line="537" w:lineRule="auto"/>
        <w:ind w:right="7566"/>
        <w:jc w:val="left"/>
      </w:pPr>
      <w:r>
        <w:rPr/>
        <w:pict>
          <v:shape style="position:absolute;margin-left:56.49826pt;margin-top:48.983681pt;width:479.05pt;height:316.2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67"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尤雪仙</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章棉桃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80" w:hRule="exact"/>
                    </w:trPr>
                    <w:tc>
                      <w:tcPr>
                        <w:tcW w:w="3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4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尤丽娟：2007 年 3</w:t>
                        </w:r>
                        <w:r>
                          <w:rPr>
                            <w:rFonts w:ascii="宋体" w:hAnsi="宋体" w:cs="宋体" w:eastAsia="宋体" w:hint="default"/>
                            <w:spacing w:val="-2"/>
                            <w:sz w:val="21"/>
                            <w:szCs w:val="21"/>
                          </w:rPr>
                          <w:t> </w:t>
                        </w:r>
                        <w:r>
                          <w:rPr>
                            <w:rFonts w:ascii="宋体" w:hAnsi="宋体" w:cs="宋体" w:eastAsia="宋体" w:hint="default"/>
                            <w:sz w:val="21"/>
                            <w:szCs w:val="21"/>
                          </w:rPr>
                          <w:t>月—至今任职鸿博股份有限公司董事长</w:t>
                        </w:r>
                      </w:p>
                    </w:tc>
                  </w:tr>
                  <w:tr>
                    <w:trPr>
                      <w:trHeight w:val="352"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尤玉仙：2007 年 3</w:t>
                        </w:r>
                        <w:r>
                          <w:rPr>
                            <w:rFonts w:ascii="宋体" w:hAnsi="宋体" w:cs="宋体" w:eastAsia="宋体" w:hint="default"/>
                            <w:spacing w:val="-1"/>
                            <w:sz w:val="21"/>
                            <w:szCs w:val="21"/>
                          </w:rPr>
                          <w:t> </w:t>
                        </w:r>
                        <w:r>
                          <w:rPr>
                            <w:rFonts w:ascii="宋体" w:hAnsi="宋体" w:cs="宋体" w:eastAsia="宋体" w:hint="default"/>
                            <w:sz w:val="21"/>
                            <w:szCs w:val="21"/>
                          </w:rPr>
                          <w:t>月—至今任职鸿博股份有限公司副董事长</w:t>
                        </w:r>
                      </w:p>
                    </w:tc>
                  </w:tr>
                  <w:tr>
                    <w:trPr>
                      <w:trHeight w:val="332"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尤友岳：2007 年 3</w:t>
                        </w:r>
                        <w:r>
                          <w:rPr>
                            <w:rFonts w:ascii="宋体" w:hAnsi="宋体" w:cs="宋体" w:eastAsia="宋体" w:hint="default"/>
                            <w:spacing w:val="-1"/>
                            <w:sz w:val="21"/>
                            <w:szCs w:val="21"/>
                          </w:rPr>
                          <w:t> </w:t>
                        </w:r>
                        <w:r>
                          <w:rPr>
                            <w:rFonts w:ascii="宋体" w:hAnsi="宋体" w:cs="宋体" w:eastAsia="宋体" w:hint="default"/>
                            <w:sz w:val="21"/>
                            <w:szCs w:val="21"/>
                          </w:rPr>
                          <w:t>月—至今任职鸿博股份有限公司副董事长兼总</w:t>
                        </w:r>
                      </w:p>
                    </w:tc>
                  </w:tr>
                  <w:tr>
                    <w:trPr>
                      <w:trHeight w:val="662"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2"/>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经理</w:t>
                        </w:r>
                      </w:p>
                      <w:p>
                        <w:pPr>
                          <w:pStyle w:val="TableParagraph"/>
                          <w:spacing w:line="240" w:lineRule="auto" w:before="75"/>
                          <w:ind w:left="24" w:right="0"/>
                          <w:jc w:val="left"/>
                          <w:rPr>
                            <w:rFonts w:ascii="宋体" w:hAnsi="宋体" w:cs="宋体" w:eastAsia="宋体" w:hint="default"/>
                            <w:sz w:val="21"/>
                            <w:szCs w:val="21"/>
                          </w:rPr>
                        </w:pPr>
                        <w:r>
                          <w:rPr>
                            <w:rFonts w:ascii="宋体" w:hAnsi="宋体" w:cs="宋体" w:eastAsia="宋体" w:hint="default"/>
                            <w:sz w:val="21"/>
                            <w:szCs w:val="21"/>
                          </w:rPr>
                          <w:t>尤友鸾：2007 年 3</w:t>
                        </w:r>
                        <w:r>
                          <w:rPr>
                            <w:rFonts w:ascii="宋体" w:hAnsi="宋体" w:cs="宋体" w:eastAsia="宋体" w:hint="default"/>
                            <w:spacing w:val="-2"/>
                            <w:sz w:val="21"/>
                            <w:szCs w:val="21"/>
                          </w:rPr>
                          <w:t> </w:t>
                        </w:r>
                        <w:r>
                          <w:rPr>
                            <w:rFonts w:ascii="宋体" w:hAnsi="宋体" w:cs="宋体" w:eastAsia="宋体" w:hint="default"/>
                            <w:sz w:val="21"/>
                            <w:szCs w:val="21"/>
                          </w:rPr>
                          <w:t>月—至今任职鸿博股份有限公司总经理助理、</w:t>
                        </w:r>
                      </w:p>
                    </w:tc>
                  </w:tr>
                  <w:tr>
                    <w:trPr>
                      <w:trHeight w:val="332"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董事、副总经理</w:t>
                        </w:r>
                      </w:p>
                    </w:tc>
                  </w:tr>
                  <w:tr>
                    <w:trPr>
                      <w:trHeight w:val="353"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尤雪仙：退休</w:t>
                        </w:r>
                      </w:p>
                    </w:tc>
                  </w:tr>
                  <w:tr>
                    <w:trPr>
                      <w:trHeight w:val="375" w:hRule="exact"/>
                    </w:trPr>
                    <w:tc>
                      <w:tcPr>
                        <w:tcW w:w="3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49"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章棉桃：退休</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t>3、公司实际控制人情况</w:t>
      </w:r>
      <w:r>
        <w:rPr>
          <w:spacing w:val="-93"/>
        </w:rPr>
        <w:t> </w:t>
      </w: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36"/>
        <w:ind w:right="2880"/>
        <w:jc w:val="left"/>
      </w:pPr>
      <w:r>
        <w:rPr/>
        <w:t>实际控制人报告期内变更</w:t>
      </w:r>
    </w:p>
    <w:p>
      <w:pPr>
        <w:pStyle w:val="BodyText"/>
        <w:spacing w:line="307" w:lineRule="auto" w:before="75"/>
        <w:ind w:right="5106"/>
        <w:jc w:val="left"/>
      </w:pPr>
      <w:r>
        <w:rPr/>
        <w:t>□ 适用 √</w:t>
      </w:r>
      <w:r>
        <w:rPr>
          <w:spacing w:val="-2"/>
        </w:rPr>
        <w:t> </w:t>
      </w:r>
      <w:r>
        <w:rPr/>
        <w:t>不适用</w:t>
      </w:r>
      <w:r>
        <w:rPr>
          <w:spacing w:val="-103"/>
        </w:rPr>
        <w:t> </w:t>
      </w:r>
      <w:r>
        <w:rPr>
          <w:spacing w:val="-103"/>
        </w:rPr>
      </w:r>
      <w:r>
        <w:rPr/>
        <w:t>公司报告期实际控制人未发生变更。</w:t>
      </w:r>
      <w:r>
        <w:rPr>
          <w:w w:val="100"/>
        </w:rPr>
        <w:t> </w:t>
      </w:r>
      <w:r>
        <w:rPr>
          <w:spacing w:val="-2"/>
        </w:rPr>
        <w:t>公司与实际控制人之间的产权及控制关系的方框图</w:t>
      </w:r>
    </w:p>
    <w:p>
      <w:pPr>
        <w:spacing w:after="0" w:line="30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7351" w:lineRule="exact"/>
        <w:ind w:left="154" w:right="0" w:firstLine="0"/>
        <w:rPr>
          <w:rFonts w:ascii="宋体" w:hAnsi="宋体" w:cs="宋体" w:eastAsia="宋体" w:hint="default"/>
          <w:sz w:val="20"/>
          <w:szCs w:val="20"/>
        </w:rPr>
      </w:pPr>
      <w:r>
        <w:rPr>
          <w:rFonts w:ascii="宋体" w:hAnsi="宋体" w:cs="宋体" w:eastAsia="宋体" w:hint="default"/>
          <w:position w:val="-146"/>
          <w:sz w:val="20"/>
          <w:szCs w:val="20"/>
        </w:rPr>
        <w:drawing>
          <wp:inline distT="0" distB="0" distL="0" distR="0">
            <wp:extent cx="6588878" cy="466820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6588878" cy="4668202"/>
                    </a:xfrm>
                    <a:prstGeom prst="rect">
                      <a:avLst/>
                    </a:prstGeom>
                  </pic:spPr>
                </pic:pic>
              </a:graphicData>
            </a:graphic>
          </wp:inline>
        </w:drawing>
      </w:r>
      <w:r>
        <w:rPr>
          <w:rFonts w:ascii="宋体" w:hAnsi="宋体" w:cs="宋体" w:eastAsia="宋体" w:hint="default"/>
          <w:position w:val="-146"/>
          <w:sz w:val="20"/>
          <w:szCs w:val="20"/>
        </w:rPr>
      </w:r>
    </w:p>
    <w:p>
      <w:pPr>
        <w:spacing w:line="240" w:lineRule="auto" w:before="9"/>
        <w:rPr>
          <w:rFonts w:ascii="宋体" w:hAnsi="宋体" w:cs="宋体" w:eastAsia="宋体" w:hint="default"/>
          <w:sz w:val="16"/>
          <w:szCs w:val="16"/>
        </w:rPr>
      </w:pPr>
    </w:p>
    <w:p>
      <w:pPr>
        <w:pStyle w:val="BodyText"/>
        <w:spacing w:line="240" w:lineRule="auto" w:before="36"/>
        <w:ind w:right="2229"/>
        <w:jc w:val="left"/>
      </w:pPr>
      <w:r>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2229"/>
        <w:jc w:val="left"/>
      </w:pPr>
      <w:r>
        <w:rPr/>
        <w:t>□ 适用 √ 不适用</w:t>
      </w:r>
    </w:p>
    <w:p>
      <w:pPr>
        <w:spacing w:line="240" w:lineRule="auto" w:before="8"/>
        <w:rPr>
          <w:rFonts w:ascii="宋体" w:hAnsi="宋体" w:cs="宋体" w:eastAsia="宋体" w:hint="default"/>
          <w:sz w:val="25"/>
          <w:szCs w:val="25"/>
        </w:rPr>
      </w:pPr>
    </w:p>
    <w:p>
      <w:pPr>
        <w:pStyle w:val="BodyText"/>
        <w:spacing w:line="240" w:lineRule="auto"/>
        <w:ind w:right="2229"/>
        <w:jc w:val="left"/>
      </w:pPr>
      <w:r>
        <w:rPr/>
        <w:t>4、其他持股在</w:t>
      </w:r>
      <w:r>
        <w:rPr>
          <w:spacing w:val="-38"/>
        </w:rPr>
        <w:t> </w:t>
      </w:r>
      <w:r>
        <w:rPr/>
        <w:t>10%以上的法人股东</w:t>
      </w:r>
    </w:p>
    <w:p>
      <w:pPr>
        <w:spacing w:line="240" w:lineRule="auto" w:before="12"/>
        <w:rPr>
          <w:rFonts w:ascii="宋体" w:hAnsi="宋体" w:cs="宋体" w:eastAsia="宋体" w:hint="default"/>
          <w:sz w:val="25"/>
          <w:szCs w:val="25"/>
        </w:rPr>
      </w:pPr>
    </w:p>
    <w:p>
      <w:pPr>
        <w:pStyle w:val="BodyText"/>
        <w:spacing w:line="535" w:lineRule="auto"/>
        <w:ind w:right="2229"/>
        <w:jc w:val="left"/>
      </w:pPr>
      <w:r>
        <w:rPr/>
        <w:t>□ 适用 √</w:t>
      </w:r>
      <w:r>
        <w:rPr>
          <w:spacing w:val="-2"/>
        </w:rPr>
        <w:t> </w:t>
      </w:r>
      <w:r>
        <w:rPr/>
        <w:t>不适用</w:t>
      </w:r>
      <w:r>
        <w:rPr>
          <w:spacing w:val="-103"/>
        </w:rPr>
        <w:t> </w:t>
      </w:r>
      <w:r>
        <w:rPr>
          <w:spacing w:val="-103"/>
        </w:rPr>
      </w:r>
      <w:r>
        <w:rPr>
          <w:spacing w:val="-1"/>
        </w:rPr>
        <w:t>四、公司股东及其一致行动人在报告期提出或实施股份增持计划的情况</w:t>
      </w:r>
    </w:p>
    <w:p>
      <w:pPr>
        <w:pStyle w:val="BodyText"/>
        <w:spacing w:line="307" w:lineRule="auto" w:before="81"/>
        <w:ind w:right="2229"/>
        <w:jc w:val="left"/>
      </w:pPr>
      <w:r>
        <w:rPr/>
        <w:t>□ 适用 √</w:t>
      </w:r>
      <w:r>
        <w:rPr>
          <w:spacing w:val="-2"/>
        </w:rPr>
        <w:t> </w:t>
      </w:r>
      <w:r>
        <w:rPr/>
        <w:t>不适用</w:t>
      </w:r>
      <w:r>
        <w:rPr>
          <w:spacing w:val="-103"/>
        </w:rPr>
        <w:t> </w:t>
      </w:r>
      <w:r>
        <w:rPr>
          <w:spacing w:val="-103"/>
        </w:rPr>
      </w:r>
      <w:r>
        <w:rPr>
          <w:spacing w:val="-2"/>
        </w:rPr>
        <w:t>在公司所知的范围内，没有公司股东及其一致行动人在报告期提出或实施股份增持计划。</w:t>
      </w:r>
    </w:p>
    <w:p>
      <w:pPr>
        <w:spacing w:after="0" w:line="307" w:lineRule="auto"/>
        <w:jc w:val="left"/>
        <w:sectPr>
          <w:pgSz w:w="11910" w:h="16840"/>
          <w:pgMar w:header="747" w:footer="979" w:top="1060" w:bottom="1160" w:left="98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46"/>
        <w:jc w:val="center"/>
      </w:pPr>
      <w:bookmarkStart w:name="_TOC_250005" w:id="7"/>
      <w:r>
        <w:rPr/>
        <w:t>第七节</w:t>
      </w:r>
      <w:r>
        <w:rPr>
          <w:spacing w:val="7"/>
        </w:rPr>
        <w:t> </w:t>
      </w:r>
      <w:bookmarkEnd w:id="7"/>
      <w:r>
        <w:rPr/>
        <w:t>优先股相关情况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307" w:lineRule="auto" w:before="36"/>
        <w:ind w:right="6516"/>
        <w:jc w:val="left"/>
      </w:pPr>
      <w:r>
        <w:rPr/>
        <w:t>□ 适用 √</w:t>
      </w:r>
      <w:r>
        <w:rPr>
          <w:spacing w:val="-2"/>
        </w:rPr>
        <w:t> </w:t>
      </w:r>
      <w:r>
        <w:rPr/>
        <w:t>不适用</w:t>
      </w:r>
      <w:r>
        <w:rPr>
          <w:w w:val="100"/>
        </w:rPr>
        <w:t> </w:t>
      </w:r>
      <w:r>
        <w:rPr>
          <w:spacing w:val="-2"/>
        </w:rPr>
        <w:t>报告期公司不存在优先股。</w:t>
      </w:r>
    </w:p>
    <w:p>
      <w:pPr>
        <w:spacing w:after="0" w:line="30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504" w:right="0"/>
        <w:jc w:val="left"/>
      </w:pPr>
      <w:bookmarkStart w:name="_TOC_250004" w:id="8"/>
      <w:r>
        <w:rPr/>
        <w:t>第八节</w:t>
      </w:r>
      <w:r>
        <w:rPr>
          <w:spacing w:val="15"/>
        </w:rPr>
        <w:t> </w:t>
      </w:r>
      <w:bookmarkEnd w:id="8"/>
      <w:r>
        <w:rPr/>
        <w:t>董事、监事、高级管理人员和员工情况</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pStyle w:val="BodyText"/>
        <w:spacing w:line="240" w:lineRule="auto"/>
        <w:ind w:right="2880"/>
        <w:jc w:val="left"/>
      </w:pPr>
      <w:r>
        <w:rPr/>
        <w:t>一、董事、监事和高级管理人员持股变动</w:t>
      </w:r>
    </w:p>
    <w:p>
      <w:pPr>
        <w:spacing w:line="240" w:lineRule="auto" w:before="9"/>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24" w:right="108" w:hanging="209"/>
              <w:jc w:val="left"/>
              <w:rPr>
                <w:rFonts w:ascii="宋体" w:hAnsi="宋体" w:cs="宋体" w:eastAsia="宋体" w:hint="default"/>
                <w:sz w:val="21"/>
                <w:szCs w:val="21"/>
              </w:rPr>
            </w:pPr>
            <w:r>
              <w:rPr>
                <w:rFonts w:ascii="宋体" w:hAnsi="宋体" w:cs="宋体" w:eastAsia="宋体" w:hint="default"/>
                <w:sz w:val="21"/>
                <w:szCs w:val="21"/>
              </w:rPr>
              <w:t>任职状</w:t>
            </w:r>
            <w:r>
              <w:rPr>
                <w:rFonts w:ascii="宋体" w:hAnsi="宋体" w:cs="宋体" w:eastAsia="宋体" w:hint="default"/>
                <w:spacing w:val="-102"/>
                <w:sz w:val="21"/>
                <w:szCs w:val="21"/>
              </w:rPr>
              <w:t> </w:t>
            </w:r>
            <w:r>
              <w:rPr>
                <w:rFonts w:ascii="宋体" w:hAnsi="宋体" w:cs="宋体" w:eastAsia="宋体" w:hint="default"/>
                <w:sz w:val="21"/>
                <w:szCs w:val="21"/>
              </w:rPr>
              <w:t>态</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08"/>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0" w:right="108" w:hanging="106"/>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1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5" w:right="110"/>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7"/>
              <w:ind w:left="115"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7"/>
              <w:ind w:left="115"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0" w:right="110" w:hanging="106"/>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115"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67,830,</w:t>
            </w:r>
          </w:p>
          <w:p>
            <w:pPr>
              <w:pStyle w:val="TableParagraph"/>
              <w:spacing w:line="240" w:lineRule="auto" w:before="34"/>
              <w:ind w:left="523"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11,330,</w:t>
            </w:r>
          </w:p>
          <w:p>
            <w:pPr>
              <w:pStyle w:val="TableParagraph"/>
              <w:spacing w:line="240" w:lineRule="auto" w:before="34"/>
              <w:ind w:left="523"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56,500,</w:t>
            </w:r>
          </w:p>
          <w:p>
            <w:pPr>
              <w:pStyle w:val="TableParagraph"/>
              <w:spacing w:line="240" w:lineRule="auto" w:before="34"/>
              <w:ind w:left="523" w:right="0"/>
              <w:jc w:val="left"/>
              <w:rPr>
                <w:rFonts w:ascii="宋体" w:hAnsi="宋体" w:cs="宋体" w:eastAsia="宋体" w:hint="default"/>
                <w:sz w:val="21"/>
                <w:szCs w:val="21"/>
              </w:rPr>
            </w:pPr>
            <w:r>
              <w:rPr>
                <w:rFonts w:ascii="宋体"/>
                <w:sz w:val="21"/>
              </w:rPr>
              <w:t>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副董事</w:t>
            </w:r>
            <w:r>
              <w:rPr>
                <w:rFonts w:ascii="宋体" w:hAnsi="宋体" w:cs="宋体" w:eastAsia="宋体" w:hint="default"/>
                <w:spacing w:val="-102"/>
                <w:sz w:val="21"/>
                <w:szCs w:val="21"/>
              </w:rPr>
              <w:t> </w:t>
            </w:r>
            <w:r>
              <w:rPr>
                <w:rFonts w:ascii="宋体" w:hAnsi="宋体" w:cs="宋体" w:eastAsia="宋体" w:hint="default"/>
                <w:sz w:val="21"/>
                <w:szCs w:val="21"/>
              </w:rPr>
              <w:t>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60,454,</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15,113,</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45,340,</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500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03"/>
              <w:jc w:val="both"/>
              <w:rPr>
                <w:rFonts w:ascii="宋体" w:hAnsi="宋体" w:cs="宋体" w:eastAsia="宋体" w:hint="default"/>
                <w:sz w:val="21"/>
                <w:szCs w:val="21"/>
              </w:rPr>
            </w:pPr>
            <w:r>
              <w:rPr>
                <w:rFonts w:ascii="宋体" w:hAnsi="宋体" w:cs="宋体" w:eastAsia="宋体" w:hint="default"/>
                <w:sz w:val="21"/>
                <w:szCs w:val="21"/>
              </w:rPr>
              <w:t>副董事</w:t>
            </w:r>
            <w:r>
              <w:rPr>
                <w:rFonts w:ascii="宋体" w:hAnsi="宋体" w:cs="宋体" w:eastAsia="宋体" w:hint="default"/>
                <w:spacing w:val="-102"/>
                <w:sz w:val="21"/>
                <w:szCs w:val="21"/>
              </w:rPr>
              <w:t> </w:t>
            </w:r>
            <w:r>
              <w:rPr>
                <w:rFonts w:ascii="宋体" w:hAnsi="宋体" w:cs="宋体" w:eastAsia="宋体" w:hint="default"/>
                <w:sz w:val="21"/>
                <w:szCs w:val="21"/>
              </w:rPr>
              <w:t>长兼总</w:t>
            </w:r>
            <w:r>
              <w:rPr>
                <w:rFonts w:ascii="宋体" w:hAnsi="宋体" w:cs="宋体" w:eastAsia="宋体" w:hint="default"/>
                <w:spacing w:val="-102"/>
                <w:sz w:val="21"/>
                <w:szCs w:val="21"/>
              </w:rPr>
              <w:t> </w:t>
            </w:r>
            <w:r>
              <w:rPr>
                <w:rFonts w:ascii="宋体" w:hAnsi="宋体" w:cs="宋体" w:eastAsia="宋体" w:hint="default"/>
                <w:sz w:val="21"/>
                <w:szCs w:val="21"/>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15,504,</w:t>
            </w:r>
          </w:p>
          <w:p>
            <w:pPr>
              <w:pStyle w:val="TableParagraph"/>
              <w:spacing w:line="240" w:lineRule="auto" w:before="34"/>
              <w:ind w:left="523"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15,504,</w:t>
            </w:r>
          </w:p>
          <w:p>
            <w:pPr>
              <w:pStyle w:val="TableParagraph"/>
              <w:spacing w:line="240" w:lineRule="auto" w:before="34"/>
              <w:ind w:left="523" w:right="0"/>
              <w:jc w:val="left"/>
              <w:rPr>
                <w:rFonts w:ascii="宋体" w:hAnsi="宋体" w:cs="宋体" w:eastAsia="宋体" w:hint="default"/>
                <w:sz w:val="21"/>
                <w:szCs w:val="21"/>
              </w:rPr>
            </w:pPr>
            <w:r>
              <w:rPr>
                <w:rFonts w:ascii="宋体"/>
                <w:sz w:val="21"/>
              </w:rPr>
              <w:t>000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3"/>
              <w:jc w:val="both"/>
              <w:rPr>
                <w:rFonts w:ascii="宋体" w:hAnsi="宋体" w:cs="宋体" w:eastAsia="宋体" w:hint="default"/>
                <w:sz w:val="21"/>
                <w:szCs w:val="21"/>
              </w:rPr>
            </w:pPr>
            <w:r>
              <w:rPr>
                <w:rFonts w:ascii="宋体" w:hAnsi="宋体" w:cs="宋体" w:eastAsia="宋体" w:hint="default"/>
                <w:sz w:val="21"/>
                <w:szCs w:val="21"/>
              </w:rPr>
              <w:t>董事兼</w:t>
            </w:r>
            <w:r>
              <w:rPr>
                <w:rFonts w:ascii="宋体" w:hAnsi="宋体" w:cs="宋体" w:eastAsia="宋体" w:hint="default"/>
                <w:spacing w:val="-102"/>
                <w:sz w:val="21"/>
                <w:szCs w:val="21"/>
              </w:rPr>
              <w:t> </w:t>
            </w: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6,004,0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6,004,0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李云强</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z w:val="21"/>
              </w:rPr>
              <w:t>49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0</w:t>
            </w: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周美妹</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41</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0</w:t>
            </w: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黄志雨</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z w:val="21"/>
              </w:rPr>
              <w:t>35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0</w:t>
            </w: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4" w:right="203"/>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张学清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陈瑞汉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203"/>
              <w:jc w:val="left"/>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pacing w:val="-102"/>
                <w:sz w:val="21"/>
                <w:szCs w:val="21"/>
              </w:rPr>
              <w:t> </w:t>
            </w:r>
            <w:r>
              <w:rPr>
                <w:rFonts w:ascii="宋体" w:hAnsi="宋体" w:cs="宋体" w:eastAsia="宋体" w:hint="default"/>
                <w:sz w:val="21"/>
                <w:szCs w:val="21"/>
              </w:rPr>
              <w:t>主席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359"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谢友军</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57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19,800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4,950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14,850</w:t>
            </w:r>
          </w:p>
        </w:tc>
      </w:tr>
      <w:tr>
        <w:trPr>
          <w:trHeight w:val="354"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何爱平</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z w:val="21"/>
              </w:rPr>
              <w:t>35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14</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w w:val="100"/>
                <w:sz w:val="21"/>
              </w:rPr>
              <w:t>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23"/>
              <w:jc w:val="right"/>
              <w:rPr>
                <w:rFonts w:ascii="宋体" w:hAnsi="宋体" w:cs="宋体" w:eastAsia="宋体" w:hint="default"/>
                <w:sz w:val="21"/>
                <w:szCs w:val="21"/>
              </w:rPr>
            </w:pPr>
            <w:r>
              <w:rPr>
                <w:rFonts w:ascii="宋体"/>
                <w:w w:val="100"/>
                <w:sz w:val="21"/>
              </w:rPr>
              <w:t>0</w:t>
            </w:r>
          </w:p>
        </w:tc>
      </w:tr>
      <w:tr>
        <w:trPr>
          <w:trHeight w:val="355"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郭斌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40,879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10,220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30,659</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罗智波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203"/>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3"/>
              <w:jc w:val="both"/>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理兼董</w:t>
            </w:r>
            <w:r>
              <w:rPr>
                <w:rFonts w:ascii="宋体" w:hAnsi="宋体" w:cs="宋体" w:eastAsia="宋体" w:hint="default"/>
                <w:spacing w:val="-102"/>
                <w:sz w:val="21"/>
                <w:szCs w:val="21"/>
              </w:rPr>
              <w:t> </w:t>
            </w:r>
            <w:r>
              <w:rPr>
                <w:rFonts w:ascii="宋体" w:hAnsi="宋体" w:cs="宋体" w:eastAsia="宋体" w:hint="default"/>
                <w:sz w:val="21"/>
                <w:szCs w:val="21"/>
              </w:rPr>
              <w:t>事会秘</w:t>
            </w:r>
            <w:r>
              <w:rPr>
                <w:rFonts w:ascii="宋体" w:hAnsi="宋体" w:cs="宋体" w:eastAsia="宋体" w:hint="default"/>
                <w:spacing w:val="-102"/>
                <w:sz w:val="21"/>
                <w:szCs w:val="21"/>
              </w:rPr>
              <w:t> </w:t>
            </w:r>
            <w:r>
              <w:rPr>
                <w:rFonts w:ascii="宋体" w:hAnsi="宋体" w:cs="宋体" w:eastAsia="宋体" w:hint="default"/>
                <w:sz w:val="21"/>
                <w:szCs w:val="21"/>
              </w:rPr>
              <w:t>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sz w:val="21"/>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高琦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203"/>
              <w:jc w:val="left"/>
              <w:rPr>
                <w:rFonts w:ascii="宋体" w:hAnsi="宋体" w:cs="宋体" w:eastAsia="宋体" w:hint="default"/>
                <w:sz w:val="21"/>
                <w:szCs w:val="21"/>
              </w:rPr>
            </w:pPr>
            <w:r>
              <w:rPr>
                <w:rFonts w:ascii="宋体" w:hAnsi="宋体" w:cs="宋体" w:eastAsia="宋体" w:hint="default"/>
                <w:sz w:val="21"/>
                <w:szCs w:val="21"/>
              </w:rPr>
              <w:t>财务总</w:t>
            </w:r>
            <w:r>
              <w:rPr>
                <w:rFonts w:ascii="宋体" w:hAnsi="宋体" w:cs="宋体" w:eastAsia="宋体" w:hint="default"/>
                <w:spacing w:val="-102"/>
                <w:sz w:val="21"/>
                <w:szCs w:val="21"/>
              </w:rPr>
              <w:t> </w:t>
            </w:r>
            <w:r>
              <w:rPr>
                <w:rFonts w:ascii="宋体" w:hAnsi="宋体" w:cs="宋体" w:eastAsia="宋体" w:hint="default"/>
                <w:sz w:val="21"/>
                <w:szCs w:val="21"/>
              </w:rPr>
              <w:t>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冯燕潮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203"/>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203"/>
              <w:jc w:val="left"/>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spacing w:val="-102"/>
                <w:sz w:val="21"/>
                <w:szCs w:val="21"/>
              </w:rPr>
              <w:t> </w:t>
            </w:r>
            <w:r>
              <w:rPr>
                <w:rFonts w:ascii="宋体" w:hAnsi="宋体" w:cs="宋体" w:eastAsia="宋体" w:hint="default"/>
                <w:sz w:val="21"/>
                <w:szCs w:val="21"/>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359"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王文敬</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59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375</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375</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0</w:t>
            </w:r>
          </w:p>
        </w:tc>
      </w:tr>
      <w:tr>
        <w:trPr>
          <w:trHeight w:val="354"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洪波</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203"/>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spacing w:val="-102"/>
                <w:sz w:val="21"/>
                <w:szCs w:val="21"/>
              </w:rPr>
              <w:t> </w:t>
            </w:r>
            <w:r>
              <w:rPr>
                <w:rFonts w:ascii="宋体" w:hAnsi="宋体" w:cs="宋体" w:eastAsia="宋体" w:hint="default"/>
                <w:sz w:val="21"/>
                <w:szCs w:val="21"/>
              </w:rPr>
              <w:t>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sz w:val="21"/>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149,853</w:t>
            </w:r>
          </w:p>
          <w:p>
            <w:pPr>
              <w:pStyle w:val="TableParagraph"/>
              <w:spacing w:line="240" w:lineRule="auto" w:before="37"/>
              <w:ind w:left="417" w:right="0"/>
              <w:jc w:val="left"/>
              <w:rPr>
                <w:rFonts w:ascii="宋体" w:hAnsi="宋体" w:cs="宋体" w:eastAsia="宋体" w:hint="default"/>
                <w:sz w:val="21"/>
                <w:szCs w:val="21"/>
              </w:rPr>
            </w:pPr>
            <w:r>
              <w:rPr>
                <w:rFonts w:ascii="宋体"/>
                <w:sz w:val="21"/>
              </w:rPr>
              <w:t>,054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26,459,</w:t>
            </w:r>
          </w:p>
          <w:p>
            <w:pPr>
              <w:pStyle w:val="TableParagraph"/>
              <w:spacing w:line="240" w:lineRule="auto" w:before="37"/>
              <w:ind w:left="523" w:right="0"/>
              <w:jc w:val="left"/>
              <w:rPr>
                <w:rFonts w:ascii="宋体" w:hAnsi="宋体" w:cs="宋体" w:eastAsia="宋体" w:hint="default"/>
                <w:sz w:val="21"/>
                <w:szCs w:val="21"/>
              </w:rPr>
            </w:pPr>
            <w:r>
              <w:rPr>
                <w:rFonts w:ascii="宋体"/>
                <w:sz w:val="21"/>
              </w:rPr>
              <w:t>045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123,394</w:t>
            </w:r>
          </w:p>
          <w:p>
            <w:pPr>
              <w:pStyle w:val="TableParagraph"/>
              <w:spacing w:line="240" w:lineRule="auto" w:before="37"/>
              <w:ind w:left="417" w:right="0"/>
              <w:jc w:val="left"/>
              <w:rPr>
                <w:rFonts w:ascii="宋体" w:hAnsi="宋体" w:cs="宋体" w:eastAsia="宋体" w:hint="default"/>
                <w:sz w:val="21"/>
                <w:szCs w:val="21"/>
              </w:rPr>
            </w:pPr>
            <w:r>
              <w:rPr>
                <w:rFonts w:ascii="宋体"/>
                <w:sz w:val="21"/>
              </w:rPr>
              <w:t>,009</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BodyText"/>
        <w:spacing w:line="240" w:lineRule="auto" w:before="36"/>
        <w:ind w:right="99"/>
        <w:jc w:val="left"/>
      </w:pPr>
      <w:r>
        <w:rPr/>
        <w:t>二、任职情况</w:t>
      </w:r>
    </w:p>
    <w:p>
      <w:pPr>
        <w:spacing w:line="240" w:lineRule="auto" w:before="12"/>
        <w:rPr>
          <w:rFonts w:ascii="宋体" w:hAnsi="宋体" w:cs="宋体" w:eastAsia="宋体" w:hint="default"/>
          <w:sz w:val="25"/>
          <w:szCs w:val="25"/>
        </w:rPr>
      </w:pPr>
    </w:p>
    <w:p>
      <w:pPr>
        <w:pStyle w:val="BodyText"/>
        <w:spacing w:line="307" w:lineRule="auto"/>
        <w:ind w:left="574" w:right="99" w:hanging="420"/>
        <w:jc w:val="left"/>
      </w:pPr>
      <w:r>
        <w:rPr/>
        <w:t>公司现任董事、监事、高级管理人员最近</w:t>
      </w:r>
      <w:r>
        <w:rPr>
          <w:spacing w:val="-53"/>
        </w:rPr>
        <w:t> </w:t>
      </w:r>
      <w:r>
        <w:rPr/>
        <w:t>5</w:t>
      </w:r>
      <w:r>
        <w:rPr>
          <w:spacing w:val="-53"/>
        </w:rPr>
        <w:t> </w:t>
      </w:r>
      <w:r>
        <w:rPr/>
        <w:t>年的主要工作经历</w:t>
      </w:r>
      <w:r>
        <w:rPr>
          <w:w w:val="100"/>
        </w:rPr>
        <w:t> </w:t>
      </w:r>
      <w:r>
        <w:rPr>
          <w:spacing w:val="-2"/>
        </w:rPr>
        <w:t>尤丽娟女士：中国国籍，工商管理硕士，清华大学EMBA。曾任福州市人大代表、福建省青年商会常务</w:t>
      </w:r>
    </w:p>
    <w:p>
      <w:pPr>
        <w:pStyle w:val="BodyText"/>
        <w:spacing w:line="253" w:lineRule="exact"/>
        <w:ind w:right="99"/>
        <w:jc w:val="left"/>
      </w:pPr>
      <w:r>
        <w:rPr/>
        <w:t>理事，曾获得福建省第七届优秀青年企业家荣誉。现任中国经济文化交流协会副会长、中国青年企业家协</w:t>
      </w:r>
    </w:p>
    <w:p>
      <w:pPr>
        <w:pStyle w:val="BodyText"/>
        <w:spacing w:line="273" w:lineRule="auto" w:before="37"/>
        <w:ind w:right="99"/>
        <w:jc w:val="left"/>
      </w:pPr>
      <w:r>
        <w:rPr>
          <w:spacing w:val="-2"/>
        </w:rPr>
        <w:t>会委员、中国就业促进会理事、福建省红十字会荣誉理事、福建省民营企业商会理事、福建省工商业联合</w:t>
      </w:r>
      <w:r>
        <w:rPr>
          <w:spacing w:val="-50"/>
        </w:rPr>
        <w:t> </w:t>
      </w:r>
      <w:r>
        <w:rPr>
          <w:spacing w:val="-50"/>
        </w:rPr>
      </w:r>
      <w:r>
        <w:rPr/>
        <w:t>会直属委员会理事、公司董事长。</w:t>
      </w:r>
    </w:p>
    <w:p>
      <w:pPr>
        <w:pStyle w:val="BodyText"/>
        <w:spacing w:line="273" w:lineRule="auto" w:before="7"/>
        <w:ind w:right="99" w:firstLine="420"/>
        <w:jc w:val="left"/>
      </w:pPr>
      <w:r>
        <w:rPr/>
        <w:t>尤玉仙女士：中国国籍，现任本公司副董事长、福建省第十一界政协委员，福州市第十二、十三届人</w:t>
      </w:r>
      <w:r>
        <w:rPr>
          <w:w w:val="100"/>
        </w:rPr>
        <w:t> </w:t>
      </w:r>
      <w:r>
        <w:rPr>
          <w:spacing w:val="-5"/>
        </w:rPr>
        <w:t>大代表，福建省浙江商会副会长，福建省总商会女企业家联谊会常务理事，福州市工商业联合会常委理事，</w:t>
      </w:r>
      <w:r>
        <w:rPr>
          <w:spacing w:val="-7"/>
        </w:rPr>
        <w:t> </w:t>
      </w:r>
      <w:r>
        <w:rPr>
          <w:spacing w:val="-7"/>
        </w:rPr>
      </w:r>
      <w:r>
        <w:rPr/>
        <w:t>福州市节能协会副会长，福州市青年联合会常委。</w:t>
      </w:r>
    </w:p>
    <w:p>
      <w:pPr>
        <w:pStyle w:val="BodyText"/>
        <w:spacing w:line="240" w:lineRule="auto" w:before="7"/>
        <w:ind w:left="574" w:right="99"/>
        <w:jc w:val="left"/>
      </w:pPr>
      <w:r>
        <w:rPr/>
        <w:t>尤友岳先生：工商管理硕士，中国国籍，无永久境外居留权；现任本公司副董事长、总经理。</w:t>
      </w:r>
    </w:p>
    <w:p>
      <w:pPr>
        <w:pStyle w:val="BodyText"/>
        <w:spacing w:line="273" w:lineRule="auto" w:before="37"/>
        <w:ind w:right="92" w:firstLine="420"/>
        <w:jc w:val="left"/>
      </w:pPr>
      <w:r>
        <w:rPr/>
        <w:t>尤友鸾</w:t>
      </w:r>
      <w:r>
        <w:rPr>
          <w:spacing w:val="-26"/>
        </w:rPr>
        <w:t> </w:t>
      </w:r>
      <w:r>
        <w:rPr/>
        <w:t>先生，中国国籍，厦门大学EMBA。先后在本公司任生产部经理、副总经理、总经理特别助理、</w:t>
      </w:r>
      <w:r>
        <w:rPr>
          <w:w w:val="100"/>
        </w:rPr>
        <w:t> </w:t>
      </w:r>
      <w:r>
        <w:rPr/>
        <w:t>董事，现任本公司董事副总经理。</w:t>
      </w:r>
    </w:p>
    <w:p>
      <w:pPr>
        <w:pStyle w:val="BodyText"/>
        <w:spacing w:line="273" w:lineRule="auto" w:before="7"/>
        <w:ind w:right="284" w:firstLine="420"/>
        <w:jc w:val="left"/>
      </w:pPr>
      <w:r>
        <w:rPr/>
        <w:t>周美妹</w:t>
      </w:r>
      <w:r>
        <w:rPr>
          <w:spacing w:val="-8"/>
        </w:rPr>
        <w:t> </w:t>
      </w:r>
      <w:r>
        <w:rPr/>
        <w:t>女士，中国国籍，毕业于西南财经大学，高级会计师，注册会计师，注册税务师，现任本公</w:t>
      </w:r>
      <w:r>
        <w:rPr>
          <w:w w:val="100"/>
        </w:rPr>
        <w:t> </w:t>
      </w:r>
      <w:r>
        <w:rPr/>
        <w:t>司董事。</w:t>
      </w:r>
    </w:p>
    <w:p>
      <w:pPr>
        <w:pStyle w:val="BodyText"/>
        <w:spacing w:line="273" w:lineRule="auto" w:before="7"/>
        <w:ind w:right="99" w:firstLine="420"/>
        <w:jc w:val="left"/>
      </w:pPr>
      <w:r>
        <w:rPr>
          <w:spacing w:val="-2"/>
        </w:rPr>
        <w:t>李云强先生：本科学历，中国国籍，无永久境外居留权；曾任福州二塑塑胶有限公司副总经理，本公</w:t>
      </w:r>
      <w:r>
        <w:rPr>
          <w:w w:val="100"/>
        </w:rPr>
        <w:t> </w:t>
      </w:r>
      <w:r>
        <w:rPr/>
        <w:t>司副总经理，鸿博光电有限公司总经理，现任本公司董事、重庆鸿海董事总经理。</w:t>
      </w:r>
    </w:p>
    <w:p>
      <w:pPr>
        <w:pStyle w:val="BodyText"/>
        <w:spacing w:line="273" w:lineRule="auto" w:before="7"/>
        <w:ind w:right="285" w:firstLine="420"/>
        <w:jc w:val="left"/>
      </w:pPr>
      <w:r>
        <w:rPr/>
        <w:t>黄志雨</w:t>
      </w:r>
      <w:r>
        <w:rPr>
          <w:spacing w:val="-9"/>
        </w:rPr>
        <w:t> </w:t>
      </w:r>
      <w:r>
        <w:rPr/>
        <w:t>先生，中国国籍，无境外居留权，大专学历，中级程序员，现任本公司子公司鸿博（福建）</w:t>
      </w:r>
      <w:r>
        <w:rPr>
          <w:w w:val="100"/>
        </w:rPr>
        <w:t> </w:t>
      </w:r>
      <w:r>
        <w:rPr/>
        <w:t>数据网络科技股份有限公司总经理，广州彩创网络技术有限公司总经理。</w:t>
      </w:r>
    </w:p>
    <w:p>
      <w:pPr>
        <w:pStyle w:val="BodyText"/>
        <w:spacing w:line="273" w:lineRule="auto" w:before="7"/>
        <w:ind w:right="99" w:firstLine="420"/>
        <w:jc w:val="left"/>
      </w:pPr>
      <w:r>
        <w:rPr/>
        <w:t>潘琰 </w:t>
      </w:r>
      <w:r>
        <w:rPr>
          <w:spacing w:val="-3"/>
        </w:rPr>
        <w:t>女士，中国国籍，中共党员，管理学博士，会计学教授，注册会计师。1984</w:t>
      </w:r>
      <w:r>
        <w:rPr>
          <w:spacing w:val="43"/>
        </w:rPr>
        <w:t> </w:t>
      </w:r>
      <w:r>
        <w:rPr/>
        <w:t>年起任教于福州大</w:t>
      </w:r>
      <w:r>
        <w:rPr>
          <w:w w:val="100"/>
        </w:rPr>
        <w:t> </w:t>
      </w:r>
      <w:r>
        <w:rPr>
          <w:spacing w:val="-5"/>
        </w:rPr>
        <w:t>学管理学院，曾任福州大学管理学院会计系副主任、主任，福州大学管理学院副院长，现任福州大学教授、</w:t>
      </w:r>
      <w:r>
        <w:rPr>
          <w:spacing w:val="-10"/>
        </w:rPr>
        <w:t> </w:t>
      </w:r>
      <w:r>
        <w:rPr>
          <w:spacing w:val="-10"/>
        </w:rPr>
      </w:r>
      <w:r>
        <w:rPr/>
        <w:t>本公司独立董事、中国武夷实业股份有限公司独立董事。</w:t>
      </w:r>
    </w:p>
    <w:p>
      <w:pPr>
        <w:pStyle w:val="BodyText"/>
        <w:spacing w:line="273" w:lineRule="auto" w:before="7"/>
        <w:ind w:right="99" w:firstLine="420"/>
        <w:jc w:val="left"/>
      </w:pPr>
      <w:r>
        <w:rPr/>
        <w:t>张新泽</w:t>
      </w:r>
      <w:r>
        <w:rPr>
          <w:spacing w:val="-5"/>
        </w:rPr>
        <w:t> </w:t>
      </w:r>
      <w:r>
        <w:rPr/>
        <w:t>先生，中国国籍，中共党员，研究员，毕业于中国人民大学财政系财政金融专业，先后任中</w:t>
      </w:r>
      <w:r>
        <w:rPr>
          <w:w w:val="100"/>
        </w:rPr>
        <w:t> </w:t>
      </w:r>
      <w:r>
        <w:rPr>
          <w:spacing w:val="-2"/>
        </w:rPr>
        <w:t>国人民银行办公厅秘书、综合处副处长、中国人民银行调查统计司物价调查处处长、经济分析处处长，副</w:t>
      </w:r>
      <w:r>
        <w:rPr>
          <w:spacing w:val="-47"/>
        </w:rPr>
        <w:t> </w:t>
      </w:r>
      <w:r>
        <w:rPr>
          <w:spacing w:val="-47"/>
        </w:rPr>
      </w:r>
      <w:r>
        <w:rPr>
          <w:spacing w:val="-2"/>
        </w:rPr>
        <w:t>司长、局级巡视员、中国人民银行征信管理局级巡视员，兼征信中心副主任、中国银行董事会非执行董事</w:t>
      </w:r>
      <w:r>
        <w:rPr>
          <w:spacing w:val="-47"/>
        </w:rPr>
        <w:t> </w:t>
      </w:r>
      <w:r>
        <w:rPr>
          <w:spacing w:val="-47"/>
        </w:rPr>
      </w:r>
      <w:r>
        <w:rPr>
          <w:spacing w:val="-2"/>
        </w:rPr>
        <w:t>(中央汇金公司派出)、现任中国人民大学和西南财经大学兼职教授，鸿博股份有限公司独立董事、光大银</w:t>
      </w:r>
      <w:r>
        <w:rPr>
          <w:spacing w:val="-44"/>
        </w:rPr>
        <w:t> </w:t>
      </w:r>
      <w:r>
        <w:rPr>
          <w:spacing w:val="-44"/>
        </w:rPr>
      </w:r>
      <w:r>
        <w:rPr/>
        <w:t>行股份有限公司独立董事。</w:t>
      </w:r>
    </w:p>
    <w:p>
      <w:pPr>
        <w:pStyle w:val="BodyText"/>
        <w:spacing w:line="273" w:lineRule="auto" w:before="7"/>
        <w:ind w:right="99" w:firstLine="420"/>
        <w:jc w:val="left"/>
      </w:pPr>
      <w:r>
        <w:rPr/>
        <w:t>丁仕达</w:t>
      </w:r>
      <w:r>
        <w:rPr>
          <w:spacing w:val="-5"/>
        </w:rPr>
        <w:t> </w:t>
      </w:r>
      <w:r>
        <w:rPr/>
        <w:t>先生，管理学博士，高级经济师，中国国籍，无永久境外居留权；曾任福建省建材工业总公</w:t>
      </w:r>
      <w:r>
        <w:rPr>
          <w:w w:val="100"/>
        </w:rPr>
        <w:t> </w:t>
      </w:r>
      <w:r>
        <w:rPr>
          <w:spacing w:val="-5"/>
        </w:rPr>
        <w:t>司总经理、福建水泥股份有限公司董事长、福建投资企业集团公司总经理、香港闽信集团公司（香港上市）</w:t>
      </w:r>
      <w:r>
        <w:rPr>
          <w:spacing w:val="-13"/>
        </w:rPr>
        <w:t> </w:t>
      </w:r>
      <w:r>
        <w:rPr>
          <w:spacing w:val="-13"/>
        </w:rPr>
      </w:r>
      <w:r>
        <w:rPr>
          <w:spacing w:val="-2"/>
        </w:rPr>
        <w:t>董事长、澳门国际银行副董事长、厦门国际银行董事长等，现任本公司独立董事、北方导航控制技术股份</w:t>
      </w:r>
      <w:r>
        <w:rPr>
          <w:spacing w:val="-50"/>
        </w:rPr>
        <w:t> </w:t>
      </w:r>
      <w:r>
        <w:rPr>
          <w:spacing w:val="-50"/>
        </w:rPr>
      </w:r>
      <w:r>
        <w:rPr>
          <w:spacing w:val="-2"/>
        </w:rPr>
        <w:t>有限公司独立董事、紫金矿业集团股份有限公司独立董事，中国社会科学院研究生院特聘兼职教授、福州</w:t>
      </w:r>
      <w:r>
        <w:rPr>
          <w:spacing w:val="-44"/>
        </w:rPr>
        <w:t> </w:t>
      </w:r>
      <w:r>
        <w:rPr>
          <w:spacing w:val="-44"/>
        </w:rPr>
      </w:r>
      <w:r>
        <w:rPr/>
        <w:t>大学管理学院兼职教授。</w:t>
      </w:r>
    </w:p>
    <w:p>
      <w:pPr>
        <w:pStyle w:val="BodyText"/>
        <w:spacing w:line="273" w:lineRule="auto" w:before="7"/>
        <w:ind w:right="99" w:firstLine="420"/>
        <w:jc w:val="left"/>
      </w:pPr>
      <w:r>
        <w:rPr>
          <w:spacing w:val="-2"/>
        </w:rPr>
        <w:t>洪波先生，1959年11月生，中国国籍，中共党员。1983年毕业于中国政法大学，本科学历，法学学士</w:t>
      </w:r>
      <w:r>
        <w:rPr>
          <w:w w:val="100"/>
        </w:rPr>
        <w:t> </w:t>
      </w:r>
      <w:r>
        <w:rPr/>
        <w:t>学位；2001年毕业于厦门大学，世界经济研究生学历，经济学硕士学位。2006年4月于上海国家会计学院</w:t>
      </w:r>
      <w:r>
        <w:rPr>
          <w:w w:val="100"/>
        </w:rPr>
        <w:t> </w:t>
      </w:r>
      <w:r>
        <w:rPr>
          <w:spacing w:val="-2"/>
        </w:rPr>
        <w:t>参与独立董事培训，取得合格证书。历任福建省律师协会秘书长、副会长、会长、中华全国律师协会副会</w:t>
      </w:r>
      <w:r>
        <w:rPr>
          <w:spacing w:val="-46"/>
        </w:rPr>
        <w:t> </w:t>
      </w:r>
      <w:r>
        <w:rPr>
          <w:spacing w:val="-46"/>
        </w:rPr>
      </w:r>
      <w:r>
        <w:rPr>
          <w:spacing w:val="-2"/>
        </w:rPr>
        <w:t>长等职，现为福建新世通律师事务所首席合伙人、中华全国律师协会副会长、福建省律师协会名誉会长，</w:t>
      </w:r>
      <w:r>
        <w:rPr>
          <w:spacing w:val="-22"/>
        </w:rPr>
        <w:t> </w:t>
      </w:r>
      <w:r>
        <w:rPr>
          <w:spacing w:val="-22"/>
        </w:rPr>
      </w:r>
      <w:r>
        <w:rPr>
          <w:spacing w:val="-2"/>
        </w:rPr>
        <w:t>国家食品药品监督管理局（法律组）安全专家、福建省国资委法律咨询专家委员会法律咨询专家、福州市</w:t>
      </w:r>
      <w:r>
        <w:rPr>
          <w:spacing w:val="-44"/>
        </w:rPr>
        <w:t> </w:t>
      </w:r>
      <w:r>
        <w:rPr>
          <w:spacing w:val="-44"/>
        </w:rPr>
      </w:r>
      <w:r>
        <w:rPr/>
        <w:t>人民政府法律顾问,鸿博股份有限公司独立董事、纳川管材股份有限公司独立董事、泰禾集团股份有限公</w:t>
      </w:r>
      <w:r>
        <w:rPr>
          <w:w w:val="100"/>
        </w:rPr>
        <w:t> </w:t>
      </w:r>
      <w:r>
        <w:rPr/>
        <w:t>司独立董事。</w:t>
      </w:r>
    </w:p>
    <w:p>
      <w:pPr>
        <w:pStyle w:val="BodyText"/>
        <w:spacing w:line="240" w:lineRule="auto" w:before="7"/>
        <w:ind w:right="99"/>
        <w:jc w:val="left"/>
      </w:pPr>
      <w:r>
        <w:rPr/>
        <w:t>2.监事主要工作经历：</w:t>
      </w:r>
    </w:p>
    <w:p>
      <w:pPr>
        <w:pStyle w:val="BodyText"/>
        <w:spacing w:line="273" w:lineRule="auto" w:before="37"/>
        <w:ind w:right="202" w:firstLine="420"/>
        <w:jc w:val="left"/>
      </w:pPr>
      <w:r>
        <w:rPr/>
        <w:t>陈瑞汉，中国国籍，1954 年 10</w:t>
      </w:r>
      <w:r>
        <w:rPr>
          <w:spacing w:val="-9"/>
        </w:rPr>
        <w:t> </w:t>
      </w:r>
      <w:r>
        <w:rPr/>
        <w:t>月出生，中共党员，毕业于福州业余大学财务与审计专业，曾任福</w:t>
      </w:r>
      <w:r>
        <w:rPr>
          <w:w w:val="100"/>
        </w:rPr>
        <w:t> </w:t>
      </w:r>
      <w:r>
        <w:rPr>
          <w:spacing w:val="-2"/>
        </w:rPr>
        <w:t>州印刷厂财务科长，曾任福建鸿博印刷股份有限公司财务总监、监事，现任公司全资子公司福州港龙贸易</w:t>
      </w:r>
      <w:r>
        <w:rPr>
          <w:spacing w:val="-44"/>
        </w:rPr>
        <w:t> </w:t>
      </w:r>
      <w:r>
        <w:rPr>
          <w:spacing w:val="-44"/>
        </w:rPr>
      </w:r>
      <w:r>
        <w:rPr/>
        <w:t>有限公司执行董事、公司监事。2014年3月6日，经公司第三届监事会 2014</w:t>
      </w:r>
      <w:r>
        <w:rPr>
          <w:spacing w:val="-31"/>
        </w:rPr>
        <w:t> </w:t>
      </w:r>
      <w:r>
        <w:rPr/>
        <w:t>年第一次临时会议选举，陈瑞</w:t>
      </w:r>
      <w:r>
        <w:rPr>
          <w:w w:val="100"/>
        </w:rPr>
        <w:t> </w:t>
      </w:r>
      <w:r>
        <w:rPr/>
        <w:t>汉先生当选为为公司监事会主席。</w:t>
      </w:r>
    </w:p>
    <w:p>
      <w:pPr>
        <w:spacing w:after="0" w:line="273"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7" w:firstLine="420"/>
        <w:jc w:val="both"/>
      </w:pPr>
      <w:r>
        <w:rPr/>
        <w:t>谢友军，中国国籍，1958 年 8</w:t>
      </w:r>
      <w:r>
        <w:rPr>
          <w:spacing w:val="-31"/>
        </w:rPr>
        <w:t> </w:t>
      </w:r>
      <w:r>
        <w:rPr/>
        <w:t>月生，毕业于福州大学企业管理专业，曾任福建鸿博印刷股份有限公</w:t>
      </w:r>
      <w:r>
        <w:rPr>
          <w:w w:val="100"/>
        </w:rPr>
        <w:t> </w:t>
      </w:r>
      <w:r>
        <w:rPr/>
        <w:t>司全资子公司重庆市鸿海印务有限公司副总经理，现任本公司总裁办副主任、监事。</w:t>
      </w:r>
    </w:p>
    <w:p>
      <w:pPr>
        <w:pStyle w:val="BodyText"/>
        <w:spacing w:line="273" w:lineRule="auto" w:before="7"/>
        <w:ind w:right="141" w:firstLine="420"/>
        <w:jc w:val="left"/>
      </w:pPr>
      <w:r>
        <w:rPr/>
        <w:t>何爱平，中国国籍，毕业于厦门大学经济学专业，本科学历。2005 年 1</w:t>
      </w:r>
      <w:r>
        <w:rPr>
          <w:spacing w:val="-30"/>
        </w:rPr>
        <w:t> </w:t>
      </w:r>
      <w:r>
        <w:rPr/>
        <w:t>月加入公司，历任客服部经</w:t>
      </w:r>
      <w:r>
        <w:rPr>
          <w:w w:val="100"/>
        </w:rPr>
        <w:t> </w:t>
      </w:r>
      <w:r>
        <w:rPr/>
        <w:t>理、市场服务部经理等职，现任公司党支部书记、品管部经理。2014年2月14日，经公司2014年第一次职</w:t>
      </w:r>
      <w:r>
        <w:rPr>
          <w:w w:val="100"/>
        </w:rPr>
        <w:t> </w:t>
      </w:r>
      <w:r>
        <w:rPr/>
        <w:t>工代表大会选举，何爱平女士当选为公司职工代表监事。</w:t>
      </w:r>
    </w:p>
    <w:p>
      <w:pPr>
        <w:pStyle w:val="BodyText"/>
        <w:spacing w:line="273" w:lineRule="auto" w:before="7"/>
        <w:ind w:left="574" w:right="4492" w:hanging="420"/>
        <w:jc w:val="left"/>
      </w:pPr>
      <w:r>
        <w:rPr/>
        <w:t>3.高级管理人员工作经历</w:t>
      </w:r>
      <w:r>
        <w:rPr>
          <w:w w:val="100"/>
        </w:rPr>
        <w:t> </w:t>
      </w:r>
      <w:r>
        <w:rPr>
          <w:spacing w:val="-2"/>
        </w:rPr>
        <w:t>尤友岳先生：见董事工作经历介绍</w:t>
      </w:r>
      <w:r>
        <w:rPr>
          <w:w w:val="100"/>
        </w:rPr>
        <w:t> </w:t>
      </w:r>
      <w:r>
        <w:rPr>
          <w:spacing w:val="-2"/>
        </w:rPr>
        <w:t>尤友鸾先生：见董事工作经历介绍</w:t>
      </w:r>
    </w:p>
    <w:p>
      <w:pPr>
        <w:pStyle w:val="BodyText"/>
        <w:spacing w:line="273" w:lineRule="auto" w:before="7"/>
        <w:ind w:right="145" w:firstLine="420"/>
        <w:jc w:val="both"/>
      </w:pPr>
      <w:r>
        <w:rPr/>
        <w:t>罗智波先生：1977 年 5 月生，中国国籍，无境外居留权，通讯工程师中级职称，2000 年 7</w:t>
      </w:r>
      <w:r>
        <w:rPr>
          <w:spacing w:val="-29"/>
        </w:rPr>
        <w:t> </w:t>
      </w:r>
      <w:r>
        <w:rPr/>
        <w:t>月毕业</w:t>
      </w:r>
      <w:r>
        <w:rPr>
          <w:w w:val="100"/>
        </w:rPr>
        <w:t> </w:t>
      </w:r>
      <w:r>
        <w:rPr>
          <w:spacing w:val="-2"/>
        </w:rPr>
        <w:t>于北京邮电大学管理工程专业，本科学历，曾任凤凰微电子（中国）有限公司市场总监、恒宝股份有限公</w:t>
      </w:r>
      <w:r>
        <w:rPr>
          <w:spacing w:val="-44"/>
        </w:rPr>
        <w:t> </w:t>
      </w:r>
      <w:r>
        <w:rPr>
          <w:spacing w:val="-44"/>
        </w:rPr>
      </w:r>
      <w:r>
        <w:rPr/>
        <w:t>司市场部总经理。2014 年 3</w:t>
      </w:r>
      <w:r>
        <w:rPr>
          <w:spacing w:val="-8"/>
        </w:rPr>
        <w:t> </w:t>
      </w:r>
      <w:r>
        <w:rPr/>
        <w:t>月加入本公司，现任本公司副总经理。</w:t>
      </w:r>
    </w:p>
    <w:p>
      <w:pPr>
        <w:pStyle w:val="BodyText"/>
        <w:spacing w:line="273" w:lineRule="auto" w:before="7"/>
        <w:ind w:right="145" w:firstLine="420"/>
        <w:jc w:val="both"/>
      </w:pPr>
      <w:r>
        <w:rPr>
          <w:spacing w:val="-2"/>
        </w:rPr>
        <w:t>郭斌先生：工商管理硕士，中国国籍，无永久境外居留权；曾任华融科技公司业务总监、赛博科技公</w:t>
      </w:r>
      <w:r>
        <w:rPr>
          <w:w w:val="100"/>
        </w:rPr>
        <w:t> </w:t>
      </w:r>
      <w:r>
        <w:rPr/>
        <w:t>司常务副总经理、公司市场总监，现任本公司副总经理。</w:t>
      </w:r>
    </w:p>
    <w:p>
      <w:pPr>
        <w:pStyle w:val="BodyText"/>
        <w:spacing w:line="273" w:lineRule="auto" w:before="7"/>
        <w:ind w:right="145" w:firstLine="420"/>
        <w:jc w:val="both"/>
      </w:pPr>
      <w:r>
        <w:rPr/>
        <w:t>高琦先生：1974年</w:t>
      </w:r>
      <w:r>
        <w:rPr>
          <w:spacing w:val="-27"/>
        </w:rPr>
        <w:t> </w:t>
      </w:r>
      <w:r>
        <w:rPr/>
        <w:t>1月出生，中国国籍，无境外居留权，中国民主促进会会员，大学本科学历，中国</w:t>
      </w:r>
      <w:r>
        <w:rPr>
          <w:w w:val="100"/>
        </w:rPr>
        <w:t> </w:t>
      </w:r>
      <w:r>
        <w:rPr>
          <w:spacing w:val="-2"/>
        </w:rPr>
        <w:t>注册会计师。历任福建弘审会计师事务所审计项目经理，福建省科威技术发展有限公司财务经理，福建海</w:t>
      </w:r>
      <w:r>
        <w:rPr>
          <w:spacing w:val="-44"/>
        </w:rPr>
        <w:t> </w:t>
      </w:r>
      <w:r>
        <w:rPr>
          <w:spacing w:val="-44"/>
        </w:rPr>
      </w:r>
      <w:r>
        <w:rPr/>
        <w:t>峡会计师事务所审计经理，致同会计师事务所审计高级经理，现任本公司财务总监。</w:t>
      </w:r>
    </w:p>
    <w:p>
      <w:pPr>
        <w:pStyle w:val="BodyText"/>
        <w:spacing w:line="273" w:lineRule="auto" w:before="7"/>
        <w:ind w:right="229" w:firstLine="420"/>
        <w:jc w:val="both"/>
      </w:pPr>
      <w:r>
        <w:rPr>
          <w:spacing w:val="-2"/>
        </w:rPr>
        <w:t>李娟女士：大学本科，厦门大学EMBA,中国国籍，无永久境外居留权；现任本公司副总经理、董事会</w:t>
      </w:r>
      <w:r>
        <w:rPr>
          <w:w w:val="100"/>
        </w:rPr>
        <w:t> </w:t>
      </w:r>
      <w:r>
        <w:rPr/>
        <w:t>秘书。</w:t>
      </w:r>
    </w:p>
    <w:p>
      <w:pPr>
        <w:pStyle w:val="BodyText"/>
        <w:spacing w:line="240" w:lineRule="auto" w:before="48"/>
        <w:ind w:right="2880"/>
        <w:jc w:val="left"/>
      </w:pPr>
      <w:r>
        <w:rPr/>
        <w:t>在股东单位任职情况</w:t>
      </w:r>
    </w:p>
    <w:p>
      <w:pPr>
        <w:pStyle w:val="BodyText"/>
        <w:spacing w:line="307" w:lineRule="auto" w:before="75"/>
        <w:ind w:right="7890"/>
        <w:jc w:val="left"/>
      </w:pPr>
      <w:r>
        <w:rPr/>
        <w:t>□ 适用 √</w:t>
      </w:r>
      <w:r>
        <w:rPr>
          <w:spacing w:val="-1"/>
        </w:rPr>
        <w:t> </w:t>
      </w:r>
      <w:r>
        <w:rPr/>
        <w:t>不适用</w:t>
      </w:r>
      <w:r>
        <w:rPr>
          <w:w w:val="100"/>
        </w:rPr>
        <w:t> </w:t>
      </w:r>
      <w:r>
        <w:rPr>
          <w:spacing w:val="-1"/>
        </w:rPr>
        <w:t>在其他单位任职情况</w:t>
      </w:r>
    </w:p>
    <w:p>
      <w:pPr>
        <w:pStyle w:val="BodyText"/>
        <w:spacing w:line="240" w:lineRule="auto" w:before="19"/>
        <w:ind w:right="2880"/>
        <w:jc w:val="left"/>
      </w:pPr>
      <w:r>
        <w:rPr/>
        <w:t>√ 适用 □ 不适用</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9" w:right="65" w:hanging="420"/>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63" w:right="50"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鸿博集团有限公司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福建鸿博房地产开发有限公司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福州华晟动漫有限公司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福建鑫耀太阳能科技有限公司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广州联存医药科技有限公司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周美妹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广州联存医药科技有限公司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福州大学管理学院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中国武夷实业股份有限公司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04</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社会科学院研究生院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5"/>
              <w:jc w:val="left"/>
              <w:rPr>
                <w:rFonts w:ascii="宋体" w:hAnsi="宋体" w:cs="宋体" w:eastAsia="宋体" w:hint="default"/>
                <w:sz w:val="21"/>
                <w:szCs w:val="21"/>
              </w:rPr>
            </w:pPr>
            <w:r>
              <w:rPr>
                <w:rFonts w:ascii="宋体" w:hAnsi="宋体" w:cs="宋体" w:eastAsia="宋体" w:hint="default"/>
                <w:sz w:val="21"/>
                <w:szCs w:val="21"/>
              </w:rPr>
              <w:t>教授（兼</w:t>
            </w:r>
            <w:r>
              <w:rPr>
                <w:rFonts w:ascii="宋体" w:hAnsi="宋体" w:cs="宋体" w:eastAsia="宋体" w:hint="default"/>
                <w:w w:val="100"/>
                <w:sz w:val="21"/>
                <w:szCs w:val="21"/>
              </w:rPr>
              <w:t> </w:t>
            </w: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福州大学管理学院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5"/>
              <w:jc w:val="left"/>
              <w:rPr>
                <w:rFonts w:ascii="宋体" w:hAnsi="宋体" w:cs="宋体" w:eastAsia="宋体" w:hint="default"/>
                <w:sz w:val="21"/>
                <w:szCs w:val="21"/>
              </w:rPr>
            </w:pPr>
            <w:r>
              <w:rPr>
                <w:rFonts w:ascii="宋体" w:hAnsi="宋体" w:cs="宋体" w:eastAsia="宋体" w:hint="default"/>
                <w:sz w:val="21"/>
                <w:szCs w:val="21"/>
              </w:rPr>
              <w:t>教授（兼</w:t>
            </w:r>
            <w:r>
              <w:rPr>
                <w:rFonts w:ascii="宋体" w:hAnsi="宋体" w:cs="宋体" w:eastAsia="宋体" w:hint="default"/>
                <w:w w:val="100"/>
                <w:sz w:val="21"/>
                <w:szCs w:val="21"/>
              </w:rPr>
              <w:t> </w:t>
            </w: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西南财经大学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教授（兼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中国人民大学财政金融学院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5"/>
              <w:jc w:val="left"/>
              <w:rPr>
                <w:rFonts w:ascii="宋体" w:hAnsi="宋体" w:cs="宋体" w:eastAsia="宋体" w:hint="default"/>
                <w:sz w:val="21"/>
                <w:szCs w:val="21"/>
              </w:rPr>
            </w:pPr>
            <w:r>
              <w:rPr>
                <w:rFonts w:ascii="宋体" w:hAnsi="宋体" w:cs="宋体" w:eastAsia="宋体" w:hint="default"/>
                <w:sz w:val="21"/>
                <w:szCs w:val="21"/>
              </w:rPr>
              <w:t>教授（兼</w:t>
            </w:r>
            <w:r>
              <w:rPr>
                <w:rFonts w:ascii="宋体" w:hAnsi="宋体" w:cs="宋体" w:eastAsia="宋体" w:hint="default"/>
                <w:w w:val="100"/>
                <w:sz w:val="21"/>
                <w:szCs w:val="21"/>
              </w:rPr>
              <w:t> </w:t>
            </w:r>
            <w:r>
              <w:rPr>
                <w:rFonts w:ascii="宋体" w:hAnsi="宋体" w:cs="宋体" w:eastAsia="宋体" w:hint="default"/>
                <w:sz w:val="21"/>
                <w:szCs w:val="21"/>
              </w:rPr>
              <w:t>职）</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中国经济增加值应用研究会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17"/>
              <w:jc w:val="left"/>
              <w:rPr>
                <w:rFonts w:ascii="宋体" w:hAnsi="宋体" w:cs="宋体" w:eastAsia="宋体" w:hint="default"/>
                <w:sz w:val="21"/>
                <w:szCs w:val="21"/>
              </w:rPr>
            </w:pPr>
            <w:r>
              <w:rPr>
                <w:rFonts w:ascii="宋体" w:hAnsi="宋体" w:cs="宋体" w:eastAsia="宋体" w:hint="default"/>
                <w:spacing w:val="-3"/>
                <w:sz w:val="21"/>
                <w:szCs w:val="21"/>
              </w:rPr>
              <w:t>鲁宾数唯管理咨询（北京）有限公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10"/>
              <w:jc w:val="both"/>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任职情况的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19"/>
          <w:szCs w:val="19"/>
        </w:rPr>
      </w:pPr>
    </w:p>
    <w:p>
      <w:pPr>
        <w:pStyle w:val="BodyText"/>
        <w:spacing w:line="240" w:lineRule="auto" w:before="36"/>
        <w:ind w:right="99"/>
        <w:jc w:val="left"/>
      </w:pPr>
      <w:r>
        <w:rPr/>
        <w:t>三、董事、监事、高级管理人员报酬情况</w:t>
      </w:r>
    </w:p>
    <w:p>
      <w:pPr>
        <w:spacing w:line="240" w:lineRule="auto" w:before="12"/>
        <w:rPr>
          <w:rFonts w:ascii="宋体" w:hAnsi="宋体" w:cs="宋体" w:eastAsia="宋体" w:hint="default"/>
          <w:sz w:val="25"/>
          <w:szCs w:val="25"/>
        </w:rPr>
      </w:pPr>
    </w:p>
    <w:p>
      <w:pPr>
        <w:pStyle w:val="BodyText"/>
        <w:spacing w:line="290" w:lineRule="auto"/>
        <w:ind w:right="99"/>
        <w:jc w:val="left"/>
      </w:pPr>
      <w:r>
        <w:rPr/>
        <w:t>董事、监事、高级管理人员报酬的决策程序、确定依据、实际支付情况</w:t>
      </w:r>
      <w:r>
        <w:rPr>
          <w:w w:val="100"/>
        </w:rPr>
        <w:t> </w:t>
      </w:r>
      <w:r>
        <w:rPr>
          <w:spacing w:val="-2"/>
        </w:rPr>
        <w:t>1.董事、监事、高级管理人员报酬的决策程序：公司建立了完善的高级管理人员绩效考评体系和薪酬考核</w:t>
      </w:r>
      <w:r>
        <w:rPr>
          <w:spacing w:val="-42"/>
        </w:rPr>
        <w:t> </w:t>
      </w:r>
      <w:r>
        <w:rPr>
          <w:spacing w:val="-42"/>
        </w:rPr>
      </w:r>
      <w:r>
        <w:rPr>
          <w:spacing w:val="-5"/>
        </w:rPr>
        <w:t>制度，高级管理人员的工作绩效与其收入挂钩。董事会薪酬与考核委员会负责对高级管理人员的工作能力、</w:t>
      </w:r>
    </w:p>
    <w:p>
      <w:pPr>
        <w:pStyle w:val="BodyText"/>
        <w:spacing w:line="273" w:lineRule="auto"/>
        <w:ind w:right="99"/>
        <w:jc w:val="left"/>
      </w:pPr>
      <w:r>
        <w:rPr>
          <w:spacing w:val="-2"/>
        </w:rPr>
        <w:t>履职情况、责任目标完成情况等进行年终考评，制定薪酬方案并提交董事会审议。公司董事、监事薪酬由</w:t>
      </w:r>
      <w:r>
        <w:rPr>
          <w:spacing w:val="-47"/>
        </w:rPr>
        <w:t> </w:t>
      </w:r>
      <w:r>
        <w:rPr>
          <w:spacing w:val="-47"/>
        </w:rPr>
      </w:r>
      <w:r>
        <w:rPr/>
        <w:t>公司股东大会审议批准。</w:t>
      </w:r>
      <w:r>
        <w:rPr>
          <w:w w:val="100"/>
        </w:rPr>
        <w:t> </w:t>
      </w:r>
      <w:r>
        <w:rPr>
          <w:spacing w:val="-2"/>
        </w:rPr>
        <w:t>2.董事、监事、高级管理人员报酬的确定依据：公司董事（不含独立董事）、高级管理人员报酬依据公司</w:t>
      </w:r>
      <w:r>
        <w:rPr>
          <w:spacing w:val="-42"/>
        </w:rPr>
        <w:t> </w:t>
      </w:r>
      <w:r>
        <w:rPr>
          <w:spacing w:val="-42"/>
        </w:rPr>
      </w:r>
      <w:r>
        <w:rPr>
          <w:spacing w:val="-2"/>
        </w:rPr>
        <w:t>现行的薪酬制度并参考公司经营业绩和个人绩效考核指标来确定，独立董事报酬参照行业平均水平由股东</w:t>
      </w:r>
      <w:r>
        <w:rPr>
          <w:spacing w:val="-43"/>
        </w:rPr>
        <w:t> </w:t>
      </w:r>
      <w:r>
        <w:rPr>
          <w:spacing w:val="-43"/>
        </w:rPr>
      </w:r>
      <w:r>
        <w:rPr>
          <w:spacing w:val="-2"/>
        </w:rPr>
        <w:t>大会审议批准。公司监事多兼任公司其他职务，故公司采用监事津贴的方式支付担任监事职务的报酬，监</w:t>
      </w:r>
      <w:r>
        <w:rPr>
          <w:spacing w:val="-44"/>
        </w:rPr>
        <w:t> </w:t>
      </w:r>
      <w:r>
        <w:rPr>
          <w:spacing w:val="-44"/>
        </w:rPr>
      </w:r>
      <w:r>
        <w:rPr/>
        <w:t>事津贴金额由监事会审议通过后报股东大会审议批准。</w:t>
      </w:r>
      <w:r>
        <w:rPr>
          <w:w w:val="100"/>
        </w:rPr>
        <w:t> </w:t>
      </w:r>
      <w:r>
        <w:rPr>
          <w:spacing w:val="-2"/>
        </w:rPr>
        <w:t>3.董事、监事、高级管理人员报酬的支付情况：公司董事（不含独立董事）、高级管理人员薪酬总额为基</w:t>
      </w:r>
      <w:r>
        <w:rPr>
          <w:spacing w:val="-42"/>
        </w:rPr>
        <w:t> </w:t>
      </w:r>
      <w:r>
        <w:rPr>
          <w:spacing w:val="-42"/>
        </w:rPr>
      </w:r>
      <w:r>
        <w:rPr>
          <w:spacing w:val="-5"/>
        </w:rPr>
        <w:t>本薪酬加上绩效薪酬，基本薪酬按月支付，绩效薪酬在年度结束后由薪酬与考核委员会考核、确认后支付。</w:t>
      </w:r>
      <w:r>
        <w:rPr>
          <w:spacing w:val="-7"/>
        </w:rPr>
        <w:t> </w:t>
      </w:r>
      <w:r>
        <w:rPr>
          <w:spacing w:val="-7"/>
        </w:rPr>
      </w:r>
      <w:r>
        <w:rPr/>
        <w:t>监事津贴、独立董事薪酬均按月支付。</w:t>
      </w:r>
    </w:p>
    <w:p>
      <w:pPr>
        <w:spacing w:line="240" w:lineRule="auto" w:before="10"/>
        <w:rPr>
          <w:rFonts w:ascii="宋体" w:hAnsi="宋体" w:cs="宋体" w:eastAsia="宋体" w:hint="default"/>
          <w:sz w:val="24"/>
          <w:szCs w:val="24"/>
        </w:rPr>
      </w:pPr>
    </w:p>
    <w:p>
      <w:pPr>
        <w:pStyle w:val="BodyText"/>
        <w:spacing w:line="240" w:lineRule="auto" w:before="36"/>
        <w:ind w:right="99"/>
        <w:jc w:val="left"/>
      </w:pPr>
      <w:r>
        <w:rPr/>
        <w:t>公司报告期内董事、监事和高级管理人员报酬情况</w:t>
      </w:r>
    </w:p>
    <w:p>
      <w:pPr>
        <w:pStyle w:val="BodyText"/>
        <w:spacing w:line="240" w:lineRule="auto" w:before="75"/>
        <w:ind w:left="0" w:right="207"/>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67" w:right="62"/>
              <w:jc w:val="center"/>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w w:val="100"/>
                <w:sz w:val="21"/>
                <w:szCs w:val="21"/>
              </w:rPr>
              <w:t> </w:t>
            </w:r>
            <w:r>
              <w:rPr>
                <w:rFonts w:ascii="宋体" w:hAnsi="宋体" w:cs="宋体" w:eastAsia="宋体" w:hint="default"/>
                <w:sz w:val="21"/>
                <w:szCs w:val="21"/>
              </w:rPr>
              <w:t>获得的报酬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尤丽娟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30.33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尤玉仙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29.47</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7"/>
              <w:jc w:val="left"/>
              <w:rPr>
                <w:rFonts w:ascii="宋体" w:hAnsi="宋体" w:cs="宋体" w:eastAsia="宋体" w:hint="default"/>
                <w:sz w:val="21"/>
                <w:szCs w:val="21"/>
              </w:rPr>
            </w:pPr>
            <w:r>
              <w:rPr>
                <w:rFonts w:ascii="宋体" w:hAnsi="宋体" w:cs="宋体" w:eastAsia="宋体" w:hint="default"/>
                <w:sz w:val="21"/>
                <w:szCs w:val="21"/>
              </w:rPr>
              <w:t>副董事长兼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48.75</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尤友鸾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07"/>
              <w:jc w:val="left"/>
              <w:rPr>
                <w:rFonts w:ascii="宋体" w:hAnsi="宋体" w:cs="宋体" w:eastAsia="宋体" w:hint="default"/>
                <w:sz w:val="21"/>
                <w:szCs w:val="21"/>
              </w:rPr>
            </w:pPr>
            <w:r>
              <w:rPr>
                <w:rFonts w:ascii="宋体" w:hAnsi="宋体" w:cs="宋体" w:eastAsia="宋体" w:hint="default"/>
                <w:sz w:val="21"/>
                <w:szCs w:val="21"/>
              </w:rPr>
              <w:t>董事副总经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李云强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42.42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周美妹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黄志雨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59.78</w:t>
            </w:r>
          </w:p>
        </w:tc>
      </w:tr>
    </w:tbl>
    <w:p>
      <w:pPr>
        <w:spacing w:after="0" w:line="240" w:lineRule="auto"/>
        <w:jc w:val="right"/>
        <w:rPr>
          <w:rFonts w:ascii="宋体" w:hAnsi="宋体" w:cs="宋体" w:eastAsia="宋体" w:hint="default"/>
          <w:sz w:val="21"/>
          <w:szCs w:val="21"/>
        </w:rPr>
        <w:sectPr>
          <w:footerReference w:type="default" r:id="rId17"/>
          <w:pgSz w:w="11910" w:h="16840"/>
          <w:pgMar w:footer="979" w:header="747" w:top="1060" w:bottom="1160" w:left="980" w:right="920"/>
          <w:pgNumType w:start="5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张学清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陈瑞汉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谢友军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8.7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何爱平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冯燕潮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25.33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26.42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郭斌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32</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7"/>
              <w:jc w:val="left"/>
              <w:rPr>
                <w:rFonts w:ascii="宋体" w:hAnsi="宋体" w:cs="宋体" w:eastAsia="宋体" w:hint="default"/>
                <w:sz w:val="21"/>
                <w:szCs w:val="21"/>
              </w:rPr>
            </w:pPr>
            <w:r>
              <w:rPr>
                <w:rFonts w:ascii="宋体" w:hAnsi="宋体" w:cs="宋体" w:eastAsia="宋体" w:hint="default"/>
                <w:sz w:val="21"/>
                <w:szCs w:val="21"/>
              </w:rPr>
              <w:t>副总经理兼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32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罗智波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37.14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王文敬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高琦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27.12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551.9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508.66</w:t>
            </w:r>
          </w:p>
        </w:tc>
      </w:tr>
    </w:tbl>
    <w:p>
      <w:pPr>
        <w:pStyle w:val="BodyText"/>
        <w:spacing w:line="240" w:lineRule="auto" w:before="29"/>
        <w:ind w:right="2880"/>
        <w:jc w:val="left"/>
      </w:pPr>
      <w:r>
        <w:rPr/>
        <w:t>公司董事、监事、高级管理人员报告期内被授予的股权激励情况</w:t>
      </w:r>
    </w:p>
    <w:p>
      <w:pPr>
        <w:pStyle w:val="BodyText"/>
        <w:spacing w:line="535" w:lineRule="auto" w:before="75"/>
        <w:ind w:right="4492"/>
        <w:jc w:val="left"/>
      </w:pPr>
      <w:r>
        <w:rPr/>
        <w:t>□ 适用 √</w:t>
      </w:r>
      <w:r>
        <w:rPr>
          <w:spacing w:val="-2"/>
        </w:rPr>
        <w:t> </w:t>
      </w:r>
      <w:r>
        <w:rPr/>
        <w:t>不适用</w:t>
      </w:r>
      <w:r>
        <w:rPr>
          <w:spacing w:val="-103"/>
        </w:rPr>
        <w:t> </w:t>
      </w:r>
      <w:r>
        <w:rPr>
          <w:spacing w:val="-103"/>
        </w:rPr>
      </w:r>
      <w:r>
        <w:rPr/>
        <w:t>四、公司董事、监事、高级管理人员变动情况</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罗智波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第三届董事会第六次会议被聘任为副总经理</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高琦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13"/>
              <w:jc w:val="left"/>
              <w:rPr>
                <w:rFonts w:ascii="宋体" w:hAnsi="宋体" w:cs="宋体" w:eastAsia="宋体" w:hint="default"/>
                <w:sz w:val="21"/>
                <w:szCs w:val="21"/>
              </w:rPr>
            </w:pPr>
            <w:r>
              <w:rPr>
                <w:rFonts w:ascii="宋体" w:hAnsi="宋体" w:cs="宋体" w:eastAsia="宋体" w:hint="default"/>
                <w:sz w:val="21"/>
                <w:szCs w:val="21"/>
              </w:rPr>
              <w:t>第三届董事会</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年第二次临时会议被聘任</w:t>
            </w:r>
            <w:r>
              <w:rPr>
                <w:rFonts w:ascii="宋体" w:hAnsi="宋体" w:cs="宋体" w:eastAsia="宋体" w:hint="default"/>
                <w:w w:val="100"/>
                <w:sz w:val="21"/>
                <w:szCs w:val="21"/>
              </w:rPr>
              <w:t> </w:t>
            </w:r>
            <w:r>
              <w:rPr>
                <w:rFonts w:ascii="宋体" w:hAnsi="宋体" w:cs="宋体" w:eastAsia="宋体" w:hint="default"/>
                <w:sz w:val="21"/>
                <w:szCs w:val="21"/>
              </w:rPr>
              <w:t>为财务总监</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胥凌燕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因个人原因辞去副总经理职位</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冯燕潮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因个人原因辞去副总经理职位</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王文敬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
              <w:jc w:val="left"/>
              <w:rPr>
                <w:rFonts w:ascii="宋体" w:hAnsi="宋体" w:cs="宋体" w:eastAsia="宋体" w:hint="default"/>
                <w:sz w:val="21"/>
                <w:szCs w:val="21"/>
              </w:rPr>
            </w:pPr>
            <w:r>
              <w:rPr>
                <w:rFonts w:ascii="宋体" w:hAnsi="宋体" w:cs="宋体" w:eastAsia="宋体" w:hint="default"/>
                <w:spacing w:val="-2"/>
                <w:sz w:val="21"/>
                <w:szCs w:val="21"/>
              </w:rPr>
              <w:t>因个人原因辞去职工代表监事，监事会主席职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位</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何爱平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67"/>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年第一次职工代表大会被选举为职工代</w:t>
            </w:r>
            <w:r>
              <w:rPr>
                <w:rFonts w:ascii="宋体" w:hAnsi="宋体" w:cs="宋体" w:eastAsia="宋体" w:hint="default"/>
                <w:w w:val="100"/>
                <w:sz w:val="21"/>
                <w:szCs w:val="21"/>
              </w:rPr>
              <w:t> </w:t>
            </w:r>
            <w:r>
              <w:rPr>
                <w:rFonts w:ascii="宋体" w:hAnsi="宋体" w:cs="宋体" w:eastAsia="宋体" w:hint="default"/>
                <w:sz w:val="21"/>
                <w:szCs w:val="21"/>
              </w:rPr>
              <w:t>表监事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因个人原因辞去独立董事职位</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张学清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因个人原因辞去独立董事职位</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周美妹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工作调整</w:t>
            </w:r>
          </w:p>
        </w:tc>
      </w:tr>
    </w:tbl>
    <w:p>
      <w:pPr>
        <w:spacing w:line="240" w:lineRule="auto" w:before="3"/>
        <w:rPr>
          <w:rFonts w:ascii="宋体" w:hAnsi="宋体" w:cs="宋体" w:eastAsia="宋体" w:hint="default"/>
          <w:sz w:val="19"/>
          <w:szCs w:val="19"/>
        </w:rPr>
      </w:pPr>
    </w:p>
    <w:p>
      <w:pPr>
        <w:pStyle w:val="BodyText"/>
        <w:spacing w:line="537" w:lineRule="auto" w:before="36"/>
        <w:ind w:right="0"/>
        <w:jc w:val="left"/>
      </w:pPr>
      <w:r>
        <w:rPr>
          <w:spacing w:val="-1"/>
        </w:rPr>
        <w:t>五、报告期核心技术团队或关键技术人员变动情况（非董事、监事、高级管理人员）</w:t>
      </w:r>
      <w:r>
        <w:rPr>
          <w:spacing w:val="-43"/>
        </w:rPr>
        <w:t> </w:t>
      </w:r>
      <w:r>
        <w:rPr>
          <w:spacing w:val="-43"/>
        </w:rPr>
      </w:r>
      <w:r>
        <w:rPr/>
        <w:t>报告期内，公司核心技术团队或关键技术人员未发生重大变动。</w:t>
      </w:r>
    </w:p>
    <w:p>
      <w:pPr>
        <w:pStyle w:val="BodyText"/>
        <w:spacing w:line="240" w:lineRule="auto" w:before="76"/>
        <w:ind w:right="2880"/>
        <w:jc w:val="left"/>
      </w:pPr>
      <w:r>
        <w:rPr/>
        <w:t>六、公司员工情况</w:t>
      </w:r>
    </w:p>
    <w:p>
      <w:pPr>
        <w:spacing w:line="240" w:lineRule="auto" w:before="12"/>
        <w:rPr>
          <w:rFonts w:ascii="宋体" w:hAnsi="宋体" w:cs="宋体" w:eastAsia="宋体" w:hint="default"/>
          <w:sz w:val="25"/>
          <w:szCs w:val="25"/>
        </w:rPr>
      </w:pPr>
    </w:p>
    <w:p>
      <w:pPr>
        <w:pStyle w:val="BodyText"/>
        <w:spacing w:line="273" w:lineRule="auto"/>
        <w:ind w:right="147" w:firstLine="480"/>
        <w:jc w:val="both"/>
      </w:pPr>
      <w:r>
        <w:rPr>
          <w:spacing w:val="-4"/>
        </w:rPr>
        <w:t>（一）员工情况：公司一直秉承“以人为本，共创辉煌”的人才战略，识人才、重人才，使企业与员</w:t>
      </w:r>
      <w:r>
        <w:rPr>
          <w:w w:val="100"/>
        </w:rPr>
        <w:t> </w:t>
      </w:r>
      <w:r>
        <w:rPr>
          <w:spacing w:val="-4"/>
        </w:rPr>
        <w:t>工共同发展、共创辉煌。截至2014年12月31日，公司共有员工1902名。其中男性员工1088人，女性员工814</w:t>
      </w:r>
      <w:r>
        <w:rPr>
          <w:spacing w:val="-21"/>
        </w:rPr>
        <w:t> </w:t>
      </w:r>
      <w:r>
        <w:rPr>
          <w:spacing w:val="-21"/>
        </w:rPr>
      </w:r>
      <w:r>
        <w:rPr/>
        <w:t>人。</w:t>
      </w:r>
    </w:p>
    <w:p>
      <w:pPr>
        <w:pStyle w:val="BodyText"/>
        <w:spacing w:line="240" w:lineRule="auto" w:before="7"/>
        <w:ind w:left="634" w:right="2880"/>
        <w:jc w:val="left"/>
      </w:pPr>
      <w:r>
        <w:rPr/>
        <w:t>1.员工学历构成情况：</w:t>
      </w:r>
    </w:p>
    <w:p>
      <w:pPr>
        <w:spacing w:line="240" w:lineRule="auto" w:before="8"/>
        <w:rPr>
          <w:rFonts w:ascii="宋体" w:hAnsi="宋体" w:cs="宋体" w:eastAsia="宋体" w:hint="default"/>
          <w:sz w:val="12"/>
          <w:szCs w:val="12"/>
        </w:rPr>
      </w:pPr>
    </w:p>
    <w:p>
      <w:pPr>
        <w:spacing w:line="5070" w:lineRule="exact"/>
        <w:ind w:left="154"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799464" cy="32194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4799464" cy="3219450"/>
                    </a:xfrm>
                    <a:prstGeom prst="rect">
                      <a:avLst/>
                    </a:prstGeom>
                  </pic:spPr>
                </pic:pic>
              </a:graphicData>
            </a:graphic>
          </wp:inline>
        </w:drawing>
      </w:r>
      <w:r>
        <w:rPr>
          <w:rFonts w:ascii="宋体" w:hAnsi="宋体" w:cs="宋体" w:eastAsia="宋体" w:hint="default"/>
          <w:position w:val="-100"/>
          <w:sz w:val="20"/>
          <w:szCs w:val="20"/>
        </w:rPr>
      </w:r>
    </w:p>
    <w:p>
      <w:pPr>
        <w:pStyle w:val="BodyText"/>
        <w:spacing w:line="240" w:lineRule="auto" w:before="106"/>
        <w:ind w:left="634" w:right="2880"/>
        <w:jc w:val="left"/>
      </w:pPr>
      <w:r>
        <w:rPr/>
        <w:t>2.员工岗位构成情况：</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4095" w:lineRule="exact"/>
        <w:ind w:left="634"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696241" cy="26003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3696241" cy="2600325"/>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9"/>
        <w:rPr>
          <w:rFonts w:ascii="宋体" w:hAnsi="宋体" w:cs="宋体" w:eastAsia="宋体" w:hint="default"/>
          <w:sz w:val="6"/>
          <w:szCs w:val="6"/>
        </w:rPr>
      </w:pPr>
    </w:p>
    <w:p>
      <w:pPr>
        <w:pStyle w:val="BodyText"/>
        <w:spacing w:line="273" w:lineRule="auto" w:before="36"/>
        <w:ind w:left="574" w:right="0" w:hanging="420"/>
        <w:jc w:val="left"/>
      </w:pPr>
      <w:r>
        <w:rPr/>
        <w:t>（二）员工福利保障情况</w:t>
      </w:r>
      <w:r>
        <w:rPr>
          <w:w w:val="100"/>
        </w:rPr>
        <w:t> </w:t>
      </w:r>
      <w:r>
        <w:rPr>
          <w:spacing w:val="-2"/>
        </w:rPr>
        <w:t>公司实行劳动合同制度，职员的聘用和解聘均依据《中华人民共和国劳动法》及其他相关劳动法律法</w:t>
      </w:r>
    </w:p>
    <w:p>
      <w:pPr>
        <w:pStyle w:val="BodyText"/>
        <w:spacing w:line="273" w:lineRule="auto" w:before="7"/>
        <w:ind w:right="123"/>
        <w:jc w:val="both"/>
      </w:pPr>
      <w:r>
        <w:rPr>
          <w:spacing w:val="-2"/>
        </w:rPr>
        <w:t>规的规定办理。公司为员工提供了劳动保障计划，包括：基本养老金、工伤保险、生育保险、医疗保险、</w:t>
      </w:r>
      <w:r>
        <w:rPr>
          <w:spacing w:val="-24"/>
        </w:rPr>
        <w:t> </w:t>
      </w:r>
      <w:r>
        <w:rPr>
          <w:spacing w:val="-24"/>
        </w:rPr>
      </w:r>
      <w:r>
        <w:rPr>
          <w:spacing w:val="-2"/>
        </w:rPr>
        <w:t>失业保险、住房公积金等福利，没有需要公司承担费用的离退休职工。员工按照入职年限均享受相应的带</w:t>
      </w:r>
      <w:r>
        <w:rPr>
          <w:spacing w:val="-45"/>
        </w:rPr>
        <w:t> </w:t>
      </w:r>
      <w:r>
        <w:rPr>
          <w:spacing w:val="-45"/>
        </w:rPr>
      </w:r>
      <w:r>
        <w:rPr>
          <w:spacing w:val="-2"/>
        </w:rPr>
        <w:t>薪年假，公司每年定期组织员工外出旅游。公司良好的福利制度保障了员工的合法权益，提高了员工工作</w:t>
      </w:r>
      <w:r>
        <w:rPr>
          <w:spacing w:val="-43"/>
        </w:rPr>
        <w:t> </w:t>
      </w:r>
      <w:r>
        <w:rPr>
          <w:spacing w:val="-43"/>
        </w:rPr>
      </w:r>
      <w:r>
        <w:rPr/>
        <w:t>和生活的积极性。</w:t>
      </w:r>
    </w:p>
    <w:p>
      <w:pPr>
        <w:spacing w:after="0" w:line="273" w:lineRule="auto"/>
        <w:jc w:val="both"/>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3930" w:right="3989"/>
        <w:jc w:val="center"/>
      </w:pPr>
      <w:bookmarkStart w:name="_TOC_250003" w:id="9"/>
      <w:r>
        <w:rPr/>
        <w:t>第九节</w:t>
      </w:r>
      <w:r>
        <w:rPr>
          <w:spacing w:val="5"/>
        </w:rPr>
        <w:t> </w:t>
      </w:r>
      <w:bookmarkEnd w:id="9"/>
      <w:r>
        <w:rPr/>
        <w:t>公司治理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6"/>
        <w:ind w:right="99"/>
        <w:jc w:val="left"/>
      </w:pPr>
      <w:r>
        <w:rPr/>
        <w:t>一、公司治理的基本状况</w:t>
      </w:r>
    </w:p>
    <w:p>
      <w:pPr>
        <w:spacing w:line="240" w:lineRule="auto" w:before="12"/>
        <w:rPr>
          <w:rFonts w:ascii="宋体" w:hAnsi="宋体" w:cs="宋体" w:eastAsia="宋体" w:hint="default"/>
          <w:sz w:val="25"/>
          <w:szCs w:val="25"/>
        </w:rPr>
      </w:pPr>
    </w:p>
    <w:p>
      <w:pPr>
        <w:pStyle w:val="BodyText"/>
        <w:spacing w:line="273" w:lineRule="auto"/>
        <w:ind w:right="205" w:firstLine="420"/>
        <w:jc w:val="both"/>
      </w:pPr>
      <w:r>
        <w:rPr>
          <w:spacing w:val="-2"/>
        </w:rPr>
        <w:t>报告期内，公司严格按照《公司法》、《证券法》、《上市公司治理准则》和《深圳证券交易所股票</w:t>
      </w:r>
      <w:r>
        <w:rPr>
          <w:w w:val="100"/>
        </w:rPr>
        <w:t> </w:t>
      </w:r>
      <w:r>
        <w:rPr>
          <w:spacing w:val="-2"/>
        </w:rPr>
        <w:t>上市规则》等有关法律、法规的规定，不断完善公司法人治理结构，健全内部控制体系，进一步规范公司</w:t>
      </w:r>
      <w:r>
        <w:rPr>
          <w:spacing w:val="-44"/>
        </w:rPr>
        <w:t> </w:t>
      </w:r>
      <w:r>
        <w:rPr>
          <w:spacing w:val="-44"/>
        </w:rPr>
      </w:r>
      <w:r>
        <w:rPr/>
        <w:t>运作。</w:t>
      </w:r>
    </w:p>
    <w:p>
      <w:pPr>
        <w:pStyle w:val="BodyText"/>
        <w:spacing w:line="273" w:lineRule="auto" w:before="7"/>
        <w:ind w:right="99" w:firstLine="420"/>
        <w:jc w:val="left"/>
      </w:pPr>
      <w:r>
        <w:rPr/>
        <w:t>报告期内，公司收到了独立董事张学清先生和丁仕达先生的辞呈。因两位独立董事的辞职将导致公司</w:t>
      </w:r>
      <w:r>
        <w:rPr>
          <w:w w:val="100"/>
        </w:rPr>
        <w:t> </w:t>
      </w:r>
      <w:r>
        <w:rPr>
          <w:spacing w:val="-2"/>
        </w:rPr>
        <w:t>董事会成员中独立董事所占比例低于法定要求。根据中国证监会《关于在上市公司建立独立董事制度的指</w:t>
      </w:r>
      <w:r>
        <w:rPr>
          <w:spacing w:val="-43"/>
        </w:rPr>
        <w:t> </w:t>
      </w:r>
      <w:r>
        <w:rPr>
          <w:spacing w:val="-43"/>
        </w:rPr>
      </w:r>
      <w:r>
        <w:rPr>
          <w:spacing w:val="-5"/>
        </w:rPr>
        <w:t>导意见》和《公司章程》等相关规定，两位独立董事的辞呈将在公司股东大会选举出新任独立董事后生效。</w:t>
      </w:r>
      <w:r>
        <w:rPr>
          <w:spacing w:val="-10"/>
        </w:rPr>
        <w:t> </w:t>
      </w:r>
      <w:r>
        <w:rPr>
          <w:spacing w:val="-10"/>
        </w:rPr>
      </w:r>
      <w:r>
        <w:rPr>
          <w:spacing w:val="-2"/>
        </w:rPr>
        <w:t>截至本报告披露日，公司已选举洪波先生为新任独立董事，丁仕达先生仍将继续履行独立董事相关职责直</w:t>
      </w:r>
      <w:r>
        <w:rPr>
          <w:spacing w:val="-43"/>
        </w:rPr>
        <w:t> </w:t>
      </w:r>
      <w:r>
        <w:rPr>
          <w:spacing w:val="-43"/>
        </w:rPr>
      </w:r>
      <w:r>
        <w:rPr>
          <w:spacing w:val="-2"/>
        </w:rPr>
        <w:t>至新任独立董事就任为止。公司将按照有关规定，尽快完成独立董事的补选工作。截至本报告披露日，公</w:t>
      </w:r>
      <w:r>
        <w:rPr>
          <w:spacing w:val="-44"/>
        </w:rPr>
        <w:t> </w:t>
      </w:r>
      <w:r>
        <w:rPr>
          <w:spacing w:val="-44"/>
        </w:rPr>
      </w:r>
      <w:r>
        <w:rPr>
          <w:spacing w:val="-2"/>
        </w:rPr>
        <w:t>司董事会共11名董事，其中独立董事四名，实际控制人股东代表四名，经营管理层代表三名，人数及结构</w:t>
      </w:r>
      <w:r>
        <w:rPr>
          <w:spacing w:val="-48"/>
        </w:rPr>
        <w:t> </w:t>
      </w:r>
      <w:r>
        <w:rPr>
          <w:spacing w:val="-48"/>
        </w:rPr>
      </w:r>
      <w:r>
        <w:rPr>
          <w:spacing w:val="-2"/>
        </w:rPr>
        <w:t>符合法律法规和公司《章程》的要求。独立董事由在企业管理、会计、税务以及投融资等方面的资深人士</w:t>
      </w:r>
      <w:r>
        <w:rPr>
          <w:spacing w:val="-43"/>
        </w:rPr>
        <w:t> </w:t>
      </w:r>
      <w:r>
        <w:rPr>
          <w:spacing w:val="-43"/>
        </w:rPr>
      </w:r>
      <w:r>
        <w:rPr/>
        <w:t>担任，保证了董事会决策的质量和水平，有利于维护公司和全体股东的利益。</w:t>
      </w:r>
    </w:p>
    <w:p>
      <w:pPr>
        <w:pStyle w:val="BodyText"/>
        <w:spacing w:line="273" w:lineRule="auto" w:before="7"/>
        <w:ind w:right="287" w:firstLine="420"/>
        <w:jc w:val="both"/>
      </w:pPr>
      <w:r>
        <w:rPr/>
        <w:t>报告期内，公司收到了职工代表监事、监事会主席王文敬先生的辞呈，公司于 2014 年 2 月 14</w:t>
      </w:r>
      <w:r>
        <w:rPr>
          <w:spacing w:val="-8"/>
        </w:rPr>
        <w:t> </w:t>
      </w:r>
      <w:r>
        <w:rPr/>
        <w:t>日</w:t>
      </w:r>
      <w:r>
        <w:rPr>
          <w:w w:val="100"/>
        </w:rPr>
        <w:t> </w:t>
      </w:r>
      <w:r>
        <w:rPr/>
        <w:t>在本公司会议室召开</w:t>
      </w:r>
      <w:r>
        <w:rPr>
          <w:spacing w:val="-8"/>
        </w:rPr>
        <w:t> </w:t>
      </w:r>
      <w:r>
        <w:rPr/>
        <w:t>2014年第一次职工代表大会，会议选举何爱平女士为公司职工代表监事。截至本报</w:t>
      </w:r>
      <w:r>
        <w:rPr>
          <w:w w:val="100"/>
        </w:rPr>
        <w:t> </w:t>
      </w:r>
      <w:r>
        <w:rPr>
          <w:spacing w:val="-2"/>
        </w:rPr>
        <w:t>告披露日，监事会共3名监事，监事会的人数及结构符合法律法规和公司《章程》的要求，有利于充分发</w:t>
      </w:r>
      <w:r>
        <w:rPr>
          <w:spacing w:val="-23"/>
        </w:rPr>
        <w:t> </w:t>
      </w:r>
      <w:r>
        <w:rPr>
          <w:spacing w:val="-23"/>
        </w:rPr>
      </w:r>
      <w:r>
        <w:rPr/>
        <w:t>挥员工在公司经营管理过程中的监督作用，维护公司及全体股东的利益。</w:t>
      </w:r>
    </w:p>
    <w:p>
      <w:pPr>
        <w:pStyle w:val="BodyText"/>
        <w:spacing w:line="273" w:lineRule="auto" w:before="7"/>
        <w:ind w:right="99" w:firstLine="420"/>
        <w:jc w:val="left"/>
      </w:pPr>
      <w:r>
        <w:rPr/>
        <w:t>2014年4月11日，公司董事会日收到公司董事兼财务总监周美妹女士的书面辞职报告。因工作调整，</w:t>
      </w:r>
      <w:r>
        <w:rPr>
          <w:w w:val="100"/>
        </w:rPr>
        <w:t> </w:t>
      </w:r>
      <w:r>
        <w:rPr>
          <w:spacing w:val="-2"/>
        </w:rPr>
        <w:t>周美妹女士提请辞去公司财务总监职务。公司于2014年4月11日召开第三届董事会2014年第二次临时会议，</w:t>
      </w:r>
      <w:r>
        <w:rPr>
          <w:spacing w:val="-33"/>
        </w:rPr>
        <w:t> </w:t>
      </w:r>
      <w:r>
        <w:rPr>
          <w:spacing w:val="-33"/>
        </w:rPr>
      </w:r>
      <w:r>
        <w:rPr/>
        <w:t>审议通过了《关于聘任公司财务总监的议案》。公司董事会同意聘任高琦先生为公司财务总监。2014年8</w:t>
      </w:r>
      <w:r>
        <w:rPr>
          <w:w w:val="100"/>
        </w:rPr>
        <w:t> </w:t>
      </w:r>
      <w:r>
        <w:rPr>
          <w:spacing w:val="-2"/>
        </w:rPr>
        <w:t>月26日，第三届董事会第六次会议审议通过了《关于聘任罗智波先生为公司副总经理的议案》，公司董事</w:t>
      </w:r>
      <w:r>
        <w:rPr>
          <w:spacing w:val="-45"/>
        </w:rPr>
        <w:t> </w:t>
      </w:r>
      <w:r>
        <w:rPr>
          <w:spacing w:val="-45"/>
        </w:rPr>
      </w:r>
      <w:r>
        <w:rPr/>
        <w:t>会同意聘任罗智波先生为公司副总经理。</w:t>
      </w:r>
    </w:p>
    <w:p>
      <w:pPr>
        <w:pStyle w:val="BodyText"/>
        <w:spacing w:line="273" w:lineRule="auto" w:before="7"/>
        <w:ind w:right="99" w:firstLine="420"/>
        <w:jc w:val="left"/>
      </w:pPr>
      <w:r>
        <w:rPr/>
        <w:t>2014年4月11日，第三届董事会2014年第二次临时会议审议通过了《独立董事现场工作制度》。第三</w:t>
      </w:r>
      <w:r>
        <w:rPr>
          <w:w w:val="100"/>
        </w:rPr>
        <w:t> </w:t>
      </w:r>
      <w:r>
        <w:rPr/>
        <w:t>届监事会2014年第二次临时会议审议通过了《监事会现场工作制度》，2014年8月26日，第三届董事会第</w:t>
      </w:r>
      <w:r>
        <w:rPr>
          <w:w w:val="100"/>
        </w:rPr>
        <w:t> </w:t>
      </w:r>
      <w:r>
        <w:rPr/>
        <w:t>六次会议审议通过了《财务管理制度》，</w:t>
      </w:r>
      <w:r>
        <w:rPr>
          <w:spacing w:val="-5"/>
        </w:rPr>
        <w:t> </w:t>
      </w:r>
      <w:r>
        <w:rPr/>
        <w:t>进一步提高公司规范运作水平，健全公司内部约束和责任追究</w:t>
      </w:r>
      <w:r>
        <w:rPr>
          <w:w w:val="100"/>
        </w:rPr>
        <w:t> </w:t>
      </w:r>
      <w:r>
        <w:rPr>
          <w:spacing w:val="-2"/>
        </w:rPr>
        <w:t>机制，提高公司董事、监事、高级管理人员及其他相关人员勤勉尽责的履职意识与能力，提高公司决策与</w:t>
      </w:r>
      <w:r>
        <w:rPr>
          <w:spacing w:val="-47"/>
        </w:rPr>
        <w:t> </w:t>
      </w:r>
      <w:r>
        <w:rPr>
          <w:spacing w:val="-47"/>
        </w:rPr>
      </w:r>
      <w:r>
        <w:rPr/>
        <w:t>经营管理水平。</w:t>
      </w:r>
    </w:p>
    <w:p>
      <w:pPr>
        <w:pStyle w:val="BodyText"/>
        <w:spacing w:line="273" w:lineRule="auto" w:before="7"/>
        <w:ind w:right="99" w:firstLine="420"/>
        <w:jc w:val="left"/>
      </w:pPr>
      <w:r>
        <w:rPr>
          <w:spacing w:val="-2"/>
        </w:rPr>
        <w:t>2014年4月23日，公司2013年年度股东大会审议通过了《关于修改公司章程的议案》，对公司利润分</w:t>
      </w:r>
      <w:r>
        <w:rPr>
          <w:w w:val="100"/>
        </w:rPr>
        <w:t> </w:t>
      </w:r>
      <w:r>
        <w:rPr/>
        <w:t>配政策进行了修订，进一步保障了公司全体股东的权益，尤其是广大中小股东的权益。</w:t>
      </w:r>
    </w:p>
    <w:p>
      <w:pPr>
        <w:pStyle w:val="BodyText"/>
        <w:spacing w:line="273" w:lineRule="auto" w:before="7"/>
        <w:ind w:right="99" w:firstLine="420"/>
        <w:jc w:val="left"/>
      </w:pPr>
      <w:r>
        <w:rPr/>
        <w:t>2014年4月24日，公司第三届董事会第五次会议审议通过了《关于修订董事会专门委员会工作规则的</w:t>
      </w:r>
      <w:r>
        <w:rPr>
          <w:w w:val="100"/>
        </w:rPr>
        <w:t> </w:t>
      </w:r>
      <w:r>
        <w:rPr>
          <w:spacing w:val="-2"/>
        </w:rPr>
        <w:t>议案》，进一步完善了公司的法人治理结构，促进公司规范运作及可持续发展，有效发挥董事会专门委员</w:t>
      </w:r>
      <w:r>
        <w:rPr>
          <w:spacing w:val="-48"/>
        </w:rPr>
        <w:t> </w:t>
      </w:r>
      <w:r>
        <w:rPr>
          <w:spacing w:val="-48"/>
        </w:rPr>
      </w:r>
      <w:r>
        <w:rPr/>
        <w:t>会作用。</w:t>
      </w:r>
    </w:p>
    <w:p>
      <w:pPr>
        <w:pStyle w:val="BodyText"/>
        <w:spacing w:line="240" w:lineRule="auto" w:before="48"/>
        <w:ind w:right="99"/>
        <w:jc w:val="left"/>
      </w:pPr>
      <w:r>
        <w:rPr/>
        <w:t>公司治理与《公司法》和中国证监会相关规定的要求是否存在差异</w:t>
      </w:r>
    </w:p>
    <w:p>
      <w:pPr>
        <w:pStyle w:val="BodyText"/>
        <w:spacing w:line="307" w:lineRule="auto" w:before="75"/>
        <w:ind w:right="2993"/>
        <w:jc w:val="left"/>
      </w:pPr>
      <w:r>
        <w:rPr/>
        <w:t>□ 是</w:t>
      </w:r>
      <w:r>
        <w:rPr>
          <w:spacing w:val="-2"/>
        </w:rPr>
        <w:t> </w:t>
      </w:r>
      <w:r>
        <w:rPr/>
        <w:t>√</w:t>
      </w:r>
      <w:r>
        <w:rPr>
          <w:spacing w:val="-2"/>
        </w:rPr>
        <w:t> </w:t>
      </w:r>
      <w:r>
        <w:rPr/>
        <w:t>否</w:t>
      </w:r>
      <w:r>
        <w:rPr>
          <w:spacing w:val="-101"/>
        </w:rPr>
        <w:t> </w:t>
      </w:r>
      <w:r>
        <w:rPr>
          <w:spacing w:val="-101"/>
        </w:rPr>
      </w:r>
      <w:r>
        <w:rPr>
          <w:spacing w:val="-2"/>
        </w:rPr>
        <w:t>公司治理与《公司法》和中国证监会相关规定的要求不存在差异。</w:t>
      </w:r>
    </w:p>
    <w:p>
      <w:pPr>
        <w:pStyle w:val="BodyText"/>
        <w:spacing w:line="283" w:lineRule="auto" w:before="16"/>
        <w:ind w:right="99" w:firstLine="314"/>
        <w:jc w:val="left"/>
      </w:pPr>
      <w:r>
        <w:rPr/>
        <w:t>公司治理专项活动开展情况以及内幕信息知情人登记管理制度的制定、实施情况</w:t>
      </w:r>
      <w:r>
        <w:rPr>
          <w:w w:val="100"/>
        </w:rPr>
        <w:t> </w:t>
      </w:r>
      <w:r>
        <w:rPr>
          <w:spacing w:val="-2"/>
        </w:rPr>
        <w:t>报告期内，公司未发生内幕信息知情人在影响公司股价的重大敏感信息披露前利用内幕信息买卖公司股份</w:t>
      </w:r>
      <w:r>
        <w:rPr>
          <w:spacing w:val="-43"/>
        </w:rPr>
        <w:t> </w:t>
      </w:r>
      <w:r>
        <w:rPr>
          <w:spacing w:val="-43"/>
        </w:rPr>
      </w:r>
      <w:r>
        <w:rPr>
          <w:spacing w:val="-2"/>
        </w:rPr>
        <w:t>的情况，也不存在监管部门的查处和整改情况。定期报告及重大事项后公司按规定将内幕知情人名单向福</w:t>
      </w:r>
      <w:r>
        <w:rPr>
          <w:spacing w:val="-42"/>
        </w:rPr>
        <w:t> </w:t>
      </w:r>
      <w:r>
        <w:rPr>
          <w:spacing w:val="-42"/>
        </w:rPr>
      </w:r>
      <w:r>
        <w:rPr/>
        <w:t>建证监局备案和深圳证券交易所报备。</w:t>
      </w:r>
    </w:p>
    <w:p>
      <w:pPr>
        <w:spacing w:after="0" w:line="283"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537" w:lineRule="auto" w:before="36"/>
        <w:ind w:right="2880"/>
        <w:jc w:val="left"/>
      </w:pPr>
      <w:r>
        <w:rPr>
          <w:spacing w:val="-1"/>
        </w:rPr>
        <w:t>二、报告期内召开的年度股东大会和临时股东大会的有关情况</w:t>
      </w:r>
      <w:r>
        <w:rPr>
          <w:spacing w:val="-58"/>
        </w:rPr>
        <w:t> </w:t>
      </w:r>
      <w:r>
        <w:rPr>
          <w:spacing w:val="-58"/>
        </w:rPr>
      </w:r>
      <w:r>
        <w:rPr/>
        <w:t>1、本报告期年度股东大会情况</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
                <w:sz w:val="21"/>
                <w:szCs w:val="21"/>
              </w:rPr>
              <w:t> </w:t>
            </w:r>
            <w:r>
              <w:rPr>
                <w:rFonts w:ascii="宋体" w:hAnsi="宋体" w:cs="宋体" w:eastAsia="宋体" w:hint="default"/>
                <w:sz w:val="21"/>
                <w:szCs w:val="21"/>
              </w:rPr>
              <w:t>年度董</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20"/>
              <w:jc w:val="left"/>
              <w:rPr>
                <w:rFonts w:ascii="宋体" w:hAnsi="宋体" w:cs="宋体" w:eastAsia="宋体" w:hint="default"/>
                <w:sz w:val="21"/>
                <w:szCs w:val="21"/>
              </w:rPr>
            </w:pPr>
            <w:r>
              <w:rPr>
                <w:rFonts w:ascii="宋体" w:hAnsi="宋体" w:cs="宋体" w:eastAsia="宋体" w:hint="default"/>
                <w:w w:val="100"/>
                <w:sz w:val="21"/>
                <w:szCs w:val="21"/>
              </w:rPr>
              <w:t>事会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spacing w:val="-1"/>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
                <w:sz w:val="21"/>
                <w:szCs w:val="21"/>
              </w:rPr>
              <w:t> </w:t>
            </w:r>
            <w:r>
              <w:rPr>
                <w:rFonts w:ascii="宋体" w:hAnsi="宋体" w:cs="宋体" w:eastAsia="宋体" w:hint="default"/>
                <w:sz w:val="21"/>
                <w:szCs w:val="21"/>
              </w:rPr>
              <w:t>年度监</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20"/>
              <w:jc w:val="left"/>
              <w:rPr>
                <w:rFonts w:ascii="宋体" w:hAnsi="宋体" w:cs="宋体" w:eastAsia="宋体" w:hint="default"/>
                <w:sz w:val="21"/>
                <w:szCs w:val="21"/>
              </w:rPr>
            </w:pPr>
            <w:r>
              <w:rPr>
                <w:rFonts w:ascii="宋体" w:hAnsi="宋体" w:cs="宋体" w:eastAsia="宋体" w:hint="default"/>
                <w:w w:val="100"/>
                <w:sz w:val="21"/>
                <w:szCs w:val="21"/>
              </w:rPr>
              <w:t>事会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spacing w:val="-1"/>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
                <w:sz w:val="21"/>
                <w:szCs w:val="21"/>
              </w:rPr>
              <w:t> </w:t>
            </w:r>
            <w:r>
              <w:rPr>
                <w:rFonts w:ascii="宋体" w:hAnsi="宋体" w:cs="宋体" w:eastAsia="宋体" w:hint="default"/>
                <w:sz w:val="21"/>
                <w:szCs w:val="21"/>
              </w:rPr>
              <w:t>年年度</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报告》及其摘要</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
                <w:sz w:val="21"/>
                <w:szCs w:val="21"/>
              </w:rPr>
              <w:t> </w:t>
            </w:r>
            <w:r>
              <w:rPr>
                <w:rFonts w:ascii="宋体" w:hAnsi="宋体" w:cs="宋体" w:eastAsia="宋体" w:hint="default"/>
                <w:sz w:val="21"/>
                <w:szCs w:val="21"/>
              </w:rPr>
              <w:t>年度财</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务决算报告及</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
                <w:sz w:val="21"/>
                <w:szCs w:val="21"/>
              </w:rPr>
              <w:t> </w:t>
            </w:r>
            <w:r>
              <w:rPr>
                <w:rFonts w:ascii="宋体" w:hAnsi="宋体" w:cs="宋体" w:eastAsia="宋体" w:hint="default"/>
                <w:sz w:val="21"/>
                <w:szCs w:val="21"/>
              </w:rPr>
              <w:t>年度财务</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年年度股东</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预算</w:t>
            </w:r>
            <w:r>
              <w:rPr>
                <w:rFonts w:ascii="宋体" w:hAnsi="宋体" w:cs="宋体" w:eastAsia="宋体" w:hint="default"/>
                <w:spacing w:val="-3"/>
                <w:w w:val="100"/>
                <w:sz w:val="21"/>
                <w:szCs w:val="21"/>
              </w:rPr>
              <w:t>方</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《关</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全部议案审议通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sz w:val="21"/>
              </w:rPr>
              <w:t>http://www.cni</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于修改公司章程</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sz w:val="21"/>
              </w:rPr>
              <w:t>nfo.com.cn/</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2"/>
                <w:sz w:val="21"/>
                <w:szCs w:val="21"/>
              </w:rPr>
              <w:t> </w:t>
            </w:r>
            <w:r>
              <w:rPr>
                <w:rFonts w:ascii="宋体" w:hAnsi="宋体" w:cs="宋体" w:eastAsia="宋体" w:hint="default"/>
                <w:sz w:val="21"/>
                <w:szCs w:val="21"/>
              </w:rPr>
              <w:t>年度利润</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分配</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《关于向银行申</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请综合授信的议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聘任</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 2014</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审计机构的议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案》</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pict>
          <v:shape style="position:absolute;margin-left:289.418274pt;margin-top:-329.016327pt;width:86.05pt;height:316pt;mso-position-horizontal-relative:page;mso-position-vertical-relative:paragraph;z-index:-88751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0" w:right="0"/>
                    <w:jc w:val="left"/>
                  </w:pPr>
                  <w:r>
                    <w:rPr>
                      <w:w w:val="100"/>
                    </w:rPr>
                    <w:t>、</w:t>
                  </w:r>
                </w:p>
              </w:txbxContent>
            </v:textbox>
            <w10:wrap type="none"/>
          </v:shape>
        </w:pict>
      </w:r>
      <w:r>
        <w:rPr/>
        <w:pict>
          <v:group style="position:absolute;margin-left:296.25827pt;margin-top:-329.016327pt;width:79.2pt;height:316pt;mso-position-horizontal-relative:page;mso-position-vertical-relative:paragraph;z-index:-887488" coordorigin="5925,-6580" coordsize="1584,6320">
            <v:group style="position:absolute;left:5925;top:-6580;width:1584;height:6320" coordorigin="5925,-6580" coordsize="1584,6320">
              <v:shape style="position:absolute;left:5925;top:-6580;width:1584;height:6320" coordorigin="5925,-6580" coordsize="1584,6320" path="m5925,-6580l7509,-6580,7509,-261,5925,-261,5925,-6580xe" filled="true" fillcolor="#ffffff" stroked="false">
                <v:path arrowok="t"/>
                <v:fill type="solid"/>
              </v:shape>
            </v:group>
            <v:group style="position:absolute;left:5947;top:-3772;width:1539;height:351" coordorigin="5947,-3772" coordsize="1539,351">
              <v:shape style="position:absolute;left:5947;top:-3772;width:1539;height:351" coordorigin="5947,-3772" coordsize="1539,351" path="m5947,-3772l7485,-3772,7485,-3422,5947,-3422,5947,-3772xe" filled="true" fillcolor="#ffffff" stroked="false">
                <v:path arrowok="t"/>
                <v:fill type="solid"/>
              </v:shape>
            </v:group>
            <v:group style="position:absolute;left:5947;top:-3422;width:1539;height:353" coordorigin="5947,-3422" coordsize="1539,353">
              <v:shape style="position:absolute;left:5947;top:-3422;width:1539;height:353" coordorigin="5947,-3422" coordsize="1539,353" path="m5947,-3422l7485,-3422,7485,-3069,5947,-3069,5947,-3422xe" filled="true" fillcolor="#ffffff" stroked="false">
                <v:path arrowok="t"/>
                <v:fill type="solid"/>
              </v:shape>
            </v:group>
            <w10:wrap type="none"/>
          </v:group>
        </w:pict>
      </w:r>
      <w:r>
        <w:rPr/>
        <w:t>2、本报告期临时股东大会情况</w:t>
      </w:r>
    </w:p>
    <w:p>
      <w:pPr>
        <w:spacing w:line="240" w:lineRule="auto" w:before="12"/>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披露索引</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3、表决权恢复的优先股股东请求召开临时股东大会</w:t>
      </w:r>
    </w:p>
    <w:p>
      <w:pPr>
        <w:spacing w:line="240" w:lineRule="auto" w:before="12"/>
        <w:rPr>
          <w:rFonts w:ascii="宋体" w:hAnsi="宋体" w:cs="宋体" w:eastAsia="宋体" w:hint="default"/>
          <w:sz w:val="25"/>
          <w:szCs w:val="25"/>
        </w:rPr>
      </w:pPr>
    </w:p>
    <w:p>
      <w:pPr>
        <w:pStyle w:val="BodyText"/>
        <w:spacing w:line="535" w:lineRule="auto"/>
        <w:ind w:right="4492"/>
        <w:jc w:val="left"/>
      </w:pPr>
      <w:r>
        <w:rPr/>
        <w:t>□ 适用 √</w:t>
      </w:r>
      <w:r>
        <w:rPr>
          <w:spacing w:val="-2"/>
        </w:rPr>
        <w:t> </w:t>
      </w:r>
      <w:r>
        <w:rPr/>
        <w:t>不适用</w:t>
      </w:r>
      <w:r>
        <w:rPr>
          <w:spacing w:val="-103"/>
        </w:rPr>
        <w:t> </w:t>
      </w:r>
      <w:r>
        <w:rPr>
          <w:spacing w:val="-103"/>
        </w:rPr>
      </w:r>
      <w:r>
        <w:rPr/>
        <w:t>三、报告期内独立董事履行职责的情况</w:t>
      </w:r>
      <w:r>
        <w:rPr>
          <w:spacing w:val="-91"/>
        </w:rPr>
        <w:t> </w:t>
      </w:r>
      <w:r>
        <w:rPr>
          <w:spacing w:val="-91"/>
        </w:rPr>
      </w:r>
      <w:r>
        <w:rPr>
          <w:spacing w:val="-1"/>
        </w:rPr>
        <w:t>1、独立董事出席董事会及股东大会的情况</w:t>
      </w:r>
    </w:p>
    <w:p>
      <w:pPr>
        <w:spacing w:line="240" w:lineRule="auto" w:before="13"/>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624"/>
        <w:gridCol w:w="1322"/>
        <w:gridCol w:w="1325"/>
        <w:gridCol w:w="1325"/>
        <w:gridCol w:w="1322"/>
        <w:gridCol w:w="1325"/>
        <w:gridCol w:w="1325"/>
      </w:tblGrid>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6" w:right="21"/>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40" w:right="24"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6" w:right="24"/>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潘琰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张新泽</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丁仕达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张学清</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1</w:t>
            </w:r>
          </w:p>
        </w:tc>
      </w:tr>
    </w:tbl>
    <w:p>
      <w:pPr>
        <w:pStyle w:val="BodyText"/>
        <w:spacing w:line="532" w:lineRule="auto" w:before="28"/>
        <w:ind w:right="4875"/>
        <w:jc w:val="left"/>
      </w:pPr>
      <w:r>
        <w:rPr/>
        <w:t>连续两次未亲自出席董事会的说明</w:t>
      </w:r>
      <w:r>
        <w:rPr>
          <w:w w:val="100"/>
        </w:rPr>
        <w:t> </w:t>
      </w:r>
      <w:r>
        <w:rPr>
          <w:spacing w:val="-1"/>
        </w:rPr>
        <w:t>2、独立董事对公司有关事项提出异议的情况</w:t>
      </w:r>
    </w:p>
    <w:p>
      <w:pPr>
        <w:pStyle w:val="BodyText"/>
        <w:spacing w:line="240" w:lineRule="auto" w:before="83"/>
        <w:ind w:right="0"/>
        <w:jc w:val="both"/>
      </w:pPr>
      <w:r>
        <w:rPr/>
        <w:t>独立董事对公司有关事项是否提出异议</w:t>
      </w:r>
    </w:p>
    <w:p>
      <w:pPr>
        <w:pStyle w:val="BodyText"/>
        <w:spacing w:line="307" w:lineRule="auto" w:before="78"/>
        <w:ind w:right="4875"/>
        <w:jc w:val="left"/>
      </w:pPr>
      <w:r>
        <w:rPr/>
        <w:t>□ 是</w:t>
      </w:r>
      <w:r>
        <w:rPr>
          <w:spacing w:val="-2"/>
        </w:rPr>
        <w:t> </w:t>
      </w:r>
      <w:r>
        <w:rPr/>
        <w:t>√</w:t>
      </w:r>
      <w:r>
        <w:rPr>
          <w:spacing w:val="-2"/>
        </w:rPr>
        <w:t> </w:t>
      </w:r>
      <w:r>
        <w:rPr/>
        <w:t>否</w:t>
      </w:r>
      <w:r>
        <w:rPr>
          <w:spacing w:val="-101"/>
        </w:rPr>
        <w:t> </w:t>
      </w:r>
      <w:r>
        <w:rPr>
          <w:spacing w:val="-101"/>
        </w:rPr>
      </w:r>
      <w:r>
        <w:rPr>
          <w:spacing w:val="-2"/>
        </w:rPr>
        <w:t>报告期内独立董事对公司有关事项未提出异议。</w:t>
      </w:r>
    </w:p>
    <w:p>
      <w:pPr>
        <w:pStyle w:val="BodyText"/>
        <w:spacing w:line="614" w:lineRule="exact" w:before="30"/>
        <w:ind w:right="4875"/>
        <w:jc w:val="left"/>
      </w:pPr>
      <w:r>
        <w:rPr/>
        <w:t>3、独立董事履行职责的其他说明</w:t>
      </w:r>
      <w:r>
        <w:rPr>
          <w:spacing w:val="-94"/>
        </w:rPr>
        <w:t> </w:t>
      </w:r>
      <w:r>
        <w:rPr>
          <w:spacing w:val="-94"/>
        </w:rPr>
      </w:r>
      <w:r>
        <w:rPr>
          <w:spacing w:val="-2"/>
        </w:rPr>
        <w:t>独立董事对公司有关建议是否被采纳</w:t>
      </w:r>
    </w:p>
    <w:p>
      <w:pPr>
        <w:pStyle w:val="BodyText"/>
        <w:spacing w:line="260" w:lineRule="exact"/>
        <w:ind w:right="0"/>
        <w:jc w:val="both"/>
      </w:pPr>
      <w:r>
        <w:rPr/>
        <w:t>√ 是 □ 否</w:t>
      </w:r>
    </w:p>
    <w:p>
      <w:pPr>
        <w:pStyle w:val="BodyText"/>
        <w:spacing w:line="307" w:lineRule="auto" w:before="78"/>
        <w:ind w:left="574" w:right="99" w:hanging="420"/>
        <w:jc w:val="left"/>
      </w:pPr>
      <w:r>
        <w:rPr/>
        <w:t>独立董事对公司有关建议被采纳或未被采纳的说明</w:t>
      </w:r>
      <w:r>
        <w:rPr>
          <w:w w:val="100"/>
        </w:rPr>
        <w:t> </w:t>
      </w:r>
      <w:r>
        <w:rPr>
          <w:spacing w:val="-2"/>
        </w:rPr>
        <w:t>报告期内，公司充分尊重独立董事提出的各项建议和意见，在信息披露、财务审计、利润分配、重大</w:t>
      </w:r>
    </w:p>
    <w:p>
      <w:pPr>
        <w:pStyle w:val="BodyText"/>
        <w:spacing w:line="253" w:lineRule="exact"/>
        <w:ind w:right="0"/>
        <w:jc w:val="both"/>
      </w:pPr>
      <w:r>
        <w:rPr>
          <w:spacing w:val="-5"/>
        </w:rPr>
        <w:t>投资决策以及高级管理人员聘任等方面，提请独立董事审议，确保独立董事能够全面和深入了解具体内容，</w:t>
      </w:r>
    </w:p>
    <w:p>
      <w:pPr>
        <w:pStyle w:val="BodyText"/>
        <w:spacing w:line="535" w:lineRule="auto" w:before="37"/>
        <w:ind w:right="4875"/>
        <w:jc w:val="left"/>
      </w:pPr>
      <w:r>
        <w:rPr>
          <w:spacing w:val="-2"/>
        </w:rPr>
        <w:t>为公司规范化治理的提高，起到了积极地推动作用。</w:t>
      </w:r>
      <w:r>
        <w:rPr>
          <w:spacing w:val="-62"/>
        </w:rPr>
        <w:t> </w:t>
      </w:r>
      <w:r>
        <w:rPr>
          <w:spacing w:val="-62"/>
        </w:rPr>
      </w:r>
      <w:r>
        <w:rPr>
          <w:spacing w:val="-1"/>
        </w:rPr>
        <w:t>四、董事会下设专门委员会在报告期内履行职责情况</w:t>
      </w:r>
    </w:p>
    <w:p>
      <w:pPr>
        <w:pStyle w:val="BodyText"/>
        <w:spacing w:line="273" w:lineRule="auto" w:before="81"/>
        <w:ind w:right="99" w:firstLine="420"/>
        <w:jc w:val="left"/>
      </w:pPr>
      <w:r>
        <w:rPr>
          <w:spacing w:val="-2"/>
        </w:rPr>
        <w:t>公司第三届董事会下设四个专门委员会，分别为提名委员会、审计委员会、薪酬与考核委员会、战略</w:t>
      </w:r>
      <w:r>
        <w:rPr>
          <w:w w:val="100"/>
        </w:rPr>
        <w:t> </w:t>
      </w:r>
      <w:r>
        <w:rPr/>
        <w:t>委员会。专门委员会在2014年度的履职情况如下：</w:t>
      </w:r>
    </w:p>
    <w:p>
      <w:pPr>
        <w:pStyle w:val="BodyText"/>
        <w:spacing w:line="273" w:lineRule="auto" w:before="7"/>
        <w:ind w:left="574" w:right="4875"/>
        <w:jc w:val="left"/>
      </w:pPr>
      <w:r>
        <w:rPr/>
        <w:t>1、提名委员会履职情况</w:t>
      </w:r>
      <w:r>
        <w:rPr>
          <w:w w:val="100"/>
        </w:rPr>
        <w:t> </w:t>
      </w:r>
      <w:r>
        <w:rPr>
          <w:spacing w:val="-2"/>
        </w:rPr>
        <w:t>报告期内，提名委员会未召开会议。</w:t>
      </w:r>
      <w:r>
        <w:rPr>
          <w:spacing w:val="-73"/>
        </w:rPr>
        <w:t> </w:t>
      </w:r>
      <w:r>
        <w:rPr>
          <w:spacing w:val="-73"/>
        </w:rPr>
      </w:r>
      <w:r>
        <w:rPr/>
        <w:t>2、审计委员会履职情况</w:t>
      </w:r>
    </w:p>
    <w:p>
      <w:pPr>
        <w:pStyle w:val="BodyText"/>
        <w:spacing w:line="273" w:lineRule="auto" w:before="7"/>
        <w:ind w:right="99" w:firstLine="420"/>
        <w:jc w:val="left"/>
      </w:pPr>
      <w:r>
        <w:rPr/>
        <w:t>（1）报告期内，审计委员会共召开四次审计委员会议，每季度对公司内部控制制度执行情况、内部</w:t>
      </w:r>
      <w:r>
        <w:rPr>
          <w:w w:val="100"/>
        </w:rPr>
        <w:t> </w:t>
      </w:r>
      <w:r>
        <w:rPr>
          <w:spacing w:val="-2"/>
        </w:rPr>
        <w:t>审计机构审计情况做检查，并向董事会做报告。加强了公司内部控制体系的建设，完善了公司法人治理结</w:t>
      </w:r>
      <w:r>
        <w:rPr>
          <w:spacing w:val="-44"/>
        </w:rPr>
        <w:t> </w:t>
      </w:r>
      <w:r>
        <w:rPr>
          <w:spacing w:val="-44"/>
        </w:rPr>
      </w:r>
      <w:r>
        <w:rPr/>
        <w:t>构，有效维护了公司股东特别是中小股东的利益。</w:t>
      </w:r>
    </w:p>
    <w:p>
      <w:pPr>
        <w:pStyle w:val="BodyText"/>
        <w:spacing w:line="273" w:lineRule="auto" w:before="7"/>
        <w:ind w:right="99" w:firstLine="420"/>
        <w:jc w:val="left"/>
      </w:pPr>
      <w:r>
        <w:rPr/>
        <w:t>（2）公司审计委员会与公司审计机构致同会计师事务所就公司2014年度审计计划和工作安排进行了</w:t>
      </w:r>
      <w:r>
        <w:rPr>
          <w:w w:val="100"/>
        </w:rPr>
        <w:t> </w:t>
      </w:r>
      <w:r>
        <w:rPr>
          <w:spacing w:val="-2"/>
        </w:rPr>
        <w:t>沟通，确定了审计报告的出具日期。在审计过程中，审计委员会根据审计工作计划，敦促审计机构按时完</w:t>
      </w:r>
      <w:r>
        <w:rPr>
          <w:spacing w:val="-50"/>
        </w:rPr>
        <w:t> </w:t>
      </w:r>
      <w:r>
        <w:rPr>
          <w:spacing w:val="-50"/>
        </w:rPr>
      </w:r>
      <w:r>
        <w:rPr>
          <w:spacing w:val="-2"/>
        </w:rPr>
        <w:t>成审计工作，并在审计会计师出具初步审计意见后和董事会审议年报前，与注册会计师沟通，了解到在审</w:t>
      </w:r>
      <w:r>
        <w:rPr>
          <w:spacing w:val="-44"/>
        </w:rPr>
        <w:t> </w:t>
      </w:r>
      <w:r>
        <w:rPr>
          <w:spacing w:val="-44"/>
        </w:rPr>
      </w:r>
      <w:r>
        <w:rPr>
          <w:spacing w:val="-2"/>
        </w:rPr>
        <w:t>计过程中未发现重大问题。通过审阅经会计师审计的公司财务报表，审计委员会认为公司在审计前编制的</w:t>
      </w:r>
      <w:r>
        <w:rPr>
          <w:spacing w:val="-42"/>
        </w:rPr>
        <w:t> </w:t>
      </w:r>
      <w:r>
        <w:rPr>
          <w:spacing w:val="-42"/>
        </w:rPr>
      </w:r>
      <w:r>
        <w:rPr/>
        <w:t>财务报表与审计后的财务报表没有重大出入，经审计的财务报表如实反映了公司的财务状况。</w:t>
      </w:r>
    </w:p>
    <w:p>
      <w:pPr>
        <w:pStyle w:val="BodyText"/>
        <w:spacing w:line="273" w:lineRule="auto" w:before="7"/>
        <w:ind w:left="574" w:right="99"/>
        <w:jc w:val="left"/>
      </w:pPr>
      <w:r>
        <w:rPr/>
        <w:t>3、薪酬与考核委员会履职情况</w:t>
      </w:r>
      <w:r>
        <w:rPr>
          <w:w w:val="100"/>
        </w:rPr>
        <w:t> </w:t>
      </w:r>
      <w:r>
        <w:rPr>
          <w:spacing w:val="-2"/>
        </w:rPr>
        <w:t>报告期内，薪酬与考核委员会召开了一次会议，审议通过了《关于董事、高管人员2013年度绩效考核</w:t>
      </w:r>
    </w:p>
    <w:p>
      <w:pPr>
        <w:pStyle w:val="BodyText"/>
        <w:spacing w:line="273" w:lineRule="auto" w:before="7"/>
        <w:ind w:right="183"/>
        <w:jc w:val="both"/>
      </w:pPr>
      <w:r>
        <w:rPr>
          <w:spacing w:val="-2"/>
        </w:rPr>
        <w:t>结果的议案》和《2014年度绩效考核方案》。会议客观公正的评价了公司经营管理层2013年的工作业绩，</w:t>
      </w:r>
      <w:r>
        <w:rPr>
          <w:spacing w:val="-14"/>
        </w:rPr>
        <w:t> </w:t>
      </w:r>
      <w:r>
        <w:rPr>
          <w:spacing w:val="-14"/>
        </w:rPr>
      </w:r>
      <w:r>
        <w:rPr>
          <w:spacing w:val="-2"/>
        </w:rPr>
        <w:t>并根据现实情况制定了经营管理层2014年的绩效考核方案。对激发经营管理层的积极性，提高公司2014年</w:t>
      </w:r>
      <w:r>
        <w:rPr>
          <w:spacing w:val="-36"/>
        </w:rPr>
        <w:t> </w:t>
      </w:r>
      <w:r>
        <w:rPr>
          <w:spacing w:val="-36"/>
        </w:rPr>
      </w:r>
      <w:r>
        <w:rPr/>
        <w:t>的经营效益起到了积极的作用。</w:t>
      </w:r>
    </w:p>
    <w:p>
      <w:pPr>
        <w:pStyle w:val="BodyText"/>
        <w:spacing w:line="273" w:lineRule="auto" w:before="7"/>
        <w:ind w:left="574" w:right="99"/>
        <w:jc w:val="left"/>
      </w:pPr>
      <w:r>
        <w:rPr/>
        <w:t>4、战略委员会履职情况</w:t>
      </w:r>
      <w:r>
        <w:rPr>
          <w:w w:val="100"/>
        </w:rPr>
        <w:t> </w:t>
      </w:r>
      <w:r>
        <w:rPr>
          <w:spacing w:val="-2"/>
        </w:rPr>
        <w:t>报告期内，公司第二届董事会战略委员会召开了一次会议，会议审议了公司2014年的经营目标和经营</w:t>
      </w:r>
    </w:p>
    <w:p>
      <w:pPr>
        <w:spacing w:after="0" w:line="273"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535" w:lineRule="auto" w:before="36"/>
        <w:ind w:right="2993"/>
        <w:jc w:val="left"/>
      </w:pPr>
      <w:r>
        <w:rPr>
          <w:spacing w:val="-2"/>
        </w:rPr>
        <w:t>计划，并对2014年的经营目标和计划达成了一致意见。</w:t>
      </w:r>
      <w:r>
        <w:rPr>
          <w:spacing w:val="-56"/>
        </w:rPr>
        <w:t> </w:t>
      </w:r>
      <w:r>
        <w:rPr>
          <w:spacing w:val="-56"/>
        </w:rPr>
      </w:r>
      <w:r>
        <w:rPr/>
        <w:t>五、监事会工作情况</w:t>
      </w:r>
    </w:p>
    <w:p>
      <w:pPr>
        <w:pStyle w:val="BodyText"/>
        <w:spacing w:line="240" w:lineRule="auto" w:before="81"/>
        <w:ind w:right="99"/>
        <w:jc w:val="left"/>
      </w:pPr>
      <w:r>
        <w:rPr/>
        <w:t>监事会在报告期内的监督活动中发现公司是否存在风险</w:t>
      </w:r>
    </w:p>
    <w:p>
      <w:pPr>
        <w:pStyle w:val="BodyText"/>
        <w:spacing w:line="307" w:lineRule="auto" w:before="75"/>
        <w:ind w:right="5986"/>
        <w:jc w:val="left"/>
      </w:pPr>
      <w:r>
        <w:rPr/>
        <w:t>□ 是</w:t>
      </w:r>
      <w:r>
        <w:rPr>
          <w:spacing w:val="-2"/>
        </w:rPr>
        <w:t> </w:t>
      </w:r>
      <w:r>
        <w:rPr/>
        <w:t>√</w:t>
      </w:r>
      <w:r>
        <w:rPr>
          <w:spacing w:val="-2"/>
        </w:rPr>
        <w:t> </w:t>
      </w:r>
      <w:r>
        <w:rPr/>
        <w:t>否</w:t>
      </w:r>
      <w:r>
        <w:rPr>
          <w:spacing w:val="-101"/>
        </w:rPr>
        <w:t> </w:t>
      </w:r>
      <w:r>
        <w:rPr>
          <w:spacing w:val="-101"/>
        </w:rPr>
      </w:r>
      <w:r>
        <w:rPr>
          <w:spacing w:val="-2"/>
        </w:rPr>
        <w:t>监事会对报告期内的监督事项无异议。</w:t>
      </w:r>
    </w:p>
    <w:p>
      <w:pPr>
        <w:pStyle w:val="BodyText"/>
        <w:spacing w:line="612" w:lineRule="exact" w:before="34"/>
        <w:ind w:left="574" w:right="99" w:hanging="420"/>
        <w:jc w:val="left"/>
      </w:pPr>
      <w:r>
        <w:rPr/>
        <w:t>六、公司相对于控股股东在业务、人员、资产、机构、财务等方面的独立完整情况</w:t>
      </w:r>
      <w:r>
        <w:rPr>
          <w:spacing w:val="-81"/>
        </w:rPr>
        <w:t> </w:t>
      </w:r>
      <w:r>
        <w:rPr>
          <w:spacing w:val="-81"/>
        </w:rPr>
      </w:r>
      <w:r>
        <w:rPr>
          <w:spacing w:val="-2"/>
        </w:rPr>
        <w:t>公司在业务、资产、人员、机构、财务等方面均独立于股东。公司具有独立完整的业务体系及面向市</w:t>
      </w:r>
    </w:p>
    <w:p>
      <w:pPr>
        <w:pStyle w:val="BodyText"/>
        <w:spacing w:line="219" w:lineRule="exact"/>
        <w:ind w:right="99"/>
        <w:jc w:val="left"/>
      </w:pPr>
      <w:r>
        <w:rPr/>
        <w:t>场独立经营的能力，不依赖于股东及其他任何关联方，与控股股东不存在同业竞争的情况。公司拥有生产</w:t>
      </w:r>
    </w:p>
    <w:p>
      <w:pPr>
        <w:pStyle w:val="BodyText"/>
        <w:spacing w:line="273" w:lineRule="auto" w:before="37"/>
        <w:ind w:right="99"/>
        <w:jc w:val="left"/>
      </w:pPr>
      <w:r>
        <w:rPr>
          <w:spacing w:val="-2"/>
        </w:rPr>
        <w:t>经营所需的完整的资产，所需的技术也为公司合法独立拥有，产权清晰。公司设立有独立的财务部门，配</w:t>
      </w:r>
      <w:r>
        <w:rPr>
          <w:spacing w:val="-44"/>
        </w:rPr>
        <w:t> </w:t>
      </w:r>
      <w:r>
        <w:rPr>
          <w:spacing w:val="-44"/>
        </w:rPr>
      </w:r>
      <w:r>
        <w:rPr>
          <w:spacing w:val="-5"/>
        </w:rPr>
        <w:t>备了专职的财务会计人员，并建立了独立的会计核算体系和财务管理制度，独立纳税，独立做出财务决策， </w:t>
      </w:r>
      <w:r>
        <w:rPr>
          <w:spacing w:val="-5"/>
        </w:rPr>
      </w:r>
      <w:r>
        <w:rPr>
          <w:spacing w:val="-2"/>
        </w:rPr>
        <w:t>公司财务人员与控股股东财务人员分开，各司其职。公司董事、监事、高级管理人员及核心技术人员不存</w:t>
      </w:r>
      <w:r>
        <w:rPr>
          <w:spacing w:val="-44"/>
        </w:rPr>
        <w:t> </w:t>
      </w:r>
      <w:r>
        <w:rPr>
          <w:spacing w:val="-44"/>
        </w:rPr>
      </w:r>
      <w:r>
        <w:rPr/>
        <w:t>在法律禁止的交叉任职的情形。公司生产经营、采购销售、人事管理也完全独立。</w:t>
      </w:r>
    </w:p>
    <w:p>
      <w:pPr>
        <w:spacing w:line="240" w:lineRule="auto" w:before="7"/>
        <w:rPr>
          <w:rFonts w:ascii="宋体" w:hAnsi="宋体" w:cs="宋体" w:eastAsia="宋体" w:hint="default"/>
          <w:sz w:val="23"/>
          <w:szCs w:val="23"/>
        </w:rPr>
      </w:pPr>
    </w:p>
    <w:p>
      <w:pPr>
        <w:pStyle w:val="BodyText"/>
        <w:spacing w:line="240" w:lineRule="auto"/>
        <w:ind w:right="99"/>
        <w:jc w:val="left"/>
      </w:pPr>
      <w:r>
        <w:rPr/>
        <w:t>七、同业竞争情况</w:t>
      </w:r>
    </w:p>
    <w:p>
      <w:pPr>
        <w:spacing w:line="240" w:lineRule="auto" w:before="12"/>
        <w:rPr>
          <w:rFonts w:ascii="宋体" w:hAnsi="宋体" w:cs="宋体" w:eastAsia="宋体" w:hint="default"/>
          <w:sz w:val="25"/>
          <w:szCs w:val="25"/>
        </w:rPr>
      </w:pPr>
    </w:p>
    <w:p>
      <w:pPr>
        <w:pStyle w:val="BodyText"/>
        <w:spacing w:line="535" w:lineRule="auto"/>
        <w:ind w:right="4875"/>
        <w:jc w:val="left"/>
      </w:pPr>
      <w:r>
        <w:rPr/>
        <w:t>□ 适用 √</w:t>
      </w:r>
      <w:r>
        <w:rPr>
          <w:spacing w:val="-2"/>
        </w:rPr>
        <w:t> </w:t>
      </w:r>
      <w:r>
        <w:rPr/>
        <w:t>不适用</w:t>
      </w:r>
      <w:r>
        <w:rPr>
          <w:spacing w:val="-103"/>
        </w:rPr>
        <w:t> </w:t>
      </w:r>
      <w:r>
        <w:rPr>
          <w:spacing w:val="-103"/>
        </w:rPr>
      </w:r>
      <w:r>
        <w:rPr>
          <w:spacing w:val="-1"/>
        </w:rPr>
        <w:t>八、高级管理人员的考评及激励情况</w:t>
      </w:r>
    </w:p>
    <w:p>
      <w:pPr>
        <w:pStyle w:val="BodyText"/>
        <w:spacing w:line="273" w:lineRule="auto" w:before="79"/>
        <w:ind w:right="99" w:firstLine="420"/>
        <w:jc w:val="left"/>
      </w:pPr>
      <w:r>
        <w:rPr/>
        <w:t>公司高级管理人员均由董事会聘任。报告期内，公司董事会薪酬与考核委员会根据公司实际情况，不</w:t>
      </w:r>
      <w:r>
        <w:rPr>
          <w:w w:val="100"/>
        </w:rPr>
        <w:t> </w:t>
      </w:r>
      <w:r>
        <w:rPr>
          <w:spacing w:val="-2"/>
        </w:rPr>
        <w:t>断建立和完善公司内部激励机制和约束机制，充分发挥和调动了公司董事及高级管理人员的工作积极性和</w:t>
      </w:r>
      <w:r>
        <w:rPr>
          <w:spacing w:val="-43"/>
        </w:rPr>
        <w:t> </w:t>
      </w:r>
      <w:r>
        <w:rPr>
          <w:spacing w:val="-43"/>
        </w:rPr>
      </w:r>
      <w:r>
        <w:rPr>
          <w:spacing w:val="-5"/>
        </w:rPr>
        <w:t>创造性，更好的提高了企业的营运能力和效率。在实际工作中，据实际经营状况及其岗位职责和工作业绩，</w:t>
      </w:r>
      <w:r>
        <w:rPr>
          <w:spacing w:val="-7"/>
        </w:rPr>
        <w:t> </w:t>
      </w:r>
      <w:r>
        <w:rPr>
          <w:spacing w:val="-7"/>
        </w:rPr>
      </w:r>
      <w:r>
        <w:rPr>
          <w:spacing w:val="-2"/>
        </w:rPr>
        <w:t>结合公司《董事、高级管理人员薪酬考核制度》，对公司高级管理人员进行了年度绩效考评，并提出了新</w:t>
      </w:r>
      <w:r>
        <w:rPr>
          <w:spacing w:val="-43"/>
        </w:rPr>
        <w:t> </w:t>
      </w:r>
      <w:r>
        <w:rPr>
          <w:spacing w:val="-43"/>
        </w:rPr>
      </w:r>
      <w:r>
        <w:rPr/>
        <w:t>一年的绩效考核指标。</w:t>
      </w:r>
    </w:p>
    <w:p>
      <w:pPr>
        <w:spacing w:after="0" w:line="273" w:lineRule="auto"/>
        <w:jc w:val="left"/>
        <w:sectPr>
          <w:pgSz w:w="11910" w:h="16840"/>
          <w:pgMar w:header="747"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3930" w:right="3989"/>
        <w:jc w:val="center"/>
      </w:pPr>
      <w:bookmarkStart w:name="_TOC_250002" w:id="10"/>
      <w:r>
        <w:rPr/>
        <w:t>第十节</w:t>
      </w:r>
      <w:r>
        <w:rPr>
          <w:spacing w:val="5"/>
        </w:rPr>
        <w:t> </w:t>
      </w:r>
      <w:bookmarkEnd w:id="10"/>
      <w:r>
        <w:rPr/>
        <w:t>内部控制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6"/>
        <w:ind w:right="99"/>
        <w:jc w:val="left"/>
      </w:pPr>
      <w:r>
        <w:rPr/>
        <w:t>一、内部控制建设情况</w:t>
      </w:r>
    </w:p>
    <w:p>
      <w:pPr>
        <w:spacing w:line="240" w:lineRule="auto" w:before="12"/>
        <w:rPr>
          <w:rFonts w:ascii="宋体" w:hAnsi="宋体" w:cs="宋体" w:eastAsia="宋体" w:hint="default"/>
          <w:sz w:val="25"/>
          <w:szCs w:val="25"/>
        </w:rPr>
      </w:pPr>
    </w:p>
    <w:p>
      <w:pPr>
        <w:pStyle w:val="BodyText"/>
        <w:spacing w:line="273" w:lineRule="auto"/>
        <w:ind w:right="183" w:firstLine="420"/>
        <w:jc w:val="both"/>
      </w:pPr>
      <w:r>
        <w:rPr>
          <w:spacing w:val="-2"/>
        </w:rPr>
        <w:t>根据《公司法》、《证券法》、《深圳证券交易所股票上市规则》以及中国证监会有关法律法规的要</w:t>
      </w:r>
      <w:r>
        <w:rPr>
          <w:w w:val="100"/>
        </w:rPr>
        <w:t> </w:t>
      </w:r>
      <w:r>
        <w:rPr>
          <w:spacing w:val="-2"/>
        </w:rPr>
        <w:t>求，结合公司的实际情况，先后逐步建立和完善了各项必须的公司治理制度。主要包括：《股东大会议事</w:t>
      </w:r>
      <w:r>
        <w:rPr>
          <w:spacing w:val="-43"/>
        </w:rPr>
        <w:t> </w:t>
      </w:r>
      <w:r>
        <w:rPr>
          <w:spacing w:val="-43"/>
        </w:rPr>
      </w:r>
      <w:r>
        <w:rPr>
          <w:spacing w:val="-2"/>
        </w:rPr>
        <w:t>规则》、《董事会议事规则》、《监事会议事规则》、《信息披露管理制度》（修订稿）、《独立董事工</w:t>
      </w:r>
      <w:r>
        <w:rPr>
          <w:spacing w:val="-44"/>
        </w:rPr>
        <w:t> </w:t>
      </w:r>
      <w:r>
        <w:rPr>
          <w:spacing w:val="-44"/>
        </w:rPr>
      </w:r>
      <w:r>
        <w:rPr>
          <w:spacing w:val="-2"/>
        </w:rPr>
        <w:t>作制度》、《募集资金使用管理办法》（修订稿）、《对外投资管理制度》、《关联交易管理办法》（修</w:t>
      </w:r>
      <w:r>
        <w:rPr>
          <w:spacing w:val="-48"/>
        </w:rPr>
        <w:t> </w:t>
      </w:r>
      <w:r>
        <w:rPr>
          <w:spacing w:val="-48"/>
        </w:rPr>
      </w:r>
      <w:r>
        <w:rPr>
          <w:spacing w:val="-2"/>
        </w:rPr>
        <w:t>订稿）等重要规章制度，建立了一整套较为健全完善的内部控制体系，公司现有内部控制制度包括法人治</w:t>
      </w:r>
      <w:r>
        <w:rPr>
          <w:spacing w:val="-44"/>
        </w:rPr>
        <w:t> </w:t>
      </w:r>
      <w:r>
        <w:rPr>
          <w:spacing w:val="-44"/>
        </w:rPr>
      </w:r>
      <w:r>
        <w:rPr>
          <w:spacing w:val="-2"/>
        </w:rPr>
        <w:t>理、生产经营、财务管理、人事管理、信息披露、投资者关系管理等方面，已基本涵盖公司经营管理的各</w:t>
      </w:r>
      <w:r>
        <w:rPr>
          <w:spacing w:val="-43"/>
        </w:rPr>
        <w:t> </w:t>
      </w:r>
      <w:r>
        <w:rPr>
          <w:spacing w:val="-43"/>
        </w:rPr>
      </w:r>
      <w:r>
        <w:rPr>
          <w:spacing w:val="-2"/>
        </w:rPr>
        <w:t>个层面。各项制度通过不断修订和完善得到了有效实施，从而保证了公司各项经营活动的正常有序进行，</w:t>
      </w:r>
      <w:r>
        <w:rPr>
          <w:spacing w:val="-22"/>
        </w:rPr>
        <w:t> </w:t>
      </w:r>
      <w:r>
        <w:rPr>
          <w:spacing w:val="-22"/>
        </w:rPr>
      </w:r>
      <w:r>
        <w:rPr>
          <w:spacing w:val="-2"/>
        </w:rPr>
        <w:t>达到了提高经营管理效率，保护公司资产安全完整，保证信息质量真实可靠，促进国家法律法规有效遵循</w:t>
      </w:r>
      <w:r>
        <w:rPr>
          <w:spacing w:val="-45"/>
        </w:rPr>
        <w:t> </w:t>
      </w:r>
      <w:r>
        <w:rPr>
          <w:spacing w:val="-45"/>
        </w:rPr>
      </w:r>
      <w:r>
        <w:rPr/>
        <w:t>和公司经营目标的实现。</w:t>
      </w:r>
    </w:p>
    <w:p>
      <w:pPr>
        <w:pStyle w:val="BodyText"/>
        <w:spacing w:line="612" w:lineRule="exact" w:before="63"/>
        <w:ind w:left="574" w:right="99" w:hanging="420"/>
        <w:jc w:val="left"/>
      </w:pPr>
      <w:r>
        <w:rPr/>
        <w:t>二、董事会关于内部控制责任的声明</w:t>
      </w:r>
      <w:r>
        <w:rPr>
          <w:spacing w:val="-92"/>
        </w:rPr>
        <w:t> </w:t>
      </w:r>
      <w:r>
        <w:rPr>
          <w:spacing w:val="-92"/>
        </w:rPr>
      </w:r>
      <w:r>
        <w:rPr>
          <w:spacing w:val="-2"/>
        </w:rPr>
        <w:t>按照企业内部控制规范体系的规定，建立健全和有效实施内部控制，评价其有效性，并如实披露内部</w:t>
      </w:r>
    </w:p>
    <w:p>
      <w:pPr>
        <w:pStyle w:val="BodyText"/>
        <w:spacing w:line="219" w:lineRule="exact"/>
        <w:ind w:right="99"/>
        <w:jc w:val="left"/>
      </w:pPr>
      <w:r>
        <w:rPr/>
        <w:t>控制评价报告是公司董事会的责任。监事会对董事会建立和实施内部控制进行监督。管理层负责组织领导</w:t>
      </w:r>
    </w:p>
    <w:p>
      <w:pPr>
        <w:pStyle w:val="BodyText"/>
        <w:spacing w:line="273" w:lineRule="auto" w:before="37"/>
        <w:ind w:right="99"/>
        <w:jc w:val="left"/>
      </w:pPr>
      <w:r>
        <w:rPr>
          <w:spacing w:val="-2"/>
        </w:rPr>
        <w:t>企业内部控制的日常运行。公司董事会、监事会及董事、监事、高级管理人员保证本报告不存在任何虚假</w:t>
      </w:r>
      <w:r>
        <w:rPr>
          <w:spacing w:val="-44"/>
        </w:rPr>
        <w:t> </w:t>
      </w:r>
      <w:r>
        <w:rPr>
          <w:spacing w:val="-44"/>
        </w:rPr>
      </w:r>
      <w:r>
        <w:rPr>
          <w:spacing w:val="-2"/>
        </w:rPr>
        <w:t>记载、误导性陈述或重大遗漏，并对报告内容的真实性、准确性和完整性承担个别及连带法律责任。公司</w:t>
      </w:r>
      <w:r>
        <w:rPr>
          <w:spacing w:val="-50"/>
        </w:rPr>
        <w:t> </w:t>
      </w:r>
      <w:r>
        <w:rPr>
          <w:spacing w:val="-50"/>
        </w:rPr>
      </w:r>
      <w:r>
        <w:rPr>
          <w:spacing w:val="-2"/>
        </w:rPr>
        <w:t>内部控制的目标是合理保证经营管理合法合规、资产安全、财务报告及相关信息真实完整，提高经营效率</w:t>
      </w:r>
      <w:r>
        <w:rPr>
          <w:spacing w:val="-44"/>
        </w:rPr>
        <w:t> </w:t>
      </w:r>
      <w:r>
        <w:rPr>
          <w:spacing w:val="-44"/>
        </w:rPr>
      </w:r>
      <w:r>
        <w:rPr>
          <w:spacing w:val="-5"/>
        </w:rPr>
        <w:t>和效果，促进实现发展战略。由于内部控制存在固有局限性，故仅能对实现上述目标提供合理保证。此外，</w:t>
      </w:r>
      <w:r>
        <w:rPr>
          <w:spacing w:val="-12"/>
        </w:rPr>
        <w:t> </w:t>
      </w:r>
      <w:r>
        <w:rPr>
          <w:spacing w:val="-12"/>
        </w:rPr>
      </w:r>
      <w:r>
        <w:rPr>
          <w:spacing w:val="-2"/>
        </w:rPr>
        <w:t>由于情况的变化可能导致内部控制变得不恰当，或对控制政策和程序遵循的程度降低，根据内部控制评价</w:t>
      </w:r>
      <w:r>
        <w:rPr>
          <w:spacing w:val="-43"/>
        </w:rPr>
        <w:t> </w:t>
      </w:r>
      <w:r>
        <w:rPr>
          <w:spacing w:val="-43"/>
        </w:rPr>
      </w:r>
      <w:r>
        <w:rPr/>
        <w:t>结果推测未来内部控制的有效性具有一定的风险。</w:t>
      </w:r>
    </w:p>
    <w:p>
      <w:pPr>
        <w:spacing w:line="240" w:lineRule="auto" w:before="10"/>
        <w:rPr>
          <w:rFonts w:ascii="宋体" w:hAnsi="宋体" w:cs="宋体" w:eastAsia="宋体" w:hint="default"/>
          <w:sz w:val="21"/>
          <w:szCs w:val="21"/>
        </w:rPr>
      </w:pPr>
    </w:p>
    <w:p>
      <w:pPr>
        <w:pStyle w:val="BodyText"/>
        <w:spacing w:line="610" w:lineRule="atLeast"/>
        <w:ind w:left="574" w:right="99" w:hanging="420"/>
        <w:jc w:val="left"/>
      </w:pPr>
      <w:r>
        <w:rPr/>
        <w:t>三、建立财务报告内部控制的依据</w:t>
      </w:r>
      <w:r>
        <w:rPr>
          <w:spacing w:val="-93"/>
        </w:rPr>
        <w:t> </w:t>
      </w:r>
      <w:r>
        <w:rPr>
          <w:spacing w:val="-93"/>
        </w:rPr>
      </w:r>
      <w:r>
        <w:rPr>
          <w:spacing w:val="-2"/>
        </w:rPr>
        <w:t>公司根据《会计法》、《企业会计准则》、《企业内部控制基本规范》及监管部门的相关规范性文件</w:t>
      </w:r>
    </w:p>
    <w:p>
      <w:pPr>
        <w:pStyle w:val="BodyText"/>
        <w:spacing w:line="240" w:lineRule="auto" w:before="37"/>
        <w:ind w:right="99"/>
        <w:jc w:val="left"/>
      </w:pPr>
      <w:r>
        <w:rPr/>
        <w:t>要求，建立了财务报告内部控制。本年度的财务报告内部控制不存在重大缺陷。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99"/>
        <w:jc w:val="left"/>
      </w:pPr>
      <w:r>
        <w:rPr/>
        <w:t>四、内部控制评价报告</w:t>
      </w:r>
    </w:p>
    <w:p>
      <w:pPr>
        <w:spacing w:line="240" w:lineRule="auto" w:before="11"/>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2660"/>
        <w:gridCol w:w="690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731" w:right="0"/>
              <w:jc w:val="left"/>
              <w:rPr>
                <w:rFonts w:ascii="宋体" w:hAnsi="宋体" w:cs="宋体" w:eastAsia="宋体" w:hint="default"/>
                <w:sz w:val="21"/>
                <w:szCs w:val="21"/>
              </w:rPr>
            </w:pPr>
            <w:r>
              <w:rPr>
                <w:rFonts w:ascii="宋体" w:hAnsi="宋体" w:cs="宋体" w:eastAsia="宋体" w:hint="default"/>
                <w:sz w:val="21"/>
                <w:szCs w:val="21"/>
              </w:rPr>
              <w:t>内部控制评价报告中报告期内发现的内部控制重大缺陷的具体情况</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报告期内未发现内部控制重大缺陷。</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103"/>
              <w:jc w:val="left"/>
              <w:rPr>
                <w:rFonts w:ascii="宋体" w:hAnsi="宋体" w:cs="宋体" w:eastAsia="宋体" w:hint="default"/>
                <w:sz w:val="21"/>
                <w:szCs w:val="21"/>
              </w:rPr>
            </w:pPr>
            <w:r>
              <w:rPr>
                <w:rFonts w:ascii="宋体" w:hAnsi="宋体" w:cs="宋体" w:eastAsia="宋体" w:hint="default"/>
                <w:spacing w:val="-2"/>
                <w:sz w:val="21"/>
                <w:szCs w:val="21"/>
              </w:rPr>
              <w:t>内部控制评价报告全文披露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03"/>
              <w:jc w:val="left"/>
              <w:rPr>
                <w:rFonts w:ascii="宋体" w:hAnsi="宋体" w:cs="宋体" w:eastAsia="宋体" w:hint="default"/>
                <w:sz w:val="21"/>
                <w:szCs w:val="21"/>
              </w:rPr>
            </w:pPr>
            <w:r>
              <w:rPr>
                <w:rFonts w:ascii="宋体" w:hAnsi="宋体" w:cs="宋体" w:eastAsia="宋体" w:hint="default"/>
                <w:spacing w:val="-2"/>
                <w:sz w:val="21"/>
                <w:szCs w:val="21"/>
              </w:rPr>
              <w:t>内部控制评价报告全文披露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在</w:t>
            </w:r>
            <w:r>
              <w:rPr>
                <w:rFonts w:ascii="宋体" w:hAnsi="宋体" w:cs="宋体" w:eastAsia="宋体" w:hint="default"/>
                <w:w w:val="100"/>
                <w:sz w:val="21"/>
                <w:szCs w:val="21"/>
              </w:rPr>
              <w:t>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的</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537" w:lineRule="auto" w:before="36"/>
        <w:ind w:right="6621"/>
        <w:jc w:val="left"/>
      </w:pPr>
      <w:r>
        <w:rPr/>
        <w:pict>
          <v:group style="position:absolute;margin-left:56.49826pt;margin-top:50.423676pt;width:478.95pt;height:126.75pt;mso-position-horizontal-relative:page;mso-position-vertical-relative:paragraph;z-index:-887368" coordorigin="1130,1008" coordsize="9579,2535">
            <v:group style="position:absolute;left:1140;top:1018;width:9560;height:2" coordorigin="1140,1018" coordsize="9560,2">
              <v:shape style="position:absolute;left:1140;top:1018;width:9560;height:2" coordorigin="1140,1018" coordsize="9560,0" path="m1140,1018l10699,1018e" filled="false" stroked="true" strokeweight=".47999pt" strokecolor="#000000">
                <v:path arrowok="t"/>
              </v:shape>
            </v:group>
            <v:group style="position:absolute;left:1135;top:1013;width:2;height:2525" coordorigin="1135,1013" coordsize="2,2525">
              <v:shape style="position:absolute;left:1135;top:1013;width:2;height:2525" coordorigin="1135,1013" coordsize="0,2525" path="m1135,1013l1135,3538e" filled="false" stroked="true" strokeweight=".47999pt" strokecolor="#000000">
                <v:path arrowok="t"/>
              </v:shape>
            </v:group>
            <v:group style="position:absolute;left:1140;top:3533;width:2657;height:2" coordorigin="1140,3533" coordsize="2657,2">
              <v:shape style="position:absolute;left:1140;top:3533;width:2657;height:2" coordorigin="1140,3533" coordsize="2657,0" path="m1140,3533l3796,3533e" filled="false" stroked="true" strokeweight=".47999pt" strokecolor="#000000">
                <v:path arrowok="t"/>
              </v:shape>
            </v:group>
            <v:group style="position:absolute;left:3782;top:3533;width:10;height:2" coordorigin="3782,3533" coordsize="10,2">
              <v:shape style="position:absolute;left:3782;top:3533;width:10;height:2" coordorigin="3782,3533" coordsize="10,0" path="m3782,3533l3792,3533e" filled="false" stroked="true" strokeweight=".47999pt" strokecolor="#000000">
                <v:path arrowok="t"/>
              </v:shape>
            </v:group>
            <v:group style="position:absolute;left:3792;top:3533;width:6908;height:2" coordorigin="3792,3533" coordsize="6908,2">
              <v:shape style="position:absolute;left:3792;top:3533;width:6908;height:2" coordorigin="3792,3533" coordsize="6908,0" path="m3792,3533l10699,3533e" filled="false" stroked="true" strokeweight=".47999pt" strokecolor="#000000">
                <v:path arrowok="t"/>
              </v:shape>
            </v:group>
            <v:group style="position:absolute;left:10704;top:1013;width:2;height:2525" coordorigin="10704,1013" coordsize="2,2525">
              <v:shape style="position:absolute;left:10704;top:1013;width:2;height:2525" coordorigin="10704,1013" coordsize="0,2525" path="m10704,1013l10704,3538e" filled="false" stroked="true" strokeweight=".47999pt" strokecolor="#000000">
                <v:path arrowok="t"/>
              </v:shape>
              <v:shape style="position:absolute;left:1164;top:1115;width:9514;height:915" type="#_x0000_t202" filled="false" stroked="false">
                <v:textbox inset="0,0,0,0">
                  <w:txbxContent>
                    <w:p>
                      <w:pPr>
                        <w:spacing w:line="211" w:lineRule="exact" w:before="0"/>
                        <w:ind w:left="3180" w:right="0" w:firstLine="0"/>
                        <w:jc w:val="left"/>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p>
                      <w:pPr>
                        <w:spacing w:line="310" w:lineRule="atLeast" w:before="83"/>
                        <w:ind w:left="0" w:right="0" w:firstLine="0"/>
                        <w:jc w:val="left"/>
                        <w:rPr>
                          <w:rFonts w:ascii="宋体" w:hAnsi="宋体" w:cs="宋体" w:eastAsia="宋体" w:hint="default"/>
                          <w:sz w:val="21"/>
                          <w:szCs w:val="21"/>
                        </w:rPr>
                      </w:pPr>
                      <w:r>
                        <w:rPr>
                          <w:rFonts w:ascii="宋体" w:hAnsi="宋体" w:cs="宋体" w:eastAsia="宋体" w:hint="default"/>
                          <w:spacing w:val="-4"/>
                          <w:sz w:val="21"/>
                          <w:szCs w:val="21"/>
                        </w:rPr>
                        <w:t>致同会计师事务所（特殊普通合伙）认为，鸿博公司于</w:t>
                      </w:r>
                      <w:r>
                        <w:rPr>
                          <w:rFonts w:ascii="宋体" w:hAnsi="宋体" w:cs="宋体" w:eastAsia="宋体" w:hint="default"/>
                          <w:spacing w:val="-46"/>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z w:val="21"/>
                          <w:szCs w:val="21"/>
                        </w:rPr>
                        <w:t>日在所有重大方面有效地保持了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按照《企业内部控制基本规范》建立的与财务报表相关的内部控制。</w:t>
                      </w:r>
                    </w:p>
                  </w:txbxContent>
                </v:textbox>
                <w10:wrap type="none"/>
              </v:shape>
              <v:shape style="position:absolute;left:1164;top:2212;width:2523;height:1227"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内部控制鉴证报告全文披露</w:t>
                      </w:r>
                    </w:p>
                    <w:p>
                      <w:pPr>
                        <w:spacing w:before="37"/>
                        <w:ind w:left="0" w:right="0" w:firstLine="0"/>
                        <w:jc w:val="left"/>
                        <w:rPr>
                          <w:rFonts w:ascii="宋体" w:hAnsi="宋体" w:cs="宋体" w:eastAsia="宋体" w:hint="default"/>
                          <w:sz w:val="21"/>
                          <w:szCs w:val="21"/>
                        </w:rPr>
                      </w:pPr>
                      <w:r>
                        <w:rPr>
                          <w:rFonts w:ascii="宋体" w:hAnsi="宋体" w:cs="宋体" w:eastAsia="宋体" w:hint="default"/>
                          <w:sz w:val="21"/>
                          <w:szCs w:val="21"/>
                        </w:rPr>
                        <w:t>日期</w:t>
                      </w:r>
                    </w:p>
                    <w:p>
                      <w:pPr>
                        <w:spacing w:line="310" w:lineRule="atLeast" w:before="81"/>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内部控制鉴证报告全文披露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索引</w:t>
                      </w:r>
                    </w:p>
                  </w:txbxContent>
                </v:textbox>
                <w10:wrap type="none"/>
              </v:shape>
              <v:shape style="position:absolute;left:3825;top:2368;width:173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xbxContent>
                </v:textbox>
                <w10:wrap type="none"/>
              </v:shape>
              <v:shape style="position:absolute;left:3825;top:3071;width:4520;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在</w:t>
                      </w:r>
                      <w:r>
                        <w:rPr>
                          <w:rFonts w:ascii="宋体" w:hAnsi="宋体" w:cs="宋体" w:eastAsia="宋体" w:hint="default"/>
                          <w:w w:val="100"/>
                          <w:sz w:val="21"/>
                          <w:szCs w:val="21"/>
                        </w:rPr>
                        <w:t>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的</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鉴</w:t>
                      </w:r>
                      <w:r>
                        <w:rPr>
                          <w:rFonts w:ascii="宋体" w:hAnsi="宋体" w:cs="宋体" w:eastAsia="宋体" w:hint="default"/>
                          <w:spacing w:val="-3"/>
                          <w:w w:val="100"/>
                          <w:sz w:val="21"/>
                          <w:szCs w:val="21"/>
                        </w:rPr>
                        <w:t>证</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xbxContent>
                </v:textbox>
                <w10:wrap type="none"/>
              </v:shape>
            </v:group>
            <w10:wrap type="none"/>
          </v:group>
        </w:pict>
      </w:r>
      <w:r>
        <w:rPr/>
        <w:t>五、内部控制审计报告或鉴证报告</w:t>
      </w:r>
      <w:r>
        <w:rPr>
          <w:spacing w:val="-93"/>
        </w:rPr>
        <w:t> </w:t>
      </w:r>
      <w:r>
        <w:rPr>
          <w:spacing w:val="-93"/>
        </w:rPr>
      </w: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36"/>
        <w:ind w:right="2880"/>
        <w:jc w:val="left"/>
      </w:pPr>
      <w:r>
        <w:rPr/>
        <w:t>会计师事务所是否出具非标准意见的内部控制鉴证报告</w:t>
      </w:r>
    </w:p>
    <w:p>
      <w:pPr>
        <w:pStyle w:val="BodyText"/>
        <w:spacing w:line="307" w:lineRule="auto" w:before="75"/>
        <w:ind w:right="1899"/>
        <w:jc w:val="left"/>
      </w:pPr>
      <w:r>
        <w:rPr/>
        <w:t>□ 是</w:t>
      </w:r>
      <w:r>
        <w:rPr>
          <w:spacing w:val="-2"/>
        </w:rPr>
        <w:t> </w:t>
      </w:r>
      <w:r>
        <w:rPr/>
        <w:t>√</w:t>
      </w:r>
      <w:r>
        <w:rPr>
          <w:spacing w:val="-2"/>
        </w:rPr>
        <w:t> </w:t>
      </w:r>
      <w:r>
        <w:rPr/>
        <w:t>否</w:t>
      </w:r>
      <w:r>
        <w:rPr>
          <w:spacing w:val="-101"/>
        </w:rPr>
        <w:t> </w:t>
      </w:r>
      <w:r>
        <w:rPr>
          <w:spacing w:val="-101"/>
        </w:rPr>
      </w:r>
      <w:r>
        <w:rPr>
          <w:spacing w:val="-2"/>
        </w:rPr>
        <w:t>会计师事务所出具的内部控制鉴证报告与董事会的自我评价报告意见是否一致</w:t>
      </w:r>
    </w:p>
    <w:p>
      <w:pPr>
        <w:pStyle w:val="BodyText"/>
        <w:spacing w:line="532" w:lineRule="auto" w:before="19"/>
        <w:ind w:right="4492"/>
        <w:jc w:val="left"/>
      </w:pPr>
      <w:r>
        <w:rPr/>
        <w:t>√ 是</w:t>
      </w:r>
      <w:r>
        <w:rPr>
          <w:spacing w:val="-2"/>
        </w:rPr>
        <w:t> </w:t>
      </w:r>
      <w:r>
        <w:rPr/>
        <w:t>□</w:t>
      </w:r>
      <w:r>
        <w:rPr>
          <w:spacing w:val="-2"/>
        </w:rPr>
        <w:t> </w:t>
      </w:r>
      <w:r>
        <w:rPr/>
        <w:t>否</w:t>
      </w:r>
      <w:r>
        <w:rPr>
          <w:spacing w:val="-101"/>
        </w:rPr>
        <w:t> </w:t>
      </w:r>
      <w:r>
        <w:rPr>
          <w:spacing w:val="-101"/>
        </w:rPr>
      </w:r>
      <w:r>
        <w:rPr>
          <w:spacing w:val="-1"/>
        </w:rPr>
        <w:t>六、年度报告重大差错责任追究制度的建立与执行情况</w:t>
      </w:r>
    </w:p>
    <w:p>
      <w:pPr>
        <w:pStyle w:val="BodyText"/>
        <w:spacing w:line="273" w:lineRule="auto" w:before="83"/>
        <w:ind w:right="0" w:firstLine="420"/>
        <w:jc w:val="left"/>
      </w:pPr>
      <w:r>
        <w:rPr>
          <w:spacing w:val="-2"/>
        </w:rPr>
        <w:t>公司已经建立了年报信息披露重大差错责任追究制度，报告期内未发生重大会计差错更正、重大遗漏</w:t>
      </w:r>
      <w:r>
        <w:rPr>
          <w:w w:val="100"/>
        </w:rPr>
        <w:t> </w:t>
      </w:r>
      <w:r>
        <w:rPr/>
        <w:t>信息补充等情况。</w:t>
      </w:r>
    </w:p>
    <w:p>
      <w:pPr>
        <w:spacing w:after="0" w:line="273"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right="3448"/>
        <w:jc w:val="center"/>
      </w:pPr>
      <w:bookmarkStart w:name="_TOC_250001" w:id="11"/>
      <w:r>
        <w:rPr/>
        <w:t>第十一节</w:t>
      </w:r>
      <w:r>
        <w:rPr>
          <w:spacing w:val="5"/>
        </w:rPr>
        <w:t> </w:t>
      </w:r>
      <w:bookmarkEnd w:id="11"/>
      <w:r>
        <w:rPr/>
        <w:t>财务报告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6"/>
        <w:ind w:right="2880"/>
        <w:jc w:val="left"/>
      </w:pPr>
      <w:r>
        <w:rPr/>
        <w:t>一、审计报告</w:t>
      </w:r>
    </w:p>
    <w:p>
      <w:pPr>
        <w:spacing w:line="240" w:lineRule="auto" w:before="12"/>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致同审字（2015）第</w:t>
            </w:r>
            <w:r>
              <w:rPr>
                <w:rFonts w:ascii="宋体" w:hAnsi="宋体" w:cs="宋体" w:eastAsia="宋体" w:hint="default"/>
                <w:spacing w:val="-54"/>
                <w:sz w:val="21"/>
                <w:szCs w:val="21"/>
              </w:rPr>
              <w:t> </w:t>
            </w:r>
            <w:r>
              <w:rPr>
                <w:rFonts w:ascii="宋体" w:hAnsi="宋体" w:cs="宋体" w:eastAsia="宋体" w:hint="default"/>
                <w:sz w:val="21"/>
                <w:szCs w:val="21"/>
              </w:rPr>
              <w:t>351ZA0016</w:t>
            </w:r>
            <w:r>
              <w:rPr>
                <w:rFonts w:ascii="宋体" w:hAnsi="宋体" w:cs="宋体" w:eastAsia="宋体" w:hint="default"/>
                <w:spacing w:val="-56"/>
                <w:sz w:val="21"/>
                <w:szCs w:val="21"/>
              </w:rPr>
              <w:t> </w:t>
            </w:r>
            <w:r>
              <w:rPr>
                <w:rFonts w:ascii="宋体" w:hAnsi="宋体" w:cs="宋体" w:eastAsia="宋体" w:hint="default"/>
                <w:sz w:val="21"/>
                <w:szCs w:val="21"/>
              </w:rPr>
              <w:t>号</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林新田、邓伟</w:t>
            </w:r>
          </w:p>
        </w:tc>
      </w:tr>
    </w:tbl>
    <w:p>
      <w:pPr>
        <w:spacing w:line="240" w:lineRule="auto" w:before="6"/>
        <w:rPr>
          <w:rFonts w:ascii="宋体" w:hAnsi="宋体" w:cs="宋体" w:eastAsia="宋体" w:hint="default"/>
          <w:sz w:val="5"/>
          <w:szCs w:val="5"/>
        </w:rPr>
      </w:pPr>
    </w:p>
    <w:p>
      <w:pPr>
        <w:pStyle w:val="BodyText"/>
        <w:spacing w:line="240" w:lineRule="auto" w:before="36"/>
        <w:ind w:right="2880"/>
        <w:jc w:val="left"/>
      </w:pPr>
      <w:r>
        <w:rPr/>
        <w:t>鸿博股份有限公司全体股东：</w:t>
      </w:r>
    </w:p>
    <w:p>
      <w:pPr>
        <w:pStyle w:val="BodyText"/>
        <w:spacing w:line="273" w:lineRule="auto" w:before="157"/>
        <w:ind w:right="145" w:firstLine="496"/>
        <w:jc w:val="both"/>
      </w:pPr>
      <w:r>
        <w:rPr>
          <w:spacing w:val="-4"/>
        </w:rPr>
        <w:t>我们审计了后附的鸿博股份有限公司（以下简称鸿博公司）财务报表，包括2014年12月31日的合并及</w:t>
      </w:r>
      <w:r>
        <w:rPr>
          <w:w w:val="100"/>
        </w:rPr>
        <w:t> </w:t>
      </w:r>
      <w:r>
        <w:rPr>
          <w:spacing w:val="-2"/>
        </w:rPr>
        <w:t>公司资产负债表，2014年度的合并及公司利润表、合并及公司现金流量表、合并及公司股东权益变动表以</w:t>
      </w:r>
      <w:r>
        <w:rPr>
          <w:spacing w:val="-41"/>
        </w:rPr>
        <w:t> </w:t>
      </w:r>
      <w:r>
        <w:rPr>
          <w:spacing w:val="-41"/>
        </w:rPr>
      </w:r>
      <w:r>
        <w:rPr/>
        <w:t>及财务报表附注。</w:t>
      </w:r>
    </w:p>
    <w:p>
      <w:pPr>
        <w:pStyle w:val="BodyText"/>
        <w:spacing w:line="432" w:lineRule="exact" w:before="27"/>
        <w:ind w:left="651" w:right="0" w:hanging="15"/>
        <w:jc w:val="left"/>
      </w:pPr>
      <w:r>
        <w:rPr/>
        <w:t>一、管理层对财务报表的责任</w:t>
      </w:r>
      <w:r>
        <w:rPr>
          <w:spacing w:val="-96"/>
        </w:rPr>
        <w:t> </w:t>
      </w:r>
      <w:r>
        <w:rPr>
          <w:spacing w:val="-96"/>
        </w:rPr>
      </w:r>
      <w:r>
        <w:rPr>
          <w:spacing w:val="-2"/>
        </w:rPr>
        <w:t>编制和公允列报财务报表是鸿博公司管理层的责任，这种责任包括：（1）按照企业会计准则的规定</w:t>
      </w:r>
    </w:p>
    <w:p>
      <w:pPr>
        <w:pStyle w:val="BodyText"/>
        <w:spacing w:line="255" w:lineRule="exact"/>
        <w:ind w:right="0"/>
        <w:jc w:val="left"/>
      </w:pPr>
      <w:r>
        <w:rPr/>
        <w:t>编制财务报表，并使其实现公允反映；（2）设计、执行和维护必要的内部控制，以使财务报表不存在由</w:t>
      </w:r>
    </w:p>
    <w:p>
      <w:pPr>
        <w:pStyle w:val="BodyText"/>
        <w:spacing w:line="376" w:lineRule="auto" w:before="37"/>
        <w:ind w:left="637" w:right="6516" w:hanging="483"/>
        <w:jc w:val="left"/>
      </w:pPr>
      <w:r>
        <w:rPr>
          <w:spacing w:val="-2"/>
        </w:rPr>
        <w:t>于舞弊或错误导致的重大错报。</w:t>
      </w:r>
      <w:r>
        <w:rPr>
          <w:spacing w:val="-77"/>
        </w:rPr>
        <w:t> </w:t>
      </w:r>
      <w:r>
        <w:rPr>
          <w:spacing w:val="-77"/>
        </w:rPr>
      </w:r>
      <w:r>
        <w:rPr/>
        <w:t>二、注册会计师的责任</w:t>
      </w:r>
    </w:p>
    <w:p>
      <w:pPr>
        <w:pStyle w:val="BodyText"/>
        <w:spacing w:line="273" w:lineRule="auto" w:before="37"/>
        <w:ind w:right="145" w:firstLine="496"/>
        <w:jc w:val="both"/>
      </w:pPr>
      <w:r>
        <w:rPr>
          <w:spacing w:val="-4"/>
          <w:w w:val="100"/>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5"/>
        </w:rPr>
        <w:t> </w:t>
      </w:r>
      <w:r>
        <w:rPr>
          <w:spacing w:val="-45"/>
        </w:rPr>
      </w:r>
      <w:r>
        <w:rPr/>
        <w:t>行审计工作以对财务报表是否不存在重大错报获取合理保证。</w:t>
      </w:r>
    </w:p>
    <w:p>
      <w:pPr>
        <w:pStyle w:val="BodyText"/>
        <w:spacing w:line="273" w:lineRule="auto" w:before="127"/>
        <w:ind w:right="145" w:firstLine="496"/>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4"/>
        </w:rPr>
        <w:t> </w:t>
      </w:r>
      <w:r>
        <w:rPr>
          <w:spacing w:val="-44"/>
        </w:rPr>
      </w:r>
      <w:r>
        <w:rPr>
          <w:spacing w:val="-2"/>
        </w:rPr>
        <w:t>会计师考虑与财务报表编制和公允列报相关的内部控制，以设计恰当的审计程序，但目的并非对内部控制</w:t>
      </w:r>
      <w:r>
        <w:rPr>
          <w:spacing w:val="-46"/>
        </w:rPr>
        <w:t> </w:t>
      </w:r>
      <w:r>
        <w:rPr>
          <w:spacing w:val="-46"/>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40" w:lineRule="auto" w:before="127"/>
        <w:ind w:left="651"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73" w:lineRule="auto"/>
        <w:ind w:right="0" w:firstLine="482"/>
        <w:jc w:val="left"/>
      </w:pPr>
      <w:r>
        <w:rPr/>
        <w:t>三、审计意见</w:t>
      </w:r>
      <w:r>
        <w:rPr>
          <w:w w:val="100"/>
        </w:rPr>
        <w:t> </w:t>
      </w:r>
      <w:r>
        <w:rPr>
          <w:spacing w:val="-2"/>
        </w:rPr>
        <w:t>我们认为，鸿博公司财务报表在所有重大方面按照企业会计准则的规定编制，公允反映了鸿博公司2014年</w:t>
      </w:r>
      <w:r>
        <w:rPr>
          <w:spacing w:val="-39"/>
        </w:rPr>
        <w:t> </w:t>
      </w:r>
      <w:r>
        <w:rPr>
          <w:spacing w:val="-39"/>
        </w:rPr>
      </w:r>
      <w:r>
        <w:rPr/>
        <w:t>12月31日的合并及公司财务状况以及2014年度的合并及公司经营成果和合并及公司现金流量。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537" w:lineRule="auto"/>
        <w:ind w:right="6306"/>
        <w:jc w:val="left"/>
      </w:pPr>
      <w:r>
        <w:rPr/>
        <w:t>二、财务报表</w:t>
      </w:r>
      <w:r>
        <w:rPr>
          <w:spacing w:val="-98"/>
        </w:rPr>
        <w:t> </w:t>
      </w:r>
      <w:r>
        <w:rPr>
          <w:spacing w:val="-2"/>
        </w:rPr>
        <w:t>财务附注中报表的单位为：人民币元</w:t>
      </w:r>
    </w:p>
    <w:p>
      <w:pPr>
        <w:spacing w:after="0" w:line="537" w:lineRule="auto"/>
        <w:jc w:val="left"/>
        <w:sectPr>
          <w:footerReference w:type="default" r:id="rId20"/>
          <w:pgSz w:w="11910" w:h="16840"/>
          <w:pgMar w:footer="979" w:header="747" w:top="1060" w:bottom="1160" w:left="980" w:right="980"/>
          <w:pgNumType w:start="6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1、合并资产负债表</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240" w:lineRule="auto" w:before="36"/>
        <w:ind w:right="0"/>
        <w:jc w:val="left"/>
      </w:pPr>
      <w:r>
        <w:rPr>
          <w:spacing w:val="-2"/>
        </w:rPr>
        <w:t>编制单位：鸿博股份有限公司</w:t>
      </w:r>
    </w:p>
    <w:p>
      <w:pPr>
        <w:spacing w:line="240" w:lineRule="auto" w:before="7"/>
        <w:rPr>
          <w:rFonts w:ascii="宋体" w:hAnsi="宋体" w:cs="宋体" w:eastAsia="宋体" w:hint="default"/>
          <w:sz w:val="29"/>
          <w:szCs w:val="29"/>
        </w:rPr>
      </w:pPr>
      <w:r>
        <w:rPr/>
        <w:br w:type="column"/>
      </w:r>
      <w:r>
        <w:rPr>
          <w:rFonts w:ascii="宋体"/>
          <w:sz w:val="29"/>
        </w:rPr>
      </w:r>
    </w:p>
    <w:p>
      <w:pPr>
        <w:pStyle w:val="BodyText"/>
        <w:spacing w:line="240" w:lineRule="auto"/>
        <w:ind w:right="-16"/>
        <w:jc w:val="left"/>
      </w:pPr>
      <w:r>
        <w:rPr/>
        <w:t>2014</w:t>
      </w:r>
      <w:r>
        <w:rPr>
          <w:spacing w:val="-54"/>
        </w:rPr>
        <w:t> </w:t>
      </w:r>
      <w:r>
        <w:rPr/>
        <w:t>年</w:t>
      </w:r>
      <w:r>
        <w:rPr>
          <w:spacing w:val="-52"/>
        </w:rPr>
        <w:t> </w:t>
      </w:r>
      <w:r>
        <w:rPr/>
        <w:t>12</w:t>
      </w:r>
      <w:r>
        <w:rPr>
          <w:spacing w:val="-54"/>
        </w:rPr>
        <w:t> </w:t>
      </w:r>
      <w:r>
        <w:rPr/>
        <w:t>月</w:t>
      </w:r>
      <w:r>
        <w:rPr>
          <w:spacing w:val="-52"/>
        </w:rPr>
        <w:t> </w:t>
      </w:r>
      <w:r>
        <w:rPr/>
        <w:t>31</w:t>
      </w:r>
      <w:r>
        <w:rPr>
          <w:spacing w:val="-52"/>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2889" w:space="1064"/>
            <w:col w:w="1890" w:space="2955"/>
            <w:col w:w="1152"/>
          </w:cols>
        </w:sectPr>
      </w:pP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156,857,096.95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131,368,773.16</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9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1,152,954.00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6,298,322.32</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160,403,119.91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102,752,873.24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10,454,154.22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16,342,529.68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116,498,861.56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88,103,070.68</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130,119,356.01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115,004,890.06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7,283,961.26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9,160,419.27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582,769,503.91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469,030,878.41</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116,060,000.00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3,740,513.77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4,036,560.34</w:t>
            </w:r>
          </w:p>
        </w:tc>
      </w:tr>
    </w:tbl>
    <w:p>
      <w:pPr>
        <w:spacing w:after="0" w:line="240" w:lineRule="auto"/>
        <w:jc w:val="right"/>
        <w:rPr>
          <w:rFonts w:ascii="宋体" w:hAnsi="宋体" w:cs="宋体" w:eastAsia="宋体" w:hint="default"/>
          <w:sz w:val="21"/>
          <w:szCs w:val="21"/>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505,208,182.02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493,650,881.57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48,714,593.45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67,488,150.32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61,878,809.10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24,596,682.93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19,728,402.48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19,728,402.48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4,553,251.42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2,656,397.66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23,101,844.34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4,947,452.67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782,985,596.58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733,164,527.97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1,365,755,100.49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1,202,195,406.38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82,500,000.00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617"/>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35,143,038.38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41,039,968.14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163,432,713.56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135,637,350.36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29,469,772.60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2,732,394.23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617"/>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9,967,726.11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10,190,530.17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6,207,733.06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7,397,673.06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42,643,865.03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25,805,033.55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3,514,485.57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454,364,848.74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308,817,435.08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7"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3,166,272.98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3,538,775.66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3,166,272.98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3,538,775.66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457,531,121.72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312,356,210.74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298,186,000.00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298,186,000.00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7"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334,340,738.20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334,340,738.20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35,550,913.34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32,056,486.47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193,805,760.64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180,063,672.11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861,883,412.18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844,646,896.78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46,340,566.59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45,192,298.86</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908,223,978.77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889,839,195.64</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1,365,755,100.49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1,202,195,406.38</w:t>
            </w:r>
          </w:p>
        </w:tc>
      </w:tr>
    </w:tbl>
    <w:p>
      <w:pPr>
        <w:spacing w:line="240" w:lineRule="auto" w:before="10"/>
        <w:rPr>
          <w:rFonts w:ascii="Times New Roman" w:hAnsi="Times New Roman" w:cs="Times New Roman" w:eastAsia="Times New Roman" w:hint="default"/>
          <w:sz w:val="21"/>
          <w:szCs w:val="21"/>
        </w:rPr>
      </w:pPr>
    </w:p>
    <w:p>
      <w:pPr>
        <w:pStyle w:val="BodyText"/>
        <w:tabs>
          <w:tab w:pos="4241" w:val="left" w:leader="none"/>
          <w:tab w:pos="8957" w:val="left" w:leader="none"/>
        </w:tabs>
        <w:spacing w:line="273" w:lineRule="auto" w:before="36"/>
        <w:ind w:right="147"/>
        <w:jc w:val="left"/>
      </w:pPr>
      <w:r>
        <w:rPr>
          <w:spacing w:val="-3"/>
        </w:rPr>
        <w:t>法定代表人：尤丽娟</w:t>
        <w:tab/>
        <w:t>主管会计工作负责人：高琦</w:t>
        <w:tab/>
        <w:t>会计机构</w:t>
      </w:r>
      <w:r>
        <w:rPr>
          <w:spacing w:val="-98"/>
        </w:rPr>
        <w:t> </w:t>
      </w:r>
      <w:r>
        <w:rPr>
          <w:spacing w:val="-98"/>
        </w:rPr>
      </w:r>
      <w:r>
        <w:rPr/>
        <w:t>负责人：林雄坤</w:t>
      </w:r>
    </w:p>
    <w:p>
      <w:pPr>
        <w:spacing w:line="240" w:lineRule="auto" w:before="7"/>
        <w:rPr>
          <w:rFonts w:ascii="宋体" w:hAnsi="宋体" w:cs="宋体" w:eastAsia="宋体" w:hint="default"/>
          <w:sz w:val="23"/>
          <w:szCs w:val="23"/>
        </w:rPr>
      </w:pPr>
    </w:p>
    <w:p>
      <w:pPr>
        <w:pStyle w:val="BodyText"/>
        <w:spacing w:line="240" w:lineRule="auto"/>
        <w:ind w:right="2880"/>
        <w:jc w:val="left"/>
      </w:pPr>
      <w:r>
        <w:rPr/>
        <w:t>2、母公司资产负债表</w:t>
      </w:r>
    </w:p>
    <w:p>
      <w:pPr>
        <w:spacing w:line="240" w:lineRule="auto" w:before="12"/>
        <w:rPr>
          <w:rFonts w:ascii="宋体" w:hAnsi="宋体" w:cs="宋体" w:eastAsia="宋体" w:hint="default"/>
          <w:sz w:val="25"/>
          <w:szCs w:val="25"/>
        </w:rPr>
      </w:pPr>
    </w:p>
    <w:p>
      <w:pPr>
        <w:pStyle w:val="BodyText"/>
        <w:spacing w:line="240" w:lineRule="auto"/>
        <w:ind w:left="0" w:right="147"/>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63,794,568.91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64,300,227.61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58,411,542.70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8,582,612.69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13,203,573.73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16,039,166.60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141,259,221.19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143,940,212.82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23,937,870.92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24,073,199.46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300,606,777.45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256,935,419.18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82,560,000.00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82,560,000.00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568,875,567.46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568,875,567.46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119,797,532.70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120,963,615.19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10,863,247.96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1,415,901.16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6,543,231.27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5,061,503.35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1,042,035.32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1,083,086.45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579,773.66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164,616.16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790,261,388.37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780,124,289.77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1,090,868,165.82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1,037,059,708.95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132,500,000.00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67,500,000.00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20,143,038.38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48,039,968.14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30,150,567.42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17,873,190.89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581,884.30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800,885.34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2,575,697.49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2,176,843.69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5,854,768.59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6,265,785.59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222,410.96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65,489,713.74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81,601,401.57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3,514,485.57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257,295,669.92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227,994,971.75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7"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257,295,669.92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227,994,971.75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298,186,000.00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298,186,000.00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7"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335,816,646.98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335,816,646.98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34,322,094.94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30,827,668.07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165,247,753.98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144,234,422.15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833,572,495.90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809,064,737.20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1,090,868,165.82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1,037,059,708.95</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2880"/>
        <w:jc w:val="left"/>
      </w:pPr>
      <w:r>
        <w:rPr/>
        <w:t>3、合并利润表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082"/>
        <w:gridCol w:w="3211"/>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863,512,984.42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711,050,034.74</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863,512,984.42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711,050,034.74</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77"/>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7"/>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312"/>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840,833,474.54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645,946,082.92</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658,516,279.95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487,510,269.59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7"/>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312"/>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288"/>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04.338257pt;margin-top:304.778290pt;width:166.8pt;height:35.2pt;mso-position-horizontal-relative:page;mso-position-vertical-relative:page;z-index:-88727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shape style="position:absolute;margin-left:204.338257pt;margin-top:559.178284pt;width:166.8pt;height:35.2pt;mso-position-horizontal-relative:page;mso-position-vertical-relative:page;z-index:-887248"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211.178253pt;margin-top:586.538269pt;width:160pt;height:7.8pt;mso-position-horizontal-relative:page;mso-position-vertical-relative:page;z-index:-887224" coordorigin="4224,11731" coordsize="3200,156">
            <v:shape style="position:absolute;left:4224;top:11731;width:3200;height:156" coordorigin="4224,11731" coordsize="3200,156" path="m4224,11887l7423,11887,7423,11731,4224,11731,4224,1188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3080"/>
        <w:gridCol w:w="3211"/>
        <w:gridCol w:w="3276"/>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提取保险合同准备金</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8"/>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5,569,573.12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5,170,120.24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8"/>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51,528,674.13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46,341,295.45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78"/>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99,526,431.37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89,934,687.47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8"/>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10,556,920.37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8,321,113.99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15,135,595.60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8,668,596.18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101" w:firstLine="422"/>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20" w:firstLine="842"/>
              <w:jc w:val="left"/>
              <w:rPr>
                <w:rFonts w:ascii="宋体" w:hAnsi="宋体" w:cs="宋体" w:eastAsia="宋体" w:hint="default"/>
                <w:sz w:val="21"/>
                <w:szCs w:val="21"/>
              </w:rPr>
            </w:pPr>
            <w:r>
              <w:rPr>
                <w:rFonts w:ascii="宋体" w:hAnsi="宋体" w:cs="宋体" w:eastAsia="宋体" w:hint="default"/>
                <w:spacing w:val="-4"/>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0pt;height:7.8pt;mso-position-horizontal-relative:char;mso-position-vertical-relative:line" coordorigin="0,0" coordsize="3200,156">
                  <v:group style="position:absolute;left:0;top:0;width:3200;height:156" coordorigin="0,0" coordsize="3200,156">
                    <v:shape style="position:absolute;left:0;top:0;width:3200;height:156" coordorigin="0,0" coordsize="3200,156" path="m0,156l3199,156,3199,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0pt;height:7.8pt;mso-position-horizontal-relative:char;mso-position-vertical-relative:line" coordorigin="0,0" coordsize="3200,156">
                  <v:group style="position:absolute;left:0;top:0;width:3200;height:156" coordorigin="0,0" coordsize="3200,156">
                    <v:shape style="position:absolute;left:0;top:0;width:3200;height:156" coordorigin="0,0" coordsize="3200,156" path="m0,156l3199,156,3199,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101" w:firstLine="842"/>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 w:firstLine="842"/>
              <w:jc w:val="left"/>
              <w:rPr>
                <w:rFonts w:ascii="宋体" w:hAnsi="宋体" w:cs="宋体" w:eastAsia="宋体" w:hint="default"/>
                <w:sz w:val="21"/>
                <w:szCs w:val="21"/>
              </w:rPr>
            </w:pPr>
            <w:r>
              <w:rPr>
                <w:rFonts w:ascii="宋体" w:hAnsi="宋体" w:cs="宋体" w:eastAsia="宋体" w:hint="default"/>
                <w:spacing w:val="-2"/>
                <w:sz w:val="21"/>
                <w:szCs w:val="21"/>
              </w:rPr>
              <w:t>汇兑收益（损失以“-”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101"/>
              <w:jc w:val="left"/>
              <w:rPr>
                <w:rFonts w:ascii="宋体" w:hAnsi="宋体" w:cs="宋体" w:eastAsia="宋体" w:hint="default"/>
                <w:sz w:val="21"/>
                <w:szCs w:val="21"/>
              </w:rPr>
            </w:pPr>
            <w:r>
              <w:rPr>
                <w:rFonts w:ascii="宋体" w:hAnsi="宋体" w:cs="宋体" w:eastAsia="宋体" w:hint="default"/>
                <w:spacing w:val="-2"/>
                <w:sz w:val="21"/>
                <w:szCs w:val="21"/>
              </w:rPr>
              <w:t>三、营业利润（亏损以“－”号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22,679,509.88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65,103,951.82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12,541,707.50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13,303,657.53</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36,717.90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45,689.54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1,299,052.49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3,332,750.57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865"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407,497.89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2,752,994.38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22"/>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0pt;height:7.8pt;mso-position-horizontal-relative:char;mso-position-vertical-relative:line" coordorigin="0,0" coordsize="3200,156">
                  <v:group style="position:absolute;left:0;top:0;width:3200;height:156" coordorigin="0,0" coordsize="3200,156">
                    <v:shape style="position:absolute;left:0;top:0;width:3200;height:156" coordorigin="0,0" coordsize="3200,156" path="m0,156l3199,156,3199,0,0,0,0,156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33,922,164.89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75,074,858.78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-2,520,946.34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16,928,969.93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01"/>
              <w:jc w:val="left"/>
              <w:rPr>
                <w:rFonts w:ascii="宋体" w:hAnsi="宋体" w:cs="宋体" w:eastAsia="宋体" w:hint="default"/>
                <w:sz w:val="21"/>
                <w:szCs w:val="21"/>
              </w:rPr>
            </w:pPr>
            <w:r>
              <w:rPr>
                <w:rFonts w:ascii="宋体" w:hAnsi="宋体" w:cs="宋体" w:eastAsia="宋体" w:hint="default"/>
                <w:spacing w:val="-2"/>
                <w:sz w:val="21"/>
                <w:szCs w:val="21"/>
              </w:rPr>
              <w:t>五、净利润（净亏损以“－”号</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36,443,111.23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58,145,888.85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27,673,025.40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49,089,630.26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8,770,085.83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9,056,258.59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01"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w:t>
            </w:r>
            <w:r>
              <w:rPr>
                <w:rFonts w:ascii="宋体" w:hAnsi="宋体" w:cs="宋体" w:eastAsia="宋体" w:hint="default"/>
                <w:w w:val="100"/>
                <w:sz w:val="21"/>
                <w:szCs w:val="21"/>
              </w:rPr>
              <w:t> </w:t>
            </w:r>
            <w:r>
              <w:rPr>
                <w:rFonts w:ascii="宋体" w:hAnsi="宋体" w:cs="宋体" w:eastAsia="宋体" w:hint="default"/>
                <w:sz w:val="21"/>
                <w:szCs w:val="21"/>
              </w:rPr>
              <w:t>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1"/>
        <w:gridCol w:w="3276"/>
      </w:tblGrid>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1" w:firstLine="422"/>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01" w:firstLine="1051"/>
              <w:jc w:val="left"/>
              <w:rPr>
                <w:rFonts w:ascii="宋体" w:hAnsi="宋体" w:cs="宋体" w:eastAsia="宋体" w:hint="default"/>
                <w:sz w:val="21"/>
                <w:szCs w:val="21"/>
              </w:rPr>
            </w:pPr>
            <w:r>
              <w:rPr>
                <w:rFonts w:ascii="宋体" w:hAnsi="宋体" w:cs="宋体" w:eastAsia="宋体" w:hint="default"/>
                <w:sz w:val="21"/>
                <w:szCs w:val="21"/>
              </w:rPr>
              <w:t>1.重新计量设定受益</w:t>
            </w:r>
            <w:r>
              <w:rPr>
                <w:rFonts w:ascii="宋体" w:hAnsi="宋体" w:cs="宋体" w:eastAsia="宋体" w:hint="default"/>
                <w:w w:val="100"/>
                <w:sz w:val="21"/>
                <w:szCs w:val="21"/>
              </w:rPr>
              <w:t> </w:t>
            </w:r>
            <w:r>
              <w:rPr>
                <w:rFonts w:ascii="宋体" w:hAnsi="宋体" w:cs="宋体" w:eastAsia="宋体" w:hint="default"/>
                <w:sz w:val="21"/>
                <w:szCs w:val="21"/>
              </w:rPr>
              <w:t>计划净负债或净资产的变动</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1" w:firstLine="1051"/>
              <w:jc w:val="both"/>
              <w:rPr>
                <w:rFonts w:ascii="宋体" w:hAnsi="宋体" w:cs="宋体" w:eastAsia="宋体" w:hint="default"/>
                <w:sz w:val="21"/>
                <w:szCs w:val="21"/>
              </w:rPr>
            </w:pPr>
            <w:r>
              <w:rPr>
                <w:rFonts w:ascii="宋体" w:hAnsi="宋体" w:cs="宋体" w:eastAsia="宋体" w:hint="default"/>
                <w:sz w:val="21"/>
                <w:szCs w:val="21"/>
              </w:rPr>
              <w:t>2.权益法下在被投资</w:t>
            </w:r>
            <w:r>
              <w:rPr>
                <w:rFonts w:ascii="宋体" w:hAnsi="宋体" w:cs="宋体" w:eastAsia="宋体" w:hint="default"/>
                <w:w w:val="100"/>
                <w:sz w:val="21"/>
                <w:szCs w:val="21"/>
              </w:rPr>
              <w:t> </w:t>
            </w:r>
            <w:r>
              <w:rPr>
                <w:rFonts w:ascii="宋体" w:hAnsi="宋体" w:cs="宋体" w:eastAsia="宋体" w:hint="default"/>
                <w:spacing w:val="-2"/>
                <w:sz w:val="21"/>
                <w:szCs w:val="21"/>
              </w:rPr>
              <w:t>单位不能重分类进损益的其他综</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合收益中享有的份额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01" w:firstLine="422"/>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1" w:firstLine="1051"/>
              <w:jc w:val="both"/>
              <w:rPr>
                <w:rFonts w:ascii="宋体" w:hAnsi="宋体" w:cs="宋体" w:eastAsia="宋体" w:hint="default"/>
                <w:sz w:val="21"/>
                <w:szCs w:val="21"/>
              </w:rPr>
            </w:pPr>
            <w:r>
              <w:rPr>
                <w:rFonts w:ascii="宋体" w:hAnsi="宋体" w:cs="宋体" w:eastAsia="宋体" w:hint="default"/>
                <w:sz w:val="21"/>
                <w:szCs w:val="21"/>
              </w:rPr>
              <w:t>1.权益法下在被投资</w:t>
            </w:r>
            <w:r>
              <w:rPr>
                <w:rFonts w:ascii="宋体" w:hAnsi="宋体" w:cs="宋体" w:eastAsia="宋体" w:hint="default"/>
                <w:w w:val="100"/>
                <w:sz w:val="21"/>
                <w:szCs w:val="21"/>
              </w:rPr>
              <w:t> </w:t>
            </w:r>
            <w:r>
              <w:rPr>
                <w:rFonts w:ascii="宋体" w:hAnsi="宋体" w:cs="宋体" w:eastAsia="宋体" w:hint="default"/>
                <w:spacing w:val="-2"/>
                <w:sz w:val="21"/>
                <w:szCs w:val="21"/>
              </w:rPr>
              <w:t>单位以后将重分类进损益的其他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综合收益中享有的份额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01" w:firstLine="1051"/>
              <w:jc w:val="left"/>
              <w:rPr>
                <w:rFonts w:ascii="宋体" w:hAnsi="宋体" w:cs="宋体" w:eastAsia="宋体" w:hint="default"/>
                <w:sz w:val="21"/>
                <w:szCs w:val="21"/>
              </w:rPr>
            </w:pPr>
            <w:r>
              <w:rPr>
                <w:rFonts w:ascii="宋体" w:hAnsi="宋体" w:cs="宋体" w:eastAsia="宋体" w:hint="default"/>
                <w:sz w:val="21"/>
                <w:szCs w:val="21"/>
              </w:rPr>
              <w:t>2.可供出售金融资产</w:t>
            </w:r>
            <w:r>
              <w:rPr>
                <w:rFonts w:ascii="宋体" w:hAnsi="宋体" w:cs="宋体" w:eastAsia="宋体" w:hint="default"/>
                <w:w w:val="100"/>
                <w:sz w:val="21"/>
                <w:szCs w:val="21"/>
              </w:rPr>
              <w:t> </w:t>
            </w:r>
            <w:r>
              <w:rPr>
                <w:rFonts w:ascii="宋体" w:hAnsi="宋体" w:cs="宋体" w:eastAsia="宋体" w:hint="default"/>
                <w:sz w:val="21"/>
                <w:szCs w:val="21"/>
              </w:rPr>
              <w:t>公允价值变动损益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1" w:firstLine="1051"/>
              <w:jc w:val="left"/>
              <w:rPr>
                <w:rFonts w:ascii="宋体" w:hAnsi="宋体" w:cs="宋体" w:eastAsia="宋体" w:hint="default"/>
                <w:sz w:val="21"/>
                <w:szCs w:val="21"/>
              </w:rPr>
            </w:pPr>
            <w:r>
              <w:rPr>
                <w:rFonts w:ascii="宋体" w:hAnsi="宋体" w:cs="宋体" w:eastAsia="宋体" w:hint="default"/>
                <w:sz w:val="21"/>
                <w:szCs w:val="21"/>
              </w:rPr>
              <w:t>3.持有至到期投资重</w:t>
            </w:r>
            <w:r>
              <w:rPr>
                <w:rFonts w:ascii="宋体" w:hAnsi="宋体" w:cs="宋体" w:eastAsia="宋体" w:hint="default"/>
                <w:w w:val="100"/>
                <w:sz w:val="21"/>
                <w:szCs w:val="21"/>
              </w:rPr>
              <w:t> </w:t>
            </w:r>
            <w:r>
              <w:rPr>
                <w:rFonts w:ascii="宋体" w:hAnsi="宋体" w:cs="宋体" w:eastAsia="宋体" w:hint="default"/>
                <w:sz w:val="21"/>
                <w:szCs w:val="21"/>
              </w:rPr>
              <w:t>分类为可供出售金融资产损益</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01" w:firstLine="1051"/>
              <w:jc w:val="left"/>
              <w:rPr>
                <w:rFonts w:ascii="宋体" w:hAnsi="宋体" w:cs="宋体" w:eastAsia="宋体" w:hint="default"/>
                <w:sz w:val="21"/>
                <w:szCs w:val="21"/>
              </w:rPr>
            </w:pPr>
            <w:r>
              <w:rPr>
                <w:rFonts w:ascii="宋体" w:hAnsi="宋体" w:cs="宋体" w:eastAsia="宋体" w:hint="default"/>
                <w:sz w:val="21"/>
                <w:szCs w:val="21"/>
              </w:rPr>
              <w:t>4.现金流量套期损益</w:t>
            </w:r>
            <w:r>
              <w:rPr>
                <w:rFonts w:ascii="宋体" w:hAnsi="宋体" w:cs="宋体" w:eastAsia="宋体" w:hint="default"/>
                <w:w w:val="100"/>
                <w:sz w:val="21"/>
                <w:szCs w:val="21"/>
              </w:rPr>
              <w:t> </w:t>
            </w:r>
            <w:r>
              <w:rPr>
                <w:rFonts w:ascii="宋体" w:hAnsi="宋体" w:cs="宋体" w:eastAsia="宋体" w:hint="default"/>
                <w:sz w:val="21"/>
                <w:szCs w:val="21"/>
              </w:rPr>
              <w:t>的有效部分</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5" w:right="0"/>
              <w:jc w:val="left"/>
              <w:rPr>
                <w:rFonts w:ascii="宋体" w:hAnsi="宋体" w:cs="宋体" w:eastAsia="宋体" w:hint="default"/>
                <w:sz w:val="21"/>
                <w:szCs w:val="21"/>
              </w:rPr>
            </w:pPr>
            <w:r>
              <w:rPr>
                <w:rFonts w:ascii="宋体" w:hAnsi="宋体" w:cs="宋体" w:eastAsia="宋体" w:hint="default"/>
                <w:sz w:val="21"/>
                <w:szCs w:val="21"/>
              </w:rPr>
              <w:t>5.外币财务报表折算</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288"/>
              <w:jc w:val="center"/>
              <w:rPr>
                <w:rFonts w:ascii="宋体" w:hAnsi="宋体" w:cs="宋体" w:eastAsia="宋体" w:hint="default"/>
                <w:sz w:val="21"/>
                <w:szCs w:val="21"/>
              </w:rPr>
            </w:pPr>
            <w:r>
              <w:rPr>
                <w:rFonts w:ascii="宋体" w:hAnsi="宋体" w:cs="宋体" w:eastAsia="宋体" w:hint="default"/>
                <w:sz w:val="21"/>
                <w:szCs w:val="21"/>
              </w:rPr>
              <w:t>6.其他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1"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w:t>
            </w:r>
            <w:r>
              <w:rPr>
                <w:rFonts w:ascii="宋体" w:hAnsi="宋体" w:cs="宋体" w:eastAsia="宋体" w:hint="default"/>
                <w:w w:val="100"/>
                <w:sz w:val="21"/>
                <w:szCs w:val="21"/>
              </w:rPr>
              <w:t> </w:t>
            </w:r>
            <w:r>
              <w:rPr>
                <w:rFonts w:ascii="宋体" w:hAnsi="宋体" w:cs="宋体" w:eastAsia="宋体" w:hint="default"/>
                <w:sz w:val="21"/>
                <w:szCs w:val="21"/>
              </w:rPr>
              <w:t>益的税后净额</w:t>
            </w:r>
          </w:p>
        </w:tc>
        <w:tc>
          <w:tcPr>
            <w:tcW w:w="3211" w:type="dxa"/>
            <w:tcBorders>
              <w:top w:val="single" w:sz="4" w:space="0" w:color="000000"/>
              <w:left w:val="single" w:sz="10"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36,443,111.23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58,145,888.85</w:t>
            </w: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1"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归属于母公司所有者的综合</w:t>
            </w:r>
            <w:r>
              <w:rPr>
                <w:rFonts w:ascii="宋体" w:hAnsi="宋体" w:cs="宋体" w:eastAsia="宋体" w:hint="default"/>
                <w:w w:val="100"/>
                <w:sz w:val="21"/>
                <w:szCs w:val="21"/>
              </w:rPr>
              <w:t> </w:t>
            </w:r>
            <w:r>
              <w:rPr>
                <w:rFonts w:ascii="宋体" w:hAnsi="宋体" w:cs="宋体" w:eastAsia="宋体" w:hint="default"/>
                <w:sz w:val="21"/>
                <w:szCs w:val="21"/>
              </w:rPr>
              <w:t>收益总额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27,673,025.40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49,089,630.26</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01" w:firstLine="422"/>
              <w:jc w:val="left"/>
              <w:rPr>
                <w:rFonts w:ascii="宋体" w:hAnsi="宋体" w:cs="宋体" w:eastAsia="宋体" w:hint="default"/>
                <w:sz w:val="21"/>
                <w:szCs w:val="21"/>
              </w:rPr>
            </w:pPr>
            <w:r>
              <w:rPr>
                <w:rFonts w:ascii="宋体" w:hAnsi="宋体" w:cs="宋体" w:eastAsia="宋体" w:hint="default"/>
                <w:spacing w:val="-2"/>
                <w:sz w:val="21"/>
                <w:szCs w:val="21"/>
              </w:rPr>
              <w:t>归属于少数股东的综合收益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32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8,770,085.83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9,056,258.59</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73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0.0928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0.1646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73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0.0928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0.1646</w:t>
            </w:r>
          </w:p>
        </w:tc>
      </w:tr>
    </w:tbl>
    <w:p>
      <w:pPr>
        <w:pStyle w:val="BodyText"/>
        <w:spacing w:line="271" w:lineRule="auto" w:before="28"/>
        <w:ind w:right="99"/>
        <w:jc w:val="left"/>
      </w:pPr>
      <w:r>
        <w:rPr>
          <w:spacing w:val="-5"/>
        </w:rPr>
        <w:t>本期发生同一控制下企业合并的，被合并方在合并前实现的净利润为：元，上期被合并方实现的净利润为：</w:t>
      </w:r>
      <w:r>
        <w:rPr>
          <w:spacing w:val="-6"/>
        </w:rPr>
        <w:t> </w:t>
      </w:r>
      <w:r>
        <w:rPr>
          <w:spacing w:val="-6"/>
        </w:rPr>
      </w:r>
      <w:r>
        <w:rPr/>
        <w:t>元。</w:t>
      </w:r>
    </w:p>
    <w:p>
      <w:pPr>
        <w:spacing w:line="240" w:lineRule="auto" w:before="11"/>
        <w:rPr>
          <w:rFonts w:ascii="宋体" w:hAnsi="宋体" w:cs="宋体" w:eastAsia="宋体" w:hint="default"/>
          <w:sz w:val="23"/>
          <w:szCs w:val="23"/>
        </w:rPr>
      </w:pPr>
    </w:p>
    <w:p>
      <w:pPr>
        <w:pStyle w:val="BodyText"/>
        <w:tabs>
          <w:tab w:pos="4241" w:val="left" w:leader="none"/>
          <w:tab w:pos="8957" w:val="left" w:leader="none"/>
        </w:tabs>
        <w:spacing w:line="271" w:lineRule="auto"/>
        <w:ind w:right="207"/>
        <w:jc w:val="left"/>
      </w:pPr>
      <w:r>
        <w:rPr>
          <w:spacing w:val="-3"/>
        </w:rPr>
        <w:t>法定代表人：尤丽娟</w:t>
        <w:tab/>
        <w:t>主管会计工作负责人：高琦</w:t>
        <w:tab/>
        <w:t>会计机构</w:t>
      </w:r>
      <w:r>
        <w:rPr>
          <w:spacing w:val="-98"/>
        </w:rPr>
        <w:t> </w:t>
      </w:r>
      <w:r>
        <w:rPr>
          <w:spacing w:val="-98"/>
        </w:rPr>
      </w:r>
      <w:r>
        <w:rPr/>
        <w:t>负责人：林雄坤</w:t>
      </w:r>
    </w:p>
    <w:p>
      <w:pPr>
        <w:spacing w:after="0" w:line="271"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r>
        <w:rPr/>
        <w:pict>
          <v:shape style="position:absolute;margin-left:198.578262pt;margin-top:317.378265pt;width:171.4pt;height:35.2pt;mso-position-horizontal-relative:page;mso-position-vertical-relative:page;z-index:-88715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shape style="position:absolute;margin-left:198.578262pt;margin-top:536.018311pt;width:171.4pt;height:35.3pt;mso-position-horizontal-relative:page;mso-position-vertical-relative:page;z-index:-887128"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205.418259pt;margin-top:344.738281pt;width:164.55pt;height:7.8pt;mso-position-horizontal-relative:page;mso-position-vertical-relative:page;z-index:-887104" coordorigin="4108,6895" coordsize="3291,156">
            <v:shape style="position:absolute;left:4108;top:6895;width:3291;height:156" coordorigin="4108,6895" coordsize="3291,156" path="m4108,7051l7399,7051,7399,6895,4108,6895,4108,7051xe" filled="true" fillcolor="#ffffff" stroked="false">
              <v:path arrowok="t"/>
              <v:fill type="solid"/>
            </v:shape>
            <w10:wrap type="none"/>
          </v:group>
        </w:pict>
      </w:r>
      <w:r>
        <w:rPr/>
        <w:pict>
          <v:group style="position:absolute;margin-left:205.418259pt;margin-top:563.498291pt;width:164.55pt;height:7.8pt;mso-position-horizontal-relative:page;mso-position-vertical-relative:page;z-index:-887080" coordorigin="4108,11270" coordsize="3291,156">
            <v:shape style="position:absolute;left:4108;top:11270;width:3291;height:156" coordorigin="4108,11270" coordsize="3291,156" path="m4108,11426l7399,11426,7399,11270,4108,11270,4108,11426xe" filled="true" fillcolor="#ffffff" stroked="false">
              <v:path arrowok="t"/>
              <v:fill type="solid"/>
            </v:shape>
            <w10:wrap type="none"/>
          </v:group>
        </w:pict>
      </w:r>
    </w:p>
    <w:p>
      <w:pPr>
        <w:pStyle w:val="BodyText"/>
        <w:spacing w:line="240" w:lineRule="auto" w:before="36"/>
        <w:ind w:right="2880"/>
        <w:jc w:val="left"/>
      </w:pPr>
      <w:r>
        <w:rPr/>
        <w:t>4、母公司利润表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214,963,044.99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211,810,095.50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129,728,569.57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119,730,661.11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1,913,251.06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2,022,128.85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15,676,075.43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12,905,938.92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40,304,417.07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35,132,165.00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7,906,472.35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8,445,479.05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2,767,716.72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370,500.18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2" w:firstLine="842"/>
              <w:jc w:val="left"/>
              <w:rPr>
                <w:rFonts w:ascii="宋体" w:hAnsi="宋体" w:cs="宋体" w:eastAsia="宋体" w:hint="default"/>
                <w:sz w:val="21"/>
                <w:szCs w:val="21"/>
              </w:rPr>
            </w:pPr>
            <w:r>
              <w:rPr>
                <w:rFonts w:ascii="宋体" w:hAnsi="宋体" w:cs="宋体" w:eastAsia="宋体" w:hint="default"/>
                <w:spacing w:val="-15"/>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156" w:lineRule="exact"/>
              <w:ind w:left="-5" w:right="-53"/>
              <w:jc w:val="left"/>
              <w:rPr>
                <w:rFonts w:ascii="宋体" w:hAnsi="宋体" w:cs="宋体" w:eastAsia="宋体" w:hint="default"/>
                <w:sz w:val="15"/>
                <w:szCs w:val="15"/>
              </w:rPr>
            </w:pPr>
            <w:r>
              <w:rPr>
                <w:rFonts w:ascii="宋体" w:hAnsi="宋体" w:cs="宋体" w:eastAsia="宋体" w:hint="default"/>
                <w:position w:val="-2"/>
                <w:sz w:val="15"/>
                <w:szCs w:val="15"/>
              </w:rPr>
              <w:pict>
                <v:group style="width:164.55pt;height:7.8pt;mso-position-horizontal-relative:char;mso-position-vertical-relative:line" coordorigin="0,0" coordsize="3291,156">
                  <v:group style="position:absolute;left:0;top:0;width:3291;height:156" coordorigin="0,0" coordsize="3291,156">
                    <v:shape style="position:absolute;left:0;top:0;width:3291;height:156" coordorigin="0,0" coordsize="3291,156" path="m0,156l3290,156,3290,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11,281,564.08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7,825,530.07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4"/>
              <w:jc w:val="left"/>
              <w:rPr>
                <w:rFonts w:ascii="宋体" w:hAnsi="宋体" w:cs="宋体" w:eastAsia="宋体" w:hint="default"/>
                <w:sz w:val="21"/>
                <w:szCs w:val="21"/>
              </w:rPr>
            </w:pPr>
            <w:r>
              <w:rPr>
                <w:rFonts w:ascii="宋体" w:hAnsi="宋体" w:cs="宋体" w:eastAsia="宋体" w:hint="default"/>
                <w:spacing w:val="-4"/>
                <w:sz w:val="21"/>
                <w:szCs w:val="21"/>
              </w:rPr>
              <w:t>二、营业利润（亏损以“－”号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27,948,106.87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41,028,752.46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11,209,842.49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8,927,812.89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15,439.90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29,603.87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391,366.89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314,870.90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253,734.97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58,196.07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2"/>
              <w:jc w:val="left"/>
              <w:rPr>
                <w:rFonts w:ascii="宋体" w:hAnsi="宋体" w:cs="宋体" w:eastAsia="宋体" w:hint="default"/>
                <w:sz w:val="21"/>
                <w:szCs w:val="21"/>
              </w:rPr>
            </w:pPr>
            <w:r>
              <w:rPr>
                <w:rFonts w:ascii="宋体" w:hAnsi="宋体" w:cs="宋体" w:eastAsia="宋体" w:hint="default"/>
                <w:spacing w:val="-11"/>
                <w:sz w:val="21"/>
                <w:szCs w:val="21"/>
              </w:rPr>
              <w:t>三、利润总额（亏损总额以“－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号填列）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156" w:lineRule="exact"/>
              <w:ind w:left="-5" w:right="-53"/>
              <w:jc w:val="left"/>
              <w:rPr>
                <w:rFonts w:ascii="宋体" w:hAnsi="宋体" w:cs="宋体" w:eastAsia="宋体" w:hint="default"/>
                <w:sz w:val="15"/>
                <w:szCs w:val="15"/>
              </w:rPr>
            </w:pPr>
            <w:r>
              <w:rPr>
                <w:rFonts w:ascii="宋体" w:hAnsi="宋体" w:cs="宋体" w:eastAsia="宋体" w:hint="default"/>
                <w:position w:val="-2"/>
                <w:sz w:val="15"/>
                <w:szCs w:val="15"/>
              </w:rPr>
              <w:pict>
                <v:group style="width:164.55pt;height:7.8pt;mso-position-horizontal-relative:char;mso-position-vertical-relative:line" coordorigin="0,0" coordsize="3291,156">
                  <v:group style="position:absolute;left:0;top:0;width:3291;height:156" coordorigin="0,0" coordsize="3291,156">
                    <v:shape style="position:absolute;left:0;top:0;width:3291;height:156" coordorigin="0,0" coordsize="3291,156" path="m0,156l3290,156,3290,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38,766,582.47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49,641,694.45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3,822,313.77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5,711,089.36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4"/>
              <w:jc w:val="left"/>
              <w:rPr>
                <w:rFonts w:ascii="宋体" w:hAnsi="宋体" w:cs="宋体" w:eastAsia="宋体" w:hint="default"/>
                <w:sz w:val="21"/>
                <w:szCs w:val="21"/>
              </w:rPr>
            </w:pPr>
            <w:r>
              <w:rPr>
                <w:rFonts w:ascii="宋体" w:hAnsi="宋体" w:cs="宋体" w:eastAsia="宋体" w:hint="default"/>
                <w:spacing w:val="-4"/>
                <w:sz w:val="21"/>
                <w:szCs w:val="21"/>
              </w:rPr>
              <w:t>四、净利润（净亏损以“－”号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34,944,268.70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43,930,605.09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05"/>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1051"/>
              <w:jc w:val="left"/>
              <w:rPr>
                <w:rFonts w:ascii="宋体" w:hAnsi="宋体" w:cs="宋体" w:eastAsia="宋体" w:hint="default"/>
                <w:sz w:val="21"/>
                <w:szCs w:val="21"/>
              </w:rPr>
            </w:pPr>
            <w:r>
              <w:rPr>
                <w:rFonts w:ascii="宋体" w:hAnsi="宋体" w:cs="宋体" w:eastAsia="宋体" w:hint="default"/>
                <w:sz w:val="21"/>
                <w:szCs w:val="21"/>
              </w:rPr>
              <w:t>1.重新计量设定受</w:t>
            </w:r>
            <w:r>
              <w:rPr>
                <w:rFonts w:ascii="宋体" w:hAnsi="宋体" w:cs="宋体" w:eastAsia="宋体" w:hint="default"/>
                <w:w w:val="100"/>
                <w:sz w:val="21"/>
                <w:szCs w:val="21"/>
              </w:rPr>
              <w:t> </w:t>
            </w:r>
            <w:r>
              <w:rPr>
                <w:rFonts w:ascii="宋体" w:hAnsi="宋体" w:cs="宋体" w:eastAsia="宋体" w:hint="default"/>
                <w:spacing w:val="-2"/>
                <w:sz w:val="21"/>
                <w:szCs w:val="21"/>
              </w:rPr>
              <w:t>益计划净负债或净资产的变动</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1051"/>
              <w:jc w:val="left"/>
              <w:rPr>
                <w:rFonts w:ascii="宋体" w:hAnsi="宋体" w:cs="宋体" w:eastAsia="宋体" w:hint="default"/>
                <w:sz w:val="21"/>
                <w:szCs w:val="21"/>
              </w:rPr>
            </w:pPr>
            <w:r>
              <w:rPr>
                <w:rFonts w:ascii="宋体" w:hAnsi="宋体" w:cs="宋体" w:eastAsia="宋体" w:hint="default"/>
                <w:sz w:val="21"/>
                <w:szCs w:val="21"/>
              </w:rPr>
              <w:t>2.权益法下在被投</w:t>
            </w:r>
            <w:r>
              <w:rPr>
                <w:rFonts w:ascii="宋体" w:hAnsi="宋体" w:cs="宋体" w:eastAsia="宋体" w:hint="default"/>
                <w:w w:val="100"/>
                <w:sz w:val="21"/>
                <w:szCs w:val="21"/>
              </w:rPr>
              <w:t> </w:t>
            </w:r>
            <w:r>
              <w:rPr>
                <w:rFonts w:ascii="宋体" w:hAnsi="宋体" w:cs="宋体" w:eastAsia="宋体" w:hint="default"/>
                <w:spacing w:val="-2"/>
                <w:sz w:val="21"/>
                <w:szCs w:val="21"/>
              </w:rPr>
              <w:t>资单位不能重分类进损益的其</w:t>
            </w:r>
          </w:p>
        </w:tc>
        <w:tc>
          <w:tcPr>
            <w:tcW w:w="3300"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1" w:type="dxa"/>
        <w:tblLayout w:type="fixed"/>
        <w:tblCellMar>
          <w:top w:w="0" w:type="dxa"/>
          <w:left w:w="0" w:type="dxa"/>
          <w:bottom w:w="0" w:type="dxa"/>
          <w:right w:w="0" w:type="dxa"/>
        </w:tblCellMar>
        <w:tblLook w:val="01E0"/>
      </w:tblPr>
      <w:tblGrid>
        <w:gridCol w:w="2944"/>
        <w:gridCol w:w="3311"/>
        <w:gridCol w:w="3302"/>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他综合收益中享有的份额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2" w:right="6" w:firstLine="405"/>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w:t>
            </w:r>
            <w:r>
              <w:rPr>
                <w:rFonts w:ascii="宋体" w:hAnsi="宋体" w:cs="宋体" w:eastAsia="宋体" w:hint="default"/>
                <w:w w:val="100"/>
                <w:sz w:val="21"/>
                <w:szCs w:val="21"/>
              </w:rPr>
              <w:t> </w:t>
            </w:r>
            <w:r>
              <w:rPr>
                <w:rFonts w:ascii="宋体" w:hAnsi="宋体" w:cs="宋体" w:eastAsia="宋体" w:hint="default"/>
                <w:sz w:val="21"/>
                <w:szCs w:val="21"/>
              </w:rPr>
              <w:t>的其他综合收益</w:t>
            </w:r>
          </w:p>
        </w:tc>
        <w:tc>
          <w:tcPr>
            <w:tcW w:w="3311"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2" w:right="186" w:firstLine="1051"/>
              <w:jc w:val="both"/>
              <w:rPr>
                <w:rFonts w:ascii="宋体" w:hAnsi="宋体" w:cs="宋体" w:eastAsia="宋体" w:hint="default"/>
                <w:sz w:val="21"/>
                <w:szCs w:val="21"/>
              </w:rPr>
            </w:pPr>
            <w:r>
              <w:rPr>
                <w:rFonts w:ascii="宋体" w:hAnsi="宋体" w:cs="宋体" w:eastAsia="宋体" w:hint="default"/>
                <w:sz w:val="21"/>
                <w:szCs w:val="21"/>
              </w:rPr>
              <w:t>1.权益法下在被投</w:t>
            </w:r>
            <w:r>
              <w:rPr>
                <w:rFonts w:ascii="宋体" w:hAnsi="宋体" w:cs="宋体" w:eastAsia="宋体" w:hint="default"/>
                <w:w w:val="100"/>
                <w:sz w:val="21"/>
                <w:szCs w:val="21"/>
              </w:rPr>
              <w:t> </w:t>
            </w:r>
            <w:r>
              <w:rPr>
                <w:rFonts w:ascii="宋体" w:hAnsi="宋体" w:cs="宋体" w:eastAsia="宋体" w:hint="default"/>
                <w:spacing w:val="-2"/>
                <w:sz w:val="21"/>
                <w:szCs w:val="21"/>
              </w:rPr>
              <w:t>资单位以后将重分类进损益的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其他综合收益中享有的份额</w:t>
            </w:r>
          </w:p>
        </w:tc>
        <w:tc>
          <w:tcPr>
            <w:tcW w:w="3311"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2" w:right="186" w:firstLine="1051"/>
              <w:jc w:val="left"/>
              <w:rPr>
                <w:rFonts w:ascii="宋体" w:hAnsi="宋体" w:cs="宋体" w:eastAsia="宋体" w:hint="default"/>
                <w:sz w:val="21"/>
                <w:szCs w:val="21"/>
              </w:rPr>
            </w:pPr>
            <w:r>
              <w:rPr>
                <w:rFonts w:ascii="宋体" w:hAnsi="宋体" w:cs="宋体" w:eastAsia="宋体" w:hint="default"/>
                <w:sz w:val="21"/>
                <w:szCs w:val="21"/>
              </w:rPr>
              <w:t>2.可供出售金融资</w:t>
            </w:r>
            <w:r>
              <w:rPr>
                <w:rFonts w:ascii="宋体" w:hAnsi="宋体" w:cs="宋体" w:eastAsia="宋体" w:hint="default"/>
                <w:w w:val="100"/>
                <w:sz w:val="21"/>
                <w:szCs w:val="21"/>
              </w:rPr>
              <w:t> </w:t>
            </w:r>
            <w:r>
              <w:rPr>
                <w:rFonts w:ascii="宋体" w:hAnsi="宋体" w:cs="宋体" w:eastAsia="宋体" w:hint="default"/>
                <w:sz w:val="21"/>
                <w:szCs w:val="21"/>
              </w:rPr>
              <w:t>产公允价值变动损益</w:t>
            </w:r>
          </w:p>
        </w:tc>
        <w:tc>
          <w:tcPr>
            <w:tcW w:w="3311"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2" w:right="186" w:firstLine="1051"/>
              <w:jc w:val="both"/>
              <w:rPr>
                <w:rFonts w:ascii="宋体" w:hAnsi="宋体" w:cs="宋体" w:eastAsia="宋体" w:hint="default"/>
                <w:sz w:val="21"/>
                <w:szCs w:val="21"/>
              </w:rPr>
            </w:pPr>
            <w:r>
              <w:rPr>
                <w:rFonts w:ascii="宋体" w:hAnsi="宋体" w:cs="宋体" w:eastAsia="宋体" w:hint="default"/>
                <w:sz w:val="21"/>
                <w:szCs w:val="21"/>
              </w:rPr>
              <w:t>3.持有至到期投资</w:t>
            </w:r>
            <w:r>
              <w:rPr>
                <w:rFonts w:ascii="宋体" w:hAnsi="宋体" w:cs="宋体" w:eastAsia="宋体" w:hint="default"/>
                <w:w w:val="100"/>
                <w:sz w:val="21"/>
                <w:szCs w:val="21"/>
              </w:rPr>
              <w:t> </w:t>
            </w:r>
            <w:r>
              <w:rPr>
                <w:rFonts w:ascii="宋体" w:hAnsi="宋体" w:cs="宋体" w:eastAsia="宋体" w:hint="default"/>
                <w:spacing w:val="-2"/>
                <w:sz w:val="21"/>
                <w:szCs w:val="21"/>
              </w:rPr>
              <w:t>重分类为可供出售金融资产损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3311"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2" w:right="186" w:firstLine="1051"/>
              <w:jc w:val="left"/>
              <w:rPr>
                <w:rFonts w:ascii="宋体" w:hAnsi="宋体" w:cs="宋体" w:eastAsia="宋体" w:hint="default"/>
                <w:sz w:val="21"/>
                <w:szCs w:val="21"/>
              </w:rPr>
            </w:pPr>
            <w:r>
              <w:rPr>
                <w:rFonts w:ascii="宋体" w:hAnsi="宋体" w:cs="宋体" w:eastAsia="宋体" w:hint="default"/>
                <w:sz w:val="21"/>
                <w:szCs w:val="21"/>
              </w:rPr>
              <w:t>4.现金流量套期损</w:t>
            </w:r>
            <w:r>
              <w:rPr>
                <w:rFonts w:ascii="宋体" w:hAnsi="宋体" w:cs="宋体" w:eastAsia="宋体" w:hint="default"/>
                <w:w w:val="100"/>
                <w:sz w:val="21"/>
                <w:szCs w:val="21"/>
              </w:rPr>
              <w:t> </w:t>
            </w:r>
            <w:r>
              <w:rPr>
                <w:rFonts w:ascii="宋体" w:hAnsi="宋体" w:cs="宋体" w:eastAsia="宋体" w:hint="default"/>
                <w:sz w:val="21"/>
                <w:szCs w:val="21"/>
              </w:rPr>
              <w:t>益的有效部分</w:t>
            </w:r>
          </w:p>
        </w:tc>
        <w:tc>
          <w:tcPr>
            <w:tcW w:w="3311"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5.外币财务报表折</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算差额</w:t>
            </w:r>
          </w:p>
        </w:tc>
        <w:tc>
          <w:tcPr>
            <w:tcW w:w="3311" w:type="dxa"/>
            <w:tcBorders>
              <w:top w:val="single" w:sz="4" w:space="0" w:color="000000"/>
              <w:left w:val="single" w:sz="10"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74"/>
              <w:jc w:val="center"/>
              <w:rPr>
                <w:rFonts w:ascii="宋体" w:hAnsi="宋体" w:cs="宋体" w:eastAsia="宋体" w:hint="default"/>
                <w:sz w:val="21"/>
                <w:szCs w:val="21"/>
              </w:rPr>
            </w:pPr>
            <w:r>
              <w:rPr>
                <w:rFonts w:ascii="宋体" w:hAnsi="宋体" w:cs="宋体" w:eastAsia="宋体" w:hint="default"/>
                <w:sz w:val="21"/>
                <w:szCs w:val="21"/>
              </w:rPr>
              <w:t>6.其他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34,944,268.70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43,930,605.09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0.1172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0.1473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0.1172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0.1473</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5、合并现金流量表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09" w:right="0"/>
              <w:jc w:val="left"/>
              <w:rPr>
                <w:rFonts w:ascii="宋体" w:hAnsi="宋体" w:cs="宋体" w:eastAsia="宋体" w:hint="default"/>
                <w:sz w:val="21"/>
                <w:szCs w:val="21"/>
              </w:rPr>
            </w:pPr>
            <w:r>
              <w:rPr>
                <w:rFonts w:ascii="宋体" w:hAnsi="宋体" w:cs="宋体" w:eastAsia="宋体" w:hint="default"/>
                <w:sz w:val="21"/>
                <w:szCs w:val="21"/>
              </w:rPr>
              <w:t>上期金额发生额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1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86" w:right="0"/>
              <w:jc w:val="left"/>
              <w:rPr>
                <w:rFonts w:ascii="宋体" w:hAnsi="宋体" w:cs="宋体" w:eastAsia="宋体" w:hint="default"/>
                <w:sz w:val="21"/>
                <w:szCs w:val="21"/>
              </w:rPr>
            </w:pPr>
            <w:r>
              <w:rPr>
                <w:rFonts w:ascii="宋体"/>
                <w:sz w:val="21"/>
              </w:rPr>
              <w:t>954,493,478.08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97" w:right="0"/>
              <w:jc w:val="left"/>
              <w:rPr>
                <w:rFonts w:ascii="宋体" w:hAnsi="宋体" w:cs="宋体" w:eastAsia="宋体" w:hint="default"/>
                <w:sz w:val="21"/>
                <w:szCs w:val="21"/>
              </w:rPr>
            </w:pPr>
            <w:r>
              <w:rPr>
                <w:rFonts w:ascii="宋体"/>
                <w:sz w:val="21"/>
              </w:rPr>
              <w:t>883,150,632.61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7" w:top="1060" w:bottom="1160" w:left="980" w:right="98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both"/>
              <w:rPr>
                <w:rFonts w:ascii="宋体" w:hAnsi="宋体" w:cs="宋体" w:eastAsia="宋体" w:hint="default"/>
                <w:sz w:val="21"/>
                <w:szCs w:val="21"/>
              </w:rPr>
            </w:pPr>
            <w:r>
              <w:rPr>
                <w:rFonts w:ascii="宋体" w:hAnsi="宋体" w:cs="宋体" w:eastAsia="宋体" w:hint="default"/>
                <w:spacing w:val="-2"/>
                <w:sz w:val="21"/>
                <w:szCs w:val="21"/>
              </w:rPr>
              <w:t>处置以公允价值计量且其</w:t>
            </w:r>
            <w:r>
              <w:rPr>
                <w:rFonts w:ascii="宋体" w:hAnsi="宋体" w:cs="宋体" w:eastAsia="宋体" w:hint="default"/>
                <w:w w:val="100"/>
                <w:sz w:val="21"/>
                <w:szCs w:val="21"/>
              </w:rPr>
              <w:t> </w:t>
            </w:r>
            <w:r>
              <w:rPr>
                <w:rFonts w:ascii="宋体" w:hAnsi="宋体" w:cs="宋体" w:eastAsia="宋体" w:hint="default"/>
                <w:spacing w:val="-2"/>
                <w:sz w:val="21"/>
                <w:szCs w:val="21"/>
              </w:rPr>
              <w:t>变动计入当期损益的金融资产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净增加额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6,188,226.16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7,120,923.48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2,499,473.24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16,220,640.00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963,181,177.48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906,492,196.09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644,958,816.50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514,082,014.96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137,145,211.75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129,343,149.23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67,524,924.79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60,384,710.15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92,714,405.09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82,469,636.52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942,343,358.13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786,279,510.86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20,837,819.35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120,212,685.23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1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1,331,979.03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3,887,366.97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3,933,316.28</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5,125,027.00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5,265,295.31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9,012,393.97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69,</w:t>
            </w:r>
            <w:r>
              <w:rPr>
                <w:rFonts w:ascii="宋体"/>
                <w:spacing w:val="-59"/>
                <w:sz w:val="21"/>
              </w:rPr>
              <w:t> </w:t>
            </w:r>
            <w:r>
              <w:rPr>
                <w:rFonts w:ascii="宋体"/>
                <w:sz w:val="21"/>
              </w:rPr>
              <w:t>342,260.06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98,516,427.61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69,</w:t>
            </w:r>
            <w:r>
              <w:rPr>
                <w:rFonts w:ascii="宋体"/>
                <w:spacing w:val="-59"/>
                <w:sz w:val="21"/>
              </w:rPr>
              <w:t> </w:t>
            </w:r>
            <w:r>
              <w:rPr>
                <w:rFonts w:ascii="宋体"/>
                <w:sz w:val="21"/>
              </w:rPr>
              <w:t>342,260.06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98,516,427.61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-64,076,964.75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-89,504,033.64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1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184,346,711.20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184,346,711.20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82,500,000.00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201,846,711.20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26,571,174.69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30,754,263.21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7,621,818.10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5,415,811.55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109,071,174.69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235,600,974.41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58,428,825.31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-51,254,263.21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2,093.03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-125,362.70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15,191,772.94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-20,670,974.32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112,462,821.41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133,133,795.73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127,654,594.35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112,462,821.41</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BodyText"/>
        <w:spacing w:line="240" w:lineRule="auto" w:before="36"/>
        <w:ind w:right="2880"/>
        <w:jc w:val="left"/>
      </w:pPr>
      <w:r>
        <w:rPr/>
        <w:t>6、母公司现金流量表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1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198,667,701.41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240,419,236.07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5,312,031.32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7,120,923.48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10,105,009.99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52,582,256.51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214,084,742.72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300,122,416.06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134,394,906.74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86,851,676.88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37,389,743.91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30,737,920.83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23,131,912.84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21,633,991.45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46,064,411.81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122,992,483.94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240,980,975.30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262,216,073.10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-26,896,232.58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37,906,342.96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1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11,281,564.08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13,825,530.07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570,693.18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9,890,249.26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11,852,257.26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23,715,779.33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23,988,572.16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9,401,293.72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23,988,572.16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12,401,293.72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-12,136,314.90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11,314,485.61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1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135,500,000.00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132,500,000.00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135,500,000.00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138,000,000.00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18,472,743.27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25,204,591.46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00"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85,972,743.27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163,204,591.46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46,527,256.73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-27,704,591.46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2,092.63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-125,362.60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7,496,801.88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21,390,874.51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7" w:firstLine="422"/>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45,395,264.43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24,004,389.92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52,892,066.31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45,395,264.43</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7、合并所有者权益变动表</w:t>
      </w:r>
    </w:p>
    <w:p>
      <w:pPr>
        <w:spacing w:line="240" w:lineRule="auto" w:before="13"/>
        <w:rPr>
          <w:rFonts w:ascii="宋体" w:hAnsi="宋体" w:cs="宋体" w:eastAsia="宋体" w:hint="default"/>
          <w:sz w:val="22"/>
          <w:szCs w:val="22"/>
        </w:rPr>
      </w:pPr>
    </w:p>
    <w:p>
      <w:pPr>
        <w:pStyle w:val="BodyText"/>
        <w:spacing w:line="240" w:lineRule="auto" w:before="36"/>
        <w:ind w:right="2880"/>
        <w:jc w:val="left"/>
      </w:pPr>
      <w:r>
        <w:rPr/>
        <w:t>本期金额</w:t>
      </w:r>
    </w:p>
    <w:p>
      <w:pPr>
        <w:pStyle w:val="BodyText"/>
        <w:spacing w:line="240" w:lineRule="auto" w:before="78"/>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4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1"/>
                <w:szCs w:val="21"/>
              </w:rPr>
            </w:pPr>
          </w:p>
          <w:p>
            <w:pPr>
              <w:pStyle w:val="TableParagraph"/>
              <w:spacing w:line="271" w:lineRule="auto"/>
              <w:ind w:left="117" w:right="11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119"/>
              <w:ind w:left="115" w:right="110"/>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13"/>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7"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17" w:right="11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1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17" w:right="11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17" w:right="11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17" w:right="113"/>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6" w:right="48"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6" w:right="4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33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4" w:right="1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298,</w:t>
            </w:r>
          </w:p>
          <w:p>
            <w:pPr>
              <w:pStyle w:val="TableParagraph"/>
              <w:spacing w:line="240" w:lineRule="auto" w:before="34"/>
              <w:ind w:left="110" w:right="0"/>
              <w:jc w:val="left"/>
              <w:rPr>
                <w:rFonts w:ascii="宋体" w:hAnsi="宋体" w:cs="宋体" w:eastAsia="宋体" w:hint="default"/>
                <w:sz w:val="21"/>
                <w:szCs w:val="21"/>
              </w:rPr>
            </w:pPr>
            <w:r>
              <w:rPr>
                <w:rFonts w:ascii="宋体"/>
                <w:sz w:val="21"/>
              </w:rPr>
              <w:t>186,</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21"/>
                <w:szCs w:val="21"/>
              </w:rPr>
            </w:pPr>
            <w:r>
              <w:rPr>
                <w:rFonts w:ascii="宋体"/>
                <w:sz w:val="21"/>
              </w:rPr>
              <w:t>334,3</w:t>
            </w:r>
          </w:p>
          <w:p>
            <w:pPr>
              <w:pStyle w:val="TableParagraph"/>
              <w:spacing w:line="240" w:lineRule="auto" w:before="34"/>
              <w:ind w:left="84" w:right="0"/>
              <w:jc w:val="center"/>
              <w:rPr>
                <w:rFonts w:ascii="宋体" w:hAnsi="宋体" w:cs="宋体" w:eastAsia="宋体" w:hint="default"/>
                <w:sz w:val="21"/>
                <w:szCs w:val="21"/>
              </w:rPr>
            </w:pPr>
            <w:r>
              <w:rPr>
                <w:rFonts w:ascii="宋体"/>
                <w:sz w:val="21"/>
              </w:rPr>
              <w:t>40,73</w:t>
            </w:r>
          </w:p>
          <w:p>
            <w:pPr>
              <w:pStyle w:val="TableParagraph"/>
              <w:spacing w:line="240" w:lineRule="auto" w:before="37"/>
              <w:ind w:left="189" w:right="0"/>
              <w:jc w:val="center"/>
              <w:rPr>
                <w:rFonts w:ascii="宋体" w:hAnsi="宋体" w:cs="宋体" w:eastAsia="宋体" w:hint="default"/>
                <w:sz w:val="21"/>
                <w:szCs w:val="21"/>
              </w:rPr>
            </w:pPr>
            <w:r>
              <w:rPr>
                <w:rFonts w:ascii="宋体"/>
                <w:sz w:val="21"/>
              </w:rPr>
              <w:t>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sz w:val="21"/>
              </w:rPr>
              <w:t>32,05</w:t>
            </w:r>
          </w:p>
          <w:p>
            <w:pPr>
              <w:pStyle w:val="TableParagraph"/>
              <w:spacing w:line="240" w:lineRule="auto" w:before="34"/>
              <w:ind w:left="105" w:right="0"/>
              <w:jc w:val="left"/>
              <w:rPr>
                <w:rFonts w:ascii="宋体" w:hAnsi="宋体" w:cs="宋体" w:eastAsia="宋体" w:hint="default"/>
                <w:sz w:val="21"/>
                <w:szCs w:val="21"/>
              </w:rPr>
            </w:pPr>
            <w:r>
              <w:rPr>
                <w:rFonts w:ascii="宋体"/>
                <w:sz w:val="21"/>
              </w:rPr>
              <w:t>6,486</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8" w:right="0"/>
              <w:jc w:val="center"/>
              <w:rPr>
                <w:rFonts w:ascii="宋体" w:hAnsi="宋体" w:cs="宋体" w:eastAsia="宋体" w:hint="default"/>
                <w:sz w:val="21"/>
                <w:szCs w:val="21"/>
              </w:rPr>
            </w:pPr>
            <w:r>
              <w:rPr>
                <w:rFonts w:ascii="宋体"/>
                <w:sz w:val="21"/>
              </w:rPr>
              <w:t>180,0</w:t>
            </w:r>
          </w:p>
          <w:p>
            <w:pPr>
              <w:pStyle w:val="TableParagraph"/>
              <w:spacing w:line="240" w:lineRule="auto" w:before="34"/>
              <w:ind w:left="88" w:right="0"/>
              <w:jc w:val="center"/>
              <w:rPr>
                <w:rFonts w:ascii="宋体" w:hAnsi="宋体" w:cs="宋体" w:eastAsia="宋体" w:hint="default"/>
                <w:sz w:val="21"/>
                <w:szCs w:val="21"/>
              </w:rPr>
            </w:pPr>
            <w:r>
              <w:rPr>
                <w:rFonts w:ascii="宋体"/>
                <w:sz w:val="21"/>
              </w:rPr>
              <w:t>63,67</w:t>
            </w:r>
          </w:p>
          <w:p>
            <w:pPr>
              <w:pStyle w:val="TableParagraph"/>
              <w:spacing w:line="240" w:lineRule="auto" w:before="37"/>
              <w:ind w:left="194" w:right="0"/>
              <w:jc w:val="center"/>
              <w:rPr>
                <w:rFonts w:ascii="宋体" w:hAnsi="宋体" w:cs="宋体" w:eastAsia="宋体" w:hint="default"/>
                <w:sz w:val="21"/>
                <w:szCs w:val="21"/>
              </w:rPr>
            </w:pPr>
            <w:r>
              <w:rPr>
                <w:rFonts w:ascii="宋体"/>
                <w:sz w:val="21"/>
              </w:rPr>
              <w:t>2.11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sz w:val="21"/>
              </w:rPr>
              <w:t>45,19</w:t>
            </w:r>
          </w:p>
          <w:p>
            <w:pPr>
              <w:pStyle w:val="TableParagraph"/>
              <w:spacing w:line="240" w:lineRule="auto" w:before="34"/>
              <w:ind w:left="108" w:right="0"/>
              <w:jc w:val="left"/>
              <w:rPr>
                <w:rFonts w:ascii="宋体" w:hAnsi="宋体" w:cs="宋体" w:eastAsia="宋体" w:hint="default"/>
                <w:sz w:val="21"/>
                <w:szCs w:val="21"/>
              </w:rPr>
            </w:pPr>
            <w:r>
              <w:rPr>
                <w:rFonts w:ascii="宋体"/>
                <w:sz w:val="21"/>
              </w:rPr>
              <w:t>2,298</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9" w:right="0"/>
              <w:jc w:val="center"/>
              <w:rPr>
                <w:rFonts w:ascii="宋体" w:hAnsi="宋体" w:cs="宋体" w:eastAsia="宋体" w:hint="default"/>
                <w:sz w:val="21"/>
                <w:szCs w:val="21"/>
              </w:rPr>
            </w:pPr>
            <w:r>
              <w:rPr>
                <w:rFonts w:ascii="宋体"/>
                <w:sz w:val="21"/>
              </w:rPr>
              <w:t>889,8</w:t>
            </w:r>
          </w:p>
          <w:p>
            <w:pPr>
              <w:pStyle w:val="TableParagraph"/>
              <w:spacing w:line="240" w:lineRule="auto" w:before="34"/>
              <w:ind w:left="79" w:right="0"/>
              <w:jc w:val="center"/>
              <w:rPr>
                <w:rFonts w:ascii="宋体" w:hAnsi="宋体" w:cs="宋体" w:eastAsia="宋体" w:hint="default"/>
                <w:sz w:val="21"/>
                <w:szCs w:val="21"/>
              </w:rPr>
            </w:pPr>
            <w:r>
              <w:rPr>
                <w:rFonts w:ascii="宋体"/>
                <w:sz w:val="21"/>
              </w:rPr>
              <w:t>39,19</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5.64</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46" w:right="0"/>
              <w:jc w:val="left"/>
              <w:rPr>
                <w:rFonts w:ascii="宋体" w:hAnsi="宋体" w:cs="宋体" w:eastAsia="宋体" w:hint="default"/>
                <w:sz w:val="21"/>
                <w:szCs w:val="21"/>
              </w:rPr>
            </w:pPr>
            <w:r>
              <w:rPr>
                <w:rFonts w:ascii="宋体" w:hAnsi="宋体" w:cs="宋体" w:eastAsia="宋体" w:hint="default"/>
                <w:spacing w:val="-3"/>
                <w:w w:val="100"/>
                <w:sz w:val="21"/>
                <w:szCs w:val="21"/>
              </w:rPr>
              <w:t>加</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会</w:t>
            </w:r>
            <w:r>
              <w:rPr>
                <w:rFonts w:ascii="宋体" w:hAnsi="宋体" w:cs="宋体" w:eastAsia="宋体" w:hint="default"/>
                <w:w w:val="100"/>
                <w:sz w:val="21"/>
                <w:szCs w:val="21"/>
              </w:rPr>
              <w:t>计政</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978256pt;margin-top:264.698273pt;width:27.6pt;height:50.8pt;mso-position-horizontal-relative:page;mso-position-vertical-relative:page;z-index:-887056" coordorigin="2580,5294" coordsize="552,1016">
            <v:group style="position:absolute;left:2580;top:5294;width:552;height:1016" coordorigin="2580,5294" coordsize="552,1016">
              <v:shape style="position:absolute;left:2580;top:5294;width:552;height:1016" coordorigin="2580,5294" coordsize="552,1016" path="m2580,5294l3132,5294,3132,6309,2580,6309,2580,5294xe" filled="true" fillcolor="#ffffff" stroked="false">
                <v:path arrowok="t"/>
                <v:fill type="solid"/>
              </v:shape>
            </v:group>
            <v:group style="position:absolute;left:2601;top:5606;width:507;height:392" coordorigin="2601,5606" coordsize="507,392">
              <v:shape style="position:absolute;left:2601;top:5606;width:507;height:392" coordorigin="2601,5606" coordsize="507,392" path="m2601,5606l3108,5606,3108,5997,2601,5997,2601,560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39" w:firstLine="842"/>
              <w:jc w:val="left"/>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w w:val="100"/>
                <w:sz w:val="21"/>
                <w:szCs w:val="21"/>
              </w:rPr>
              <w:t> </w:t>
            </w:r>
            <w:r>
              <w:rPr>
                <w:rFonts w:ascii="宋体" w:hAnsi="宋体" w:cs="宋体" w:eastAsia="宋体" w:hint="default"/>
                <w:sz w:val="21"/>
                <w:szCs w:val="21"/>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39" w:firstLine="842"/>
              <w:jc w:val="both"/>
              <w:rPr>
                <w:rFonts w:ascii="宋体" w:hAnsi="宋体" w:cs="宋体" w:eastAsia="宋体" w:hint="default"/>
                <w:sz w:val="21"/>
                <w:szCs w:val="21"/>
              </w:rPr>
            </w:pPr>
            <w:r>
              <w:rPr>
                <w:rFonts w:ascii="宋体" w:hAnsi="宋体" w:cs="宋体" w:eastAsia="宋体" w:hint="default"/>
                <w:sz w:val="21"/>
                <w:szCs w:val="21"/>
              </w:rPr>
              <w:t>同一</w:t>
            </w:r>
            <w:r>
              <w:rPr>
                <w:rFonts w:ascii="宋体" w:hAnsi="宋体" w:cs="宋体" w:eastAsia="宋体" w:hint="default"/>
                <w:w w:val="100"/>
                <w:sz w:val="21"/>
                <w:szCs w:val="21"/>
              </w:rPr>
              <w:t> </w:t>
            </w: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298,</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186,</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4" w:right="0"/>
              <w:jc w:val="center"/>
              <w:rPr>
                <w:rFonts w:ascii="宋体" w:hAnsi="宋体" w:cs="宋体" w:eastAsia="宋体" w:hint="default"/>
                <w:sz w:val="21"/>
                <w:szCs w:val="21"/>
              </w:rPr>
            </w:pPr>
            <w:r>
              <w:rPr>
                <w:rFonts w:ascii="宋体"/>
                <w:sz w:val="21"/>
              </w:rPr>
              <w:t>334,3</w:t>
            </w:r>
          </w:p>
          <w:p>
            <w:pPr>
              <w:pStyle w:val="TableParagraph"/>
              <w:spacing w:line="240" w:lineRule="auto" w:before="37"/>
              <w:ind w:left="84" w:right="0"/>
              <w:jc w:val="center"/>
              <w:rPr>
                <w:rFonts w:ascii="宋体" w:hAnsi="宋体" w:cs="宋体" w:eastAsia="宋体" w:hint="default"/>
                <w:sz w:val="21"/>
                <w:szCs w:val="21"/>
              </w:rPr>
            </w:pPr>
            <w:r>
              <w:rPr>
                <w:rFonts w:ascii="宋体"/>
                <w:sz w:val="21"/>
              </w:rPr>
              <w:t>40,73</w:t>
            </w:r>
          </w:p>
          <w:p>
            <w:pPr>
              <w:pStyle w:val="TableParagraph"/>
              <w:spacing w:line="240" w:lineRule="auto" w:before="37"/>
              <w:ind w:left="189" w:right="0"/>
              <w:jc w:val="center"/>
              <w:rPr>
                <w:rFonts w:ascii="宋体" w:hAnsi="宋体" w:cs="宋体" w:eastAsia="宋体" w:hint="default"/>
                <w:sz w:val="21"/>
                <w:szCs w:val="21"/>
              </w:rPr>
            </w:pPr>
            <w:r>
              <w:rPr>
                <w:rFonts w:ascii="宋体"/>
                <w:sz w:val="21"/>
              </w:rPr>
              <w:t>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sz w:val="21"/>
              </w:rPr>
              <w:t>32,05</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6,486</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8" w:right="0"/>
              <w:jc w:val="center"/>
              <w:rPr>
                <w:rFonts w:ascii="宋体" w:hAnsi="宋体" w:cs="宋体" w:eastAsia="宋体" w:hint="default"/>
                <w:sz w:val="21"/>
                <w:szCs w:val="21"/>
              </w:rPr>
            </w:pPr>
            <w:r>
              <w:rPr>
                <w:rFonts w:ascii="宋体"/>
                <w:sz w:val="21"/>
              </w:rPr>
              <w:t>180,0</w:t>
            </w:r>
          </w:p>
          <w:p>
            <w:pPr>
              <w:pStyle w:val="TableParagraph"/>
              <w:spacing w:line="240" w:lineRule="auto" w:before="37"/>
              <w:ind w:left="88" w:right="0"/>
              <w:jc w:val="center"/>
              <w:rPr>
                <w:rFonts w:ascii="宋体" w:hAnsi="宋体" w:cs="宋体" w:eastAsia="宋体" w:hint="default"/>
                <w:sz w:val="21"/>
                <w:szCs w:val="21"/>
              </w:rPr>
            </w:pPr>
            <w:r>
              <w:rPr>
                <w:rFonts w:ascii="宋体"/>
                <w:sz w:val="21"/>
              </w:rPr>
              <w:t>63,67</w:t>
            </w:r>
          </w:p>
          <w:p>
            <w:pPr>
              <w:pStyle w:val="TableParagraph"/>
              <w:spacing w:line="240" w:lineRule="auto" w:before="37"/>
              <w:ind w:left="194" w:right="0"/>
              <w:jc w:val="center"/>
              <w:rPr>
                <w:rFonts w:ascii="宋体" w:hAnsi="宋体" w:cs="宋体" w:eastAsia="宋体" w:hint="default"/>
                <w:sz w:val="21"/>
                <w:szCs w:val="21"/>
              </w:rPr>
            </w:pPr>
            <w:r>
              <w:rPr>
                <w:rFonts w:ascii="宋体"/>
                <w:sz w:val="21"/>
              </w:rPr>
              <w:t>2.11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sz w:val="21"/>
              </w:rPr>
              <w:t>45,19</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2,298</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79" w:right="0"/>
              <w:jc w:val="center"/>
              <w:rPr>
                <w:rFonts w:ascii="宋体" w:hAnsi="宋体" w:cs="宋体" w:eastAsia="宋体" w:hint="default"/>
                <w:sz w:val="21"/>
                <w:szCs w:val="21"/>
              </w:rPr>
            </w:pPr>
            <w:r>
              <w:rPr>
                <w:rFonts w:ascii="宋体"/>
                <w:sz w:val="21"/>
              </w:rPr>
              <w:t>889,8</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39,19</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5.64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3,494</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,426.</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13,74</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2,088</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1,148</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,267.</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73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18,38</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4,783</w:t>
            </w:r>
          </w:p>
          <w:p>
            <w:pPr>
              <w:pStyle w:val="TableParagraph"/>
              <w:spacing w:line="240" w:lineRule="auto" w:before="37"/>
              <w:ind w:left="312" w:right="0"/>
              <w:jc w:val="left"/>
              <w:rPr>
                <w:rFonts w:ascii="宋体" w:hAnsi="宋体" w:cs="宋体" w:eastAsia="宋体" w:hint="default"/>
                <w:sz w:val="21"/>
                <w:szCs w:val="21"/>
              </w:rPr>
            </w:pPr>
            <w:r>
              <w:rPr>
                <w:rFonts w:ascii="宋体"/>
                <w:sz w:val="21"/>
              </w:rPr>
              <w:t>.13</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27,67</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3,025</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8,770</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,085.</w:t>
            </w:r>
          </w:p>
          <w:p>
            <w:pPr>
              <w:pStyle w:val="TableParagraph"/>
              <w:spacing w:line="240" w:lineRule="auto" w:before="37"/>
              <w:ind w:left="422" w:right="0"/>
              <w:jc w:val="left"/>
              <w:rPr>
                <w:rFonts w:ascii="宋体" w:hAnsi="宋体" w:cs="宋体" w:eastAsia="宋体" w:hint="default"/>
                <w:sz w:val="21"/>
                <w:szCs w:val="21"/>
              </w:rPr>
            </w:pPr>
            <w:r>
              <w:rPr>
                <w:rFonts w:ascii="宋体"/>
                <w:sz w:val="21"/>
              </w:rPr>
              <w:t>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36,44</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3,111</w:t>
            </w:r>
          </w:p>
          <w:p>
            <w:pPr>
              <w:pStyle w:val="TableParagraph"/>
              <w:spacing w:line="240" w:lineRule="auto" w:before="37"/>
              <w:ind w:left="312" w:right="0"/>
              <w:jc w:val="left"/>
              <w:rPr>
                <w:rFonts w:ascii="宋体" w:hAnsi="宋体" w:cs="宋体" w:eastAsia="宋体" w:hint="default"/>
                <w:sz w:val="21"/>
                <w:szCs w:val="21"/>
              </w:rPr>
            </w:pPr>
            <w:r>
              <w:rPr>
                <w:rFonts w:ascii="宋体"/>
                <w:sz w:val="21"/>
              </w:rPr>
              <w:t>.23</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1．股东投入的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2．其他权益工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3．股份支付计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3,494</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,426.</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21"/>
                <w:szCs w:val="21"/>
              </w:rPr>
            </w:pPr>
            <w:r>
              <w:rPr>
                <w:rFonts w:ascii="宋体"/>
                <w:sz w:val="21"/>
              </w:rPr>
              <w:t>-13,9</w:t>
            </w:r>
          </w:p>
          <w:p>
            <w:pPr>
              <w:pStyle w:val="TableParagraph"/>
              <w:spacing w:line="240" w:lineRule="auto" w:before="37"/>
              <w:ind w:left="88" w:right="0"/>
              <w:jc w:val="center"/>
              <w:rPr>
                <w:rFonts w:ascii="宋体" w:hAnsi="宋体" w:cs="宋体" w:eastAsia="宋体" w:hint="default"/>
                <w:sz w:val="21"/>
                <w:szCs w:val="21"/>
              </w:rPr>
            </w:pPr>
            <w:r>
              <w:rPr>
                <w:rFonts w:ascii="宋体"/>
                <w:sz w:val="21"/>
              </w:rPr>
              <w:t>30,93</w:t>
            </w:r>
          </w:p>
          <w:p>
            <w:pPr>
              <w:pStyle w:val="TableParagraph"/>
              <w:spacing w:line="240" w:lineRule="auto" w:before="37"/>
              <w:ind w:left="194" w:right="0"/>
              <w:jc w:val="center"/>
              <w:rPr>
                <w:rFonts w:ascii="宋体" w:hAnsi="宋体" w:cs="宋体" w:eastAsia="宋体" w:hint="default"/>
                <w:sz w:val="21"/>
                <w:szCs w:val="21"/>
              </w:rPr>
            </w:pPr>
            <w:r>
              <w:rPr>
                <w:rFonts w:ascii="宋体"/>
                <w:sz w:val="21"/>
              </w:rPr>
              <w:t>6.87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-7,62</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1,818</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9" w:right="0"/>
              <w:jc w:val="center"/>
              <w:rPr>
                <w:rFonts w:ascii="宋体" w:hAnsi="宋体" w:cs="宋体" w:eastAsia="宋体" w:hint="default"/>
                <w:sz w:val="21"/>
                <w:szCs w:val="21"/>
              </w:rPr>
            </w:pPr>
            <w:r>
              <w:rPr>
                <w:rFonts w:ascii="宋体"/>
                <w:sz w:val="21"/>
              </w:rPr>
              <w:t>-18,0</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58,32</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8.10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33"/>
              <w:jc w:val="left"/>
              <w:rPr>
                <w:rFonts w:ascii="宋体" w:hAnsi="宋体" w:cs="宋体" w:eastAsia="宋体" w:hint="default"/>
                <w:sz w:val="21"/>
                <w:szCs w:val="21"/>
              </w:rPr>
            </w:pPr>
            <w:r>
              <w:rPr>
                <w:rFonts w:ascii="宋体" w:hAnsi="宋体" w:cs="宋体" w:eastAsia="宋体" w:hint="default"/>
                <w:sz w:val="21"/>
                <w:szCs w:val="21"/>
              </w:rPr>
              <w:t>1．提取盈余公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3,494</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,426.</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-3,49</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4,426</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2．提取一般风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25"/>
                <w:w w:val="100"/>
                <w:sz w:val="21"/>
                <w:szCs w:val="21"/>
              </w:rPr>
              <w:t>3．对所有者（或</w:t>
            </w:r>
            <w:r>
              <w:rPr>
                <w:rFonts w:ascii="宋体" w:hAnsi="宋体" w:cs="宋体" w:eastAsia="宋体" w:hint="default"/>
                <w:w w:val="100"/>
                <w:sz w:val="21"/>
                <w:szCs w:val="21"/>
              </w:rPr>
              <w:t> </w:t>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21"/>
                <w:szCs w:val="21"/>
              </w:rPr>
            </w:pPr>
            <w:r>
              <w:rPr>
                <w:rFonts w:ascii="宋体"/>
                <w:sz w:val="21"/>
              </w:rPr>
              <w:t>-10,4</w:t>
            </w:r>
          </w:p>
          <w:p>
            <w:pPr>
              <w:pStyle w:val="TableParagraph"/>
              <w:spacing w:line="240" w:lineRule="auto" w:before="37"/>
              <w:ind w:left="88" w:right="0"/>
              <w:jc w:val="center"/>
              <w:rPr>
                <w:rFonts w:ascii="宋体" w:hAnsi="宋体" w:cs="宋体" w:eastAsia="宋体" w:hint="default"/>
                <w:sz w:val="21"/>
                <w:szCs w:val="21"/>
              </w:rPr>
            </w:pPr>
            <w:r>
              <w:rPr>
                <w:rFonts w:ascii="宋体"/>
                <w:sz w:val="21"/>
              </w:rPr>
              <w:t>36,51</w:t>
            </w:r>
          </w:p>
          <w:p>
            <w:pPr>
              <w:pStyle w:val="TableParagraph"/>
              <w:spacing w:line="240" w:lineRule="auto" w:before="37"/>
              <w:ind w:left="194" w:right="0"/>
              <w:jc w:val="center"/>
              <w:rPr>
                <w:rFonts w:ascii="宋体" w:hAnsi="宋体" w:cs="宋体" w:eastAsia="宋体" w:hint="default"/>
                <w:sz w:val="21"/>
                <w:szCs w:val="21"/>
              </w:rPr>
            </w:pPr>
            <w:r>
              <w:rPr>
                <w:rFonts w:ascii="宋体"/>
                <w:sz w:val="21"/>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-7,62</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1,818</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9" w:right="0"/>
              <w:jc w:val="center"/>
              <w:rPr>
                <w:rFonts w:ascii="宋体" w:hAnsi="宋体" w:cs="宋体" w:eastAsia="宋体" w:hint="default"/>
                <w:sz w:val="21"/>
                <w:szCs w:val="21"/>
              </w:rPr>
            </w:pPr>
            <w:r>
              <w:rPr>
                <w:rFonts w:ascii="宋体"/>
                <w:sz w:val="21"/>
              </w:rPr>
              <w:t>-18,0</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58,32</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8.10</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1．资本公积转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3"/>
              <w:jc w:val="left"/>
              <w:rPr>
                <w:rFonts w:ascii="宋体" w:hAnsi="宋体" w:cs="宋体" w:eastAsia="宋体" w:hint="default"/>
                <w:sz w:val="21"/>
                <w:szCs w:val="21"/>
              </w:rPr>
            </w:pPr>
            <w:r>
              <w:rPr>
                <w:rFonts w:ascii="宋体" w:hAnsi="宋体" w:cs="宋体" w:eastAsia="宋体" w:hint="default"/>
                <w:sz w:val="21"/>
                <w:szCs w:val="21"/>
              </w:rPr>
              <w:t>2．盈余公积转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3．盈余公积弥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2"/>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298,</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186,</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4" w:right="0"/>
              <w:jc w:val="center"/>
              <w:rPr>
                <w:rFonts w:ascii="宋体" w:hAnsi="宋体" w:cs="宋体" w:eastAsia="宋体" w:hint="default"/>
                <w:sz w:val="21"/>
                <w:szCs w:val="21"/>
              </w:rPr>
            </w:pPr>
            <w:r>
              <w:rPr>
                <w:rFonts w:ascii="宋体"/>
                <w:sz w:val="21"/>
              </w:rPr>
              <w:t>334,3</w:t>
            </w:r>
          </w:p>
          <w:p>
            <w:pPr>
              <w:pStyle w:val="TableParagraph"/>
              <w:spacing w:line="240" w:lineRule="auto" w:before="37"/>
              <w:ind w:left="84" w:right="0"/>
              <w:jc w:val="center"/>
              <w:rPr>
                <w:rFonts w:ascii="宋体" w:hAnsi="宋体" w:cs="宋体" w:eastAsia="宋体" w:hint="default"/>
                <w:sz w:val="21"/>
                <w:szCs w:val="21"/>
              </w:rPr>
            </w:pPr>
            <w:r>
              <w:rPr>
                <w:rFonts w:ascii="宋体"/>
                <w:sz w:val="21"/>
              </w:rPr>
              <w:t>40,73</w:t>
            </w:r>
          </w:p>
          <w:p>
            <w:pPr>
              <w:pStyle w:val="TableParagraph"/>
              <w:spacing w:line="240" w:lineRule="auto" w:before="37"/>
              <w:ind w:left="189" w:right="0"/>
              <w:jc w:val="center"/>
              <w:rPr>
                <w:rFonts w:ascii="宋体" w:hAnsi="宋体" w:cs="宋体" w:eastAsia="宋体" w:hint="default"/>
                <w:sz w:val="21"/>
                <w:szCs w:val="21"/>
              </w:rPr>
            </w:pPr>
            <w:r>
              <w:rPr>
                <w:rFonts w:ascii="宋体"/>
                <w:sz w:val="21"/>
              </w:rPr>
              <w:t>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sz w:val="21"/>
              </w:rPr>
              <w:t>35,55</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0,913</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8" w:right="0"/>
              <w:jc w:val="center"/>
              <w:rPr>
                <w:rFonts w:ascii="宋体" w:hAnsi="宋体" w:cs="宋体" w:eastAsia="宋体" w:hint="default"/>
                <w:sz w:val="21"/>
                <w:szCs w:val="21"/>
              </w:rPr>
            </w:pPr>
            <w:r>
              <w:rPr>
                <w:rFonts w:ascii="宋体"/>
                <w:sz w:val="21"/>
              </w:rPr>
              <w:t>193,8</w:t>
            </w:r>
          </w:p>
          <w:p>
            <w:pPr>
              <w:pStyle w:val="TableParagraph"/>
              <w:spacing w:line="240" w:lineRule="auto" w:before="37"/>
              <w:ind w:left="88" w:right="0"/>
              <w:jc w:val="center"/>
              <w:rPr>
                <w:rFonts w:ascii="宋体" w:hAnsi="宋体" w:cs="宋体" w:eastAsia="宋体" w:hint="default"/>
                <w:sz w:val="21"/>
                <w:szCs w:val="21"/>
              </w:rPr>
            </w:pPr>
            <w:r>
              <w:rPr>
                <w:rFonts w:ascii="宋体"/>
                <w:sz w:val="21"/>
              </w:rPr>
              <w:t>05,76</w:t>
            </w:r>
          </w:p>
          <w:p>
            <w:pPr>
              <w:pStyle w:val="TableParagraph"/>
              <w:spacing w:line="240" w:lineRule="auto" w:before="37"/>
              <w:ind w:left="194" w:right="0"/>
              <w:jc w:val="center"/>
              <w:rPr>
                <w:rFonts w:ascii="宋体" w:hAnsi="宋体" w:cs="宋体" w:eastAsia="宋体" w:hint="default"/>
                <w:sz w:val="21"/>
                <w:szCs w:val="21"/>
              </w:rPr>
            </w:pPr>
            <w:r>
              <w:rPr>
                <w:rFonts w:ascii="宋体"/>
                <w:sz w:val="21"/>
              </w:rPr>
              <w:t>0.64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sz w:val="21"/>
              </w:rPr>
              <w:t>46,34</w:t>
            </w:r>
          </w:p>
          <w:p>
            <w:pPr>
              <w:pStyle w:val="TableParagraph"/>
              <w:spacing w:line="240" w:lineRule="auto" w:before="37"/>
              <w:ind w:left="108" w:right="0"/>
              <w:jc w:val="left"/>
              <w:rPr>
                <w:rFonts w:ascii="宋体" w:hAnsi="宋体" w:cs="宋体" w:eastAsia="宋体" w:hint="default"/>
                <w:sz w:val="21"/>
                <w:szCs w:val="21"/>
              </w:rPr>
            </w:pPr>
            <w:r>
              <w:rPr>
                <w:rFonts w:ascii="宋体"/>
                <w:sz w:val="21"/>
              </w:rPr>
              <w:t>0,566</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.59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79" w:right="0"/>
              <w:jc w:val="center"/>
              <w:rPr>
                <w:rFonts w:ascii="宋体" w:hAnsi="宋体" w:cs="宋体" w:eastAsia="宋体" w:hint="default"/>
                <w:sz w:val="21"/>
                <w:szCs w:val="21"/>
              </w:rPr>
            </w:pPr>
            <w:r>
              <w:rPr>
                <w:rFonts w:ascii="宋体"/>
                <w:sz w:val="21"/>
              </w:rPr>
              <w:t>908,2</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23,97</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8.77</w:t>
            </w:r>
          </w:p>
        </w:tc>
      </w:tr>
    </w:tbl>
    <w:p>
      <w:pPr>
        <w:pStyle w:val="BodyText"/>
        <w:spacing w:line="240" w:lineRule="auto" w:before="28"/>
        <w:ind w:right="2880"/>
        <w:jc w:val="left"/>
      </w:pPr>
      <w:r>
        <w:rPr/>
        <w:t>上期金额</w:t>
      </w:r>
    </w:p>
    <w:p>
      <w:pPr>
        <w:pStyle w:val="BodyText"/>
        <w:spacing w:line="240" w:lineRule="auto" w:before="75"/>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1"/>
                <w:szCs w:val="21"/>
              </w:rPr>
            </w:pPr>
          </w:p>
          <w:p>
            <w:pPr>
              <w:pStyle w:val="TableParagraph"/>
              <w:spacing w:line="271" w:lineRule="auto"/>
              <w:ind w:left="110" w:right="108"/>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119"/>
              <w:ind w:left="115" w:right="108"/>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17" w:right="11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17" w:right="17" w:hanging="94"/>
              <w:jc w:val="left"/>
              <w:rPr>
                <w:rFonts w:ascii="宋体" w:hAnsi="宋体" w:cs="宋体" w:eastAsia="宋体" w:hint="default"/>
                <w:sz w:val="21"/>
                <w:szCs w:val="21"/>
              </w:rPr>
            </w:pPr>
            <w:r>
              <w:rPr>
                <w:rFonts w:ascii="宋体" w:hAnsi="宋体" w:cs="宋体" w:eastAsia="宋体" w:hint="default"/>
                <w:spacing w:val="-8"/>
                <w:sz w:val="21"/>
                <w:szCs w:val="21"/>
              </w:rPr>
              <w:t>减：库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存股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74"/>
              <w:ind w:left="120" w:right="11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17" w:right="113"/>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17" w:right="110"/>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74"/>
              <w:ind w:left="117" w:right="113"/>
              <w:jc w:val="both"/>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79"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74"/>
              <w:ind w:left="124"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6" w:right="47"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6" w:right="4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9"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r>
      <w:tr>
        <w:trPr>
          <w:trHeight w:val="133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24" w:right="19"/>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298,</w:t>
            </w:r>
          </w:p>
          <w:p>
            <w:pPr>
              <w:pStyle w:val="TableParagraph"/>
              <w:spacing w:line="240" w:lineRule="auto" w:before="34"/>
              <w:ind w:left="110" w:right="0"/>
              <w:jc w:val="left"/>
              <w:rPr>
                <w:rFonts w:ascii="宋体" w:hAnsi="宋体" w:cs="宋体" w:eastAsia="宋体" w:hint="default"/>
                <w:sz w:val="21"/>
                <w:szCs w:val="21"/>
              </w:rPr>
            </w:pPr>
            <w:r>
              <w:rPr>
                <w:rFonts w:ascii="宋体"/>
                <w:sz w:val="21"/>
              </w:rPr>
              <w:t>186,</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center"/>
              <w:rPr>
                <w:rFonts w:ascii="宋体" w:hAnsi="宋体" w:cs="宋体" w:eastAsia="宋体" w:hint="default"/>
                <w:sz w:val="21"/>
                <w:szCs w:val="21"/>
              </w:rPr>
            </w:pPr>
            <w:r>
              <w:rPr>
                <w:rFonts w:ascii="宋体"/>
                <w:sz w:val="21"/>
              </w:rPr>
              <w:t>335,8</w:t>
            </w:r>
          </w:p>
          <w:p>
            <w:pPr>
              <w:pStyle w:val="TableParagraph"/>
              <w:spacing w:line="240" w:lineRule="auto" w:before="34"/>
              <w:ind w:left="86" w:right="0"/>
              <w:jc w:val="center"/>
              <w:rPr>
                <w:rFonts w:ascii="宋体" w:hAnsi="宋体" w:cs="宋体" w:eastAsia="宋体" w:hint="default"/>
                <w:sz w:val="21"/>
                <w:szCs w:val="21"/>
              </w:rPr>
            </w:pPr>
            <w:r>
              <w:rPr>
                <w:rFonts w:ascii="宋体"/>
                <w:sz w:val="21"/>
              </w:rPr>
              <w:t>16,64</w:t>
            </w:r>
          </w:p>
          <w:p>
            <w:pPr>
              <w:pStyle w:val="TableParagraph"/>
              <w:spacing w:line="240" w:lineRule="auto" w:before="37"/>
              <w:ind w:left="192" w:right="0"/>
              <w:jc w:val="center"/>
              <w:rPr>
                <w:rFonts w:ascii="宋体" w:hAnsi="宋体" w:cs="宋体" w:eastAsia="宋体" w:hint="default"/>
                <w:sz w:val="21"/>
                <w:szCs w:val="21"/>
              </w:rPr>
            </w:pPr>
            <w:r>
              <w:rPr>
                <w:rFonts w:ascii="宋体"/>
                <w:sz w:val="21"/>
              </w:rPr>
              <w:t>6.98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sz w:val="21"/>
              </w:rPr>
              <w:t>27,66</w:t>
            </w:r>
          </w:p>
          <w:p>
            <w:pPr>
              <w:pStyle w:val="TableParagraph"/>
              <w:spacing w:line="240" w:lineRule="auto" w:before="34"/>
              <w:ind w:left="105" w:right="0"/>
              <w:jc w:val="left"/>
              <w:rPr>
                <w:rFonts w:ascii="宋体" w:hAnsi="宋体" w:cs="宋体" w:eastAsia="宋体" w:hint="default"/>
                <w:sz w:val="21"/>
                <w:szCs w:val="21"/>
              </w:rPr>
            </w:pPr>
            <w:r>
              <w:rPr>
                <w:rFonts w:ascii="宋体"/>
                <w:sz w:val="21"/>
              </w:rPr>
              <w:t>3,425</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8" w:right="0"/>
              <w:jc w:val="center"/>
              <w:rPr>
                <w:rFonts w:ascii="宋体" w:hAnsi="宋体" w:cs="宋体" w:eastAsia="宋体" w:hint="default"/>
                <w:sz w:val="21"/>
                <w:szCs w:val="21"/>
              </w:rPr>
            </w:pPr>
            <w:r>
              <w:rPr>
                <w:rFonts w:ascii="宋体"/>
                <w:sz w:val="21"/>
              </w:rPr>
              <w:t>151,9</w:t>
            </w:r>
          </w:p>
          <w:p>
            <w:pPr>
              <w:pStyle w:val="TableParagraph"/>
              <w:spacing w:line="240" w:lineRule="auto" w:before="34"/>
              <w:ind w:left="98" w:right="0"/>
              <w:jc w:val="center"/>
              <w:rPr>
                <w:rFonts w:ascii="宋体" w:hAnsi="宋体" w:cs="宋体" w:eastAsia="宋体" w:hint="default"/>
                <w:sz w:val="21"/>
                <w:szCs w:val="21"/>
              </w:rPr>
            </w:pPr>
            <w:r>
              <w:rPr>
                <w:rFonts w:ascii="宋体"/>
                <w:sz w:val="21"/>
              </w:rPr>
              <w:t>46,24</w:t>
            </w:r>
          </w:p>
          <w:p>
            <w:pPr>
              <w:pStyle w:val="TableParagraph"/>
              <w:spacing w:line="240" w:lineRule="auto" w:before="37"/>
              <w:ind w:left="204" w:right="0"/>
              <w:jc w:val="center"/>
              <w:rPr>
                <w:rFonts w:ascii="宋体" w:hAnsi="宋体" w:cs="宋体" w:eastAsia="宋体" w:hint="default"/>
                <w:sz w:val="21"/>
                <w:szCs w:val="21"/>
              </w:rPr>
            </w:pPr>
            <w:r>
              <w:rPr>
                <w:rFonts w:ascii="宋体"/>
                <w:sz w:val="21"/>
              </w:rPr>
              <w:t>3.96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sz w:val="21"/>
              </w:rPr>
              <w:t>43,07</w:t>
            </w:r>
          </w:p>
          <w:p>
            <w:pPr>
              <w:pStyle w:val="TableParagraph"/>
              <w:spacing w:line="240" w:lineRule="auto" w:before="34"/>
              <w:ind w:left="93" w:right="0"/>
              <w:jc w:val="left"/>
              <w:rPr>
                <w:rFonts w:ascii="宋体" w:hAnsi="宋体" w:cs="宋体" w:eastAsia="宋体" w:hint="default"/>
                <w:sz w:val="21"/>
                <w:szCs w:val="21"/>
              </w:rPr>
            </w:pPr>
            <w:r>
              <w:rPr>
                <w:rFonts w:ascii="宋体"/>
                <w:sz w:val="21"/>
              </w:rPr>
              <w:t>5,943</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 w:right="0"/>
              <w:jc w:val="center"/>
              <w:rPr>
                <w:rFonts w:ascii="宋体" w:hAnsi="宋体" w:cs="宋体" w:eastAsia="宋体" w:hint="default"/>
                <w:sz w:val="21"/>
                <w:szCs w:val="21"/>
              </w:rPr>
            </w:pPr>
            <w:r>
              <w:rPr>
                <w:rFonts w:ascii="宋体"/>
                <w:sz w:val="21"/>
              </w:rPr>
              <w:t>856,6</w:t>
            </w:r>
          </w:p>
          <w:p>
            <w:pPr>
              <w:pStyle w:val="TableParagraph"/>
              <w:spacing w:line="240" w:lineRule="auto" w:before="34"/>
              <w:ind w:left="81" w:right="0"/>
              <w:jc w:val="center"/>
              <w:rPr>
                <w:rFonts w:ascii="宋体" w:hAnsi="宋体" w:cs="宋体" w:eastAsia="宋体" w:hint="default"/>
                <w:sz w:val="21"/>
                <w:szCs w:val="21"/>
              </w:rPr>
            </w:pPr>
            <w:r>
              <w:rPr>
                <w:rFonts w:ascii="宋体"/>
                <w:sz w:val="21"/>
              </w:rPr>
              <w:t>88,25</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9.94</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 w:firstLine="422"/>
              <w:jc w:val="left"/>
              <w:rPr>
                <w:rFonts w:ascii="宋体" w:hAnsi="宋体" w:cs="宋体" w:eastAsia="宋体" w:hint="default"/>
                <w:sz w:val="21"/>
                <w:szCs w:val="21"/>
              </w:rPr>
            </w:pPr>
            <w:r>
              <w:rPr>
                <w:rFonts w:ascii="宋体" w:hAnsi="宋体" w:cs="宋体" w:eastAsia="宋体" w:hint="default"/>
                <w:spacing w:val="-20"/>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39" w:firstLine="842"/>
              <w:jc w:val="left"/>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w w:val="100"/>
                <w:sz w:val="21"/>
                <w:szCs w:val="21"/>
              </w:rPr>
              <w:t> </w:t>
            </w:r>
            <w:r>
              <w:rPr>
                <w:rFonts w:ascii="宋体" w:hAnsi="宋体" w:cs="宋体" w:eastAsia="宋体" w:hint="default"/>
                <w:sz w:val="21"/>
                <w:szCs w:val="21"/>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39" w:firstLine="842"/>
              <w:jc w:val="both"/>
              <w:rPr>
                <w:rFonts w:ascii="宋体" w:hAnsi="宋体" w:cs="宋体" w:eastAsia="宋体" w:hint="default"/>
                <w:sz w:val="21"/>
                <w:szCs w:val="21"/>
              </w:rPr>
            </w:pPr>
            <w:r>
              <w:rPr>
                <w:rFonts w:ascii="宋体" w:hAnsi="宋体" w:cs="宋体" w:eastAsia="宋体" w:hint="default"/>
                <w:sz w:val="21"/>
                <w:szCs w:val="21"/>
              </w:rPr>
              <w:t>同一</w:t>
            </w:r>
            <w:r>
              <w:rPr>
                <w:rFonts w:ascii="宋体" w:hAnsi="宋体" w:cs="宋体" w:eastAsia="宋体" w:hint="default"/>
                <w:w w:val="100"/>
                <w:sz w:val="21"/>
                <w:szCs w:val="21"/>
              </w:rPr>
              <w:t> </w:t>
            </w: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858261pt;margin-top:159.578278pt;width:27.6pt;height:50.8pt;mso-position-horizontal-relative:page;mso-position-vertical-relative:page;z-index:-887032" coordorigin="2577,3192" coordsize="552,1016">
            <v:group style="position:absolute;left:2577;top:3192;width:552;height:1016" coordorigin="2577,3192" coordsize="552,1016">
              <v:shape style="position:absolute;left:2577;top:3192;width:552;height:1016" coordorigin="2577,3192" coordsize="552,1016" path="m2577,3192l3129,3192,3129,4207,2577,4207,2577,3192xe" filled="true" fillcolor="#ffffff" stroked="false">
                <v:path arrowok="t"/>
                <v:fill type="solid"/>
              </v:shape>
            </v:group>
            <v:group style="position:absolute;left:2601;top:3504;width:507;height:392" coordorigin="2601,3504" coordsize="507,392">
              <v:shape style="position:absolute;left:2601;top:3504;width:507;height:392" coordorigin="2601,3504" coordsize="507,392" path="m2601,3504l3108,3504,3108,3895,2601,3895,2601,35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 w:right="0"/>
              <w:jc w:val="left"/>
              <w:rPr>
                <w:rFonts w:ascii="宋体" w:hAnsi="宋体" w:cs="宋体" w:eastAsia="宋体" w:hint="default"/>
                <w:sz w:val="21"/>
                <w:szCs w:val="21"/>
              </w:rPr>
            </w:pPr>
            <w:r>
              <w:rPr>
                <w:rFonts w:ascii="宋体"/>
                <w:sz w:val="21"/>
              </w:rPr>
              <w:t>298,</w:t>
            </w:r>
          </w:p>
          <w:p>
            <w:pPr>
              <w:pStyle w:val="TableParagraph"/>
              <w:spacing w:line="240" w:lineRule="auto" w:before="34"/>
              <w:ind w:left="110" w:right="0"/>
              <w:jc w:val="left"/>
              <w:rPr>
                <w:rFonts w:ascii="宋体" w:hAnsi="宋体" w:cs="宋体" w:eastAsia="宋体" w:hint="default"/>
                <w:sz w:val="21"/>
                <w:szCs w:val="21"/>
              </w:rPr>
            </w:pPr>
            <w:r>
              <w:rPr>
                <w:rFonts w:ascii="宋体"/>
                <w:sz w:val="21"/>
              </w:rPr>
              <w:t>186,</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86" w:right="0"/>
              <w:jc w:val="center"/>
              <w:rPr>
                <w:rFonts w:ascii="宋体" w:hAnsi="宋体" w:cs="宋体" w:eastAsia="宋体" w:hint="default"/>
                <w:sz w:val="21"/>
                <w:szCs w:val="21"/>
              </w:rPr>
            </w:pPr>
            <w:r>
              <w:rPr>
                <w:rFonts w:ascii="宋体"/>
                <w:sz w:val="21"/>
              </w:rPr>
              <w:t>335,8</w:t>
            </w:r>
          </w:p>
          <w:p>
            <w:pPr>
              <w:pStyle w:val="TableParagraph"/>
              <w:spacing w:line="240" w:lineRule="auto" w:before="34"/>
              <w:ind w:left="86" w:right="0"/>
              <w:jc w:val="center"/>
              <w:rPr>
                <w:rFonts w:ascii="宋体" w:hAnsi="宋体" w:cs="宋体" w:eastAsia="宋体" w:hint="default"/>
                <w:sz w:val="21"/>
                <w:szCs w:val="21"/>
              </w:rPr>
            </w:pPr>
            <w:r>
              <w:rPr>
                <w:rFonts w:ascii="宋体"/>
                <w:sz w:val="21"/>
              </w:rPr>
              <w:t>16,64</w:t>
            </w:r>
          </w:p>
          <w:p>
            <w:pPr>
              <w:pStyle w:val="TableParagraph"/>
              <w:spacing w:line="240" w:lineRule="auto" w:before="37"/>
              <w:ind w:left="192" w:right="0"/>
              <w:jc w:val="center"/>
              <w:rPr>
                <w:rFonts w:ascii="宋体" w:hAnsi="宋体" w:cs="宋体" w:eastAsia="宋体" w:hint="default"/>
                <w:sz w:val="21"/>
                <w:szCs w:val="21"/>
              </w:rPr>
            </w:pPr>
            <w:r>
              <w:rPr>
                <w:rFonts w:ascii="宋体"/>
                <w:sz w:val="21"/>
              </w:rPr>
              <w:t>6.98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sz w:val="21"/>
              </w:rPr>
              <w:t>27,66</w:t>
            </w:r>
          </w:p>
          <w:p>
            <w:pPr>
              <w:pStyle w:val="TableParagraph"/>
              <w:spacing w:line="240" w:lineRule="auto" w:before="34"/>
              <w:ind w:left="105" w:right="0"/>
              <w:jc w:val="left"/>
              <w:rPr>
                <w:rFonts w:ascii="宋体" w:hAnsi="宋体" w:cs="宋体" w:eastAsia="宋体" w:hint="default"/>
                <w:sz w:val="21"/>
                <w:szCs w:val="21"/>
              </w:rPr>
            </w:pPr>
            <w:r>
              <w:rPr>
                <w:rFonts w:ascii="宋体"/>
                <w:sz w:val="21"/>
              </w:rPr>
              <w:t>3,425</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98" w:right="0"/>
              <w:jc w:val="center"/>
              <w:rPr>
                <w:rFonts w:ascii="宋体" w:hAnsi="宋体" w:cs="宋体" w:eastAsia="宋体" w:hint="default"/>
                <w:sz w:val="21"/>
                <w:szCs w:val="21"/>
              </w:rPr>
            </w:pPr>
            <w:r>
              <w:rPr>
                <w:rFonts w:ascii="宋体"/>
                <w:sz w:val="21"/>
              </w:rPr>
              <w:t>151,9</w:t>
            </w:r>
          </w:p>
          <w:p>
            <w:pPr>
              <w:pStyle w:val="TableParagraph"/>
              <w:spacing w:line="240" w:lineRule="auto" w:before="34"/>
              <w:ind w:left="98" w:right="0"/>
              <w:jc w:val="center"/>
              <w:rPr>
                <w:rFonts w:ascii="宋体" w:hAnsi="宋体" w:cs="宋体" w:eastAsia="宋体" w:hint="default"/>
                <w:sz w:val="21"/>
                <w:szCs w:val="21"/>
              </w:rPr>
            </w:pPr>
            <w:r>
              <w:rPr>
                <w:rFonts w:ascii="宋体"/>
                <w:sz w:val="21"/>
              </w:rPr>
              <w:t>46,24</w:t>
            </w:r>
          </w:p>
          <w:p>
            <w:pPr>
              <w:pStyle w:val="TableParagraph"/>
              <w:spacing w:line="240" w:lineRule="auto" w:before="37"/>
              <w:ind w:left="204" w:right="0"/>
              <w:jc w:val="center"/>
              <w:rPr>
                <w:rFonts w:ascii="宋体" w:hAnsi="宋体" w:cs="宋体" w:eastAsia="宋体" w:hint="default"/>
                <w:sz w:val="21"/>
                <w:szCs w:val="21"/>
              </w:rPr>
            </w:pPr>
            <w:r>
              <w:rPr>
                <w:rFonts w:ascii="宋体"/>
                <w:sz w:val="21"/>
              </w:rPr>
              <w:t>3.96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宋体" w:hAnsi="宋体" w:cs="宋体" w:eastAsia="宋体" w:hint="default"/>
                <w:sz w:val="21"/>
                <w:szCs w:val="21"/>
              </w:rPr>
            </w:pPr>
            <w:r>
              <w:rPr>
                <w:rFonts w:ascii="宋体"/>
                <w:sz w:val="21"/>
              </w:rPr>
              <w:t>43,07</w:t>
            </w:r>
          </w:p>
          <w:p>
            <w:pPr>
              <w:pStyle w:val="TableParagraph"/>
              <w:spacing w:line="240" w:lineRule="auto" w:before="34"/>
              <w:ind w:left="93" w:right="0"/>
              <w:jc w:val="left"/>
              <w:rPr>
                <w:rFonts w:ascii="宋体" w:hAnsi="宋体" w:cs="宋体" w:eastAsia="宋体" w:hint="default"/>
                <w:sz w:val="21"/>
                <w:szCs w:val="21"/>
              </w:rPr>
            </w:pPr>
            <w:r>
              <w:rPr>
                <w:rFonts w:ascii="宋体"/>
                <w:sz w:val="21"/>
              </w:rPr>
              <w:t>5,943</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81" w:right="0"/>
              <w:jc w:val="center"/>
              <w:rPr>
                <w:rFonts w:ascii="宋体" w:hAnsi="宋体" w:cs="宋体" w:eastAsia="宋体" w:hint="default"/>
                <w:sz w:val="21"/>
                <w:szCs w:val="21"/>
              </w:rPr>
            </w:pPr>
            <w:r>
              <w:rPr>
                <w:rFonts w:ascii="宋体"/>
                <w:sz w:val="21"/>
              </w:rPr>
              <w:t>856,6</w:t>
            </w:r>
          </w:p>
          <w:p>
            <w:pPr>
              <w:pStyle w:val="TableParagraph"/>
              <w:spacing w:line="240" w:lineRule="auto" w:before="34"/>
              <w:ind w:left="81" w:right="0"/>
              <w:jc w:val="center"/>
              <w:rPr>
                <w:rFonts w:ascii="宋体" w:hAnsi="宋体" w:cs="宋体" w:eastAsia="宋体" w:hint="default"/>
                <w:sz w:val="21"/>
                <w:szCs w:val="21"/>
              </w:rPr>
            </w:pPr>
            <w:r>
              <w:rPr>
                <w:rFonts w:ascii="宋体"/>
                <w:sz w:val="21"/>
              </w:rPr>
              <w:t>88,25</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9.94</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9"/>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w w:val="100"/>
                <w:sz w:val="21"/>
                <w:szCs w:val="21"/>
              </w:rPr>
              <w:t> </w:t>
            </w:r>
            <w:r>
              <w:rPr>
                <w:rFonts w:ascii="宋体" w:hAnsi="宋体" w:cs="宋体" w:eastAsia="宋体" w:hint="default"/>
                <w:spacing w:val="-14"/>
                <w:w w:val="100"/>
                <w:sz w:val="21"/>
                <w:szCs w:val="21"/>
              </w:rPr>
              <w:t>动金额（减少以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-1,47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5,908</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4,393</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,060.</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28,11</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7,428</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sz w:val="21"/>
              </w:rPr>
              <w:t>2,116</w:t>
            </w:r>
          </w:p>
          <w:p>
            <w:pPr>
              <w:pStyle w:val="TableParagraph"/>
              <w:spacing w:line="240" w:lineRule="auto" w:before="37"/>
              <w:ind w:left="93" w:right="0"/>
              <w:jc w:val="left"/>
              <w:rPr>
                <w:rFonts w:ascii="宋体" w:hAnsi="宋体" w:cs="宋体" w:eastAsia="宋体" w:hint="default"/>
                <w:sz w:val="21"/>
                <w:szCs w:val="21"/>
              </w:rPr>
            </w:pPr>
            <w:r>
              <w:rPr>
                <w:rFonts w:ascii="宋体"/>
                <w:sz w:val="21"/>
              </w:rPr>
              <w:t>,355.</w:t>
            </w:r>
          </w:p>
          <w:p>
            <w:pPr>
              <w:pStyle w:val="TableParagraph"/>
              <w:spacing w:line="240" w:lineRule="auto" w:before="37"/>
              <w:ind w:left="408" w:right="0"/>
              <w:jc w:val="left"/>
              <w:rPr>
                <w:rFonts w:ascii="宋体" w:hAnsi="宋体" w:cs="宋体" w:eastAsia="宋体" w:hint="default"/>
                <w:sz w:val="21"/>
                <w:szCs w:val="21"/>
              </w:rPr>
            </w:pPr>
            <w:r>
              <w:rPr>
                <w:rFonts w:ascii="宋体"/>
                <w:sz w:val="21"/>
              </w:rPr>
              <w:t>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33,15</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0,935</w:t>
            </w:r>
          </w:p>
          <w:p>
            <w:pPr>
              <w:pStyle w:val="TableParagraph"/>
              <w:spacing w:line="240" w:lineRule="auto" w:before="37"/>
              <w:ind w:left="312" w:right="0"/>
              <w:jc w:val="left"/>
              <w:rPr>
                <w:rFonts w:ascii="宋体" w:hAnsi="宋体" w:cs="宋体" w:eastAsia="宋体" w:hint="default"/>
                <w:sz w:val="21"/>
                <w:szCs w:val="21"/>
              </w:rPr>
            </w:pPr>
            <w:r>
              <w:rPr>
                <w:rFonts w:ascii="宋体"/>
                <w:sz w:val="21"/>
              </w:rPr>
              <w:t>.70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（一）综合收益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0" w:right="0"/>
              <w:jc w:val="left"/>
              <w:rPr>
                <w:rFonts w:ascii="宋体" w:hAnsi="宋体" w:cs="宋体" w:eastAsia="宋体" w:hint="default"/>
                <w:sz w:val="21"/>
                <w:szCs w:val="21"/>
              </w:rPr>
            </w:pPr>
            <w:r>
              <w:rPr>
                <w:rFonts w:ascii="宋体"/>
                <w:sz w:val="21"/>
              </w:rPr>
              <w:t>49,08</w:t>
            </w:r>
          </w:p>
          <w:p>
            <w:pPr>
              <w:pStyle w:val="TableParagraph"/>
              <w:spacing w:line="240" w:lineRule="auto" w:before="34"/>
              <w:ind w:left="120" w:right="0"/>
              <w:jc w:val="left"/>
              <w:rPr>
                <w:rFonts w:ascii="宋体" w:hAnsi="宋体" w:cs="宋体" w:eastAsia="宋体" w:hint="default"/>
                <w:sz w:val="21"/>
                <w:szCs w:val="21"/>
              </w:rPr>
            </w:pPr>
            <w:r>
              <w:rPr>
                <w:rFonts w:ascii="宋体"/>
                <w:sz w:val="21"/>
              </w:rPr>
              <w:t>9,630</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sz w:val="21"/>
              </w:rPr>
              <w:t>9,056</w:t>
            </w:r>
          </w:p>
          <w:p>
            <w:pPr>
              <w:pStyle w:val="TableParagraph"/>
              <w:spacing w:line="240" w:lineRule="auto" w:before="34"/>
              <w:ind w:left="93" w:right="0"/>
              <w:jc w:val="left"/>
              <w:rPr>
                <w:rFonts w:ascii="宋体" w:hAnsi="宋体" w:cs="宋体" w:eastAsia="宋体" w:hint="default"/>
                <w:sz w:val="21"/>
                <w:szCs w:val="21"/>
              </w:rPr>
            </w:pPr>
            <w:r>
              <w:rPr>
                <w:rFonts w:ascii="宋体"/>
                <w:sz w:val="21"/>
              </w:rPr>
              <w:t>,258.</w:t>
            </w:r>
          </w:p>
          <w:p>
            <w:pPr>
              <w:pStyle w:val="TableParagraph"/>
              <w:spacing w:line="240" w:lineRule="auto" w:before="37"/>
              <w:ind w:left="408" w:right="0"/>
              <w:jc w:val="left"/>
              <w:rPr>
                <w:rFonts w:ascii="宋体" w:hAnsi="宋体" w:cs="宋体" w:eastAsia="宋体" w:hint="default"/>
                <w:sz w:val="21"/>
                <w:szCs w:val="21"/>
              </w:rPr>
            </w:pPr>
            <w:r>
              <w:rPr>
                <w:rFonts w:ascii="宋体"/>
                <w:sz w:val="21"/>
              </w:rPr>
              <w:t>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58,14</w:t>
            </w:r>
          </w:p>
          <w:p>
            <w:pPr>
              <w:pStyle w:val="TableParagraph"/>
              <w:spacing w:line="240" w:lineRule="auto" w:before="34"/>
              <w:ind w:left="100" w:right="0"/>
              <w:jc w:val="left"/>
              <w:rPr>
                <w:rFonts w:ascii="宋体" w:hAnsi="宋体" w:cs="宋体" w:eastAsia="宋体" w:hint="default"/>
                <w:sz w:val="21"/>
                <w:szCs w:val="21"/>
              </w:rPr>
            </w:pPr>
            <w:r>
              <w:rPr>
                <w:rFonts w:ascii="宋体"/>
                <w:sz w:val="21"/>
              </w:rPr>
              <w:t>5,888</w:t>
            </w:r>
          </w:p>
          <w:p>
            <w:pPr>
              <w:pStyle w:val="TableParagraph"/>
              <w:spacing w:line="240" w:lineRule="auto" w:before="37"/>
              <w:ind w:left="312" w:right="0"/>
              <w:jc w:val="left"/>
              <w:rPr>
                <w:rFonts w:ascii="宋体" w:hAnsi="宋体" w:cs="宋体" w:eastAsia="宋体" w:hint="default"/>
                <w:sz w:val="21"/>
                <w:szCs w:val="21"/>
              </w:rPr>
            </w:pPr>
            <w:r>
              <w:rPr>
                <w:rFonts w:ascii="宋体"/>
                <w:sz w:val="21"/>
              </w:rPr>
              <w:t>.85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（二）所有者投</w:t>
            </w:r>
            <w:r>
              <w:rPr>
                <w:rFonts w:ascii="宋体" w:hAnsi="宋体" w:cs="宋体" w:eastAsia="宋体" w:hint="default"/>
                <w:w w:val="100"/>
                <w:sz w:val="21"/>
                <w:szCs w:val="21"/>
              </w:rPr>
              <w:t> </w:t>
            </w: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-1,47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5,908</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sz w:val="21"/>
              </w:rPr>
              <w:t>-1,52</w:t>
            </w:r>
          </w:p>
          <w:p>
            <w:pPr>
              <w:pStyle w:val="TableParagraph"/>
              <w:spacing w:line="240" w:lineRule="auto" w:before="37"/>
              <w:ind w:left="93" w:right="0"/>
              <w:jc w:val="left"/>
              <w:rPr>
                <w:rFonts w:ascii="宋体" w:hAnsi="宋体" w:cs="宋体" w:eastAsia="宋体" w:hint="default"/>
                <w:sz w:val="21"/>
                <w:szCs w:val="21"/>
              </w:rPr>
            </w:pPr>
            <w:r>
              <w:rPr>
                <w:rFonts w:ascii="宋体"/>
                <w:sz w:val="21"/>
              </w:rPr>
              <w:t>4,091</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-3,00</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12" w:right="0"/>
              <w:jc w:val="left"/>
              <w:rPr>
                <w:rFonts w:ascii="宋体" w:hAnsi="宋体" w:cs="宋体" w:eastAsia="宋体" w:hint="default"/>
                <w:sz w:val="21"/>
                <w:szCs w:val="21"/>
              </w:rPr>
            </w:pPr>
            <w:r>
              <w:rPr>
                <w:rFonts w:ascii="宋体"/>
                <w:sz w:val="21"/>
              </w:rPr>
              <w:t>.00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3"/>
              <w:jc w:val="left"/>
              <w:rPr>
                <w:rFonts w:ascii="宋体" w:hAnsi="宋体" w:cs="宋体" w:eastAsia="宋体" w:hint="default"/>
                <w:sz w:val="21"/>
                <w:szCs w:val="21"/>
              </w:rPr>
            </w:pPr>
            <w:r>
              <w:rPr>
                <w:rFonts w:ascii="宋体" w:hAnsi="宋体" w:cs="宋体" w:eastAsia="宋体" w:hint="default"/>
                <w:sz w:val="21"/>
                <w:szCs w:val="21"/>
              </w:rPr>
              <w:t>1．股东投入的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2．其他权益工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3"/>
              <w:jc w:val="left"/>
              <w:rPr>
                <w:rFonts w:ascii="宋体" w:hAnsi="宋体" w:cs="宋体" w:eastAsia="宋体" w:hint="default"/>
                <w:sz w:val="21"/>
                <w:szCs w:val="21"/>
              </w:rPr>
            </w:pPr>
            <w:r>
              <w:rPr>
                <w:rFonts w:ascii="宋体" w:hAnsi="宋体" w:cs="宋体" w:eastAsia="宋体" w:hint="default"/>
                <w:sz w:val="21"/>
                <w:szCs w:val="21"/>
              </w:rPr>
              <w:t>3．股份支付计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-1,47</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5,908</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sz w:val="21"/>
              </w:rPr>
              <w:t>-1,52</w:t>
            </w:r>
          </w:p>
          <w:p>
            <w:pPr>
              <w:pStyle w:val="TableParagraph"/>
              <w:spacing w:line="240" w:lineRule="auto" w:before="37"/>
              <w:ind w:left="93" w:right="0"/>
              <w:jc w:val="left"/>
              <w:rPr>
                <w:rFonts w:ascii="宋体" w:hAnsi="宋体" w:cs="宋体" w:eastAsia="宋体" w:hint="default"/>
                <w:sz w:val="21"/>
                <w:szCs w:val="21"/>
              </w:rPr>
            </w:pPr>
            <w:r>
              <w:rPr>
                <w:rFonts w:ascii="宋体"/>
                <w:sz w:val="21"/>
              </w:rPr>
              <w:t>4,091</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.22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-3,00</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12" w:right="0"/>
              <w:jc w:val="left"/>
              <w:rPr>
                <w:rFonts w:ascii="宋体" w:hAnsi="宋体" w:cs="宋体" w:eastAsia="宋体" w:hint="default"/>
                <w:sz w:val="21"/>
                <w:szCs w:val="21"/>
              </w:rPr>
            </w:pPr>
            <w:r>
              <w:rPr>
                <w:rFonts w:ascii="宋体"/>
                <w:sz w:val="21"/>
              </w:rPr>
              <w:t>.00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left"/>
              <w:rPr>
                <w:rFonts w:ascii="宋体" w:hAnsi="宋体" w:cs="宋体" w:eastAsia="宋体" w:hint="default"/>
                <w:sz w:val="21"/>
                <w:szCs w:val="21"/>
              </w:rPr>
            </w:pPr>
            <w:r>
              <w:rPr>
                <w:rFonts w:ascii="宋体"/>
                <w:sz w:val="21"/>
              </w:rPr>
              <w:t>4,393</w:t>
            </w:r>
          </w:p>
          <w:p>
            <w:pPr>
              <w:pStyle w:val="TableParagraph"/>
              <w:spacing w:line="240" w:lineRule="auto" w:before="34"/>
              <w:ind w:left="105" w:right="0"/>
              <w:jc w:val="left"/>
              <w:rPr>
                <w:rFonts w:ascii="宋体" w:hAnsi="宋体" w:cs="宋体" w:eastAsia="宋体" w:hint="default"/>
                <w:sz w:val="21"/>
                <w:szCs w:val="21"/>
              </w:rPr>
            </w:pPr>
            <w:r>
              <w:rPr>
                <w:rFonts w:ascii="宋体"/>
                <w:sz w:val="21"/>
              </w:rPr>
              <w:t>,060.</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8" w:right="0"/>
              <w:jc w:val="center"/>
              <w:rPr>
                <w:rFonts w:ascii="宋体" w:hAnsi="宋体" w:cs="宋体" w:eastAsia="宋体" w:hint="default"/>
                <w:sz w:val="21"/>
                <w:szCs w:val="21"/>
              </w:rPr>
            </w:pPr>
            <w:r>
              <w:rPr>
                <w:rFonts w:ascii="宋体"/>
                <w:sz w:val="21"/>
              </w:rPr>
              <w:t>-20,9</w:t>
            </w:r>
          </w:p>
          <w:p>
            <w:pPr>
              <w:pStyle w:val="TableParagraph"/>
              <w:spacing w:line="240" w:lineRule="auto" w:before="34"/>
              <w:ind w:left="98" w:right="0"/>
              <w:jc w:val="center"/>
              <w:rPr>
                <w:rFonts w:ascii="宋体" w:hAnsi="宋体" w:cs="宋体" w:eastAsia="宋体" w:hint="default"/>
                <w:sz w:val="21"/>
                <w:szCs w:val="21"/>
              </w:rPr>
            </w:pPr>
            <w:r>
              <w:rPr>
                <w:rFonts w:ascii="宋体"/>
                <w:sz w:val="21"/>
              </w:rPr>
              <w:t>72,20</w:t>
            </w:r>
          </w:p>
          <w:p>
            <w:pPr>
              <w:pStyle w:val="TableParagraph"/>
              <w:spacing w:line="240" w:lineRule="auto" w:before="37"/>
              <w:ind w:left="204" w:right="0"/>
              <w:jc w:val="center"/>
              <w:rPr>
                <w:rFonts w:ascii="宋体" w:hAnsi="宋体" w:cs="宋体" w:eastAsia="宋体" w:hint="default"/>
                <w:sz w:val="21"/>
                <w:szCs w:val="21"/>
              </w:rPr>
            </w:pPr>
            <w:r>
              <w:rPr>
                <w:rFonts w:ascii="宋体"/>
                <w:sz w:val="21"/>
              </w:rPr>
              <w:t>2.11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sz w:val="21"/>
              </w:rPr>
              <w:t>-5,41</w:t>
            </w:r>
          </w:p>
          <w:p>
            <w:pPr>
              <w:pStyle w:val="TableParagraph"/>
              <w:spacing w:line="240" w:lineRule="auto" w:before="34"/>
              <w:ind w:left="93" w:right="0"/>
              <w:jc w:val="left"/>
              <w:rPr>
                <w:rFonts w:ascii="宋体" w:hAnsi="宋体" w:cs="宋体" w:eastAsia="宋体" w:hint="default"/>
                <w:sz w:val="21"/>
                <w:szCs w:val="21"/>
              </w:rPr>
            </w:pPr>
            <w:r>
              <w:rPr>
                <w:rFonts w:ascii="宋体"/>
                <w:sz w:val="21"/>
              </w:rPr>
              <w:t>5,811</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1" w:right="0"/>
              <w:jc w:val="center"/>
              <w:rPr>
                <w:rFonts w:ascii="宋体" w:hAnsi="宋体" w:cs="宋体" w:eastAsia="宋体" w:hint="default"/>
                <w:sz w:val="21"/>
                <w:szCs w:val="21"/>
              </w:rPr>
            </w:pPr>
            <w:r>
              <w:rPr>
                <w:rFonts w:ascii="宋体"/>
                <w:sz w:val="21"/>
              </w:rPr>
              <w:t>-21,9</w:t>
            </w:r>
          </w:p>
          <w:p>
            <w:pPr>
              <w:pStyle w:val="TableParagraph"/>
              <w:spacing w:line="240" w:lineRule="auto" w:before="34"/>
              <w:ind w:left="81" w:right="0"/>
              <w:jc w:val="center"/>
              <w:rPr>
                <w:rFonts w:ascii="宋体" w:hAnsi="宋体" w:cs="宋体" w:eastAsia="宋体" w:hint="default"/>
                <w:sz w:val="21"/>
                <w:szCs w:val="21"/>
              </w:rPr>
            </w:pPr>
            <w:r>
              <w:rPr>
                <w:rFonts w:ascii="宋体"/>
                <w:sz w:val="21"/>
              </w:rPr>
              <w:t>94,95</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3.15</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33"/>
              <w:jc w:val="left"/>
              <w:rPr>
                <w:rFonts w:ascii="宋体" w:hAnsi="宋体" w:cs="宋体" w:eastAsia="宋体" w:hint="default"/>
                <w:sz w:val="21"/>
                <w:szCs w:val="21"/>
              </w:rPr>
            </w:pPr>
            <w:r>
              <w:rPr>
                <w:rFonts w:ascii="宋体" w:hAnsi="宋体" w:cs="宋体" w:eastAsia="宋体" w:hint="default"/>
                <w:sz w:val="21"/>
                <w:szCs w:val="21"/>
              </w:rPr>
              <w:t>1．提取盈余公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sz w:val="21"/>
              </w:rPr>
              <w:t>4,393</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,060.</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-4,39</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3,060</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.51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3"/>
              <w:jc w:val="left"/>
              <w:rPr>
                <w:rFonts w:ascii="宋体" w:hAnsi="宋体" w:cs="宋体" w:eastAsia="宋体" w:hint="default"/>
                <w:sz w:val="21"/>
                <w:szCs w:val="21"/>
              </w:rPr>
            </w:pPr>
            <w:r>
              <w:rPr>
                <w:rFonts w:ascii="宋体" w:hAnsi="宋体" w:cs="宋体" w:eastAsia="宋体" w:hint="default"/>
                <w:sz w:val="21"/>
                <w:szCs w:val="21"/>
              </w:rPr>
              <w:t>2．提取一般风</w:t>
            </w:r>
            <w:r>
              <w:rPr>
                <w:rFonts w:ascii="宋体" w:hAnsi="宋体" w:cs="宋体" w:eastAsia="宋体" w:hint="default"/>
                <w:w w:val="100"/>
                <w:sz w:val="21"/>
                <w:szCs w:val="21"/>
              </w:rPr>
              <w:t> </w:t>
            </w: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26"/>
                <w:w w:val="100"/>
                <w:sz w:val="21"/>
                <w:szCs w:val="21"/>
              </w:rPr>
              <w:t>3．对所有者（或</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-16,5</w:t>
            </w:r>
          </w:p>
          <w:p>
            <w:pPr>
              <w:pStyle w:val="TableParagraph"/>
              <w:spacing w:line="240" w:lineRule="auto" w:before="37"/>
              <w:ind w:left="98" w:right="0"/>
              <w:jc w:val="center"/>
              <w:rPr>
                <w:rFonts w:ascii="宋体" w:hAnsi="宋体" w:cs="宋体" w:eastAsia="宋体" w:hint="default"/>
                <w:sz w:val="21"/>
                <w:szCs w:val="21"/>
              </w:rPr>
            </w:pPr>
            <w:r>
              <w:rPr>
                <w:rFonts w:ascii="宋体"/>
                <w:sz w:val="21"/>
              </w:rPr>
              <w:t>79,14</w:t>
            </w:r>
          </w:p>
          <w:p>
            <w:pPr>
              <w:pStyle w:val="TableParagraph"/>
              <w:spacing w:line="240" w:lineRule="auto" w:before="37"/>
              <w:ind w:left="204" w:right="0"/>
              <w:jc w:val="center"/>
              <w:rPr>
                <w:rFonts w:ascii="宋体" w:hAnsi="宋体" w:cs="宋体" w:eastAsia="宋体" w:hint="default"/>
                <w:sz w:val="21"/>
                <w:szCs w:val="21"/>
              </w:rPr>
            </w:pPr>
            <w:r>
              <w:rPr>
                <w:rFonts w:ascii="宋体"/>
                <w:sz w:val="21"/>
              </w:rPr>
              <w:t>1.60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sz w:val="21"/>
              </w:rPr>
              <w:t>-5,41</w:t>
            </w:r>
          </w:p>
          <w:p>
            <w:pPr>
              <w:pStyle w:val="TableParagraph"/>
              <w:spacing w:line="240" w:lineRule="auto" w:before="37"/>
              <w:ind w:left="93" w:right="0"/>
              <w:jc w:val="left"/>
              <w:rPr>
                <w:rFonts w:ascii="宋体" w:hAnsi="宋体" w:cs="宋体" w:eastAsia="宋体" w:hint="default"/>
                <w:sz w:val="21"/>
                <w:szCs w:val="21"/>
              </w:rPr>
            </w:pPr>
            <w:r>
              <w:rPr>
                <w:rFonts w:ascii="宋体"/>
                <w:sz w:val="21"/>
              </w:rPr>
              <w:t>5,811</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center"/>
              <w:rPr>
                <w:rFonts w:ascii="宋体" w:hAnsi="宋体" w:cs="宋体" w:eastAsia="宋体" w:hint="default"/>
                <w:sz w:val="21"/>
                <w:szCs w:val="21"/>
              </w:rPr>
            </w:pPr>
            <w:r>
              <w:rPr>
                <w:rFonts w:ascii="宋体"/>
                <w:sz w:val="21"/>
              </w:rPr>
              <w:t>-21,9</w:t>
            </w:r>
          </w:p>
          <w:p>
            <w:pPr>
              <w:pStyle w:val="TableParagraph"/>
              <w:spacing w:line="240" w:lineRule="auto" w:before="37"/>
              <w:ind w:left="81" w:right="0"/>
              <w:jc w:val="center"/>
              <w:rPr>
                <w:rFonts w:ascii="宋体" w:hAnsi="宋体" w:cs="宋体" w:eastAsia="宋体" w:hint="default"/>
                <w:sz w:val="21"/>
                <w:szCs w:val="21"/>
              </w:rPr>
            </w:pPr>
            <w:r>
              <w:rPr>
                <w:rFonts w:ascii="宋体"/>
                <w:sz w:val="21"/>
              </w:rPr>
              <w:t>94,95</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3.15</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w w:val="100"/>
                <w:sz w:val="21"/>
                <w:szCs w:val="21"/>
              </w:rPr>
              <w:t> </w:t>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21"/>
                <w:szCs w:val="21"/>
              </w:rPr>
            </w:pPr>
            <w:r>
              <w:rPr>
                <w:rFonts w:ascii="宋体" w:hAnsi="宋体" w:cs="宋体" w:eastAsia="宋体" w:hint="default"/>
                <w:sz w:val="21"/>
                <w:szCs w:val="21"/>
              </w:rPr>
              <w:t>1．资本公积转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9.098267pt;margin-top:712.058289pt;width:34.1pt;height:50.8pt;mso-position-horizontal-relative:page;mso-position-vertical-relative:page;z-index:-887008" coordorigin="2582,14241" coordsize="682,1016">
            <v:group style="position:absolute;left:2582;top:14241;width:682;height:1016" coordorigin="2582,14241" coordsize="682,1016">
              <v:shape style="position:absolute;left:2582;top:14241;width:682;height:1016" coordorigin="2582,14241" coordsize="682,1016" path="m2582,14241l3264,14241,3264,15256,2582,15256,2582,14241xe" filled="true" fillcolor="#ffffff" stroked="false">
                <v:path arrowok="t"/>
                <v:fill type="solid"/>
              </v:shape>
            </v:group>
            <v:group style="position:absolute;left:2606;top:14553;width:634;height:392" coordorigin="2606,14553" coordsize="634,392">
              <v:shape style="position:absolute;left:2606;top:14553;width:634;height:392" coordorigin="2606,14553" coordsize="634,392" path="m2606,14553l3240,14553,3240,14944,2606,14944,2606,1455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ind w:left="22" w:right="139"/>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2．盈余公积转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3．盈余公积弥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w:t>
            </w:r>
            <w:r>
              <w:rPr>
                <w:rFonts w:ascii="宋体" w:hAnsi="宋体" w:cs="宋体" w:eastAsia="宋体" w:hint="default"/>
                <w:w w:val="100"/>
                <w:sz w:val="21"/>
                <w:szCs w:val="21"/>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sz w:val="21"/>
              </w:rPr>
              <w:t>298,</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186,</w:t>
            </w:r>
          </w:p>
          <w:p>
            <w:pPr>
              <w:pStyle w:val="TableParagraph"/>
              <w:spacing w:line="240" w:lineRule="auto" w:before="37"/>
              <w:ind w:left="110"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6" w:right="0"/>
              <w:jc w:val="center"/>
              <w:rPr>
                <w:rFonts w:ascii="宋体" w:hAnsi="宋体" w:cs="宋体" w:eastAsia="宋体" w:hint="default"/>
                <w:sz w:val="21"/>
                <w:szCs w:val="21"/>
              </w:rPr>
            </w:pPr>
            <w:r>
              <w:rPr>
                <w:rFonts w:ascii="宋体"/>
                <w:sz w:val="21"/>
              </w:rPr>
              <w:t>334,3</w:t>
            </w:r>
          </w:p>
          <w:p>
            <w:pPr>
              <w:pStyle w:val="TableParagraph"/>
              <w:spacing w:line="240" w:lineRule="auto" w:before="37"/>
              <w:ind w:left="86" w:right="0"/>
              <w:jc w:val="center"/>
              <w:rPr>
                <w:rFonts w:ascii="宋体" w:hAnsi="宋体" w:cs="宋体" w:eastAsia="宋体" w:hint="default"/>
                <w:sz w:val="21"/>
                <w:szCs w:val="21"/>
              </w:rPr>
            </w:pPr>
            <w:r>
              <w:rPr>
                <w:rFonts w:ascii="宋体"/>
                <w:sz w:val="21"/>
              </w:rPr>
              <w:t>40,73</w:t>
            </w:r>
          </w:p>
          <w:p>
            <w:pPr>
              <w:pStyle w:val="TableParagraph"/>
              <w:spacing w:line="240" w:lineRule="auto" w:before="37"/>
              <w:ind w:left="192" w:right="0"/>
              <w:jc w:val="center"/>
              <w:rPr>
                <w:rFonts w:ascii="宋体" w:hAnsi="宋体" w:cs="宋体" w:eastAsia="宋体" w:hint="default"/>
                <w:sz w:val="21"/>
                <w:szCs w:val="21"/>
              </w:rPr>
            </w:pPr>
            <w:r>
              <w:rPr>
                <w:rFonts w:ascii="宋体"/>
                <w:sz w:val="21"/>
              </w:rPr>
              <w:t>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sz w:val="21"/>
              </w:rPr>
              <w:t>32,05</w:t>
            </w:r>
          </w:p>
          <w:p>
            <w:pPr>
              <w:pStyle w:val="TableParagraph"/>
              <w:spacing w:line="240" w:lineRule="auto" w:before="37"/>
              <w:ind w:left="105" w:right="0"/>
              <w:jc w:val="left"/>
              <w:rPr>
                <w:rFonts w:ascii="宋体" w:hAnsi="宋体" w:cs="宋体" w:eastAsia="宋体" w:hint="default"/>
                <w:sz w:val="21"/>
                <w:szCs w:val="21"/>
              </w:rPr>
            </w:pPr>
            <w:r>
              <w:rPr>
                <w:rFonts w:ascii="宋体"/>
                <w:sz w:val="21"/>
              </w:rPr>
              <w:t>6,486</w:t>
            </w:r>
          </w:p>
          <w:p>
            <w:pPr>
              <w:pStyle w:val="TableParagraph"/>
              <w:spacing w:line="240" w:lineRule="auto" w:before="37"/>
              <w:ind w:left="316" w:right="0"/>
              <w:jc w:val="left"/>
              <w:rPr>
                <w:rFonts w:ascii="宋体" w:hAnsi="宋体" w:cs="宋体" w:eastAsia="宋体" w:hint="default"/>
                <w:sz w:val="21"/>
                <w:szCs w:val="21"/>
              </w:rPr>
            </w:pPr>
            <w:r>
              <w:rPr>
                <w:rFonts w:ascii="宋体"/>
                <w:sz w:val="21"/>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98" w:right="0"/>
              <w:jc w:val="center"/>
              <w:rPr>
                <w:rFonts w:ascii="宋体" w:hAnsi="宋体" w:cs="宋体" w:eastAsia="宋体" w:hint="default"/>
                <w:sz w:val="21"/>
                <w:szCs w:val="21"/>
              </w:rPr>
            </w:pPr>
            <w:r>
              <w:rPr>
                <w:rFonts w:ascii="宋体"/>
                <w:sz w:val="21"/>
              </w:rPr>
              <w:t>180,0</w:t>
            </w:r>
          </w:p>
          <w:p>
            <w:pPr>
              <w:pStyle w:val="TableParagraph"/>
              <w:spacing w:line="240" w:lineRule="auto" w:before="37"/>
              <w:ind w:left="98" w:right="0"/>
              <w:jc w:val="center"/>
              <w:rPr>
                <w:rFonts w:ascii="宋体" w:hAnsi="宋体" w:cs="宋体" w:eastAsia="宋体" w:hint="default"/>
                <w:sz w:val="21"/>
                <w:szCs w:val="21"/>
              </w:rPr>
            </w:pPr>
            <w:r>
              <w:rPr>
                <w:rFonts w:ascii="宋体"/>
                <w:sz w:val="21"/>
              </w:rPr>
              <w:t>63,67</w:t>
            </w:r>
          </w:p>
          <w:p>
            <w:pPr>
              <w:pStyle w:val="TableParagraph"/>
              <w:spacing w:line="240" w:lineRule="auto" w:before="37"/>
              <w:ind w:left="204" w:right="0"/>
              <w:jc w:val="center"/>
              <w:rPr>
                <w:rFonts w:ascii="宋体" w:hAnsi="宋体" w:cs="宋体" w:eastAsia="宋体" w:hint="default"/>
                <w:sz w:val="21"/>
                <w:szCs w:val="21"/>
              </w:rPr>
            </w:pPr>
            <w:r>
              <w:rPr>
                <w:rFonts w:ascii="宋体"/>
                <w:sz w:val="21"/>
              </w:rPr>
              <w:t>2.11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宋体" w:hAnsi="宋体" w:cs="宋体" w:eastAsia="宋体" w:hint="default"/>
                <w:sz w:val="21"/>
                <w:szCs w:val="21"/>
              </w:rPr>
            </w:pPr>
            <w:r>
              <w:rPr>
                <w:rFonts w:ascii="宋体"/>
                <w:sz w:val="21"/>
              </w:rPr>
              <w:t>45,19</w:t>
            </w:r>
          </w:p>
          <w:p>
            <w:pPr>
              <w:pStyle w:val="TableParagraph"/>
              <w:spacing w:line="240" w:lineRule="auto" w:before="37"/>
              <w:ind w:left="93" w:right="0"/>
              <w:jc w:val="left"/>
              <w:rPr>
                <w:rFonts w:ascii="宋体" w:hAnsi="宋体" w:cs="宋体" w:eastAsia="宋体" w:hint="default"/>
                <w:sz w:val="21"/>
                <w:szCs w:val="21"/>
              </w:rPr>
            </w:pPr>
            <w:r>
              <w:rPr>
                <w:rFonts w:ascii="宋体"/>
                <w:sz w:val="21"/>
              </w:rPr>
              <w:t>2,298</w:t>
            </w:r>
          </w:p>
          <w:p>
            <w:pPr>
              <w:pStyle w:val="TableParagraph"/>
              <w:spacing w:line="240" w:lineRule="auto" w:before="37"/>
              <w:ind w:left="304" w:right="0"/>
              <w:jc w:val="left"/>
              <w:rPr>
                <w:rFonts w:ascii="宋体" w:hAnsi="宋体" w:cs="宋体" w:eastAsia="宋体" w:hint="default"/>
                <w:sz w:val="21"/>
                <w:szCs w:val="21"/>
              </w:rPr>
            </w:pPr>
            <w:r>
              <w:rPr>
                <w:rFonts w:ascii="宋体"/>
                <w:sz w:val="21"/>
              </w:rPr>
              <w:t>.86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81" w:right="0"/>
              <w:jc w:val="center"/>
              <w:rPr>
                <w:rFonts w:ascii="宋体" w:hAnsi="宋体" w:cs="宋体" w:eastAsia="宋体" w:hint="default"/>
                <w:sz w:val="21"/>
                <w:szCs w:val="21"/>
              </w:rPr>
            </w:pPr>
            <w:r>
              <w:rPr>
                <w:rFonts w:ascii="宋体"/>
                <w:sz w:val="21"/>
              </w:rPr>
              <w:t>889,8</w:t>
            </w:r>
          </w:p>
          <w:p>
            <w:pPr>
              <w:pStyle w:val="TableParagraph"/>
              <w:spacing w:line="240" w:lineRule="auto" w:before="37"/>
              <w:ind w:left="81" w:right="0"/>
              <w:jc w:val="center"/>
              <w:rPr>
                <w:rFonts w:ascii="宋体" w:hAnsi="宋体" w:cs="宋体" w:eastAsia="宋体" w:hint="default"/>
                <w:sz w:val="21"/>
                <w:szCs w:val="21"/>
              </w:rPr>
            </w:pPr>
            <w:r>
              <w:rPr>
                <w:rFonts w:ascii="宋体"/>
                <w:sz w:val="21"/>
              </w:rPr>
              <w:t>39,19</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5.64</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2880"/>
        <w:jc w:val="left"/>
      </w:pPr>
      <w:r>
        <w:rPr/>
        <w:t>8、母公司所有者权益变动表</w:t>
      </w:r>
    </w:p>
    <w:p>
      <w:pPr>
        <w:spacing w:line="240" w:lineRule="auto" w:before="2"/>
        <w:rPr>
          <w:rFonts w:ascii="宋体" w:hAnsi="宋体" w:cs="宋体" w:eastAsia="宋体" w:hint="default"/>
          <w:sz w:val="23"/>
          <w:szCs w:val="23"/>
        </w:rPr>
      </w:pPr>
    </w:p>
    <w:p>
      <w:pPr>
        <w:pStyle w:val="BodyText"/>
        <w:spacing w:line="240" w:lineRule="auto" w:before="36"/>
        <w:ind w:right="2880"/>
        <w:jc w:val="left"/>
      </w:pPr>
      <w:r>
        <w:rPr/>
        <w:t>本期金额</w:t>
      </w:r>
    </w:p>
    <w:p>
      <w:pPr>
        <w:pStyle w:val="BodyText"/>
        <w:spacing w:line="240" w:lineRule="auto" w:before="75"/>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8" w:right="17" w:hanging="264"/>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79" w:right="72"/>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2"/>
              <w:ind w:left="122"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2"/>
              <w:ind w:left="69" w:right="65"/>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71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3" w:right="113"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5" w:right="113"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1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 w:right="0"/>
              <w:jc w:val="left"/>
              <w:rPr>
                <w:rFonts w:ascii="宋体" w:hAnsi="宋体" w:cs="宋体" w:eastAsia="宋体" w:hint="default"/>
                <w:sz w:val="21"/>
                <w:szCs w:val="21"/>
              </w:rPr>
            </w:pPr>
            <w:r>
              <w:rPr>
                <w:rFonts w:ascii="宋体"/>
                <w:sz w:val="21"/>
              </w:rPr>
              <w:t>298,18</w:t>
            </w:r>
          </w:p>
          <w:p>
            <w:pPr>
              <w:pStyle w:val="TableParagraph"/>
              <w:spacing w:line="240" w:lineRule="auto" w:before="34"/>
              <w:ind w:left="31"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335,816</w:t>
            </w:r>
          </w:p>
          <w:p>
            <w:pPr>
              <w:pStyle w:val="TableParagraph"/>
              <w:spacing w:line="240" w:lineRule="auto" w:before="34"/>
              <w:ind w:left="31" w:right="0"/>
              <w:jc w:val="left"/>
              <w:rPr>
                <w:rFonts w:ascii="宋体" w:hAnsi="宋体" w:cs="宋体" w:eastAsia="宋体" w:hint="default"/>
                <w:sz w:val="21"/>
                <w:szCs w:val="21"/>
              </w:rPr>
            </w:pPr>
            <w:r>
              <w:rPr>
                <w:rFonts w:ascii="宋体"/>
                <w:sz w:val="21"/>
              </w:rPr>
              <w:t>,646.98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sz w:val="21"/>
              </w:rPr>
              <w:t>30,827,</w:t>
            </w:r>
          </w:p>
          <w:p>
            <w:pPr>
              <w:pStyle w:val="TableParagraph"/>
              <w:spacing w:line="240" w:lineRule="auto" w:before="34"/>
              <w:ind w:left="115" w:right="0"/>
              <w:jc w:val="center"/>
              <w:rPr>
                <w:rFonts w:ascii="宋体" w:hAnsi="宋体" w:cs="宋体" w:eastAsia="宋体" w:hint="default"/>
                <w:sz w:val="21"/>
                <w:szCs w:val="21"/>
              </w:rPr>
            </w:pPr>
            <w:r>
              <w:rPr>
                <w:rFonts w:ascii="宋体"/>
                <w:sz w:val="21"/>
              </w:rPr>
              <w:t>668.07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6" w:right="0"/>
              <w:jc w:val="center"/>
              <w:rPr>
                <w:rFonts w:ascii="宋体" w:hAnsi="宋体" w:cs="宋体" w:eastAsia="宋体" w:hint="default"/>
                <w:sz w:val="21"/>
                <w:szCs w:val="21"/>
              </w:rPr>
            </w:pPr>
            <w:r>
              <w:rPr>
                <w:rFonts w:ascii="宋体"/>
                <w:sz w:val="21"/>
              </w:rPr>
              <w:t>144,2</w:t>
            </w:r>
          </w:p>
          <w:p>
            <w:pPr>
              <w:pStyle w:val="TableParagraph"/>
              <w:spacing w:line="240" w:lineRule="auto" w:before="34"/>
              <w:ind w:left="96" w:right="0"/>
              <w:jc w:val="center"/>
              <w:rPr>
                <w:rFonts w:ascii="宋体" w:hAnsi="宋体" w:cs="宋体" w:eastAsia="宋体" w:hint="default"/>
                <w:sz w:val="21"/>
                <w:szCs w:val="21"/>
              </w:rPr>
            </w:pPr>
            <w:r>
              <w:rPr>
                <w:rFonts w:ascii="宋体"/>
                <w:sz w:val="21"/>
              </w:rPr>
              <w:t>34,42</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809,06</w:t>
            </w:r>
          </w:p>
          <w:p>
            <w:pPr>
              <w:pStyle w:val="TableParagraph"/>
              <w:spacing w:line="240" w:lineRule="auto" w:before="34"/>
              <w:ind w:right="17"/>
              <w:jc w:val="right"/>
              <w:rPr>
                <w:rFonts w:ascii="宋体" w:hAnsi="宋体" w:cs="宋体" w:eastAsia="宋体" w:hint="default"/>
                <w:sz w:val="21"/>
                <w:szCs w:val="21"/>
              </w:rPr>
            </w:pPr>
            <w:r>
              <w:rPr>
                <w:rFonts w:ascii="宋体"/>
                <w:sz w:val="21"/>
              </w:rPr>
              <w:t>4,737.</w:t>
            </w:r>
          </w:p>
          <w:p>
            <w:pPr>
              <w:pStyle w:val="TableParagraph"/>
              <w:spacing w:line="240" w:lineRule="auto" w:before="37"/>
              <w:ind w:right="19"/>
              <w:jc w:val="right"/>
              <w:rPr>
                <w:rFonts w:ascii="宋体" w:hAnsi="宋体" w:cs="宋体" w:eastAsia="宋体" w:hint="default"/>
                <w:sz w:val="21"/>
                <w:szCs w:val="21"/>
              </w:rPr>
            </w:pPr>
            <w:r>
              <w:rPr>
                <w:rFonts w:ascii="宋体"/>
                <w:sz w:val="21"/>
              </w:rPr>
              <w:t>20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4" w:right="143" w:firstLine="842"/>
              <w:jc w:val="left"/>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w w:val="100"/>
                <w:sz w:val="21"/>
                <w:szCs w:val="21"/>
              </w:rPr>
              <w:t> </w:t>
            </w:r>
            <w:r>
              <w:rPr>
                <w:rFonts w:ascii="宋体" w:hAnsi="宋体" w:cs="宋体" w:eastAsia="宋体" w:hint="default"/>
                <w:sz w:val="21"/>
                <w:szCs w:val="21"/>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1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 w:right="0"/>
              <w:jc w:val="left"/>
              <w:rPr>
                <w:rFonts w:ascii="宋体" w:hAnsi="宋体" w:cs="宋体" w:eastAsia="宋体" w:hint="default"/>
                <w:sz w:val="21"/>
                <w:szCs w:val="21"/>
              </w:rPr>
            </w:pPr>
            <w:r>
              <w:rPr>
                <w:rFonts w:ascii="宋体"/>
                <w:sz w:val="21"/>
              </w:rPr>
              <w:t>298,18</w:t>
            </w:r>
          </w:p>
          <w:p>
            <w:pPr>
              <w:pStyle w:val="TableParagraph"/>
              <w:spacing w:line="240" w:lineRule="auto" w:before="34"/>
              <w:ind w:left="31"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335,816</w:t>
            </w:r>
          </w:p>
          <w:p>
            <w:pPr>
              <w:pStyle w:val="TableParagraph"/>
              <w:spacing w:line="240" w:lineRule="auto" w:before="34"/>
              <w:ind w:left="31" w:right="0"/>
              <w:jc w:val="left"/>
              <w:rPr>
                <w:rFonts w:ascii="宋体" w:hAnsi="宋体" w:cs="宋体" w:eastAsia="宋体" w:hint="default"/>
                <w:sz w:val="21"/>
                <w:szCs w:val="21"/>
              </w:rPr>
            </w:pPr>
            <w:r>
              <w:rPr>
                <w:rFonts w:ascii="宋体"/>
                <w:sz w:val="21"/>
              </w:rPr>
              <w:t>,646.98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sz w:val="21"/>
              </w:rPr>
              <w:t>30,827,</w:t>
            </w:r>
          </w:p>
          <w:p>
            <w:pPr>
              <w:pStyle w:val="TableParagraph"/>
              <w:spacing w:line="240" w:lineRule="auto" w:before="34"/>
              <w:ind w:left="115" w:right="0"/>
              <w:jc w:val="center"/>
              <w:rPr>
                <w:rFonts w:ascii="宋体" w:hAnsi="宋体" w:cs="宋体" w:eastAsia="宋体" w:hint="default"/>
                <w:sz w:val="21"/>
                <w:szCs w:val="21"/>
              </w:rPr>
            </w:pPr>
            <w:r>
              <w:rPr>
                <w:rFonts w:ascii="宋体"/>
                <w:sz w:val="21"/>
              </w:rPr>
              <w:t>668.07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6" w:right="0"/>
              <w:jc w:val="center"/>
              <w:rPr>
                <w:rFonts w:ascii="宋体" w:hAnsi="宋体" w:cs="宋体" w:eastAsia="宋体" w:hint="default"/>
                <w:sz w:val="21"/>
                <w:szCs w:val="21"/>
              </w:rPr>
            </w:pPr>
            <w:r>
              <w:rPr>
                <w:rFonts w:ascii="宋体"/>
                <w:sz w:val="21"/>
              </w:rPr>
              <w:t>144,2</w:t>
            </w:r>
          </w:p>
          <w:p>
            <w:pPr>
              <w:pStyle w:val="TableParagraph"/>
              <w:spacing w:line="240" w:lineRule="auto" w:before="34"/>
              <w:ind w:left="96" w:right="0"/>
              <w:jc w:val="center"/>
              <w:rPr>
                <w:rFonts w:ascii="宋体" w:hAnsi="宋体" w:cs="宋体" w:eastAsia="宋体" w:hint="default"/>
                <w:sz w:val="21"/>
                <w:szCs w:val="21"/>
              </w:rPr>
            </w:pPr>
            <w:r>
              <w:rPr>
                <w:rFonts w:ascii="宋体"/>
                <w:sz w:val="21"/>
              </w:rPr>
              <w:t>34,42</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809,06</w:t>
            </w:r>
          </w:p>
          <w:p>
            <w:pPr>
              <w:pStyle w:val="TableParagraph"/>
              <w:spacing w:line="240" w:lineRule="auto" w:before="34"/>
              <w:ind w:right="17"/>
              <w:jc w:val="right"/>
              <w:rPr>
                <w:rFonts w:ascii="宋体" w:hAnsi="宋体" w:cs="宋体" w:eastAsia="宋体" w:hint="default"/>
                <w:sz w:val="21"/>
                <w:szCs w:val="21"/>
              </w:rPr>
            </w:pPr>
            <w:r>
              <w:rPr>
                <w:rFonts w:ascii="宋体"/>
                <w:sz w:val="21"/>
              </w:rPr>
              <w:t>4,737.</w:t>
            </w:r>
          </w:p>
          <w:p>
            <w:pPr>
              <w:pStyle w:val="TableParagraph"/>
              <w:spacing w:line="240" w:lineRule="auto" w:before="37"/>
              <w:ind w:right="19"/>
              <w:jc w:val="right"/>
              <w:rPr>
                <w:rFonts w:ascii="宋体" w:hAnsi="宋体" w:cs="宋体" w:eastAsia="宋体" w:hint="default"/>
                <w:sz w:val="21"/>
                <w:szCs w:val="21"/>
              </w:rPr>
            </w:pPr>
            <w:r>
              <w:rPr>
                <w:rFonts w:ascii="宋体"/>
                <w:sz w:val="21"/>
              </w:rPr>
              <w:t>20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3,494,4</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26.87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21,01</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3,331</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24,507</w:t>
            </w:r>
          </w:p>
          <w:p>
            <w:pPr>
              <w:pStyle w:val="TableParagraph"/>
              <w:spacing w:line="240" w:lineRule="auto" w:before="37"/>
              <w:ind w:right="17"/>
              <w:jc w:val="right"/>
              <w:rPr>
                <w:rFonts w:ascii="宋体" w:hAnsi="宋体" w:cs="宋体" w:eastAsia="宋体" w:hint="default"/>
                <w:sz w:val="21"/>
                <w:szCs w:val="21"/>
              </w:rPr>
            </w:pPr>
            <w:r>
              <w:rPr>
                <w:rFonts w:ascii="宋体"/>
                <w:sz w:val="21"/>
              </w:rPr>
              <w:t>,758.7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sz w:val="21"/>
                <w:szCs w:val="21"/>
              </w:rPr>
              <w:t>（一）综合收益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34,94</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4,268</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34,944</w:t>
            </w:r>
          </w:p>
          <w:p>
            <w:pPr>
              <w:pStyle w:val="TableParagraph"/>
              <w:spacing w:line="240" w:lineRule="auto" w:before="37"/>
              <w:ind w:right="17"/>
              <w:jc w:val="right"/>
              <w:rPr>
                <w:rFonts w:ascii="宋体" w:hAnsi="宋体" w:cs="宋体" w:eastAsia="宋体" w:hint="default"/>
                <w:sz w:val="21"/>
                <w:szCs w:val="21"/>
              </w:rPr>
            </w:pPr>
            <w:r>
              <w:rPr>
                <w:rFonts w:ascii="宋体"/>
                <w:sz w:val="21"/>
              </w:rPr>
              <w:t>,268.7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14"/>
                <w:sz w:val="21"/>
                <w:szCs w:val="21"/>
              </w:rPr>
              <w:t>（二）所有者投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6"/>
              <w:jc w:val="left"/>
              <w:rPr>
                <w:rFonts w:ascii="宋体" w:hAnsi="宋体" w:cs="宋体" w:eastAsia="宋体" w:hint="default"/>
                <w:sz w:val="21"/>
                <w:szCs w:val="21"/>
              </w:rPr>
            </w:pPr>
            <w:r>
              <w:rPr>
                <w:rFonts w:ascii="宋体" w:hAnsi="宋体" w:cs="宋体" w:eastAsia="宋体" w:hint="default"/>
                <w:sz w:val="21"/>
                <w:szCs w:val="21"/>
              </w:rPr>
              <w:t>1．股东投入的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6"/>
              <w:jc w:val="left"/>
              <w:rPr>
                <w:rFonts w:ascii="宋体" w:hAnsi="宋体" w:cs="宋体" w:eastAsia="宋体" w:hint="default"/>
                <w:sz w:val="21"/>
                <w:szCs w:val="21"/>
              </w:rPr>
            </w:pPr>
            <w:r>
              <w:rPr>
                <w:rFonts w:ascii="宋体" w:hAnsi="宋体" w:cs="宋体" w:eastAsia="宋体" w:hint="default"/>
                <w:sz w:val="21"/>
                <w:szCs w:val="21"/>
              </w:rPr>
              <w:t>2．其他权益工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6"/>
              <w:jc w:val="left"/>
              <w:rPr>
                <w:rFonts w:ascii="宋体" w:hAnsi="宋体" w:cs="宋体" w:eastAsia="宋体" w:hint="default"/>
                <w:sz w:val="21"/>
                <w:szCs w:val="21"/>
              </w:rPr>
            </w:pPr>
            <w:r>
              <w:rPr>
                <w:rFonts w:ascii="宋体" w:hAnsi="宋体" w:cs="宋体" w:eastAsia="宋体" w:hint="default"/>
                <w:sz w:val="21"/>
                <w:szCs w:val="21"/>
              </w:rPr>
              <w:t>3．股份支付计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14"/>
                <w:sz w:val="21"/>
                <w:szCs w:val="21"/>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sz w:val="21"/>
              </w:rPr>
              <w:t>3,494,4</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26.87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-13,9</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30,93</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6.87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-10,43</w:t>
            </w:r>
          </w:p>
          <w:p>
            <w:pPr>
              <w:pStyle w:val="TableParagraph"/>
              <w:spacing w:line="240" w:lineRule="auto" w:before="37"/>
              <w:ind w:right="17"/>
              <w:jc w:val="right"/>
              <w:rPr>
                <w:rFonts w:ascii="宋体" w:hAnsi="宋体" w:cs="宋体" w:eastAsia="宋体" w:hint="default"/>
                <w:sz w:val="21"/>
                <w:szCs w:val="21"/>
              </w:rPr>
            </w:pPr>
            <w:r>
              <w:rPr>
                <w:rFonts w:ascii="宋体"/>
                <w:sz w:val="21"/>
              </w:rPr>
              <w:t>6,510.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2" w:right="36"/>
              <w:jc w:val="left"/>
              <w:rPr>
                <w:rFonts w:ascii="宋体" w:hAnsi="宋体" w:cs="宋体" w:eastAsia="宋体" w:hint="default"/>
                <w:sz w:val="21"/>
                <w:szCs w:val="21"/>
              </w:rPr>
            </w:pPr>
            <w:r>
              <w:rPr>
                <w:rFonts w:ascii="宋体" w:hAnsi="宋体" w:cs="宋体" w:eastAsia="宋体" w:hint="default"/>
                <w:sz w:val="21"/>
                <w:szCs w:val="21"/>
              </w:rPr>
              <w:t>1．提取盈余公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sz w:val="21"/>
              </w:rPr>
              <w:t>3,494,4</w:t>
            </w:r>
          </w:p>
          <w:p>
            <w:pPr>
              <w:pStyle w:val="TableParagraph"/>
              <w:spacing w:line="240" w:lineRule="auto" w:before="34"/>
              <w:ind w:left="240" w:right="0"/>
              <w:jc w:val="left"/>
              <w:rPr>
                <w:rFonts w:ascii="宋体" w:hAnsi="宋体" w:cs="宋体" w:eastAsia="宋体" w:hint="default"/>
                <w:sz w:val="21"/>
                <w:szCs w:val="21"/>
              </w:rPr>
            </w:pPr>
            <w:r>
              <w:rPr>
                <w:rFonts w:ascii="宋体"/>
                <w:sz w:val="21"/>
              </w:rPr>
              <w:t>26.87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7" w:right="0"/>
              <w:jc w:val="left"/>
              <w:rPr>
                <w:rFonts w:ascii="宋体" w:hAnsi="宋体" w:cs="宋体" w:eastAsia="宋体" w:hint="default"/>
                <w:sz w:val="21"/>
                <w:szCs w:val="21"/>
              </w:rPr>
            </w:pPr>
            <w:r>
              <w:rPr>
                <w:rFonts w:ascii="宋体"/>
                <w:sz w:val="21"/>
              </w:rPr>
              <w:t>-3,49</w:t>
            </w:r>
          </w:p>
          <w:p>
            <w:pPr>
              <w:pStyle w:val="TableParagraph"/>
              <w:spacing w:line="240" w:lineRule="auto" w:before="34"/>
              <w:ind w:left="117" w:right="0"/>
              <w:jc w:val="left"/>
              <w:rPr>
                <w:rFonts w:ascii="宋体" w:hAnsi="宋体" w:cs="宋体" w:eastAsia="宋体" w:hint="default"/>
                <w:sz w:val="21"/>
                <w:szCs w:val="21"/>
              </w:rPr>
            </w:pPr>
            <w:r>
              <w:rPr>
                <w:rFonts w:ascii="宋体"/>
                <w:sz w:val="21"/>
              </w:rPr>
              <w:t>4,426</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.87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25"/>
                <w:w w:val="100"/>
                <w:sz w:val="21"/>
                <w:szCs w:val="21"/>
              </w:rPr>
              <w:t>2．对所有者（或</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-10,4</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36,51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-10,43</w:t>
            </w:r>
          </w:p>
          <w:p>
            <w:pPr>
              <w:pStyle w:val="TableParagraph"/>
              <w:spacing w:line="240" w:lineRule="auto" w:before="37"/>
              <w:ind w:right="17"/>
              <w:jc w:val="right"/>
              <w:rPr>
                <w:rFonts w:ascii="宋体" w:hAnsi="宋体" w:cs="宋体" w:eastAsia="宋体" w:hint="default"/>
                <w:sz w:val="21"/>
                <w:szCs w:val="21"/>
              </w:rPr>
            </w:pPr>
            <w:r>
              <w:rPr>
                <w:rFonts w:ascii="宋体"/>
                <w:sz w:val="21"/>
              </w:rPr>
              <w:t>6,510.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sz w:val="21"/>
                <w:szCs w:val="21"/>
              </w:rPr>
              <w:t>（四）所有者权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6"/>
              <w:jc w:val="left"/>
              <w:rPr>
                <w:rFonts w:ascii="宋体" w:hAnsi="宋体" w:cs="宋体" w:eastAsia="宋体" w:hint="default"/>
                <w:sz w:val="21"/>
                <w:szCs w:val="21"/>
              </w:rPr>
            </w:pPr>
            <w:r>
              <w:rPr>
                <w:rFonts w:ascii="宋体" w:hAnsi="宋体" w:cs="宋体" w:eastAsia="宋体" w:hint="default"/>
                <w:sz w:val="21"/>
                <w:szCs w:val="21"/>
              </w:rPr>
              <w:t>1．资本公积转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6"/>
              <w:jc w:val="left"/>
              <w:rPr>
                <w:rFonts w:ascii="宋体" w:hAnsi="宋体" w:cs="宋体" w:eastAsia="宋体" w:hint="default"/>
                <w:sz w:val="21"/>
                <w:szCs w:val="21"/>
              </w:rPr>
            </w:pPr>
            <w:r>
              <w:rPr>
                <w:rFonts w:ascii="宋体" w:hAnsi="宋体" w:cs="宋体" w:eastAsia="宋体" w:hint="default"/>
                <w:sz w:val="21"/>
                <w:szCs w:val="21"/>
              </w:rPr>
              <w:t>2．盈余公积转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36"/>
              <w:jc w:val="left"/>
              <w:rPr>
                <w:rFonts w:ascii="宋体" w:hAnsi="宋体" w:cs="宋体" w:eastAsia="宋体" w:hint="default"/>
                <w:sz w:val="21"/>
                <w:szCs w:val="21"/>
              </w:rPr>
            </w:pPr>
            <w:r>
              <w:rPr>
                <w:rFonts w:ascii="宋体" w:hAnsi="宋体" w:cs="宋体" w:eastAsia="宋体" w:hint="default"/>
                <w:sz w:val="21"/>
                <w:szCs w:val="21"/>
              </w:rPr>
              <w:t>3．盈余公积弥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pacing w:val="-14"/>
                <w:sz w:val="21"/>
                <w:szCs w:val="21"/>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9.098267pt;margin-top:431.618286pt;width:34.1pt;height:50.8pt;mso-position-horizontal-relative:page;mso-position-vertical-relative:page;z-index:-886984" coordorigin="2582,8632" coordsize="682,1016">
            <v:group style="position:absolute;left:2582;top:8632;width:682;height:1016" coordorigin="2582,8632" coordsize="682,1016">
              <v:shape style="position:absolute;left:2582;top:8632;width:682;height:1016" coordorigin="2582,8632" coordsize="682,1016" path="m2582,8632l3264,8632,3264,9648,2582,9648,2582,8632xe" filled="true" fillcolor="#ffffff" stroked="false">
                <v:path arrowok="t"/>
                <v:fill type="solid"/>
              </v:shape>
            </v:group>
            <v:group style="position:absolute;left:2606;top:8944;width:634;height:392" coordorigin="2606,8944" coordsize="634,392">
              <v:shape style="position:absolute;left:2606;top:8944;width:634;height:392" coordorigin="2606,8944" coordsize="634,392" path="m2606,8944l3240,8944,3240,9336,2606,9336,2606,894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298,18</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sz w:val="21"/>
              </w:rPr>
              <w:t>335,816</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,646.98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 w:right="0"/>
              <w:jc w:val="center"/>
              <w:rPr>
                <w:rFonts w:ascii="宋体" w:hAnsi="宋体" w:cs="宋体" w:eastAsia="宋体" w:hint="default"/>
                <w:sz w:val="21"/>
                <w:szCs w:val="21"/>
              </w:rPr>
            </w:pPr>
            <w:r>
              <w:rPr>
                <w:rFonts w:ascii="宋体"/>
                <w:sz w:val="21"/>
              </w:rPr>
              <w:t>34,322,</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094.94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165,2</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47,75</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3.98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833,57</w:t>
            </w:r>
          </w:p>
          <w:p>
            <w:pPr>
              <w:pStyle w:val="TableParagraph"/>
              <w:spacing w:line="240" w:lineRule="auto" w:before="37"/>
              <w:ind w:right="17"/>
              <w:jc w:val="right"/>
              <w:rPr>
                <w:rFonts w:ascii="宋体" w:hAnsi="宋体" w:cs="宋体" w:eastAsia="宋体" w:hint="default"/>
                <w:sz w:val="21"/>
                <w:szCs w:val="21"/>
              </w:rPr>
            </w:pPr>
            <w:r>
              <w:rPr>
                <w:rFonts w:ascii="宋体"/>
                <w:sz w:val="21"/>
              </w:rPr>
              <w:t>2,495.</w:t>
            </w:r>
          </w:p>
          <w:p>
            <w:pPr>
              <w:pStyle w:val="TableParagraph"/>
              <w:spacing w:line="240" w:lineRule="auto" w:before="37"/>
              <w:ind w:right="19"/>
              <w:jc w:val="right"/>
              <w:rPr>
                <w:rFonts w:ascii="宋体" w:hAnsi="宋体" w:cs="宋体" w:eastAsia="宋体" w:hint="default"/>
                <w:sz w:val="21"/>
                <w:szCs w:val="21"/>
              </w:rPr>
            </w:pPr>
            <w:r>
              <w:rPr>
                <w:rFonts w:ascii="宋体"/>
                <w:sz w:val="21"/>
              </w:rPr>
              <w:t>90</w:t>
            </w:r>
          </w:p>
        </w:tc>
      </w:tr>
    </w:tbl>
    <w:p>
      <w:pPr>
        <w:pStyle w:val="BodyText"/>
        <w:spacing w:line="240" w:lineRule="auto" w:before="28"/>
        <w:ind w:right="2880"/>
        <w:jc w:val="left"/>
      </w:pPr>
      <w:r>
        <w:rPr/>
        <w:t>上期金额</w:t>
      </w:r>
    </w:p>
    <w:p>
      <w:pPr>
        <w:pStyle w:val="BodyText"/>
        <w:spacing w:line="240" w:lineRule="auto" w:before="75"/>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8" w:right="17" w:hanging="264"/>
              <w:jc w:val="left"/>
              <w:rPr>
                <w:rFonts w:ascii="宋体" w:hAnsi="宋体" w:cs="宋体" w:eastAsia="宋体" w:hint="default"/>
                <w:sz w:val="21"/>
                <w:szCs w:val="21"/>
              </w:rPr>
            </w:pPr>
            <w:r>
              <w:rPr>
                <w:rFonts w:ascii="宋体" w:hAnsi="宋体" w:cs="宋体" w:eastAsia="宋体" w:hint="default"/>
                <w:spacing w:val="-26"/>
                <w:w w:val="100"/>
                <w:sz w:val="21"/>
                <w:szCs w:val="21"/>
              </w:rPr>
              <w:t>减：库存</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79" w:right="72"/>
              <w:jc w:val="left"/>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4"/>
              <w:ind w:left="122" w:right="12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4"/>
              <w:ind w:left="69" w:right="65"/>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71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23" w:right="113"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25" w:right="113"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4"/>
                <w:w w:val="100"/>
                <w:sz w:val="21"/>
                <w:szCs w:val="21"/>
              </w:rPr>
              <w:t>一、上年期末余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298,18</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335,816</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,646.98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sz w:val="21"/>
              </w:rPr>
              <w:t>26,434,</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607.56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121,2</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76,01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9.17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781,71</w:t>
            </w:r>
          </w:p>
          <w:p>
            <w:pPr>
              <w:pStyle w:val="TableParagraph"/>
              <w:spacing w:line="240" w:lineRule="auto" w:before="37"/>
              <w:ind w:right="17"/>
              <w:jc w:val="right"/>
              <w:rPr>
                <w:rFonts w:ascii="宋体" w:hAnsi="宋体" w:cs="宋体" w:eastAsia="宋体" w:hint="default"/>
                <w:sz w:val="21"/>
                <w:szCs w:val="21"/>
              </w:rPr>
            </w:pPr>
            <w:r>
              <w:rPr>
                <w:rFonts w:ascii="宋体"/>
                <w:sz w:val="21"/>
              </w:rPr>
              <w:t>3,273.</w:t>
            </w:r>
          </w:p>
          <w:p>
            <w:pPr>
              <w:pStyle w:val="TableParagraph"/>
              <w:spacing w:line="240" w:lineRule="auto" w:before="37"/>
              <w:ind w:right="19"/>
              <w:jc w:val="right"/>
              <w:rPr>
                <w:rFonts w:ascii="宋体" w:hAnsi="宋体" w:cs="宋体" w:eastAsia="宋体" w:hint="default"/>
                <w:sz w:val="21"/>
                <w:szCs w:val="21"/>
              </w:rPr>
            </w:pPr>
            <w:r>
              <w:rPr>
                <w:rFonts w:ascii="宋体"/>
                <w:sz w:val="21"/>
              </w:rPr>
              <w:t>71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7" w:firstLine="422"/>
              <w:jc w:val="left"/>
              <w:rPr>
                <w:rFonts w:ascii="宋体" w:hAnsi="宋体" w:cs="宋体" w:eastAsia="宋体" w:hint="default"/>
                <w:sz w:val="21"/>
                <w:szCs w:val="21"/>
              </w:rPr>
            </w:pPr>
            <w:r>
              <w:rPr>
                <w:rFonts w:ascii="宋体" w:hAnsi="宋体" w:cs="宋体" w:eastAsia="宋体" w:hint="default"/>
                <w:spacing w:val="-19"/>
                <w:w w:val="100"/>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43" w:firstLine="842"/>
              <w:jc w:val="left"/>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w w:val="100"/>
                <w:sz w:val="21"/>
                <w:szCs w:val="21"/>
              </w:rPr>
              <w:t> </w:t>
            </w:r>
            <w:r>
              <w:rPr>
                <w:rFonts w:ascii="宋体" w:hAnsi="宋体" w:cs="宋体" w:eastAsia="宋体" w:hint="default"/>
                <w:sz w:val="21"/>
                <w:szCs w:val="21"/>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6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4"/>
                <w:w w:val="100"/>
                <w:sz w:val="21"/>
                <w:szCs w:val="21"/>
              </w:rPr>
              <w:t>二、本年期初余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298,18</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335,816</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,646.98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sz w:val="21"/>
              </w:rPr>
              <w:t>26,434,</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607.56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121,2</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76,01</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9.17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781,71</w:t>
            </w:r>
          </w:p>
          <w:p>
            <w:pPr>
              <w:pStyle w:val="TableParagraph"/>
              <w:spacing w:line="240" w:lineRule="auto" w:before="37"/>
              <w:ind w:right="17"/>
              <w:jc w:val="right"/>
              <w:rPr>
                <w:rFonts w:ascii="宋体" w:hAnsi="宋体" w:cs="宋体" w:eastAsia="宋体" w:hint="default"/>
                <w:sz w:val="21"/>
                <w:szCs w:val="21"/>
              </w:rPr>
            </w:pPr>
            <w:r>
              <w:rPr>
                <w:rFonts w:ascii="宋体"/>
                <w:sz w:val="21"/>
              </w:rPr>
              <w:t>3,273.</w:t>
            </w:r>
          </w:p>
          <w:p>
            <w:pPr>
              <w:pStyle w:val="TableParagraph"/>
              <w:spacing w:line="240" w:lineRule="auto" w:before="37"/>
              <w:ind w:right="19"/>
              <w:jc w:val="right"/>
              <w:rPr>
                <w:rFonts w:ascii="宋体" w:hAnsi="宋体" w:cs="宋体" w:eastAsia="宋体" w:hint="default"/>
                <w:sz w:val="21"/>
                <w:szCs w:val="21"/>
              </w:rPr>
            </w:pPr>
            <w:r>
              <w:rPr>
                <w:rFonts w:ascii="宋体"/>
                <w:sz w:val="21"/>
              </w:rPr>
              <w:t>71</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7"/>
              <w:jc w:val="both"/>
              <w:rPr>
                <w:rFonts w:ascii="宋体" w:hAnsi="宋体" w:cs="宋体" w:eastAsia="宋体" w:hint="default"/>
                <w:sz w:val="21"/>
                <w:szCs w:val="21"/>
              </w:rPr>
            </w:pPr>
            <w:r>
              <w:rPr>
                <w:rFonts w:ascii="宋体" w:hAnsi="宋体" w:cs="宋体" w:eastAsia="宋体" w:hint="default"/>
                <w:spacing w:val="-14"/>
                <w:w w:val="100"/>
                <w:sz w:val="21"/>
                <w:szCs w:val="21"/>
              </w:rPr>
              <w:t>三、本期增减变</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动金额（减少以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4,393,0</w:t>
            </w:r>
          </w:p>
          <w:p>
            <w:pPr>
              <w:pStyle w:val="TableParagraph"/>
              <w:spacing w:line="240" w:lineRule="auto" w:before="34"/>
              <w:ind w:left="240" w:right="0"/>
              <w:jc w:val="left"/>
              <w:rPr>
                <w:rFonts w:ascii="宋体" w:hAnsi="宋体" w:cs="宋体" w:eastAsia="宋体" w:hint="default"/>
                <w:sz w:val="21"/>
                <w:szCs w:val="21"/>
              </w:rPr>
            </w:pPr>
            <w:r>
              <w:rPr>
                <w:rFonts w:ascii="宋体"/>
                <w:sz w:val="21"/>
              </w:rPr>
              <w:t>60.51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22,95</w:t>
            </w:r>
          </w:p>
          <w:p>
            <w:pPr>
              <w:pStyle w:val="TableParagraph"/>
              <w:spacing w:line="240" w:lineRule="auto" w:before="34"/>
              <w:ind w:left="117" w:right="0"/>
              <w:jc w:val="left"/>
              <w:rPr>
                <w:rFonts w:ascii="宋体" w:hAnsi="宋体" w:cs="宋体" w:eastAsia="宋体" w:hint="default"/>
                <w:sz w:val="21"/>
                <w:szCs w:val="21"/>
              </w:rPr>
            </w:pPr>
            <w:r>
              <w:rPr>
                <w:rFonts w:ascii="宋体"/>
                <w:sz w:val="21"/>
              </w:rPr>
              <w:t>8,402</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27,351</w:t>
            </w:r>
          </w:p>
          <w:p>
            <w:pPr>
              <w:pStyle w:val="TableParagraph"/>
              <w:spacing w:line="240" w:lineRule="auto" w:before="34"/>
              <w:ind w:right="17"/>
              <w:jc w:val="right"/>
              <w:rPr>
                <w:rFonts w:ascii="宋体" w:hAnsi="宋体" w:cs="宋体" w:eastAsia="宋体" w:hint="default"/>
                <w:sz w:val="21"/>
                <w:szCs w:val="21"/>
              </w:rPr>
            </w:pPr>
            <w:r>
              <w:rPr>
                <w:rFonts w:ascii="宋体"/>
                <w:sz w:val="21"/>
              </w:rPr>
              <w:t>,463.4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9</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7"/>
              <w:jc w:val="left"/>
              <w:rPr>
                <w:rFonts w:ascii="宋体" w:hAnsi="宋体" w:cs="宋体" w:eastAsia="宋体" w:hint="default"/>
                <w:sz w:val="21"/>
                <w:szCs w:val="21"/>
              </w:rPr>
            </w:pPr>
            <w:r>
              <w:rPr>
                <w:rFonts w:ascii="宋体" w:hAnsi="宋体" w:cs="宋体" w:eastAsia="宋体" w:hint="default"/>
                <w:spacing w:val="-14"/>
                <w:sz w:val="21"/>
                <w:szCs w:val="21"/>
              </w:rPr>
              <w:t>（一）综合收益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43,93</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0,605</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43,930</w:t>
            </w:r>
          </w:p>
          <w:p>
            <w:pPr>
              <w:pStyle w:val="TableParagraph"/>
              <w:spacing w:line="240" w:lineRule="auto" w:before="37"/>
              <w:ind w:right="17"/>
              <w:jc w:val="right"/>
              <w:rPr>
                <w:rFonts w:ascii="宋体" w:hAnsi="宋体" w:cs="宋体" w:eastAsia="宋体" w:hint="default"/>
                <w:sz w:val="21"/>
                <w:szCs w:val="21"/>
              </w:rPr>
            </w:pPr>
            <w:r>
              <w:rPr>
                <w:rFonts w:ascii="宋体"/>
                <w:sz w:val="21"/>
              </w:rPr>
              <w:t>,605.0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14"/>
                <w:sz w:val="21"/>
                <w:szCs w:val="21"/>
              </w:rPr>
              <w:t>（二）所有者投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1．股东投入的</w:t>
            </w:r>
            <w:r>
              <w:rPr>
                <w:rFonts w:ascii="宋体" w:hAnsi="宋体" w:cs="宋体" w:eastAsia="宋体" w:hint="default"/>
                <w:w w:val="100"/>
                <w:sz w:val="21"/>
                <w:szCs w:val="21"/>
              </w:rPr>
              <w:t> </w:t>
            </w:r>
            <w:r>
              <w:rPr>
                <w:rFonts w:ascii="宋体" w:hAnsi="宋体" w:cs="宋体" w:eastAsia="宋体" w:hint="default"/>
                <w:sz w:val="21"/>
                <w:szCs w:val="21"/>
              </w:rPr>
              <w:t>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2．其他权益工</w:t>
            </w:r>
            <w:r>
              <w:rPr>
                <w:rFonts w:ascii="宋体" w:hAnsi="宋体" w:cs="宋体" w:eastAsia="宋体" w:hint="default"/>
                <w:w w:val="100"/>
                <w:sz w:val="21"/>
                <w:szCs w:val="21"/>
              </w:rPr>
              <w:t> </w:t>
            </w: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z w:val="21"/>
                <w:szCs w:val="21"/>
              </w:rPr>
              <w:t>3．股份支付计</w:t>
            </w:r>
            <w:r>
              <w:rPr>
                <w:rFonts w:ascii="宋体" w:hAnsi="宋体" w:cs="宋体" w:eastAsia="宋体" w:hint="default"/>
                <w:w w:val="100"/>
                <w:sz w:val="21"/>
                <w:szCs w:val="21"/>
              </w:rPr>
              <w:t> </w:t>
            </w: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pacing w:val="-14"/>
                <w:sz w:val="21"/>
                <w:szCs w:val="21"/>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4,393,0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60.51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宋体" w:hAnsi="宋体" w:cs="宋体" w:eastAsia="宋体" w:hint="default"/>
                <w:sz w:val="21"/>
                <w:szCs w:val="21"/>
              </w:rPr>
            </w:pPr>
            <w:r>
              <w:rPr>
                <w:rFonts w:ascii="宋体"/>
                <w:sz w:val="21"/>
              </w:rPr>
              <w:t>-20,9</w:t>
            </w:r>
          </w:p>
          <w:p>
            <w:pPr>
              <w:pStyle w:val="TableParagraph"/>
              <w:spacing w:line="240" w:lineRule="auto" w:before="34"/>
              <w:ind w:left="117" w:right="0"/>
              <w:jc w:val="left"/>
              <w:rPr>
                <w:rFonts w:ascii="宋体" w:hAnsi="宋体" w:cs="宋体" w:eastAsia="宋体" w:hint="default"/>
                <w:sz w:val="21"/>
                <w:szCs w:val="21"/>
              </w:rPr>
            </w:pPr>
            <w:r>
              <w:rPr>
                <w:rFonts w:ascii="宋体"/>
                <w:sz w:val="21"/>
              </w:rPr>
              <w:t>72,20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宋体" w:hAnsi="宋体" w:cs="宋体" w:eastAsia="宋体" w:hint="default"/>
                <w:sz w:val="21"/>
                <w:szCs w:val="21"/>
              </w:rPr>
            </w:pPr>
            <w:r>
              <w:rPr>
                <w:rFonts w:ascii="宋体"/>
                <w:sz w:val="21"/>
              </w:rPr>
              <w:t>-16,57</w:t>
            </w:r>
          </w:p>
          <w:p>
            <w:pPr>
              <w:pStyle w:val="TableParagraph"/>
              <w:spacing w:line="240" w:lineRule="auto" w:before="34"/>
              <w:ind w:left="117" w:right="0"/>
              <w:jc w:val="left"/>
              <w:rPr>
                <w:rFonts w:ascii="宋体" w:hAnsi="宋体" w:cs="宋体" w:eastAsia="宋体" w:hint="default"/>
                <w:sz w:val="21"/>
                <w:szCs w:val="21"/>
              </w:rPr>
            </w:pPr>
            <w:r>
              <w:rPr>
                <w:rFonts w:ascii="宋体"/>
                <w:sz w:val="21"/>
              </w:rPr>
              <w:t>9,141.</w:t>
            </w:r>
          </w:p>
        </w:tc>
      </w:tr>
    </w:tbl>
    <w:p>
      <w:pPr>
        <w:spacing w:after="0" w:line="240" w:lineRule="auto"/>
        <w:jc w:val="left"/>
        <w:rPr>
          <w:rFonts w:ascii="宋体" w:hAnsi="宋体" w:cs="宋体" w:eastAsia="宋体" w:hint="default"/>
          <w:sz w:val="21"/>
          <w:szCs w:val="21"/>
        </w:rPr>
        <w:sectPr>
          <w:footerReference w:type="default" r:id="rId22"/>
          <w:pgSz w:w="11910" w:h="16840"/>
          <w:pgMar w:footer="979" w:header="747" w:top="1060" w:bottom="1160" w:left="980" w:right="980"/>
          <w:pgNumType w:start="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sz w:val="21"/>
              </w:rPr>
              <w:t>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60</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36"/>
              <w:jc w:val="left"/>
              <w:rPr>
                <w:rFonts w:ascii="宋体" w:hAnsi="宋体" w:cs="宋体" w:eastAsia="宋体" w:hint="default"/>
                <w:sz w:val="21"/>
                <w:szCs w:val="21"/>
              </w:rPr>
            </w:pPr>
            <w:r>
              <w:rPr>
                <w:rFonts w:ascii="宋体" w:hAnsi="宋体" w:cs="宋体" w:eastAsia="宋体" w:hint="default"/>
                <w:sz w:val="21"/>
                <w:szCs w:val="21"/>
              </w:rPr>
              <w:t>1．提取盈余公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4,393,0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60.51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-4,39</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3,060</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.51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25"/>
                <w:w w:val="100"/>
                <w:sz w:val="21"/>
                <w:szCs w:val="21"/>
              </w:rPr>
              <w:t>2．对所有者（或</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-16,5</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79,14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1.60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-16,57</w:t>
            </w:r>
          </w:p>
          <w:p>
            <w:pPr>
              <w:pStyle w:val="TableParagraph"/>
              <w:spacing w:line="240" w:lineRule="auto" w:before="37"/>
              <w:ind w:right="17"/>
              <w:jc w:val="right"/>
              <w:rPr>
                <w:rFonts w:ascii="宋体" w:hAnsi="宋体" w:cs="宋体" w:eastAsia="宋体" w:hint="default"/>
                <w:sz w:val="21"/>
                <w:szCs w:val="21"/>
              </w:rPr>
            </w:pPr>
            <w:r>
              <w:rPr>
                <w:rFonts w:ascii="宋体"/>
                <w:sz w:val="21"/>
              </w:rPr>
              <w:t>9,141.</w:t>
            </w:r>
          </w:p>
          <w:p>
            <w:pPr>
              <w:pStyle w:val="TableParagraph"/>
              <w:spacing w:line="240" w:lineRule="auto" w:before="37"/>
              <w:ind w:right="19"/>
              <w:jc w:val="right"/>
              <w:rPr>
                <w:rFonts w:ascii="宋体" w:hAnsi="宋体" w:cs="宋体" w:eastAsia="宋体" w:hint="default"/>
                <w:sz w:val="21"/>
                <w:szCs w:val="21"/>
              </w:rPr>
            </w:pPr>
            <w:r>
              <w:rPr>
                <w:rFonts w:ascii="宋体"/>
                <w:sz w:val="21"/>
              </w:rPr>
              <w:t>60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14"/>
                <w:sz w:val="21"/>
                <w:szCs w:val="21"/>
              </w:rPr>
              <w:t>（四）所有者权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6"/>
              <w:jc w:val="left"/>
              <w:rPr>
                <w:rFonts w:ascii="宋体" w:hAnsi="宋体" w:cs="宋体" w:eastAsia="宋体" w:hint="default"/>
                <w:sz w:val="21"/>
                <w:szCs w:val="21"/>
              </w:rPr>
            </w:pPr>
            <w:r>
              <w:rPr>
                <w:rFonts w:ascii="宋体" w:hAnsi="宋体" w:cs="宋体" w:eastAsia="宋体" w:hint="default"/>
                <w:sz w:val="21"/>
                <w:szCs w:val="21"/>
              </w:rPr>
              <w:t>1．资本公积转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6"/>
              <w:jc w:val="left"/>
              <w:rPr>
                <w:rFonts w:ascii="宋体" w:hAnsi="宋体" w:cs="宋体" w:eastAsia="宋体" w:hint="default"/>
                <w:sz w:val="21"/>
                <w:szCs w:val="21"/>
              </w:rPr>
            </w:pPr>
            <w:r>
              <w:rPr>
                <w:rFonts w:ascii="宋体" w:hAnsi="宋体" w:cs="宋体" w:eastAsia="宋体" w:hint="default"/>
                <w:sz w:val="21"/>
                <w:szCs w:val="21"/>
              </w:rPr>
              <w:t>2．盈余公积转</w:t>
            </w:r>
            <w:r>
              <w:rPr>
                <w:rFonts w:ascii="宋体" w:hAnsi="宋体" w:cs="宋体" w:eastAsia="宋体" w:hint="default"/>
                <w:w w:val="100"/>
                <w:sz w:val="21"/>
                <w:szCs w:val="21"/>
              </w:rPr>
              <w:t> </w:t>
            </w: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36"/>
              <w:jc w:val="left"/>
              <w:rPr>
                <w:rFonts w:ascii="宋体" w:hAnsi="宋体" w:cs="宋体" w:eastAsia="宋体" w:hint="default"/>
                <w:sz w:val="21"/>
                <w:szCs w:val="21"/>
              </w:rPr>
            </w:pPr>
            <w:r>
              <w:rPr>
                <w:rFonts w:ascii="宋体" w:hAnsi="宋体" w:cs="宋体" w:eastAsia="宋体" w:hint="default"/>
                <w:sz w:val="21"/>
                <w:szCs w:val="21"/>
              </w:rPr>
              <w:t>3．盈余公积弥</w:t>
            </w:r>
            <w:r>
              <w:rPr>
                <w:rFonts w:ascii="宋体" w:hAnsi="宋体" w:cs="宋体" w:eastAsia="宋体" w:hint="default"/>
                <w:w w:val="100"/>
                <w:sz w:val="21"/>
                <w:szCs w:val="21"/>
              </w:rPr>
              <w:t> </w:t>
            </w: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14"/>
                <w:sz w:val="21"/>
                <w:szCs w:val="21"/>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298,18</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451" w:right="0"/>
              <w:jc w:val="left"/>
              <w:rPr>
                <w:rFonts w:ascii="宋体" w:hAnsi="宋体" w:cs="宋体" w:eastAsia="宋体" w:hint="default"/>
                <w:sz w:val="21"/>
                <w:szCs w:val="21"/>
              </w:rPr>
            </w:pPr>
            <w:r>
              <w:rPr>
                <w:rFonts w:ascii="宋体"/>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335,816</w:t>
            </w:r>
          </w:p>
          <w:p>
            <w:pPr>
              <w:pStyle w:val="TableParagraph"/>
              <w:spacing w:line="240" w:lineRule="auto" w:before="37"/>
              <w:ind w:left="31" w:right="0"/>
              <w:jc w:val="left"/>
              <w:rPr>
                <w:rFonts w:ascii="宋体" w:hAnsi="宋体" w:cs="宋体" w:eastAsia="宋体" w:hint="default"/>
                <w:sz w:val="21"/>
                <w:szCs w:val="21"/>
              </w:rPr>
            </w:pPr>
            <w:r>
              <w:rPr>
                <w:rFonts w:ascii="宋体"/>
                <w:sz w:val="21"/>
              </w:rPr>
              <w:t>,646.98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sz w:val="21"/>
              </w:rPr>
              <w:t>30,827,</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668.07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sz w:val="21"/>
              </w:rPr>
              <w:t>144,2</w:t>
            </w:r>
          </w:p>
          <w:p>
            <w:pPr>
              <w:pStyle w:val="TableParagraph"/>
              <w:spacing w:line="240" w:lineRule="auto" w:before="37"/>
              <w:ind w:left="96" w:right="0"/>
              <w:jc w:val="center"/>
              <w:rPr>
                <w:rFonts w:ascii="宋体" w:hAnsi="宋体" w:cs="宋体" w:eastAsia="宋体" w:hint="default"/>
                <w:sz w:val="21"/>
                <w:szCs w:val="21"/>
              </w:rPr>
            </w:pPr>
            <w:r>
              <w:rPr>
                <w:rFonts w:ascii="宋体"/>
                <w:sz w:val="21"/>
              </w:rPr>
              <w:t>34,42</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809,06</w:t>
            </w:r>
          </w:p>
          <w:p>
            <w:pPr>
              <w:pStyle w:val="TableParagraph"/>
              <w:spacing w:line="240" w:lineRule="auto" w:before="37"/>
              <w:ind w:right="17"/>
              <w:jc w:val="right"/>
              <w:rPr>
                <w:rFonts w:ascii="宋体" w:hAnsi="宋体" w:cs="宋体" w:eastAsia="宋体" w:hint="default"/>
                <w:sz w:val="21"/>
                <w:szCs w:val="21"/>
              </w:rPr>
            </w:pPr>
            <w:r>
              <w:rPr>
                <w:rFonts w:ascii="宋体"/>
                <w:sz w:val="21"/>
              </w:rPr>
              <w:t>4,737.</w:t>
            </w:r>
          </w:p>
          <w:p>
            <w:pPr>
              <w:pStyle w:val="TableParagraph"/>
              <w:spacing w:line="240" w:lineRule="auto" w:before="37"/>
              <w:ind w:right="19"/>
              <w:jc w:val="right"/>
              <w:rPr>
                <w:rFonts w:ascii="宋体" w:hAnsi="宋体" w:cs="宋体" w:eastAsia="宋体" w:hint="default"/>
                <w:sz w:val="21"/>
                <w:szCs w:val="21"/>
              </w:rPr>
            </w:pPr>
            <w:r>
              <w:rPr>
                <w:rFonts w:ascii="宋体"/>
                <w:sz w:val="21"/>
              </w:rPr>
              <w:t>20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三、公司基本情况</w:t>
      </w:r>
    </w:p>
    <w:p>
      <w:pPr>
        <w:spacing w:line="240" w:lineRule="auto" w:before="12"/>
        <w:rPr>
          <w:rFonts w:ascii="宋体" w:hAnsi="宋体" w:cs="宋体" w:eastAsia="宋体" w:hint="default"/>
          <w:sz w:val="25"/>
          <w:szCs w:val="25"/>
        </w:rPr>
      </w:pPr>
    </w:p>
    <w:p>
      <w:pPr>
        <w:pStyle w:val="BodyText"/>
        <w:spacing w:line="273" w:lineRule="auto"/>
        <w:ind w:right="145" w:firstLine="420"/>
        <w:jc w:val="both"/>
      </w:pPr>
      <w:r>
        <w:rPr>
          <w:spacing w:val="-2"/>
        </w:rPr>
        <w:t>鸿博股份有限公司（以下简称“本公司”或“公司”）系由福建鸿博印刷有限公司整体变更设立的股</w:t>
      </w:r>
      <w:r>
        <w:rPr>
          <w:w w:val="100"/>
        </w:rPr>
        <w:t> </w:t>
      </w:r>
      <w:r>
        <w:rPr>
          <w:spacing w:val="-2"/>
        </w:rPr>
        <w:t>份有限公司，于2014年4月17日取得福建省工商行政管理局换发的注册号为350000100013868的《企业法人</w:t>
      </w:r>
      <w:r>
        <w:rPr>
          <w:spacing w:val="-25"/>
        </w:rPr>
        <w:t> </w:t>
      </w:r>
      <w:r>
        <w:rPr>
          <w:spacing w:val="-25"/>
        </w:rPr>
      </w:r>
      <w:r>
        <w:rPr>
          <w:spacing w:val="-2"/>
        </w:rPr>
        <w:t>营业执照》。公司由有限公司变更为股份有限公司时总股本为6,000万股，每股面值为人民币1元，注册资</w:t>
      </w:r>
      <w:r>
        <w:rPr>
          <w:spacing w:val="-41"/>
        </w:rPr>
        <w:t> </w:t>
      </w:r>
      <w:r>
        <w:rPr>
          <w:spacing w:val="-41"/>
        </w:rPr>
      </w:r>
      <w:r>
        <w:rPr/>
        <w:t>本为人民币6,000万元。</w:t>
      </w:r>
    </w:p>
    <w:p>
      <w:pPr>
        <w:pStyle w:val="BodyText"/>
        <w:spacing w:line="240" w:lineRule="auto" w:before="7"/>
        <w:ind w:left="574" w:right="0"/>
        <w:jc w:val="left"/>
      </w:pPr>
      <w:r>
        <w:rPr/>
        <w:t>根据公司2007年第二次临时股东大会决议，并经中国证券监督管理委员会以证监许可字[2008]522号</w:t>
      </w:r>
    </w:p>
    <w:p>
      <w:pPr>
        <w:pStyle w:val="BodyText"/>
        <w:spacing w:line="273" w:lineRule="auto" w:before="37"/>
        <w:ind w:right="0"/>
        <w:jc w:val="left"/>
      </w:pPr>
      <w:r>
        <w:rPr>
          <w:spacing w:val="-2"/>
        </w:rPr>
        <w:t>《关于核准福建鸿博印刷股份有限公司首次公开发行股票的批复》文核准，2008年本公司采用网下向询价</w:t>
      </w:r>
      <w:r>
        <w:rPr>
          <w:spacing w:val="-42"/>
        </w:rPr>
        <w:t> </w:t>
      </w:r>
      <w:r>
        <w:rPr>
          <w:spacing w:val="-42"/>
        </w:rPr>
      </w:r>
      <w:r>
        <w:rPr>
          <w:spacing w:val="-2"/>
        </w:rPr>
        <w:t>对象配售与网上资金申购定价发行相结合的方式公开发行人民币普通股股票（A股）2,000万股，其中，网</w:t>
      </w:r>
      <w:r>
        <w:rPr>
          <w:spacing w:val="-38"/>
        </w:rPr>
        <w:t> </w:t>
      </w:r>
      <w:r>
        <w:rPr>
          <w:spacing w:val="-38"/>
        </w:rPr>
      </w:r>
      <w:r>
        <w:rPr/>
        <w:t>下配售400万股，网上定价发行1,600万股，发行价格为13.88元/股。本次发行后公司总股本变更为8,000</w:t>
      </w:r>
      <w:r>
        <w:rPr>
          <w:w w:val="100"/>
        </w:rPr>
        <w:t> </w:t>
      </w:r>
      <w:r>
        <w:rPr/>
        <w:t>万股，每股面值1元，公司注册资本变更为人民币8,000万元。</w:t>
      </w:r>
    </w:p>
    <w:p>
      <w:pPr>
        <w:pStyle w:val="BodyText"/>
        <w:spacing w:line="273" w:lineRule="auto" w:before="7"/>
        <w:ind w:right="145" w:firstLine="420"/>
        <w:jc w:val="both"/>
      </w:pPr>
      <w:r>
        <w:rPr>
          <w:spacing w:val="-2"/>
        </w:rPr>
        <w:t>根据2009年第一次临时股东大会决议，公司以总股本8,000.00万股为基数，以资本公积转增股本，每</w:t>
      </w:r>
      <w:r>
        <w:rPr>
          <w:w w:val="100"/>
        </w:rPr>
        <w:t> </w:t>
      </w:r>
      <w:r>
        <w:rPr>
          <w:spacing w:val="-4"/>
        </w:rPr>
        <w:t>10股转增7股，每股面值为人民币1.00元，增加注册资本人民币5,600.00万元，变更后本公司注册资本（股</w:t>
      </w:r>
    </w:p>
    <w:p>
      <w:pPr>
        <w:spacing w:after="0" w:line="273"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left="574" w:right="99" w:hanging="420"/>
        <w:jc w:val="left"/>
      </w:pPr>
      <w:r>
        <w:rPr/>
        <w:t>本）为人民币13,600.00万元。</w:t>
      </w:r>
      <w:r>
        <w:rPr>
          <w:w w:val="100"/>
        </w:rPr>
        <w:t> </w:t>
      </w:r>
      <w:r>
        <w:rPr>
          <w:spacing w:val="-2"/>
        </w:rPr>
        <w:t>根据2010年第二次临时股东大会决议，并经中国证券监督管理委员会以证监许可[2011]671号文批复，</w:t>
      </w:r>
    </w:p>
    <w:p>
      <w:pPr>
        <w:pStyle w:val="BodyText"/>
        <w:spacing w:line="273" w:lineRule="auto" w:before="7"/>
        <w:ind w:right="99"/>
        <w:jc w:val="left"/>
      </w:pPr>
      <w:r>
        <w:rPr>
          <w:spacing w:val="-2"/>
        </w:rPr>
        <w:t>2011年本公司采用网下配售方式向询价对象非公开发行人民币普通股（A股）2,094万股，每股面值1元，</w:t>
      </w:r>
      <w:r>
        <w:rPr>
          <w:spacing w:val="-14"/>
        </w:rPr>
        <w:t> </w:t>
      </w:r>
      <w:r>
        <w:rPr>
          <w:spacing w:val="-14"/>
        </w:rPr>
      </w:r>
      <w:r>
        <w:rPr/>
        <w:t>发行后公司注册资本变更为人民币15,694.00万元。</w:t>
      </w:r>
    </w:p>
    <w:p>
      <w:pPr>
        <w:pStyle w:val="BodyText"/>
        <w:spacing w:line="273" w:lineRule="auto" w:before="7"/>
        <w:ind w:right="99" w:firstLine="420"/>
        <w:jc w:val="left"/>
      </w:pPr>
      <w:r>
        <w:rPr>
          <w:spacing w:val="-2"/>
        </w:rPr>
        <w:t>根据2011年度股东大会决议，公司以总股本15,694.00万股为基数，以资本公积转增股本，每10股转</w:t>
      </w:r>
      <w:r>
        <w:rPr>
          <w:w w:val="100"/>
        </w:rPr>
        <w:t> </w:t>
      </w:r>
      <w:r>
        <w:rPr/>
        <w:t>增9股，每股面值为人民币1.00元，增加注册资本人民币14,124.60万元，变更后注册资本增至人民币</w:t>
      </w:r>
      <w:r>
        <w:rPr>
          <w:w w:val="100"/>
        </w:rPr>
        <w:t> </w:t>
      </w:r>
      <w:r>
        <w:rPr/>
        <w:t>29,818.60万元。</w:t>
      </w:r>
    </w:p>
    <w:p>
      <w:pPr>
        <w:pStyle w:val="BodyText"/>
        <w:spacing w:line="273" w:lineRule="auto" w:before="7"/>
        <w:ind w:left="574" w:right="99"/>
        <w:jc w:val="left"/>
      </w:pPr>
      <w:r>
        <w:rPr/>
        <w:t>公司法定代表人为：尤丽娟。本公司目前住所为：福州市金山开发区金达路136号。</w:t>
      </w:r>
      <w:r>
        <w:rPr>
          <w:w w:val="100"/>
        </w:rPr>
        <w:t> </w:t>
      </w:r>
      <w:r>
        <w:rPr>
          <w:spacing w:val="-2"/>
        </w:rPr>
        <w:t>本公司属于印刷企业，2002年经福建省民政厅认定为福利企业。本公司的经营范围为：出版物(含内</w:t>
      </w:r>
    </w:p>
    <w:p>
      <w:pPr>
        <w:pStyle w:val="BodyText"/>
        <w:spacing w:line="273" w:lineRule="auto" w:before="7"/>
        <w:ind w:right="99"/>
        <w:jc w:val="left"/>
      </w:pPr>
      <w:r>
        <w:rPr/>
        <w:t>部书刊印刷)、包装装潢印刷品、其他印刷品印刷（含票证、票据印刷）；磁卡、智能卡的研制与加工；</w:t>
      </w:r>
      <w:r>
        <w:rPr>
          <w:w w:val="100"/>
        </w:rPr>
        <w:t> </w:t>
      </w:r>
      <w:r>
        <w:rPr>
          <w:spacing w:val="-2"/>
        </w:rPr>
        <w:t>热敏纸、UV油墨、印刷设备的销售；皮革证件、铜铝牌匾和不干胶的印刷；对外贸易；对金融业、文化、</w:t>
      </w:r>
      <w:r>
        <w:rPr>
          <w:spacing w:val="-21"/>
        </w:rPr>
        <w:t> </w:t>
      </w:r>
      <w:r>
        <w:rPr>
          <w:spacing w:val="-21"/>
        </w:rPr>
      </w:r>
      <w:r>
        <w:rPr/>
        <w:t>体育和娱乐业的投资；网络技术开发与服务；文化创意设计与服务；物联网技术开发与服务。</w:t>
      </w:r>
    </w:p>
    <w:p>
      <w:pPr>
        <w:pStyle w:val="BodyText"/>
        <w:spacing w:line="273" w:lineRule="auto" w:before="7"/>
        <w:ind w:right="99" w:firstLine="420"/>
        <w:jc w:val="left"/>
      </w:pPr>
      <w:r>
        <w:rPr>
          <w:spacing w:val="-2"/>
        </w:rPr>
        <w:t>本公司设立了相应的组织机构：除股东大会、董事会、监事会外，还设置了审计监察部、人力资源中</w:t>
      </w:r>
      <w:r>
        <w:rPr>
          <w:w w:val="100"/>
        </w:rPr>
        <w:t> </w:t>
      </w:r>
      <w:r>
        <w:rPr/>
        <w:t>心、总裁办、财务中心、生产中心、技术中心、票证事业部及智能卡事业部等职能部门。</w:t>
      </w:r>
    </w:p>
    <w:p>
      <w:pPr>
        <w:pStyle w:val="BodyText"/>
        <w:spacing w:line="273" w:lineRule="auto" w:before="7"/>
        <w:ind w:right="99" w:firstLine="420"/>
        <w:jc w:val="left"/>
      </w:pPr>
      <w:r>
        <w:rPr>
          <w:spacing w:val="-2"/>
        </w:rPr>
        <w:t>本公司之孙公司海宁青禾阳光影视文化有限公司于2014年12月18日依据股东会决议解散。截止2014年</w:t>
      </w:r>
      <w:r>
        <w:rPr>
          <w:w w:val="100"/>
        </w:rPr>
        <w:t> </w:t>
      </w:r>
      <w:r>
        <w:rPr/>
        <w:t>12月31日，本公司拥有十家子公司，两家孙公司。</w:t>
      </w:r>
    </w:p>
    <w:p>
      <w:pPr>
        <w:spacing w:line="240" w:lineRule="auto" w:before="7"/>
        <w:rPr>
          <w:rFonts w:ascii="宋体" w:hAnsi="宋体" w:cs="宋体" w:eastAsia="宋体" w:hint="default"/>
          <w:sz w:val="23"/>
          <w:szCs w:val="23"/>
        </w:rPr>
      </w:pPr>
    </w:p>
    <w:p>
      <w:pPr>
        <w:pStyle w:val="BodyText"/>
        <w:spacing w:line="537" w:lineRule="auto"/>
        <w:ind w:right="7521"/>
        <w:jc w:val="left"/>
      </w:pPr>
      <w:r>
        <w:rPr/>
        <w:t>四、财务报表的编制基础</w:t>
      </w:r>
      <w:r>
        <w:rPr>
          <w:spacing w:val="-95"/>
        </w:rPr>
        <w:t> </w:t>
      </w:r>
      <w:r>
        <w:rPr>
          <w:spacing w:val="-95"/>
        </w:rPr>
      </w:r>
      <w:r>
        <w:rPr/>
        <w:t>1、编制基础</w:t>
      </w:r>
    </w:p>
    <w:p>
      <w:pPr>
        <w:pStyle w:val="BodyText"/>
        <w:spacing w:line="273" w:lineRule="auto" w:before="76"/>
        <w:ind w:right="205" w:firstLine="420"/>
        <w:jc w:val="both"/>
      </w:pPr>
      <w:r>
        <w:rPr>
          <w:spacing w:val="-2"/>
        </w:rPr>
        <w:t>本财务报表按照财政部颁布的企业会计准则及其应用指南、解释及其他有关规定（统称“企业会计准</w:t>
      </w:r>
      <w:r>
        <w:rPr>
          <w:w w:val="100"/>
        </w:rPr>
        <w:t> </w:t>
      </w:r>
      <w:r>
        <w:rPr>
          <w:spacing w:val="-2"/>
        </w:rPr>
        <w:t>则”）编制。此外，本公司还按照中国证监会《公开发行证券的公司信息披露编报规则第15号—财务报告</w:t>
      </w:r>
      <w:r>
        <w:rPr>
          <w:spacing w:val="-42"/>
        </w:rPr>
        <w:t> </w:t>
      </w:r>
      <w:r>
        <w:rPr>
          <w:spacing w:val="-42"/>
        </w:rPr>
      </w:r>
      <w:r>
        <w:rPr/>
        <w:t>的一般规定》（2014年修订）披露有关财务信息。</w:t>
      </w:r>
    </w:p>
    <w:p>
      <w:pPr>
        <w:spacing w:line="240" w:lineRule="auto" w:before="7"/>
        <w:rPr>
          <w:rFonts w:ascii="宋体" w:hAnsi="宋体" w:cs="宋体" w:eastAsia="宋体" w:hint="default"/>
          <w:sz w:val="23"/>
          <w:szCs w:val="23"/>
        </w:rPr>
      </w:pPr>
    </w:p>
    <w:p>
      <w:pPr>
        <w:pStyle w:val="BodyText"/>
        <w:spacing w:line="537" w:lineRule="auto"/>
        <w:ind w:right="5986"/>
        <w:jc w:val="left"/>
      </w:pPr>
      <w:r>
        <w:rPr/>
        <w:t>2、持续经营</w:t>
      </w:r>
      <w:r>
        <w:rPr>
          <w:spacing w:val="-99"/>
        </w:rPr>
        <w:t> </w:t>
      </w:r>
      <w:r>
        <w:rPr>
          <w:spacing w:val="-2"/>
        </w:rPr>
        <w:t>本财务报表以持续经营为基础列报。</w:t>
      </w:r>
    </w:p>
    <w:p>
      <w:pPr>
        <w:spacing w:line="240" w:lineRule="auto" w:before="9"/>
        <w:rPr>
          <w:rFonts w:ascii="宋体" w:hAnsi="宋体" w:cs="宋体" w:eastAsia="宋体" w:hint="default"/>
          <w:sz w:val="29"/>
          <w:szCs w:val="29"/>
        </w:rPr>
      </w:pPr>
    </w:p>
    <w:p>
      <w:pPr>
        <w:pStyle w:val="BodyText"/>
        <w:spacing w:line="535" w:lineRule="auto"/>
        <w:ind w:right="4875"/>
        <w:jc w:val="left"/>
      </w:pPr>
      <w:r>
        <w:rPr/>
        <w:t>五、重要会计政策及会计估计</w:t>
      </w:r>
      <w:r>
        <w:rPr>
          <w:spacing w:val="-96"/>
        </w:rPr>
        <w:t> </w:t>
      </w:r>
      <w:r>
        <w:rPr>
          <w:spacing w:val="-96"/>
        </w:rPr>
      </w:r>
      <w:r>
        <w:rPr>
          <w:spacing w:val="-2"/>
        </w:rPr>
        <w:t>具体会计政策和会计估计提示：</w:t>
      </w:r>
      <w:r>
        <w:rPr>
          <w:spacing w:val="-77"/>
        </w:rPr>
        <w:t> </w:t>
      </w:r>
      <w:r>
        <w:rPr>
          <w:spacing w:val="-77"/>
        </w:rPr>
      </w:r>
      <w:r>
        <w:rPr/>
        <w:t>1、遵循企业会计准则的声明</w:t>
      </w:r>
    </w:p>
    <w:p>
      <w:pPr>
        <w:pStyle w:val="BodyText"/>
        <w:spacing w:line="273" w:lineRule="auto" w:before="81"/>
        <w:ind w:right="99" w:firstLine="420"/>
        <w:jc w:val="left"/>
      </w:pPr>
      <w:r>
        <w:rPr>
          <w:spacing w:val="-2"/>
        </w:rPr>
        <w:t>本财务报表符合企业会计准则的要求，真实、完整地反映了本公司2014年12月31日的合并及公司财务</w:t>
      </w:r>
      <w:r>
        <w:rPr>
          <w:w w:val="100"/>
        </w:rPr>
        <w:t> </w:t>
      </w:r>
      <w:r>
        <w:rPr/>
        <w:t>状况以及2014年度合并及公司经营成果和合并及公司现金流量等有关信息。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535" w:lineRule="auto"/>
        <w:ind w:right="2993"/>
        <w:jc w:val="left"/>
      </w:pPr>
      <w:r>
        <w:rPr/>
        <w:t>2、会计期间</w:t>
      </w:r>
      <w:r>
        <w:rPr>
          <w:spacing w:val="-99"/>
        </w:rPr>
        <w:t> </w:t>
      </w:r>
      <w:r>
        <w:rPr>
          <w:spacing w:val="-2"/>
        </w:rPr>
        <w:t>本公司会计期间采用公历年度，即每年自1月1日起至12月31日止。</w:t>
      </w:r>
    </w:p>
    <w:p>
      <w:pPr>
        <w:spacing w:after="0" w:line="535"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535" w:lineRule="auto" w:before="36"/>
        <w:ind w:right="5986"/>
        <w:jc w:val="left"/>
      </w:pPr>
      <w:r>
        <w:rPr/>
        <w:t>3、营业周期</w:t>
      </w:r>
      <w:r>
        <w:rPr>
          <w:spacing w:val="-99"/>
        </w:rPr>
        <w:t> </w:t>
      </w:r>
      <w:r>
        <w:rPr/>
        <w:t>本公司的营业周期为12个月。</w:t>
      </w:r>
      <w:r>
        <w:rPr>
          <w:w w:val="100"/>
        </w:rPr>
        <w:t> </w:t>
      </w:r>
      <w:r>
        <w:rPr/>
        <w:t>4、记账本位币</w:t>
      </w:r>
      <w:r>
        <w:rPr>
          <w:spacing w:val="-98"/>
        </w:rPr>
        <w:t> </w:t>
      </w:r>
      <w:r>
        <w:rPr>
          <w:spacing w:val="-2"/>
        </w:rPr>
        <w:t>本公司以人民币为记账本位币。</w:t>
      </w:r>
    </w:p>
    <w:p>
      <w:pPr>
        <w:pStyle w:val="BodyText"/>
        <w:spacing w:line="240" w:lineRule="auto" w:before="79"/>
        <w:ind w:right="99"/>
        <w:jc w:val="left"/>
      </w:pPr>
      <w:r>
        <w:rPr/>
        <w:t>5、同一控制下和非同一控制下企业合并的会计处理方法</w:t>
      </w:r>
    </w:p>
    <w:p>
      <w:pPr>
        <w:pStyle w:val="BodyText"/>
        <w:spacing w:line="530" w:lineRule="atLeast" w:before="84"/>
        <w:ind w:left="574" w:right="99" w:hanging="420"/>
        <w:jc w:val="left"/>
      </w:pPr>
      <w:r>
        <w:rPr/>
        <w:t>（1）同一控制下的企业合并</w:t>
      </w:r>
      <w:r>
        <w:rPr>
          <w:w w:val="100"/>
        </w:rPr>
        <w:t> </w:t>
      </w:r>
      <w:r>
        <w:rPr>
          <w:spacing w:val="-2"/>
        </w:rPr>
        <w:t>对于同一控制下的企业合并，合并方在合并中取得的被合并方的资产、负债，除因会计政策不同而进</w:t>
      </w:r>
    </w:p>
    <w:p>
      <w:pPr>
        <w:pStyle w:val="BodyText"/>
        <w:spacing w:line="273" w:lineRule="auto" w:before="37"/>
        <w:ind w:right="207"/>
        <w:jc w:val="both"/>
      </w:pPr>
      <w:r>
        <w:rPr>
          <w:spacing w:val="-7"/>
        </w:rPr>
        <w:t>行的调整以外，按合并日被合并方在最终控制方合并财务报表中的账面价值计量。合并对价的账面价值（或</w:t>
      </w:r>
      <w:r>
        <w:rPr>
          <w:spacing w:val="-21"/>
        </w:rPr>
        <w:t> </w:t>
      </w:r>
      <w:r>
        <w:rPr>
          <w:spacing w:val="-21"/>
        </w:rPr>
      </w:r>
      <w:r>
        <w:rPr/>
        <w:t>发行股份面值总额）与合并中取得的净资产账面价值的差额调整资本公积（股本溢价/资本溢价），资本</w:t>
      </w:r>
      <w:r>
        <w:rPr>
          <w:spacing w:val="-25"/>
        </w:rPr>
        <w:t> </w:t>
      </w:r>
      <w:r>
        <w:rPr>
          <w:spacing w:val="-25"/>
        </w:rPr>
      </w:r>
      <w:r>
        <w:rPr/>
        <w:t>公积（股本溢价/资本溢价）不足冲减的，调整留存收益。</w:t>
      </w:r>
    </w:p>
    <w:p>
      <w:pPr>
        <w:pStyle w:val="BodyText"/>
        <w:spacing w:line="528" w:lineRule="exact" w:before="46"/>
        <w:ind w:left="574" w:right="99"/>
        <w:jc w:val="left"/>
      </w:pPr>
      <w:r>
        <w:rPr/>
        <w:t>通过多次交易分步实现同一控制下的企业合并</w:t>
      </w:r>
      <w:r>
        <w:rPr>
          <w:w w:val="100"/>
        </w:rPr>
        <w:t> </w:t>
      </w:r>
      <w:r>
        <w:rPr>
          <w:spacing w:val="-2"/>
        </w:rPr>
        <w:t>在个别财务报表中，以合并日持股比例计算的合并日应享有被合并方净资产在最终控制方合并财务报</w:t>
      </w:r>
    </w:p>
    <w:p>
      <w:pPr>
        <w:pStyle w:val="BodyText"/>
        <w:spacing w:line="236" w:lineRule="exact"/>
        <w:ind w:right="99"/>
        <w:jc w:val="left"/>
      </w:pPr>
      <w:r>
        <w:rPr/>
        <w:t>表中的账面价值的份额作为该项投资的初始投资成本；初始投资成本与原持有投资的账面价值加上合并日</w:t>
      </w:r>
    </w:p>
    <w:p>
      <w:pPr>
        <w:pStyle w:val="BodyText"/>
        <w:spacing w:line="240" w:lineRule="auto" w:before="37"/>
        <w:ind w:right="99"/>
        <w:jc w:val="left"/>
      </w:pPr>
      <w:r>
        <w:rPr>
          <w:spacing w:val="-2"/>
        </w:rPr>
        <w:t>新增投资成本之和的差额，调整资本公积（股本溢价/资本溢价），资本公积不足冲减的，调整留存收益。</w:t>
      </w:r>
    </w:p>
    <w:p>
      <w:pPr>
        <w:spacing w:line="240" w:lineRule="auto" w:before="5"/>
        <w:rPr>
          <w:rFonts w:ascii="宋体" w:hAnsi="宋体" w:cs="宋体" w:eastAsia="宋体" w:hint="default"/>
          <w:sz w:val="19"/>
          <w:szCs w:val="19"/>
        </w:rPr>
      </w:pPr>
    </w:p>
    <w:p>
      <w:pPr>
        <w:pStyle w:val="BodyText"/>
        <w:spacing w:line="273" w:lineRule="auto"/>
        <w:ind w:right="205" w:firstLine="420"/>
        <w:jc w:val="both"/>
      </w:pPr>
      <w:r>
        <w:rPr>
          <w:spacing w:val="-2"/>
        </w:rPr>
        <w:t>在合并财务报表中，合并方在合并中取得的被合并方的资产、负债，除因会计政策不同而进行的调整</w:t>
      </w:r>
      <w:r>
        <w:rPr>
          <w:w w:val="100"/>
        </w:rPr>
        <w:t> </w:t>
      </w:r>
      <w:r>
        <w:rPr>
          <w:spacing w:val="-2"/>
        </w:rPr>
        <w:t>以外，按合并日在最终控制方合并财务报表中的账面价值计量；原持有投资的账面价值加上合并日新增投</w:t>
      </w:r>
      <w:r>
        <w:rPr>
          <w:spacing w:val="-42"/>
        </w:rPr>
        <w:t> </w:t>
      </w:r>
      <w:r>
        <w:rPr>
          <w:spacing w:val="-42"/>
        </w:rPr>
      </w:r>
      <w:r>
        <w:rPr>
          <w:spacing w:val="-2"/>
        </w:rPr>
        <w:t>资成本之和，与合并中取得的净资产账面价值的差额，调整资本公积，资本公积不足冲减的，调整留存收</w:t>
      </w:r>
      <w:r>
        <w:rPr>
          <w:spacing w:val="-48"/>
        </w:rPr>
        <w:t> </w:t>
      </w:r>
      <w:r>
        <w:rPr>
          <w:spacing w:val="-48"/>
        </w:rPr>
      </w:r>
      <w:r>
        <w:rPr>
          <w:spacing w:val="-2"/>
        </w:rPr>
        <w:t>益。合并方在达到合并之前持有的长期股权投资，在取得日与合并方与被合并方同处于同一方最终控制之</w:t>
      </w:r>
      <w:r>
        <w:rPr>
          <w:spacing w:val="-43"/>
        </w:rPr>
        <w:t> </w:t>
      </w:r>
      <w:r>
        <w:rPr>
          <w:spacing w:val="-43"/>
        </w:rPr>
      </w:r>
      <w:r>
        <w:rPr>
          <w:spacing w:val="-2"/>
        </w:rPr>
        <w:t>日孰晚日与合并日之间已确认有关损益、其他综合收益和其他所有者权益变动，应分别冲减比较报表期间</w:t>
      </w:r>
      <w:r>
        <w:rPr>
          <w:spacing w:val="-44"/>
        </w:rPr>
        <w:t> </w:t>
      </w:r>
      <w:r>
        <w:rPr>
          <w:spacing w:val="-44"/>
        </w:rPr>
      </w:r>
      <w:r>
        <w:rPr/>
        <w:t>的期初留存收益或当期损益。</w:t>
      </w:r>
    </w:p>
    <w:p>
      <w:pPr>
        <w:pStyle w:val="BodyText"/>
        <w:spacing w:line="528" w:lineRule="exact" w:before="46"/>
        <w:ind w:left="574" w:right="99" w:hanging="420"/>
        <w:jc w:val="left"/>
      </w:pPr>
      <w:r>
        <w:rPr/>
        <w:t>（2）非同一控制下的企业合并</w:t>
      </w:r>
      <w:r>
        <w:rPr>
          <w:w w:val="100"/>
        </w:rPr>
        <w:t> </w:t>
      </w:r>
      <w:r>
        <w:rPr>
          <w:spacing w:val="-2"/>
        </w:rPr>
        <w:t>对于非同一控制下的企业合并，合并成本为购买日为取得对被购买方的控制权而付出的资产、发生或</w:t>
      </w:r>
    </w:p>
    <w:p>
      <w:pPr>
        <w:pStyle w:val="BodyText"/>
        <w:spacing w:line="236" w:lineRule="exact"/>
        <w:ind w:right="99"/>
        <w:jc w:val="left"/>
      </w:pPr>
      <w:r>
        <w:rPr/>
        <w:t>承担的负债以及发行的权益性证券的公允价值。在购买日，取得的被购买方的资产、负债及或有负债按公</w:t>
      </w:r>
    </w:p>
    <w:p>
      <w:pPr>
        <w:pStyle w:val="BodyText"/>
        <w:spacing w:line="240" w:lineRule="auto" w:before="37"/>
        <w:ind w:right="99"/>
        <w:jc w:val="left"/>
      </w:pPr>
      <w:r>
        <w:rPr/>
        <w:t>允价值确认。</w:t>
      </w:r>
    </w:p>
    <w:p>
      <w:pPr>
        <w:spacing w:line="240" w:lineRule="auto" w:before="5"/>
        <w:rPr>
          <w:rFonts w:ascii="宋体" w:hAnsi="宋体" w:cs="宋体" w:eastAsia="宋体" w:hint="default"/>
          <w:sz w:val="19"/>
          <w:szCs w:val="19"/>
        </w:rPr>
      </w:pPr>
    </w:p>
    <w:p>
      <w:pPr>
        <w:pStyle w:val="BodyText"/>
        <w:spacing w:line="273" w:lineRule="auto"/>
        <w:ind w:right="183" w:firstLine="420"/>
        <w:jc w:val="both"/>
      </w:pPr>
      <w:r>
        <w:rPr>
          <w:spacing w:val="-2"/>
        </w:rPr>
        <w:t>对合并成本大于合并中取得的被购买方可辨认净资产公允价值份额的差额，确认为商誉，按成本扣除</w:t>
      </w:r>
      <w:r>
        <w:rPr>
          <w:w w:val="100"/>
        </w:rPr>
        <w:t> </w:t>
      </w:r>
      <w:r>
        <w:rPr>
          <w:spacing w:val="-2"/>
        </w:rPr>
        <w:t>累计减值准备进行后续计量；对合并成本小于合并中取得的被购买方可辨认净资产公允价值份额的差额，</w:t>
      </w:r>
      <w:r>
        <w:rPr>
          <w:spacing w:val="-22"/>
        </w:rPr>
        <w:t> </w:t>
      </w:r>
      <w:r>
        <w:rPr>
          <w:spacing w:val="-22"/>
        </w:rPr>
      </w:r>
      <w:r>
        <w:rPr/>
        <w:t>经复核后计入当期损益。</w:t>
      </w:r>
    </w:p>
    <w:p>
      <w:pPr>
        <w:pStyle w:val="BodyText"/>
        <w:spacing w:line="528" w:lineRule="exact" w:before="46"/>
        <w:ind w:left="574" w:right="99"/>
        <w:jc w:val="left"/>
      </w:pPr>
      <w:r>
        <w:rPr/>
        <w:t>通过多次交易分步实现非同一控制下的企业合并</w:t>
      </w:r>
      <w:r>
        <w:rPr>
          <w:w w:val="100"/>
        </w:rPr>
        <w:t> </w:t>
      </w:r>
      <w:r>
        <w:rPr>
          <w:spacing w:val="-2"/>
        </w:rPr>
        <w:t>在个别财务报表中，以购买日之前所持被购买方的股权投资的账面价值与购买日新增投资成本之和，</w:t>
      </w:r>
    </w:p>
    <w:p>
      <w:pPr>
        <w:pStyle w:val="BodyText"/>
        <w:spacing w:line="236" w:lineRule="exact"/>
        <w:ind w:right="99"/>
        <w:jc w:val="left"/>
      </w:pPr>
      <w:r>
        <w:rPr/>
        <w:t>作为该项投资的初始投资成本。购买日之前持有的股权投资因采用权益法核算而确认的其他综合收益，应</w:t>
      </w:r>
    </w:p>
    <w:p>
      <w:pPr>
        <w:pStyle w:val="BodyText"/>
        <w:spacing w:line="273" w:lineRule="auto" w:before="37"/>
        <w:ind w:right="205"/>
        <w:jc w:val="both"/>
      </w:pPr>
      <w:r>
        <w:rPr>
          <w:spacing w:val="-2"/>
        </w:rPr>
        <w:t>当在处置该项投资时采用与被投资单位直接处置相关资产或负债相同的基础进行会计处理；因被投资方除</w:t>
      </w:r>
      <w:r>
        <w:rPr>
          <w:spacing w:val="-43"/>
        </w:rPr>
        <w:t> </w:t>
      </w:r>
      <w:r>
        <w:rPr>
          <w:spacing w:val="-43"/>
        </w:rPr>
      </w:r>
      <w:r>
        <w:rPr>
          <w:spacing w:val="-2"/>
        </w:rPr>
        <w:t>净损益、其他综合收益和利润分配以外的其他所有者权益变动而确认的所有者权益，应当在处置该项投资</w:t>
      </w:r>
      <w:r>
        <w:rPr>
          <w:spacing w:val="-42"/>
        </w:rPr>
        <w:t> </w:t>
      </w:r>
      <w:r>
        <w:rPr>
          <w:spacing w:val="-42"/>
        </w:rPr>
      </w:r>
      <w:r>
        <w:rPr>
          <w:spacing w:val="-2"/>
        </w:rPr>
        <w:t>时转入处置期间的当期损益。购买日之前持有的股权投资按照《企业会计准则第22号——金融工具确认和</w:t>
      </w:r>
    </w:p>
    <w:p>
      <w:pPr>
        <w:spacing w:after="0" w:line="273"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99"/>
        <w:jc w:val="left"/>
      </w:pPr>
      <w:r>
        <w:rPr>
          <w:spacing w:val="-2"/>
        </w:rPr>
        <w:t>计量》的有关规定进行会计处理的，原计入其他综合收益的累计公允价值变动应当在改按成本法核算时转</w:t>
      </w:r>
      <w:r>
        <w:rPr>
          <w:spacing w:val="-43"/>
        </w:rPr>
        <w:t> </w:t>
      </w:r>
      <w:r>
        <w:rPr>
          <w:spacing w:val="-43"/>
        </w:rPr>
      </w:r>
      <w:r>
        <w:rPr/>
        <w:t>入当期损益。</w:t>
      </w:r>
    </w:p>
    <w:p>
      <w:pPr>
        <w:spacing w:line="240" w:lineRule="auto" w:before="1"/>
        <w:rPr>
          <w:rFonts w:ascii="宋体" w:hAnsi="宋体" w:cs="宋体" w:eastAsia="宋体" w:hint="default"/>
          <w:sz w:val="17"/>
          <w:szCs w:val="17"/>
        </w:rPr>
      </w:pPr>
    </w:p>
    <w:p>
      <w:pPr>
        <w:pStyle w:val="BodyText"/>
        <w:spacing w:line="273" w:lineRule="auto"/>
        <w:ind w:right="205" w:firstLine="420"/>
        <w:jc w:val="both"/>
      </w:pPr>
      <w:r>
        <w:rPr>
          <w:spacing w:val="-2"/>
        </w:rPr>
        <w:t>在合并财务报表中，合并成本为购买日支付的对价与购买日之前已经持有的被购买方的股权在购买日</w:t>
      </w:r>
      <w:r>
        <w:rPr>
          <w:w w:val="100"/>
        </w:rPr>
        <w:t> </w:t>
      </w:r>
      <w:r>
        <w:rPr>
          <w:spacing w:val="-2"/>
        </w:rPr>
        <w:t>的公允价值之和；对于购买日之前已经持有的被购买方的股权，按照购买日的公允价值进行重新计量，公</w:t>
      </w:r>
      <w:r>
        <w:rPr>
          <w:spacing w:val="-43"/>
        </w:rPr>
        <w:t> </w:t>
      </w:r>
      <w:r>
        <w:rPr>
          <w:spacing w:val="-43"/>
        </w:rPr>
      </w:r>
      <w:r>
        <w:rPr>
          <w:spacing w:val="2"/>
        </w:rPr>
        <w:t>允价值与其账面价值之间的差额计入当期收益；购买日之前已经持有的被购买方的股权涉及其他综合收</w:t>
      </w:r>
      <w:r>
        <w:rPr>
          <w:spacing w:val="-30"/>
        </w:rPr>
        <w:t> </w:t>
      </w:r>
      <w:r>
        <w:rPr>
          <w:spacing w:val="-30"/>
        </w:rPr>
      </w:r>
      <w:r>
        <w:rPr>
          <w:spacing w:val="-2"/>
        </w:rPr>
        <w:t>益、其他所有者权益变动应当转为购买日当期收益，由于被投资方重新计量设定收益计划净负债或净资产</w:t>
      </w:r>
      <w:r>
        <w:rPr>
          <w:spacing w:val="-42"/>
        </w:rPr>
        <w:t> </w:t>
      </w:r>
      <w:r>
        <w:rPr>
          <w:spacing w:val="-42"/>
        </w:rPr>
      </w:r>
      <w:r>
        <w:rPr/>
        <w:t>变动而产生的其他综合收益除外。</w:t>
      </w:r>
    </w:p>
    <w:p>
      <w:pPr>
        <w:pStyle w:val="BodyText"/>
        <w:spacing w:line="528" w:lineRule="exact" w:before="46"/>
        <w:ind w:left="574" w:right="99" w:hanging="420"/>
        <w:jc w:val="left"/>
      </w:pPr>
      <w:r>
        <w:rPr/>
        <w:t>（3）企业合并中有关交易费用的处理</w:t>
      </w:r>
      <w:r>
        <w:rPr>
          <w:w w:val="100"/>
        </w:rPr>
        <w:t> </w:t>
      </w:r>
      <w:r>
        <w:rPr>
          <w:spacing w:val="-2"/>
        </w:rPr>
        <w:t>为进行企业合并发生的审计、法律服务、评估咨询等中介费用以及其他相关管理费用，于发生时计入</w:t>
      </w:r>
    </w:p>
    <w:p>
      <w:pPr>
        <w:pStyle w:val="BodyText"/>
        <w:spacing w:line="236" w:lineRule="exact"/>
        <w:ind w:right="99"/>
        <w:jc w:val="left"/>
      </w:pPr>
      <w:r>
        <w:rPr/>
        <w:t>当期损益。作为合并对价发行的权益性证券或债务性证券的交易费用，计入权益性证券或债务性证券的初</w:t>
      </w:r>
    </w:p>
    <w:p>
      <w:pPr>
        <w:pStyle w:val="BodyText"/>
        <w:spacing w:line="535" w:lineRule="auto" w:before="37"/>
        <w:ind w:right="7206"/>
        <w:jc w:val="left"/>
      </w:pPr>
      <w:r>
        <w:rPr/>
        <w:t>始确认金额。</w:t>
      </w:r>
      <w:r>
        <w:rPr>
          <w:w w:val="100"/>
        </w:rPr>
        <w:t> </w:t>
      </w:r>
      <w:r>
        <w:rPr/>
        <w:t>6、合并财务报表的编制方法</w:t>
      </w:r>
    </w:p>
    <w:p>
      <w:pPr>
        <w:pStyle w:val="BodyText"/>
        <w:spacing w:line="240" w:lineRule="auto" w:before="81"/>
        <w:ind w:right="99"/>
        <w:jc w:val="left"/>
      </w:pPr>
      <w:r>
        <w:rPr/>
        <w:t>（1）合并范围</w:t>
      </w:r>
    </w:p>
    <w:p>
      <w:pPr>
        <w:spacing w:line="240" w:lineRule="auto" w:before="5"/>
        <w:rPr>
          <w:rFonts w:ascii="宋体" w:hAnsi="宋体" w:cs="宋体" w:eastAsia="宋体" w:hint="default"/>
          <w:sz w:val="19"/>
          <w:szCs w:val="19"/>
        </w:rPr>
      </w:pPr>
    </w:p>
    <w:p>
      <w:pPr>
        <w:pStyle w:val="BodyText"/>
        <w:spacing w:line="273" w:lineRule="auto"/>
        <w:ind w:right="99" w:firstLine="420"/>
        <w:jc w:val="left"/>
      </w:pPr>
      <w:r>
        <w:rPr/>
        <w:t>合并财务报表的合并范围以控制为基础予以确定。控制是指本公司拥有对被投资单位的权力，通过参</w:t>
      </w:r>
      <w:r>
        <w:rPr>
          <w:w w:val="100"/>
        </w:rPr>
        <w:t> </w:t>
      </w:r>
      <w:r>
        <w:rPr>
          <w:spacing w:val="-5"/>
        </w:rPr>
        <w:t>与被投资单位的相关活动而享有可变回报，并且有能力运用对被投资单位的权力影响其回报金额。子公司，</w:t>
      </w:r>
      <w:r>
        <w:rPr>
          <w:spacing w:val="-4"/>
        </w:rPr>
        <w:t> </w:t>
      </w:r>
      <w:r>
        <w:rPr>
          <w:spacing w:val="-4"/>
        </w:rPr>
      </w:r>
      <w:r>
        <w:rPr/>
        <w:t>是指被本公司控制的主体（含企业、被投资单位中可分割的部分，以及企业所控制的结构化主体等）。</w:t>
      </w:r>
    </w:p>
    <w:p>
      <w:pPr>
        <w:pStyle w:val="BodyText"/>
        <w:spacing w:line="528" w:lineRule="exact" w:before="46"/>
        <w:ind w:left="574" w:right="99" w:hanging="420"/>
        <w:jc w:val="left"/>
      </w:pPr>
      <w:r>
        <w:rPr/>
        <w:t>（2）合并财务报表的编制方法</w:t>
      </w:r>
      <w:r>
        <w:rPr>
          <w:w w:val="100"/>
        </w:rPr>
        <w:t> </w:t>
      </w:r>
      <w:r>
        <w:rPr>
          <w:spacing w:val="-2"/>
        </w:rPr>
        <w:t>合并财务报表以本公司和子公司的财务报表为基础，根据其他有关资料，由本公司编制。在编制合并</w:t>
      </w:r>
    </w:p>
    <w:p>
      <w:pPr>
        <w:pStyle w:val="BodyText"/>
        <w:spacing w:line="236" w:lineRule="exact"/>
        <w:ind w:right="99"/>
        <w:jc w:val="left"/>
      </w:pPr>
      <w:r>
        <w:rPr/>
        <w:t>财务报表时，本公司和子公司的会计政策和会计期间要求保持一致，公司间的重大交易和往来余额予以抵</w:t>
      </w:r>
    </w:p>
    <w:p>
      <w:pPr>
        <w:pStyle w:val="BodyText"/>
        <w:spacing w:line="240" w:lineRule="auto" w:before="37"/>
        <w:ind w:right="99"/>
        <w:jc w:val="left"/>
      </w:pPr>
      <w:r>
        <w:rPr/>
        <w:t>销。</w:t>
      </w:r>
    </w:p>
    <w:p>
      <w:pPr>
        <w:spacing w:line="240" w:lineRule="auto" w:before="5"/>
        <w:rPr>
          <w:rFonts w:ascii="宋体" w:hAnsi="宋体" w:cs="宋体" w:eastAsia="宋体" w:hint="default"/>
          <w:sz w:val="19"/>
          <w:szCs w:val="19"/>
        </w:rPr>
      </w:pPr>
    </w:p>
    <w:p>
      <w:pPr>
        <w:pStyle w:val="BodyText"/>
        <w:spacing w:line="273" w:lineRule="auto"/>
        <w:ind w:right="205" w:firstLine="420"/>
        <w:jc w:val="both"/>
      </w:pPr>
      <w:r>
        <w:rPr>
          <w:spacing w:val="-2"/>
        </w:rPr>
        <w:t>在报告期内因同一控制下企业合并增加的子公司以及业务，视同该子公司以及业务自同受最终控制方</w:t>
      </w:r>
      <w:r>
        <w:rPr>
          <w:w w:val="100"/>
        </w:rPr>
        <w:t> </w:t>
      </w:r>
      <w:r>
        <w:rPr>
          <w:spacing w:val="-2"/>
        </w:rPr>
        <w:t>控制之日起纳入本公司的合并范围，将其自同受最终控制方控制之日起的经营成果和现金流量纳入合并利</w:t>
      </w:r>
      <w:r>
        <w:rPr>
          <w:spacing w:val="-43"/>
        </w:rPr>
        <w:t> </w:t>
      </w:r>
      <w:r>
        <w:rPr>
          <w:spacing w:val="-43"/>
        </w:rPr>
      </w:r>
      <w:r>
        <w:rPr/>
        <w:t>润表和合并现金流量表中。</w:t>
      </w:r>
    </w:p>
    <w:p>
      <w:pPr>
        <w:spacing w:line="240" w:lineRule="auto" w:before="1"/>
        <w:rPr>
          <w:rFonts w:ascii="宋体" w:hAnsi="宋体" w:cs="宋体" w:eastAsia="宋体" w:hint="default"/>
          <w:sz w:val="17"/>
          <w:szCs w:val="17"/>
        </w:rPr>
      </w:pPr>
    </w:p>
    <w:p>
      <w:pPr>
        <w:pStyle w:val="BodyText"/>
        <w:spacing w:line="273" w:lineRule="auto"/>
        <w:ind w:right="183" w:firstLine="420"/>
        <w:jc w:val="both"/>
      </w:pPr>
      <w:r>
        <w:rPr>
          <w:spacing w:val="-2"/>
        </w:rPr>
        <w:t>因非同一控制下企业合并增加的子公司以及业务，将该子公司以及业务自购买日至报告期末的收入、</w:t>
      </w:r>
      <w:r>
        <w:rPr>
          <w:w w:val="100"/>
        </w:rPr>
        <w:t> </w:t>
      </w:r>
      <w:r>
        <w:rPr/>
        <w:t>费用、利润纳入合并利润表，将其现金流量纳入合并现金流量表。</w:t>
      </w:r>
    </w:p>
    <w:p>
      <w:pPr>
        <w:spacing w:line="240" w:lineRule="auto" w:before="1"/>
        <w:rPr>
          <w:rFonts w:ascii="宋体" w:hAnsi="宋体" w:cs="宋体" w:eastAsia="宋体" w:hint="default"/>
          <w:sz w:val="17"/>
          <w:szCs w:val="17"/>
        </w:rPr>
      </w:pPr>
    </w:p>
    <w:p>
      <w:pPr>
        <w:pStyle w:val="BodyText"/>
        <w:spacing w:line="273" w:lineRule="auto"/>
        <w:ind w:right="205" w:firstLine="420"/>
        <w:jc w:val="both"/>
      </w:pPr>
      <w:r>
        <w:rPr>
          <w:spacing w:val="2"/>
        </w:rPr>
        <w:t>子公司的股东权益中不属于本公司所拥有的部分作为少数股东权益在合并资产负债表中股东权益项</w:t>
      </w:r>
      <w:r>
        <w:rPr>
          <w:w w:val="100"/>
        </w:rPr>
        <w:t> </w:t>
      </w:r>
      <w:r>
        <w:rPr>
          <w:spacing w:val="-2"/>
        </w:rPr>
        <w:t>下单独列示。子公司当期净损益中属于少数股东权益的份额，在合并利润表中净利润项目下以“少数股东</w:t>
      </w:r>
      <w:r>
        <w:rPr>
          <w:spacing w:val="-44"/>
        </w:rPr>
        <w:t> </w:t>
      </w:r>
      <w:r>
        <w:rPr>
          <w:spacing w:val="-44"/>
        </w:rPr>
      </w:r>
      <w:r>
        <w:rPr>
          <w:spacing w:val="-2"/>
        </w:rPr>
        <w:t>损益”项目列示。少数股东分担的子公司的亏损超过了少数股东在该子公司期初所有者权益中所享有的份</w:t>
      </w:r>
      <w:r>
        <w:rPr>
          <w:spacing w:val="-42"/>
        </w:rPr>
        <w:t> </w:t>
      </w:r>
      <w:r>
        <w:rPr>
          <w:spacing w:val="-42"/>
        </w:rPr>
      </w:r>
      <w:r>
        <w:rPr/>
        <w:t>额，其余额仍冲减少数股东权益。</w:t>
      </w:r>
    </w:p>
    <w:p>
      <w:pPr>
        <w:spacing w:line="240" w:lineRule="auto" w:before="1"/>
        <w:rPr>
          <w:rFonts w:ascii="宋体" w:hAnsi="宋体" w:cs="宋体" w:eastAsia="宋体" w:hint="default"/>
          <w:sz w:val="17"/>
          <w:szCs w:val="17"/>
        </w:rPr>
      </w:pPr>
    </w:p>
    <w:p>
      <w:pPr>
        <w:pStyle w:val="BodyText"/>
        <w:spacing w:line="273" w:lineRule="auto"/>
        <w:ind w:right="183" w:firstLine="420"/>
        <w:jc w:val="both"/>
      </w:pPr>
      <w:r>
        <w:rPr>
          <w:spacing w:val="-2"/>
        </w:rPr>
        <w:t>对于购买子公司少数股权或因处置部分股权投资但没有丧失对该子公司控制权的交易，作为权益性交</w:t>
      </w:r>
      <w:r>
        <w:rPr>
          <w:w w:val="100"/>
        </w:rPr>
        <w:t> </w:t>
      </w:r>
      <w:r>
        <w:rPr>
          <w:spacing w:val="-2"/>
        </w:rPr>
        <w:t>易核算，调整归属于母公司所有者权益和少数股东权益的账面价值以反映其在子公司中相关权益的变化。</w:t>
      </w:r>
      <w:r>
        <w:rPr>
          <w:spacing w:val="-21"/>
        </w:rPr>
        <w:t> </w:t>
      </w:r>
      <w:r>
        <w:rPr>
          <w:spacing w:val="-21"/>
        </w:rPr>
      </w:r>
      <w:r>
        <w:rPr/>
        <w:t>少数股东权益的调整额与支付/收到对价的公允价值之间的差额调整资本公积，资本公积不足冲减的，调</w:t>
      </w:r>
      <w:r>
        <w:rPr>
          <w:spacing w:val="-25"/>
        </w:rPr>
        <w:t> </w:t>
      </w:r>
      <w:r>
        <w:rPr>
          <w:spacing w:val="-25"/>
        </w:rPr>
      </w:r>
      <w:r>
        <w:rPr/>
        <w:t>整留存收益。</w:t>
      </w:r>
    </w:p>
    <w:p>
      <w:pPr>
        <w:spacing w:line="240" w:lineRule="auto" w:before="1"/>
        <w:rPr>
          <w:rFonts w:ascii="宋体" w:hAnsi="宋体" w:cs="宋体" w:eastAsia="宋体" w:hint="default"/>
          <w:sz w:val="17"/>
          <w:szCs w:val="17"/>
        </w:rPr>
      </w:pPr>
    </w:p>
    <w:p>
      <w:pPr>
        <w:pStyle w:val="BodyText"/>
        <w:spacing w:line="240" w:lineRule="auto"/>
        <w:ind w:right="99"/>
        <w:jc w:val="left"/>
      </w:pPr>
      <w:r>
        <w:rPr/>
        <w:t>（3）丧失子公司控制权的处理</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02" w:firstLine="420"/>
        <w:jc w:val="both"/>
      </w:pPr>
      <w:r>
        <w:rPr/>
        <w:t>因处置部分股权投资或其他原因丧失了对原有子公司控制权的，剩余股权按照其在丧失控制权日的公</w:t>
      </w:r>
      <w:r>
        <w:rPr>
          <w:w w:val="100"/>
        </w:rPr>
        <w:t> </w:t>
      </w:r>
      <w:r>
        <w:rPr>
          <w:spacing w:val="-2"/>
        </w:rPr>
        <w:t>允价值进行重新计量；处置股权取得的对价与剩余股权公允价值之和，减去按原持股比例计算应享有原子</w:t>
      </w:r>
      <w:r>
        <w:rPr>
          <w:spacing w:val="-43"/>
        </w:rPr>
        <w:t> </w:t>
      </w:r>
      <w:r>
        <w:rPr>
          <w:spacing w:val="-43"/>
        </w:rPr>
      </w:r>
      <w:r>
        <w:rPr>
          <w:spacing w:val="-5"/>
        </w:rPr>
        <w:t>公司自购买日开始持续计算的净资产的份额之间的差额，计入丧失控制权当期的投资收益，同时冲减商誉。</w:t>
      </w:r>
    </w:p>
    <w:p>
      <w:pPr>
        <w:spacing w:line="240" w:lineRule="auto" w:before="1"/>
        <w:rPr>
          <w:rFonts w:ascii="宋体" w:hAnsi="宋体" w:cs="宋体" w:eastAsia="宋体" w:hint="default"/>
          <w:sz w:val="17"/>
          <w:szCs w:val="17"/>
        </w:rPr>
      </w:pPr>
    </w:p>
    <w:p>
      <w:pPr>
        <w:pStyle w:val="BodyText"/>
        <w:spacing w:line="273" w:lineRule="auto"/>
        <w:ind w:right="205" w:firstLine="420"/>
        <w:jc w:val="both"/>
      </w:pPr>
      <w:r>
        <w:rPr>
          <w:spacing w:val="-2"/>
        </w:rPr>
        <w:t>与原有子公司的股权投资相关的其他综合收益、其他所有者权益变动，应当在丧失控制权时转入当期</w:t>
      </w:r>
      <w:r>
        <w:rPr>
          <w:w w:val="100"/>
        </w:rPr>
        <w:t> </w:t>
      </w:r>
      <w:r>
        <w:rPr/>
        <w:t>损益，由于被投资方重新计量设定收益计划净负债或净资产变动而产生的其他综合收益除外。</w:t>
      </w:r>
    </w:p>
    <w:p>
      <w:pPr>
        <w:pStyle w:val="BodyText"/>
        <w:spacing w:line="528" w:lineRule="exact" w:before="46"/>
        <w:ind w:left="574" w:right="99" w:hanging="420"/>
        <w:jc w:val="left"/>
      </w:pPr>
      <w:r>
        <w:rPr/>
        <w:t>（4）分步处置股权至丧失控制权的特殊处理</w:t>
      </w:r>
      <w:r>
        <w:rPr>
          <w:w w:val="100"/>
        </w:rPr>
        <w:t> </w:t>
      </w:r>
      <w:r>
        <w:rPr>
          <w:spacing w:val="-2"/>
        </w:rPr>
        <w:t>分步处置股权至丧失控制权的各项交易的条款、条件以及经济影响符合以下一种或多种情况，本公司</w:t>
      </w:r>
    </w:p>
    <w:p>
      <w:pPr>
        <w:pStyle w:val="BodyText"/>
        <w:spacing w:line="236" w:lineRule="exact"/>
        <w:ind w:right="99"/>
        <w:jc w:val="left"/>
      </w:pPr>
      <w:r>
        <w:rPr/>
        <w:t>将多次交易事项作为一揽子交易进行会计处理：</w:t>
      </w:r>
    </w:p>
    <w:p>
      <w:pPr>
        <w:spacing w:line="240" w:lineRule="auto" w:before="5"/>
        <w:rPr>
          <w:rFonts w:ascii="宋体" w:hAnsi="宋体" w:cs="宋体" w:eastAsia="宋体" w:hint="default"/>
          <w:sz w:val="19"/>
          <w:szCs w:val="19"/>
        </w:rPr>
      </w:pPr>
    </w:p>
    <w:p>
      <w:pPr>
        <w:pStyle w:val="BodyText"/>
        <w:spacing w:line="240" w:lineRule="auto"/>
        <w:ind w:right="99"/>
        <w:jc w:val="left"/>
      </w:pPr>
      <w:r>
        <w:rPr/>
        <w:t>①这些交易是同时或者在考虑了彼此影响的情况下订立的；</w:t>
      </w:r>
    </w:p>
    <w:p>
      <w:pPr>
        <w:spacing w:line="240" w:lineRule="auto" w:before="5"/>
        <w:rPr>
          <w:rFonts w:ascii="宋体" w:hAnsi="宋体" w:cs="宋体" w:eastAsia="宋体" w:hint="default"/>
          <w:sz w:val="19"/>
          <w:szCs w:val="19"/>
        </w:rPr>
      </w:pPr>
    </w:p>
    <w:p>
      <w:pPr>
        <w:pStyle w:val="BodyText"/>
        <w:spacing w:line="240" w:lineRule="auto"/>
        <w:ind w:right="99"/>
        <w:jc w:val="left"/>
      </w:pPr>
      <w:r>
        <w:rPr/>
        <w:t>②这些交易整体才能达成一项完整的商业结果；</w:t>
      </w:r>
    </w:p>
    <w:p>
      <w:pPr>
        <w:spacing w:line="240" w:lineRule="auto" w:before="5"/>
        <w:rPr>
          <w:rFonts w:ascii="宋体" w:hAnsi="宋体" w:cs="宋体" w:eastAsia="宋体" w:hint="default"/>
          <w:sz w:val="19"/>
          <w:szCs w:val="19"/>
        </w:rPr>
      </w:pPr>
    </w:p>
    <w:p>
      <w:pPr>
        <w:pStyle w:val="BodyText"/>
        <w:spacing w:line="240" w:lineRule="auto"/>
        <w:ind w:right="99"/>
        <w:jc w:val="left"/>
      </w:pPr>
      <w:r>
        <w:rPr/>
        <w:t>③一项交易的发生取决于其他至少一项交易的发生；</w:t>
      </w:r>
    </w:p>
    <w:p>
      <w:pPr>
        <w:pStyle w:val="BodyText"/>
        <w:spacing w:line="520" w:lineRule="atLeast" w:before="8"/>
        <w:ind w:left="574" w:right="99" w:hanging="420"/>
        <w:jc w:val="left"/>
      </w:pPr>
      <w:r>
        <w:rPr/>
        <w:t>④一项交易单独看是不经济的，但是和其他交易一并考虑时是经济的。</w:t>
      </w:r>
      <w:r>
        <w:rPr>
          <w:w w:val="100"/>
        </w:rPr>
        <w:t> </w:t>
      </w:r>
      <w:r>
        <w:rPr>
          <w:spacing w:val="-2"/>
        </w:rPr>
        <w:t>分步处置股权至丧失控制权的各项交易，在个别财务报表中，相应结转每一次处置股权相对应的长期</w:t>
      </w:r>
    </w:p>
    <w:p>
      <w:pPr>
        <w:pStyle w:val="BodyText"/>
        <w:spacing w:line="240" w:lineRule="auto" w:before="37"/>
        <w:ind w:right="99"/>
        <w:jc w:val="left"/>
      </w:pPr>
      <w:r>
        <w:rPr/>
        <w:t>股权投资的账面价值，所得价款与处置长期股权投资账面价值之间的差额计入当期投资收益。</w:t>
      </w:r>
    </w:p>
    <w:p>
      <w:pPr>
        <w:spacing w:line="240" w:lineRule="auto" w:before="5"/>
        <w:rPr>
          <w:rFonts w:ascii="宋体" w:hAnsi="宋体" w:cs="宋体" w:eastAsia="宋体" w:hint="default"/>
          <w:sz w:val="19"/>
          <w:szCs w:val="19"/>
        </w:rPr>
      </w:pPr>
    </w:p>
    <w:p>
      <w:pPr>
        <w:pStyle w:val="BodyText"/>
        <w:spacing w:line="273" w:lineRule="auto"/>
        <w:ind w:right="205" w:firstLine="420"/>
        <w:jc w:val="both"/>
      </w:pPr>
      <w:r>
        <w:rPr>
          <w:spacing w:val="-2"/>
        </w:rPr>
        <w:t>在合并财务报表中，分步处置股权至丧失控制权时，剩余股权的计量以及有关处置股权损益的核算比</w:t>
      </w:r>
      <w:r>
        <w:rPr>
          <w:w w:val="100"/>
        </w:rPr>
        <w:t> </w:t>
      </w:r>
      <w:r>
        <w:rPr>
          <w:spacing w:val="-2"/>
        </w:rPr>
        <w:t>照上述“丧失子公司控制权的处理”。在丧失控制权之前每一次处置价款与处置投资对应的享有该子公司</w:t>
      </w:r>
      <w:r>
        <w:rPr>
          <w:spacing w:val="-43"/>
        </w:rPr>
        <w:t> </w:t>
      </w:r>
      <w:r>
        <w:rPr>
          <w:spacing w:val="-43"/>
        </w:rPr>
      </w:r>
      <w:r>
        <w:rPr/>
        <w:t>净资产份额的差额：</w:t>
      </w:r>
    </w:p>
    <w:p>
      <w:pPr>
        <w:spacing w:line="240" w:lineRule="auto" w:before="1"/>
        <w:rPr>
          <w:rFonts w:ascii="宋体" w:hAnsi="宋体" w:cs="宋体" w:eastAsia="宋体" w:hint="default"/>
          <w:sz w:val="17"/>
          <w:szCs w:val="17"/>
        </w:rPr>
      </w:pPr>
    </w:p>
    <w:p>
      <w:pPr>
        <w:pStyle w:val="BodyText"/>
        <w:spacing w:line="240" w:lineRule="auto"/>
        <w:ind w:right="99"/>
        <w:jc w:val="left"/>
      </w:pPr>
      <w:r>
        <w:rPr/>
        <w:t>①属于“一揽子交易”的，确认为其他综合收益。在丧失控制权时一并转入丧失控制权当期的损益。</w:t>
      </w:r>
    </w:p>
    <w:p>
      <w:pPr>
        <w:spacing w:line="240" w:lineRule="auto" w:before="5"/>
        <w:rPr>
          <w:rFonts w:ascii="宋体" w:hAnsi="宋体" w:cs="宋体" w:eastAsia="宋体" w:hint="default"/>
          <w:sz w:val="19"/>
          <w:szCs w:val="19"/>
        </w:rPr>
      </w:pPr>
    </w:p>
    <w:p>
      <w:pPr>
        <w:pStyle w:val="BodyText"/>
        <w:spacing w:line="273" w:lineRule="auto"/>
        <w:ind w:right="99"/>
        <w:jc w:val="left"/>
      </w:pPr>
      <w:r>
        <w:rPr>
          <w:spacing w:val="-2"/>
        </w:rPr>
        <w:t>②不属于“一揽子交易”的，作为权益性交易计入资本公积。在丧失控制权时不得转入丧失控制权当期的</w:t>
      </w:r>
      <w:r>
        <w:rPr>
          <w:spacing w:val="-47"/>
        </w:rPr>
        <w:t> </w:t>
      </w:r>
      <w:r>
        <w:rPr>
          <w:spacing w:val="-47"/>
        </w:rPr>
      </w:r>
      <w:r>
        <w:rPr/>
        <w:t>损益。</w:t>
      </w:r>
    </w:p>
    <w:p>
      <w:pPr>
        <w:spacing w:line="240" w:lineRule="auto" w:before="7"/>
        <w:rPr>
          <w:rFonts w:ascii="宋体" w:hAnsi="宋体" w:cs="宋体" w:eastAsia="宋体" w:hint="default"/>
          <w:sz w:val="23"/>
          <w:szCs w:val="23"/>
        </w:rPr>
      </w:pPr>
    </w:p>
    <w:p>
      <w:pPr>
        <w:pStyle w:val="BodyText"/>
        <w:spacing w:line="537" w:lineRule="auto"/>
        <w:ind w:right="5375"/>
        <w:jc w:val="left"/>
      </w:pPr>
      <w:r>
        <w:rPr>
          <w:spacing w:val="-1"/>
        </w:rPr>
        <w:t>7、合营安排分类及共同经营会计处理方法</w:t>
      </w:r>
      <w:r>
        <w:rPr>
          <w:spacing w:val="-70"/>
        </w:rPr>
        <w:t> </w:t>
      </w:r>
      <w:r>
        <w:rPr>
          <w:spacing w:val="-70"/>
        </w:rPr>
      </w:r>
      <w:r>
        <w:rPr/>
        <w:t>不适用</w:t>
      </w:r>
    </w:p>
    <w:p>
      <w:pPr>
        <w:pStyle w:val="BodyText"/>
        <w:spacing w:line="240" w:lineRule="auto" w:before="76"/>
        <w:ind w:right="99"/>
        <w:jc w:val="left"/>
      </w:pPr>
      <w:r>
        <w:rPr/>
        <w:t>8、现金及现金等价物的确定标准</w:t>
      </w:r>
    </w:p>
    <w:p>
      <w:pPr>
        <w:spacing w:line="240" w:lineRule="auto" w:before="10"/>
        <w:rPr>
          <w:rFonts w:ascii="宋体" w:hAnsi="宋体" w:cs="宋体" w:eastAsia="宋体" w:hint="default"/>
          <w:sz w:val="25"/>
          <w:szCs w:val="25"/>
        </w:rPr>
      </w:pPr>
    </w:p>
    <w:p>
      <w:pPr>
        <w:pStyle w:val="BodyText"/>
        <w:spacing w:line="273" w:lineRule="auto"/>
        <w:ind w:right="99" w:firstLine="420"/>
        <w:jc w:val="both"/>
      </w:pPr>
      <w:r>
        <w:rPr>
          <w:spacing w:val="-5"/>
        </w:rPr>
        <w:t>现金是指库存现金以及可以随时用于支付的存款。现金等价物，是指本公司持有的期限短、流动性强、</w:t>
      </w:r>
      <w:r>
        <w:rPr>
          <w:w w:val="100"/>
        </w:rPr>
        <w:t> </w:t>
      </w:r>
      <w:r>
        <w:rPr/>
        <w:t>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537" w:lineRule="auto"/>
        <w:ind w:right="1181"/>
        <w:jc w:val="left"/>
      </w:pPr>
      <w:r>
        <w:rPr/>
        <w:t>9、外币业务和外币报表折算</w:t>
      </w:r>
      <w:r>
        <w:rPr>
          <w:spacing w:val="-96"/>
        </w:rPr>
        <w:t> </w:t>
      </w:r>
      <w:r>
        <w:rPr>
          <w:spacing w:val="-96"/>
        </w:rPr>
      </w:r>
      <w:r>
        <w:rPr>
          <w:spacing w:val="-1"/>
        </w:rPr>
        <w:t>本公司发生外币业务，按交易发生日的即期汇率折算为记账本位币金额。</w:t>
      </w:r>
    </w:p>
    <w:p>
      <w:pPr>
        <w:pStyle w:val="BodyText"/>
        <w:spacing w:line="240" w:lineRule="auto" w:before="76"/>
        <w:ind w:left="574" w:right="99"/>
        <w:jc w:val="left"/>
      </w:pPr>
      <w:r>
        <w:rPr/>
        <w:t>资产负债表日，对外币货币性项目，采用资产负债表日即期汇率折算。因资产负债表日即期汇率与初</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5"/>
        <w:jc w:val="both"/>
      </w:pPr>
      <w:r>
        <w:rPr>
          <w:spacing w:val="-2"/>
        </w:rPr>
        <w:t>始确认时或者前一资产负债表日即期汇率不同而产生的汇兑差额，计入当期损益；对以历史成本计量的外</w:t>
      </w:r>
      <w:r>
        <w:rPr>
          <w:spacing w:val="-44"/>
        </w:rPr>
        <w:t> </w:t>
      </w:r>
      <w:r>
        <w:rPr>
          <w:spacing w:val="-44"/>
        </w:rPr>
      </w:r>
      <w:r>
        <w:rPr>
          <w:spacing w:val="-2"/>
        </w:rPr>
        <w:t>币非货币性项目，仍采用交易发生日的即期汇率折算；对以公允价值计量的外币非货币性项目，采用公允</w:t>
      </w:r>
      <w:r>
        <w:rPr>
          <w:spacing w:val="-45"/>
        </w:rPr>
        <w:t> </w:t>
      </w:r>
      <w:r>
        <w:rPr>
          <w:spacing w:val="-45"/>
        </w:rPr>
      </w:r>
      <w:r>
        <w:rPr/>
        <w:t>价值确定日的即期汇率折算，折算后的记账本位币金额与原记账本位币金额的差额，计入当期损益。</w:t>
      </w:r>
    </w:p>
    <w:p>
      <w:pPr>
        <w:spacing w:line="240" w:lineRule="auto" w:before="7"/>
        <w:rPr>
          <w:rFonts w:ascii="宋体" w:hAnsi="宋体" w:cs="宋体" w:eastAsia="宋体" w:hint="default"/>
          <w:sz w:val="23"/>
          <w:szCs w:val="23"/>
        </w:rPr>
      </w:pPr>
    </w:p>
    <w:p>
      <w:pPr>
        <w:pStyle w:val="BodyText"/>
        <w:spacing w:line="537" w:lineRule="auto"/>
        <w:ind w:right="1381"/>
        <w:jc w:val="left"/>
      </w:pPr>
      <w:r>
        <w:rPr/>
        <w:t>10、金融工具</w:t>
      </w:r>
      <w:r>
        <w:rPr>
          <w:spacing w:val="-98"/>
        </w:rPr>
        <w:t> </w:t>
      </w:r>
      <w:r>
        <w:rPr>
          <w:spacing w:val="-2"/>
        </w:rPr>
        <w:t>金融工具是指形成一个企业的金融资产，并形成其他单位的金融负债或权益工具的合同。</w:t>
      </w:r>
    </w:p>
    <w:p>
      <w:pPr>
        <w:pStyle w:val="BodyText"/>
        <w:spacing w:line="460" w:lineRule="auto"/>
        <w:ind w:right="2880"/>
        <w:jc w:val="left"/>
      </w:pPr>
      <w:r>
        <w:rPr/>
        <w:t>（1）金融工具的确认和终止确认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before="60"/>
        <w:ind w:right="0"/>
        <w:jc w:val="both"/>
      </w:pPr>
      <w:r>
        <w:rPr/>
        <w:t>①</w:t>
      </w:r>
      <w:r>
        <w:rPr>
          <w:spacing w:val="-4"/>
        </w:rPr>
        <w:t> </w:t>
      </w:r>
      <w:r>
        <w:rPr/>
        <w:t>收取该金融资产现金流量的合同权利终止；</w:t>
      </w:r>
    </w:p>
    <w:p>
      <w:pPr>
        <w:spacing w:line="240" w:lineRule="auto" w:before="5"/>
        <w:rPr>
          <w:rFonts w:ascii="宋体" w:hAnsi="宋体" w:cs="宋体" w:eastAsia="宋体" w:hint="default"/>
          <w:sz w:val="19"/>
          <w:szCs w:val="19"/>
        </w:rPr>
      </w:pPr>
    </w:p>
    <w:p>
      <w:pPr>
        <w:pStyle w:val="BodyText"/>
        <w:spacing w:line="240" w:lineRule="auto"/>
        <w:ind w:right="0"/>
        <w:jc w:val="both"/>
      </w:pPr>
      <w:r>
        <w:rPr/>
        <w:t>②</w:t>
      </w:r>
      <w:r>
        <w:rPr>
          <w:spacing w:val="-7"/>
        </w:rPr>
        <w:t> </w:t>
      </w:r>
      <w:r>
        <w:rPr/>
        <w:t>该金融资产已转移，且符合下述金融资产转移的终止确认条件。</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金融负债的现时义务全部或部分已经解除的，终止确认该金融负债或其一部分。本公司（债务人）与债权</w:t>
      </w:r>
      <w:r>
        <w:rPr>
          <w:spacing w:val="-45"/>
        </w:rPr>
        <w:t> </w:t>
      </w:r>
      <w:r>
        <w:rPr>
          <w:spacing w:val="-45"/>
        </w:rPr>
      </w:r>
      <w:r>
        <w:rPr>
          <w:spacing w:val="-2"/>
        </w:rPr>
        <w:t>人之间签订协议，以承担新金融负债方式替换现存金融负债，且新金融负债与现存金融负债的合同条款实</w:t>
      </w:r>
      <w:r>
        <w:rPr>
          <w:spacing w:val="-43"/>
        </w:rPr>
        <w:t> </w:t>
      </w:r>
      <w:r>
        <w:rPr>
          <w:spacing w:val="-43"/>
        </w:rPr>
      </w:r>
      <w:r>
        <w:rPr/>
        <w:t>质上不同的，终止确认现存金融负债，并同时确认新金融负债。</w:t>
      </w:r>
    </w:p>
    <w:p>
      <w:pPr>
        <w:spacing w:line="240" w:lineRule="auto" w:before="1"/>
        <w:rPr>
          <w:rFonts w:ascii="宋体" w:hAnsi="宋体" w:cs="宋体" w:eastAsia="宋体" w:hint="default"/>
          <w:sz w:val="17"/>
          <w:szCs w:val="17"/>
        </w:rPr>
      </w:pPr>
    </w:p>
    <w:p>
      <w:pPr>
        <w:pStyle w:val="BodyText"/>
        <w:spacing w:line="240" w:lineRule="auto"/>
        <w:ind w:right="0"/>
        <w:jc w:val="both"/>
      </w:pPr>
      <w:r>
        <w:rPr/>
        <w:t>以常规方式买卖金融资产，按交易日进行会计确认和终止确认。</w:t>
      </w:r>
    </w:p>
    <w:p>
      <w:pPr>
        <w:spacing w:line="240" w:lineRule="auto" w:before="5"/>
        <w:rPr>
          <w:rFonts w:ascii="宋体" w:hAnsi="宋体" w:cs="宋体" w:eastAsia="宋体" w:hint="default"/>
          <w:sz w:val="19"/>
          <w:szCs w:val="19"/>
        </w:rPr>
      </w:pPr>
    </w:p>
    <w:p>
      <w:pPr>
        <w:pStyle w:val="BodyText"/>
        <w:spacing w:line="240" w:lineRule="auto"/>
        <w:ind w:right="0"/>
        <w:jc w:val="both"/>
      </w:pPr>
      <w:r>
        <w:rPr/>
        <w:t>（2）金融资产分类和计量</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本公司的金融资产于初始确认时分为以下四类：以公允价值计量且其变动计入当期损益的金融资产、持有</w:t>
      </w:r>
      <w:r>
        <w:rPr>
          <w:spacing w:val="-43"/>
        </w:rPr>
        <w:t> </w:t>
      </w:r>
      <w:r>
        <w:rPr>
          <w:spacing w:val="-43"/>
        </w:rPr>
      </w:r>
      <w:r>
        <w:rPr>
          <w:spacing w:val="-2"/>
        </w:rPr>
        <w:t>至到期投资、贷款和应收款项、可供出售金融资产。金融资产在初始确认时以公允价值计量。对于以公允</w:t>
      </w:r>
      <w:r>
        <w:rPr>
          <w:spacing w:val="-50"/>
        </w:rPr>
        <w:t> </w:t>
      </w:r>
      <w:r>
        <w:rPr>
          <w:spacing w:val="-50"/>
        </w:rPr>
      </w:r>
      <w:r>
        <w:rPr>
          <w:spacing w:val="-2"/>
        </w:rPr>
        <w:t>价值计量且其变动计入当期损益的金融资产，相关交易费用直接计入当期损益，其他类别的金融资产相关</w:t>
      </w:r>
      <w:r>
        <w:rPr>
          <w:spacing w:val="-44"/>
        </w:rPr>
        <w:t> </w:t>
      </w:r>
      <w:r>
        <w:rPr>
          <w:spacing w:val="-44"/>
        </w:rPr>
      </w:r>
      <w:r>
        <w:rPr/>
        <w:t>交易费用计入其初始确认金额。</w:t>
      </w:r>
    </w:p>
    <w:p>
      <w:pPr>
        <w:spacing w:line="240" w:lineRule="auto" w:before="1"/>
        <w:rPr>
          <w:rFonts w:ascii="宋体" w:hAnsi="宋体" w:cs="宋体" w:eastAsia="宋体" w:hint="default"/>
          <w:sz w:val="17"/>
          <w:szCs w:val="17"/>
        </w:rPr>
      </w:pPr>
    </w:p>
    <w:p>
      <w:pPr>
        <w:pStyle w:val="BodyText"/>
        <w:spacing w:line="240" w:lineRule="auto"/>
        <w:ind w:right="0"/>
        <w:jc w:val="both"/>
      </w:pPr>
      <w:r>
        <w:rPr/>
        <w:t>以公允价值计量且其变动计入当期损益的金融资产</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以公允价值计量且其变动计入当期损益的金融资产，包括交易性金融资产和初始确认时指定为以公允价值</w:t>
      </w:r>
      <w:r>
        <w:rPr>
          <w:spacing w:val="-43"/>
        </w:rPr>
        <w:t> </w:t>
      </w:r>
      <w:r>
        <w:rPr>
          <w:spacing w:val="-43"/>
        </w:rPr>
      </w:r>
      <w:r>
        <w:rPr>
          <w:spacing w:val="-2"/>
        </w:rPr>
        <w:t>计量且其变动计入当期损益的金融资产。对于此类金融资产，采用公允价值进行后续计量，公允价值变动</w:t>
      </w:r>
      <w:r>
        <w:rPr>
          <w:spacing w:val="-45"/>
        </w:rPr>
        <w:t> </w:t>
      </w:r>
      <w:r>
        <w:rPr>
          <w:spacing w:val="-45"/>
        </w:rPr>
      </w:r>
      <w:r>
        <w:rPr/>
        <w:t>形成的利得或损失以及与该等金融资产相关的股利和利息收入计入当期损益。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持有至到期投资</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持有至到期投资，是指到期日固定、回收金额固定或可确定，且本公司有明确意图和能力持有至到期的非</w:t>
      </w:r>
      <w:r>
        <w:rPr>
          <w:spacing w:val="-45"/>
        </w:rPr>
        <w:t> </w:t>
      </w:r>
      <w:r>
        <w:rPr>
          <w:spacing w:val="-45"/>
        </w:rPr>
      </w:r>
      <w:r>
        <w:rPr>
          <w:spacing w:val="-2"/>
        </w:rPr>
        <w:t>衍生金融资产。持有至到期投资采用实际利率法，按照摊余成本进行后续计量，其终止确认、发生减值或</w:t>
      </w:r>
      <w:r>
        <w:rPr>
          <w:spacing w:val="-48"/>
        </w:rPr>
        <w:t> </w:t>
      </w:r>
      <w:r>
        <w:rPr>
          <w:spacing w:val="-48"/>
        </w:rPr>
      </w:r>
      <w:r>
        <w:rPr/>
        <w:t>摊销产生的利得或损失，均计入当期损益。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应收款项</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应收款项，是指在活跃市场中没有报价、回收金额固定或可确定的非衍生金融资产，包括应收账款和其他</w:t>
      </w:r>
      <w:r>
        <w:rPr>
          <w:spacing w:val="-45"/>
        </w:rPr>
        <w:t> </w:t>
      </w:r>
      <w:r>
        <w:rPr>
          <w:spacing w:val="-45"/>
        </w:rPr>
      </w:r>
      <w:r>
        <w:rPr>
          <w:spacing w:val="-3"/>
        </w:rPr>
        <w:t>应收款等。应收款项采用实际利率法，按摊余成本进行后续计量，在终止确认、发生减值或摊销时产生的</w:t>
      </w:r>
      <w:r>
        <w:rPr>
          <w:spacing w:val="-5"/>
        </w:rPr>
        <w:t> </w:t>
      </w:r>
      <w:r>
        <w:rPr>
          <w:spacing w:val="-5"/>
        </w:rPr>
      </w:r>
      <w:r>
        <w:rPr/>
        <w:t>利得或损失，计入当期损益。</w:t>
      </w:r>
    </w:p>
    <w:p>
      <w:pPr>
        <w:spacing w:after="0" w:line="273"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可供出售金融资产，是指初始确认时即指定为可供出售的非衍生金融资产，以及除上述金融资产类别以外</w:t>
      </w:r>
      <w:r>
        <w:rPr>
          <w:spacing w:val="-44"/>
        </w:rPr>
        <w:t> </w:t>
      </w:r>
      <w:r>
        <w:rPr>
          <w:spacing w:val="-44"/>
        </w:rPr>
      </w:r>
      <w:r>
        <w:rPr>
          <w:spacing w:val="-2"/>
        </w:rPr>
        <w:t>的金融资产。可供出售金融资产采用公允价值进行后续计量，其折溢价采用实际利率法摊销并确认为利息</w:t>
      </w:r>
      <w:r>
        <w:rPr>
          <w:spacing w:val="-43"/>
        </w:rPr>
        <w:t> </w:t>
      </w:r>
      <w:r>
        <w:rPr>
          <w:spacing w:val="-43"/>
        </w:rPr>
      </w:r>
      <w:r>
        <w:rPr>
          <w:spacing w:val="-2"/>
        </w:rPr>
        <w:t>收入。除减值损失及外币货币性金融资产的汇兑差额确认为当期损益外，可供出售金融资产的公允价值变</w:t>
      </w:r>
      <w:r>
        <w:rPr>
          <w:spacing w:val="-42"/>
        </w:rPr>
        <w:t> </w:t>
      </w:r>
      <w:r>
        <w:rPr>
          <w:spacing w:val="-42"/>
        </w:rPr>
      </w:r>
      <w:r>
        <w:rPr>
          <w:spacing w:val="-2"/>
        </w:rPr>
        <w:t>动确认为其他综合收益，在该金融资产终止确认时转出，计入当期损益。与可供出售金融资产相关的股利</w:t>
      </w:r>
      <w:r>
        <w:rPr>
          <w:spacing w:val="-44"/>
        </w:rPr>
        <w:t> </w:t>
      </w:r>
      <w:r>
        <w:rPr>
          <w:spacing w:val="-44"/>
        </w:rPr>
      </w:r>
      <w:r>
        <w:rPr/>
        <w:t>或利息收入，计入当期损益。</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对于在活跃市场中没有报价且其公允价值不能可靠计量的权益工具投资，以及与该权益工具挂钩并须通过</w:t>
      </w:r>
      <w:r>
        <w:rPr>
          <w:spacing w:val="-42"/>
        </w:rPr>
        <w:t> </w:t>
      </w:r>
      <w:r>
        <w:rPr>
          <w:spacing w:val="-42"/>
        </w:rPr>
      </w:r>
      <w:r>
        <w:rPr/>
        <w:t>交付该权益工具结算的衍生金融资产，按成本计量。</w:t>
      </w:r>
    </w:p>
    <w:p>
      <w:pPr>
        <w:spacing w:line="240" w:lineRule="auto" w:before="1"/>
        <w:rPr>
          <w:rFonts w:ascii="宋体" w:hAnsi="宋体" w:cs="宋体" w:eastAsia="宋体" w:hint="default"/>
          <w:sz w:val="17"/>
          <w:szCs w:val="17"/>
        </w:rPr>
      </w:pPr>
    </w:p>
    <w:p>
      <w:pPr>
        <w:pStyle w:val="BodyText"/>
        <w:spacing w:line="240" w:lineRule="auto"/>
        <w:ind w:right="0"/>
        <w:jc w:val="both"/>
      </w:pPr>
      <w:r>
        <w:rPr/>
        <w:t>（3）金融负债分类和计量</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本公司的金融负债于初始确认时分类为：以公允价值计量且其变动计入当期损益的金融负债、其他金融负</w:t>
      </w:r>
      <w:r>
        <w:rPr>
          <w:spacing w:val="-43"/>
        </w:rPr>
        <w:t> </w:t>
      </w:r>
      <w:r>
        <w:rPr>
          <w:spacing w:val="-43"/>
        </w:rPr>
      </w:r>
      <w:r>
        <w:rPr>
          <w:spacing w:val="-2"/>
        </w:rPr>
        <w:t>债。对于未划分为以公允价值计量且其变动计入当期损益的金融负债的，相关交易费用计入其初始确认金</w:t>
      </w:r>
      <w:r>
        <w:rPr>
          <w:spacing w:val="-42"/>
        </w:rPr>
        <w:t> </w:t>
      </w:r>
      <w:r>
        <w:rPr>
          <w:spacing w:val="-42"/>
        </w:rPr>
      </w:r>
      <w:r>
        <w:rPr/>
        <w:t>额。</w:t>
      </w:r>
    </w:p>
    <w:p>
      <w:pPr>
        <w:spacing w:line="240" w:lineRule="auto" w:before="1"/>
        <w:rPr>
          <w:rFonts w:ascii="宋体" w:hAnsi="宋体" w:cs="宋体" w:eastAsia="宋体" w:hint="default"/>
          <w:sz w:val="17"/>
          <w:szCs w:val="17"/>
        </w:rPr>
      </w:pPr>
    </w:p>
    <w:p>
      <w:pPr>
        <w:pStyle w:val="BodyText"/>
        <w:spacing w:line="240" w:lineRule="auto"/>
        <w:ind w:right="0"/>
        <w:jc w:val="both"/>
      </w:pPr>
      <w:r>
        <w:rPr/>
        <w:t>以公允价值计量且其变动计入当期损益的金融负债</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以公允价值计量且其变动计入当期损益的金融负债，包括交易性金融负债和初始确认时指定为以公允价值</w:t>
      </w:r>
      <w:r>
        <w:rPr>
          <w:spacing w:val="-44"/>
        </w:rPr>
        <w:t> </w:t>
      </w:r>
      <w:r>
        <w:rPr>
          <w:spacing w:val="-44"/>
        </w:rPr>
      </w:r>
      <w:r>
        <w:rPr>
          <w:spacing w:val="-2"/>
        </w:rPr>
        <w:t>计量且其变动计入当期损益的金融负债。对于此类金融负债，按照公允价值进行后续计量，公允价值变动</w:t>
      </w:r>
      <w:r>
        <w:rPr>
          <w:spacing w:val="-45"/>
        </w:rPr>
        <w:t> </w:t>
      </w:r>
      <w:r>
        <w:rPr>
          <w:spacing w:val="-45"/>
        </w:rPr>
      </w:r>
      <w:r>
        <w:rPr/>
        <w:t>形成的利得或损失以及与该等金融负债相关的股利和利息支出计入当期损益。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其他金融负债</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与在活跃市场中没有报价、公允价值不能可靠计量的权益工具挂钩并须通过交付该权益工具结算的衍生金</w:t>
      </w:r>
      <w:r>
        <w:rPr>
          <w:spacing w:val="-43"/>
        </w:rPr>
        <w:t> </w:t>
      </w:r>
      <w:r>
        <w:rPr>
          <w:spacing w:val="-43"/>
        </w:rPr>
      </w:r>
      <w:r>
        <w:rPr>
          <w:spacing w:val="-2"/>
        </w:rPr>
        <w:t>融负债，按照成本进行后续计量。其他金融负债采用实际利率法，按摊余成本进行后续计量，终止确认或</w:t>
      </w:r>
      <w:r>
        <w:rPr>
          <w:spacing w:val="-50"/>
        </w:rPr>
        <w:t> </w:t>
      </w:r>
      <w:r>
        <w:rPr>
          <w:spacing w:val="-50"/>
        </w:rPr>
      </w:r>
      <w:r>
        <w:rPr/>
        <w:t>摊销产生的利得或损失计入当期损益。</w:t>
      </w:r>
    </w:p>
    <w:p>
      <w:pPr>
        <w:spacing w:line="240" w:lineRule="auto" w:before="13"/>
        <w:rPr>
          <w:rFonts w:ascii="宋体" w:hAnsi="宋体" w:cs="宋体" w:eastAsia="宋体" w:hint="default"/>
          <w:sz w:val="14"/>
          <w:szCs w:val="14"/>
        </w:rPr>
      </w:pPr>
    </w:p>
    <w:p>
      <w:pPr>
        <w:spacing w:before="0"/>
        <w:ind w:left="106" w:right="0" w:firstLine="0"/>
        <w:jc w:val="both"/>
        <w:rPr>
          <w:rFonts w:ascii="宋体" w:hAnsi="宋体" w:cs="宋体" w:eastAsia="宋体" w:hint="default"/>
          <w:sz w:val="24"/>
          <w:szCs w:val="24"/>
        </w:rPr>
      </w:pPr>
      <w:r>
        <w:rPr>
          <w:rFonts w:ascii="宋体" w:hAnsi="宋体" w:cs="宋体" w:eastAsia="宋体" w:hint="default"/>
          <w:sz w:val="21"/>
          <w:szCs w:val="21"/>
        </w:rPr>
        <w:t>（4）</w:t>
      </w:r>
      <w:r>
        <w:rPr>
          <w:rFonts w:ascii="宋体" w:hAnsi="宋体" w:cs="宋体" w:eastAsia="宋体" w:hint="default"/>
          <w:sz w:val="24"/>
          <w:szCs w:val="24"/>
        </w:rPr>
        <w:t>金融工具的公允价值</w:t>
      </w:r>
    </w:p>
    <w:p>
      <w:pPr>
        <w:spacing w:line="240" w:lineRule="auto" w:before="10"/>
        <w:rPr>
          <w:rFonts w:ascii="宋体" w:hAnsi="宋体" w:cs="宋体" w:eastAsia="宋体" w:hint="default"/>
          <w:sz w:val="21"/>
          <w:szCs w:val="21"/>
        </w:rPr>
      </w:pPr>
    </w:p>
    <w:p>
      <w:pPr>
        <w:pStyle w:val="BodyText"/>
        <w:spacing w:line="237" w:lineRule="auto"/>
        <w:ind w:right="145"/>
        <w:jc w:val="both"/>
      </w:pPr>
      <w:r>
        <w:rPr>
          <w:spacing w:val="-2"/>
        </w:rPr>
        <w:t>本公司以公允价值计量相关资产或负债，假定出售资产或者转移负债的有序交易在相关资产或负债的主要</w:t>
      </w:r>
      <w:r>
        <w:rPr>
          <w:spacing w:val="-44"/>
        </w:rPr>
        <w:t> </w:t>
      </w:r>
      <w:r>
        <w:rPr>
          <w:spacing w:val="-44"/>
        </w:rPr>
      </w:r>
      <w:r>
        <w:rPr>
          <w:spacing w:val="-2"/>
        </w:rPr>
        <w:t>市场进行；不存在主要市场的，本公司假定该交易在相关资产或负债的最有利市场进行。主要市场（或最</w:t>
      </w:r>
      <w:r>
        <w:rPr>
          <w:spacing w:val="-47"/>
        </w:rPr>
        <w:t> </w:t>
      </w:r>
      <w:r>
        <w:rPr>
          <w:spacing w:val="-47"/>
        </w:rPr>
      </w:r>
      <w:r>
        <w:rPr>
          <w:spacing w:val="-2"/>
        </w:rPr>
        <w:t>有利市场）是本公司在计量日能够进入的交易市场。本公司采用市场参与者在对该资产或负债定价时为实</w:t>
      </w:r>
      <w:r>
        <w:rPr>
          <w:spacing w:val="-42"/>
        </w:rPr>
        <w:t> </w:t>
      </w:r>
      <w:r>
        <w:rPr>
          <w:spacing w:val="-42"/>
        </w:rPr>
      </w:r>
      <w:r>
        <w:rPr/>
        <w:t>现其经济利益最大化所使用的假设。</w:t>
      </w:r>
    </w:p>
    <w:p>
      <w:pPr>
        <w:spacing w:line="240" w:lineRule="auto" w:before="4"/>
        <w:rPr>
          <w:rFonts w:ascii="宋体" w:hAnsi="宋体" w:cs="宋体" w:eastAsia="宋体" w:hint="default"/>
          <w:sz w:val="23"/>
          <w:szCs w:val="23"/>
        </w:rPr>
      </w:pPr>
    </w:p>
    <w:p>
      <w:pPr>
        <w:pStyle w:val="BodyText"/>
        <w:spacing w:line="272" w:lineRule="exact"/>
        <w:ind w:right="145"/>
        <w:jc w:val="both"/>
      </w:pPr>
      <w:r>
        <w:rPr>
          <w:spacing w:val="-2"/>
        </w:rPr>
        <w:t>存在活跃市场的金融资产或金融负债，本公司采用活跃市场中的报价确定其公允价值。金融工具不存在活</w:t>
      </w:r>
      <w:r>
        <w:rPr>
          <w:spacing w:val="-43"/>
        </w:rPr>
        <w:t> </w:t>
      </w:r>
      <w:r>
        <w:rPr>
          <w:spacing w:val="-43"/>
        </w:rPr>
      </w:r>
      <w:r>
        <w:rPr/>
        <w:t>跃市场的，本公司采用估值技术确定其公允价值。</w:t>
      </w:r>
    </w:p>
    <w:p>
      <w:pPr>
        <w:spacing w:line="240" w:lineRule="auto" w:before="8"/>
        <w:rPr>
          <w:rFonts w:ascii="宋体" w:hAnsi="宋体" w:cs="宋体" w:eastAsia="宋体" w:hint="default"/>
          <w:sz w:val="21"/>
          <w:szCs w:val="21"/>
        </w:rPr>
      </w:pPr>
    </w:p>
    <w:p>
      <w:pPr>
        <w:pStyle w:val="BodyText"/>
        <w:spacing w:line="272" w:lineRule="exact"/>
        <w:ind w:right="145"/>
        <w:jc w:val="both"/>
      </w:pPr>
      <w:r>
        <w:rPr>
          <w:spacing w:val="-2"/>
        </w:rPr>
        <w:t>本公司采用在当前情况下适用并且有足够可利用数据和其他信息支持的估值技术，优先使用相关可观察输</w:t>
      </w:r>
      <w:r>
        <w:rPr>
          <w:spacing w:val="-44"/>
        </w:rPr>
        <w:t> </w:t>
      </w:r>
      <w:r>
        <w:rPr>
          <w:spacing w:val="-44"/>
        </w:rPr>
      </w:r>
      <w:r>
        <w:rPr/>
        <w:t>入值，只有在可观察输入值无法取得或取得不切实可行的情况下，才使用不可观察输入值。</w:t>
      </w:r>
    </w:p>
    <w:p>
      <w:pPr>
        <w:spacing w:line="240" w:lineRule="auto" w:before="6"/>
        <w:rPr>
          <w:rFonts w:ascii="宋体" w:hAnsi="宋体" w:cs="宋体" w:eastAsia="宋体" w:hint="default"/>
          <w:sz w:val="19"/>
          <w:szCs w:val="19"/>
        </w:rPr>
      </w:pPr>
    </w:p>
    <w:p>
      <w:pPr>
        <w:pStyle w:val="BodyText"/>
        <w:spacing w:line="237" w:lineRule="auto"/>
        <w:ind w:right="145"/>
        <w:jc w:val="both"/>
      </w:pPr>
      <w:r>
        <w:rPr>
          <w:spacing w:val="-2"/>
        </w:rPr>
        <w:t>在财务报表中以公允价值计量或披露的资产和负债，根据对公允价值计量整体而言具有重要意义的最低层</w:t>
      </w:r>
      <w:r>
        <w:rPr>
          <w:spacing w:val="-43"/>
        </w:rPr>
        <w:t> </w:t>
      </w:r>
      <w:r>
        <w:rPr>
          <w:spacing w:val="-43"/>
        </w:rPr>
      </w:r>
      <w:r>
        <w:rPr>
          <w:spacing w:val="-2"/>
        </w:rPr>
        <w:t>次输入值，确定所属的公允价值层次：第一层次输入值，是在计量日能够取得的相同资产或负债在活跃市</w:t>
      </w:r>
      <w:r>
        <w:rPr>
          <w:spacing w:val="-44"/>
        </w:rPr>
        <w:t> </w:t>
      </w:r>
      <w:r>
        <w:rPr>
          <w:spacing w:val="-44"/>
        </w:rPr>
      </w:r>
      <w:r>
        <w:rPr>
          <w:spacing w:val="-2"/>
        </w:rPr>
        <w:t>场上未经调整的报价；第二层次输入值，是除第一层次输入值外相关资产或负债直接或间接可观察的输入</w:t>
      </w:r>
      <w:r>
        <w:rPr>
          <w:spacing w:val="-43"/>
        </w:rPr>
        <w:t> </w:t>
      </w:r>
      <w:r>
        <w:rPr>
          <w:spacing w:val="-43"/>
        </w:rPr>
      </w:r>
      <w:r>
        <w:rPr/>
        <w:t>值；第三层次输入值，是相关资产或负债的不可观察输入值。</w:t>
      </w:r>
    </w:p>
    <w:p>
      <w:pPr>
        <w:spacing w:line="240" w:lineRule="auto" w:before="11"/>
        <w:rPr>
          <w:rFonts w:ascii="宋体" w:hAnsi="宋体" w:cs="宋体" w:eastAsia="宋体" w:hint="default"/>
          <w:sz w:val="22"/>
          <w:szCs w:val="22"/>
        </w:rPr>
      </w:pPr>
    </w:p>
    <w:p>
      <w:pPr>
        <w:pStyle w:val="BodyText"/>
        <w:spacing w:line="273" w:lineRule="auto"/>
        <w:ind w:right="145"/>
        <w:jc w:val="both"/>
      </w:pPr>
      <w:r>
        <w:rPr>
          <w:spacing w:val="-2"/>
        </w:rPr>
        <w:t>每个资产负债表日，本公司对在财务报表中确认的持续以公允价值计量的资产和负债进行重新评估，以确</w:t>
      </w:r>
      <w:r>
        <w:rPr>
          <w:spacing w:val="-44"/>
        </w:rPr>
        <w:t> </w:t>
      </w:r>
      <w:r>
        <w:rPr>
          <w:spacing w:val="-44"/>
        </w:rPr>
      </w:r>
      <w:r>
        <w:rPr/>
        <w:t>定是否在公允价值计量层次之间发生转换。</w:t>
      </w:r>
    </w:p>
    <w:p>
      <w:pPr>
        <w:spacing w:after="0" w:line="273"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（5）金融资产减值</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除了以公允价值计量且其变动计入当期损益的金融资产外，本公司于资产负债表日对其他金融资产的账面</w:t>
      </w:r>
      <w:r>
        <w:rPr>
          <w:spacing w:val="-42"/>
        </w:rPr>
        <w:t> </w:t>
      </w:r>
      <w:r>
        <w:rPr>
          <w:spacing w:val="-42"/>
        </w:rPr>
      </w:r>
      <w:r>
        <w:rPr>
          <w:spacing w:val="-2"/>
        </w:rPr>
        <w:t>价值进行检查，有客观证据表明该金融资产发生减值的，计提减值准备。表明金融资产发生减值的客观证</w:t>
      </w:r>
      <w:r>
        <w:rPr>
          <w:spacing w:val="-44"/>
        </w:rPr>
        <w:t> </w:t>
      </w:r>
      <w:r>
        <w:rPr>
          <w:spacing w:val="-44"/>
        </w:rPr>
      </w:r>
      <w:r>
        <w:rPr>
          <w:spacing w:val="-2"/>
        </w:rPr>
        <w:t>据，是指金融资产初始确认后实际发生的、对该金融资产的预计未来现金流量有影响，且企业能够对该影</w:t>
      </w:r>
      <w:r>
        <w:rPr>
          <w:spacing w:val="-44"/>
        </w:rPr>
        <w:t> </w:t>
      </w:r>
      <w:r>
        <w:rPr>
          <w:spacing w:val="-44"/>
        </w:rPr>
      </w:r>
      <w:r>
        <w:rPr/>
        <w:t>响进行可靠计量的事项。</w:t>
      </w:r>
    </w:p>
    <w:p>
      <w:pPr>
        <w:spacing w:line="240" w:lineRule="auto" w:before="1"/>
        <w:rPr>
          <w:rFonts w:ascii="宋体" w:hAnsi="宋体" w:cs="宋体" w:eastAsia="宋体" w:hint="default"/>
          <w:sz w:val="17"/>
          <w:szCs w:val="17"/>
        </w:rPr>
      </w:pPr>
    </w:p>
    <w:p>
      <w:pPr>
        <w:pStyle w:val="BodyText"/>
        <w:spacing w:line="240" w:lineRule="auto"/>
        <w:ind w:right="0"/>
        <w:jc w:val="both"/>
      </w:pPr>
      <w:r>
        <w:rPr/>
        <w:t>金融资产发生减值的客观证据，包括下列可观察到的情形：</w:t>
      </w:r>
    </w:p>
    <w:p>
      <w:pPr>
        <w:spacing w:line="240" w:lineRule="auto" w:before="5"/>
        <w:rPr>
          <w:rFonts w:ascii="宋体" w:hAnsi="宋体" w:cs="宋体" w:eastAsia="宋体" w:hint="default"/>
          <w:sz w:val="19"/>
          <w:szCs w:val="19"/>
        </w:rPr>
      </w:pPr>
    </w:p>
    <w:p>
      <w:pPr>
        <w:pStyle w:val="BodyText"/>
        <w:spacing w:line="240" w:lineRule="auto"/>
        <w:ind w:right="0"/>
        <w:jc w:val="both"/>
      </w:pPr>
      <w:r>
        <w:rPr/>
        <w:t>①发行方或债务人发生严重财务困难；</w:t>
      </w:r>
    </w:p>
    <w:p>
      <w:pPr>
        <w:spacing w:line="240" w:lineRule="auto" w:before="5"/>
        <w:rPr>
          <w:rFonts w:ascii="宋体" w:hAnsi="宋体" w:cs="宋体" w:eastAsia="宋体" w:hint="default"/>
          <w:sz w:val="19"/>
          <w:szCs w:val="19"/>
        </w:rPr>
      </w:pPr>
    </w:p>
    <w:p>
      <w:pPr>
        <w:pStyle w:val="BodyText"/>
        <w:spacing w:line="240" w:lineRule="auto"/>
        <w:ind w:right="0"/>
        <w:jc w:val="both"/>
      </w:pPr>
      <w:r>
        <w:rPr/>
        <w:t>②债务人违反了合同条款，如偿付利息或本金发生违约或逾期等；</w:t>
      </w:r>
    </w:p>
    <w:p>
      <w:pPr>
        <w:spacing w:line="240" w:lineRule="auto" w:before="5"/>
        <w:rPr>
          <w:rFonts w:ascii="宋体" w:hAnsi="宋体" w:cs="宋体" w:eastAsia="宋体" w:hint="default"/>
          <w:sz w:val="19"/>
          <w:szCs w:val="19"/>
        </w:rPr>
      </w:pPr>
    </w:p>
    <w:p>
      <w:pPr>
        <w:pStyle w:val="BodyText"/>
        <w:spacing w:line="240" w:lineRule="auto"/>
        <w:ind w:right="0"/>
        <w:jc w:val="both"/>
      </w:pPr>
      <w:r>
        <w:rPr/>
        <w:t>③本公司出于经济或法律等方面因素的考虑，对发生财务困难的债务人作出让步；</w:t>
      </w:r>
    </w:p>
    <w:p>
      <w:pPr>
        <w:spacing w:line="240" w:lineRule="auto" w:before="5"/>
        <w:rPr>
          <w:rFonts w:ascii="宋体" w:hAnsi="宋体" w:cs="宋体" w:eastAsia="宋体" w:hint="default"/>
          <w:sz w:val="19"/>
          <w:szCs w:val="19"/>
        </w:rPr>
      </w:pPr>
    </w:p>
    <w:p>
      <w:pPr>
        <w:pStyle w:val="BodyText"/>
        <w:spacing w:line="240" w:lineRule="auto"/>
        <w:ind w:right="0"/>
        <w:jc w:val="both"/>
      </w:pPr>
      <w:r>
        <w:rPr/>
        <w:t>④债务人很可能倒闭或者进行其他财务重组；</w:t>
      </w:r>
    </w:p>
    <w:p>
      <w:pPr>
        <w:spacing w:line="240" w:lineRule="auto" w:before="5"/>
        <w:rPr>
          <w:rFonts w:ascii="宋体" w:hAnsi="宋体" w:cs="宋体" w:eastAsia="宋体" w:hint="default"/>
          <w:sz w:val="19"/>
          <w:szCs w:val="19"/>
        </w:rPr>
      </w:pPr>
    </w:p>
    <w:p>
      <w:pPr>
        <w:pStyle w:val="BodyText"/>
        <w:spacing w:line="240" w:lineRule="auto"/>
        <w:ind w:right="0"/>
        <w:jc w:val="both"/>
      </w:pPr>
      <w:r>
        <w:rPr/>
        <w:t>⑤因发行方发生重大财务困难，导致金融资产无法在活跃市场继续交易；</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⑥无法辨认一组金融资产中的某项资产的现金流量是否已经减少，但根据公开的数据对其进行总体评价后</w:t>
      </w:r>
      <w:r>
        <w:rPr>
          <w:spacing w:val="-43"/>
        </w:rPr>
        <w:t> </w:t>
      </w:r>
      <w:r>
        <w:rPr>
          <w:spacing w:val="-43"/>
        </w:rPr>
      </w:r>
      <w:r>
        <w:rPr/>
        <w:t>发现，该组金融资产自初始确认以来的预计未来现金流量确已减少且可计量，包括：</w:t>
      </w:r>
    </w:p>
    <w:p>
      <w:pPr>
        <w:spacing w:line="240" w:lineRule="auto" w:before="1"/>
        <w:rPr>
          <w:rFonts w:ascii="宋体" w:hAnsi="宋体" w:cs="宋体" w:eastAsia="宋体" w:hint="default"/>
          <w:sz w:val="17"/>
          <w:szCs w:val="17"/>
        </w:rPr>
      </w:pPr>
    </w:p>
    <w:p>
      <w:pPr>
        <w:pStyle w:val="BodyText"/>
        <w:spacing w:line="240" w:lineRule="auto"/>
        <w:ind w:left="574" w:right="2880"/>
        <w:jc w:val="left"/>
      </w:pPr>
      <w:r>
        <w:rPr/>
        <w:t>-</w:t>
      </w:r>
      <w:r>
        <w:rPr>
          <w:spacing w:val="-2"/>
        </w:rPr>
        <w:t> </w:t>
      </w:r>
      <w:r>
        <w:rPr/>
        <w:t>该组金融资产的债务人支付能力逐步恶化；</w:t>
      </w:r>
    </w:p>
    <w:p>
      <w:pPr>
        <w:spacing w:line="240" w:lineRule="auto" w:before="5"/>
        <w:rPr>
          <w:rFonts w:ascii="宋体" w:hAnsi="宋体" w:cs="宋体" w:eastAsia="宋体" w:hint="default"/>
          <w:sz w:val="19"/>
          <w:szCs w:val="19"/>
        </w:rPr>
      </w:pPr>
    </w:p>
    <w:p>
      <w:pPr>
        <w:pStyle w:val="BodyText"/>
        <w:spacing w:line="240" w:lineRule="auto"/>
        <w:ind w:left="574" w:right="0"/>
        <w:jc w:val="left"/>
      </w:pPr>
      <w:r>
        <w:rPr/>
        <w:t>-</w:t>
      </w:r>
      <w:r>
        <w:rPr>
          <w:spacing w:val="-5"/>
        </w:rPr>
        <w:t> </w:t>
      </w:r>
      <w:r>
        <w:rPr/>
        <w:t>债务人所在国家或地区经济出现了可能导致该组金融资产无法支付的状况；</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⑦债务人经营所处的技术、市场、经济或法律环境等发生重大不利变化，使权益工具投资人可能无法收回</w:t>
      </w:r>
      <w:r>
        <w:rPr>
          <w:spacing w:val="-45"/>
        </w:rPr>
        <w:t> </w:t>
      </w:r>
      <w:r>
        <w:rPr>
          <w:spacing w:val="-45"/>
        </w:rPr>
      </w:r>
      <w:r>
        <w:rPr/>
        <w:t>投资成本；</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⑧权益工具投资的公允价值发生严重或非暂时性下跌，如权益工具投资于资产负债表日的公允价值低于其</w:t>
      </w:r>
      <w:r>
        <w:rPr>
          <w:spacing w:val="-43"/>
        </w:rPr>
        <w:t> </w:t>
      </w:r>
      <w:r>
        <w:rPr>
          <w:spacing w:val="-43"/>
        </w:rPr>
      </w:r>
      <w:r>
        <w:rPr/>
        <w:t>初始投资成本超过50%（含50%）或低于其初始投资成本持续时间超过12个月（含12个月）。</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低于其初始投资成本持续时间超过12个月（含12个月）是指，权益工具投资公允价值月度均值连续12个月</w:t>
      </w:r>
      <w:r>
        <w:rPr>
          <w:spacing w:val="-39"/>
        </w:rPr>
        <w:t> </w:t>
      </w:r>
      <w:r>
        <w:rPr>
          <w:spacing w:val="-39"/>
        </w:rPr>
      </w:r>
      <w:r>
        <w:rPr/>
        <w:t>均低于其初始投资成本</w:t>
      </w:r>
    </w:p>
    <w:p>
      <w:pPr>
        <w:spacing w:line="240" w:lineRule="auto" w:before="1"/>
        <w:rPr>
          <w:rFonts w:ascii="宋体" w:hAnsi="宋体" w:cs="宋体" w:eastAsia="宋体" w:hint="default"/>
          <w:sz w:val="17"/>
          <w:szCs w:val="17"/>
        </w:rPr>
      </w:pPr>
    </w:p>
    <w:p>
      <w:pPr>
        <w:pStyle w:val="BodyText"/>
        <w:spacing w:line="460" w:lineRule="auto"/>
        <w:ind w:right="4492"/>
        <w:jc w:val="left"/>
      </w:pPr>
      <w:r>
        <w:rPr>
          <w:spacing w:val="-2"/>
        </w:rPr>
        <w:t>⑨其他表明金融资产发生减值的客观证据</w:t>
      </w:r>
      <w:r>
        <w:rPr>
          <w:spacing w:val="-69"/>
        </w:rPr>
        <w:t> </w:t>
      </w:r>
      <w:r>
        <w:rPr>
          <w:spacing w:val="-69"/>
        </w:rPr>
      </w:r>
      <w:r>
        <w:rPr/>
        <w:t>以摊余成本计量的金融资产</w:t>
      </w:r>
    </w:p>
    <w:p>
      <w:pPr>
        <w:pStyle w:val="BodyText"/>
        <w:spacing w:line="273" w:lineRule="auto" w:before="60"/>
        <w:ind w:right="145"/>
        <w:jc w:val="both"/>
      </w:pPr>
      <w:r>
        <w:rPr>
          <w:spacing w:val="-2"/>
        </w:rPr>
        <w:t>如果有客观证据表明该金融资产发生减值，则将该金融资产的账面价值减记至预计未来现金流量（不包括</w:t>
      </w:r>
      <w:r>
        <w:rPr>
          <w:spacing w:val="-42"/>
        </w:rPr>
        <w:t> </w:t>
      </w:r>
      <w:r>
        <w:rPr>
          <w:spacing w:val="-42"/>
        </w:rPr>
      </w:r>
      <w:r>
        <w:rPr>
          <w:spacing w:val="-2"/>
        </w:rPr>
        <w:t>尚未发生的未来信用损失）现值，减记金额计入当期损益。预计未来现金流量现值，按照该金融资产原实</w:t>
      </w:r>
      <w:r>
        <w:rPr>
          <w:spacing w:val="-47"/>
        </w:rPr>
        <w:t> </w:t>
      </w:r>
      <w:r>
        <w:rPr>
          <w:spacing w:val="-47"/>
        </w:rPr>
      </w:r>
      <w:r>
        <w:rPr/>
        <w:t>际利率折现确定，并考虑相关担保物的价值。</w:t>
      </w:r>
    </w:p>
    <w:p>
      <w:pPr>
        <w:spacing w:line="240" w:lineRule="auto" w:before="1"/>
        <w:rPr>
          <w:rFonts w:ascii="宋体" w:hAnsi="宋体" w:cs="宋体" w:eastAsia="宋体" w:hint="default"/>
          <w:sz w:val="17"/>
          <w:szCs w:val="17"/>
        </w:rPr>
      </w:pPr>
    </w:p>
    <w:p>
      <w:pPr>
        <w:pStyle w:val="BodyText"/>
        <w:spacing w:line="273" w:lineRule="auto"/>
        <w:ind w:right="123"/>
        <w:jc w:val="both"/>
      </w:pPr>
      <w:r>
        <w:rPr>
          <w:spacing w:val="-2"/>
        </w:rPr>
        <w:t>对单项金额重大的金融资产单独进行减值测试，如有客观证据表明其已发生减值，确认减值损失，计入当</w:t>
      </w:r>
      <w:r>
        <w:rPr>
          <w:spacing w:val="-44"/>
        </w:rPr>
        <w:t> </w:t>
      </w:r>
      <w:r>
        <w:rPr>
          <w:spacing w:val="-44"/>
        </w:rPr>
      </w:r>
      <w:r>
        <w:rPr>
          <w:spacing w:val="-2"/>
        </w:rPr>
        <w:t>期损益。对单项金额不重大的金融资产，包括在具有类似信用风险特征的金融资产组合中进行减值测试。</w:t>
      </w:r>
      <w:r>
        <w:rPr>
          <w:spacing w:val="-22"/>
        </w:rPr>
        <w:t> </w:t>
      </w:r>
      <w:r>
        <w:rPr>
          <w:spacing w:val="-22"/>
        </w:rPr>
      </w:r>
      <w:r>
        <w:rPr>
          <w:spacing w:val="-2"/>
        </w:rPr>
        <w:t>单独测试未发生减值的金融资产（包括单项金额重大和不重大的金融资产），包括在具有类似信用风险特</w:t>
      </w:r>
      <w:r>
        <w:rPr>
          <w:spacing w:val="-44"/>
        </w:rPr>
        <w:t> </w:t>
      </w:r>
      <w:r>
        <w:rPr>
          <w:spacing w:val="-44"/>
        </w:rPr>
      </w:r>
      <w:r>
        <w:rPr>
          <w:spacing w:val="-2"/>
        </w:rPr>
        <w:t>征的金融资产组合中再进行减值测试。已单项确认减值损失的金融资产，不包括在具有类似信用风险特征</w:t>
      </w:r>
      <w:r>
        <w:rPr>
          <w:spacing w:val="-43"/>
        </w:rPr>
        <w:t> </w:t>
      </w:r>
      <w:r>
        <w:rPr>
          <w:spacing w:val="-43"/>
        </w:rPr>
      </w:r>
      <w:r>
        <w:rPr/>
        <w:t>的金融资产组合中进行减值测试。</w:t>
      </w:r>
    </w:p>
    <w:p>
      <w:pPr>
        <w:spacing w:line="240" w:lineRule="auto" w:before="1"/>
        <w:rPr>
          <w:rFonts w:ascii="宋体" w:hAnsi="宋体" w:cs="宋体" w:eastAsia="宋体" w:hint="default"/>
          <w:sz w:val="17"/>
          <w:szCs w:val="17"/>
        </w:rPr>
      </w:pPr>
    </w:p>
    <w:p>
      <w:pPr>
        <w:pStyle w:val="BodyText"/>
        <w:spacing w:line="240" w:lineRule="auto"/>
        <w:ind w:right="0"/>
        <w:jc w:val="both"/>
      </w:pPr>
      <w:r>
        <w:rPr/>
        <w:t>本公司对以摊余成本计量的金融资产确认减值损失后，如有客观证据表明该金融资产价值已恢复，且客观</w:t>
      </w:r>
    </w:p>
    <w:p>
      <w:pPr>
        <w:spacing w:after="0" w:line="240"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7"/>
        <w:jc w:val="both"/>
      </w:pPr>
      <w:r>
        <w:rPr>
          <w:spacing w:val="-2"/>
        </w:rPr>
        <w:t>上与确认该损失后发生的事项有关，原确认的减值损失予以转回，计入当期损益。但是，该转回后的账面</w:t>
      </w:r>
      <w:r>
        <w:rPr>
          <w:spacing w:val="-47"/>
        </w:rPr>
        <w:t> </w:t>
      </w:r>
      <w:r>
        <w:rPr>
          <w:spacing w:val="-47"/>
        </w:rPr>
      </w:r>
      <w:r>
        <w:rPr/>
        <w:t>价值不超过假定不计提减值准备情况下该金融资产在转回日的摊余成本。</w:t>
      </w:r>
    </w:p>
    <w:p>
      <w:pPr>
        <w:spacing w:line="240" w:lineRule="auto" w:before="1"/>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23"/>
        <w:jc w:val="both"/>
      </w:pPr>
      <w:r>
        <w:rPr>
          <w:spacing w:val="-2"/>
        </w:rPr>
        <w:t>如果有客观证据表明该金融资产发生减值，原直接计入其他综合收益的因公允价值下降形成的累计损失，</w:t>
      </w:r>
      <w:r>
        <w:rPr>
          <w:spacing w:val="-21"/>
        </w:rPr>
        <w:t> </w:t>
      </w:r>
      <w:r>
        <w:rPr>
          <w:spacing w:val="-21"/>
        </w:rPr>
      </w:r>
      <w:r>
        <w:rPr>
          <w:spacing w:val="-2"/>
        </w:rPr>
        <w:t>予以转出，计入当期损益。该转出的累计损失，为可供出售金融资产的初始取得成本扣除已收回本金和已</w:t>
      </w:r>
      <w:r>
        <w:rPr>
          <w:spacing w:val="-44"/>
        </w:rPr>
        <w:t> </w:t>
      </w:r>
      <w:r>
        <w:rPr>
          <w:spacing w:val="-44"/>
        </w:rPr>
      </w:r>
      <w:r>
        <w:rPr/>
        <w:t>摊销金额、当前公允价值和原已计入损益的减值损失后的余额。</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对于已确认减值损失的可供出售债务工具，在随后的会计期间公允价值已上升且客观上与确认原减值损失</w:t>
      </w:r>
      <w:r>
        <w:rPr>
          <w:spacing w:val="-42"/>
        </w:rPr>
        <w:t> </w:t>
      </w:r>
      <w:r>
        <w:rPr>
          <w:spacing w:val="-42"/>
        </w:rPr>
      </w:r>
      <w:r>
        <w:rPr>
          <w:spacing w:val="-2"/>
        </w:rPr>
        <w:t>确认后发生的事项有关的，原确认的减值损失予以转回，计入当期损益。可供出售权益工具投资发生的减</w:t>
      </w:r>
      <w:r>
        <w:rPr>
          <w:spacing w:val="-44"/>
        </w:rPr>
        <w:t> </w:t>
      </w:r>
      <w:r>
        <w:rPr>
          <w:spacing w:val="-44"/>
        </w:rPr>
      </w:r>
      <w:r>
        <w:rPr/>
        <w:t>值损失，不通过损益转回。</w:t>
      </w:r>
    </w:p>
    <w:p>
      <w:pPr>
        <w:spacing w:line="240" w:lineRule="auto" w:before="1"/>
        <w:rPr>
          <w:rFonts w:ascii="宋体" w:hAnsi="宋体" w:cs="宋体" w:eastAsia="宋体" w:hint="default"/>
          <w:sz w:val="17"/>
          <w:szCs w:val="17"/>
        </w:rPr>
      </w:pPr>
    </w:p>
    <w:p>
      <w:pPr>
        <w:pStyle w:val="BodyText"/>
        <w:spacing w:line="240" w:lineRule="auto"/>
        <w:ind w:right="0"/>
        <w:jc w:val="both"/>
      </w:pPr>
      <w:r>
        <w:rPr/>
        <w:t>以成本计量的金融资产</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在活跃市场中没有报价且其公允价值不能可靠计量的权益工具投资，或与该权益工具挂钩并须通过交付该</w:t>
      </w:r>
      <w:r>
        <w:rPr>
          <w:spacing w:val="-42"/>
        </w:rPr>
        <w:t> </w:t>
      </w:r>
      <w:r>
        <w:rPr>
          <w:spacing w:val="-42"/>
        </w:rPr>
      </w:r>
      <w:r>
        <w:rPr>
          <w:spacing w:val="-2"/>
        </w:rPr>
        <w:t>权益工具结算的衍生金融资产发生减值时，将该金融资产的账面价值，与按照类似金融资产当时市场收益</w:t>
      </w:r>
      <w:r>
        <w:rPr>
          <w:spacing w:val="-43"/>
        </w:rPr>
        <w:t> </w:t>
      </w:r>
      <w:r>
        <w:rPr>
          <w:spacing w:val="-43"/>
        </w:rPr>
      </w:r>
      <w:r>
        <w:rPr>
          <w:spacing w:val="-2"/>
        </w:rPr>
        <w:t>率对未来现金流量折现确定的现值之间的差额，确认为减值损失，计入当期损益。发生的减值损失一经确</w:t>
      </w:r>
      <w:r>
        <w:rPr>
          <w:spacing w:val="-45"/>
        </w:rPr>
        <w:t> </w:t>
      </w:r>
      <w:r>
        <w:rPr>
          <w:spacing w:val="-45"/>
        </w:rPr>
      </w:r>
      <w:r>
        <w:rPr/>
        <w:t>认，不得转回。</w:t>
      </w:r>
    </w:p>
    <w:p>
      <w:pPr>
        <w:spacing w:line="240" w:lineRule="auto" w:before="1"/>
        <w:rPr>
          <w:rFonts w:ascii="宋体" w:hAnsi="宋体" w:cs="宋体" w:eastAsia="宋体" w:hint="default"/>
          <w:sz w:val="17"/>
          <w:szCs w:val="17"/>
        </w:rPr>
      </w:pPr>
    </w:p>
    <w:p>
      <w:pPr>
        <w:pStyle w:val="BodyText"/>
        <w:spacing w:line="460" w:lineRule="auto"/>
        <w:ind w:right="145"/>
        <w:jc w:val="both"/>
      </w:pPr>
      <w:r>
        <w:rPr/>
        <w:t>（6）金融资产转移</w:t>
      </w:r>
      <w:r>
        <w:rPr>
          <w:w w:val="100"/>
        </w:rPr>
        <w:t> </w:t>
      </w:r>
      <w:r>
        <w:rPr/>
        <w:t>金融资产转移，是指将金融资产让与或交付给该金融资产发行方以外的另一方（转入方）。</w:t>
      </w:r>
    </w:p>
    <w:p>
      <w:pPr>
        <w:pStyle w:val="BodyText"/>
        <w:spacing w:line="273" w:lineRule="auto" w:before="60"/>
        <w:ind w:right="145"/>
        <w:jc w:val="both"/>
      </w:pPr>
      <w:r>
        <w:rPr>
          <w:spacing w:val="-2"/>
        </w:rPr>
        <w:t>本公司已将金融资产所有权上几乎所有的风险和报酬转移给转入方的，终止确认该金融资产；保留了金融</w:t>
      </w:r>
      <w:r>
        <w:rPr>
          <w:spacing w:val="-43"/>
        </w:rPr>
        <w:t> </w:t>
      </w:r>
      <w:r>
        <w:rPr>
          <w:spacing w:val="-43"/>
        </w:rPr>
      </w:r>
      <w:r>
        <w:rPr/>
        <w:t>资产所有权上几乎所有的风险和报酬的，不终止确认该金融资产。</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本公司既没有转移也没有保留金融资产所有权上几乎所有的风险和报酬的，分别下列情况处理：放弃了对</w:t>
      </w:r>
      <w:r>
        <w:rPr>
          <w:spacing w:val="-44"/>
        </w:rPr>
        <w:t> </w:t>
      </w:r>
      <w:r>
        <w:rPr>
          <w:spacing w:val="-44"/>
        </w:rPr>
      </w:r>
      <w:r>
        <w:rPr>
          <w:spacing w:val="-2"/>
        </w:rPr>
        <w:t>该金融资产控制的，终止确认该金融资产并确认产生的资产和负债；未放弃对该金融资产控制的，按照其</w:t>
      </w:r>
      <w:r>
        <w:rPr>
          <w:spacing w:val="-45"/>
        </w:rPr>
        <w:t> </w:t>
      </w:r>
      <w:r>
        <w:rPr>
          <w:spacing w:val="-45"/>
        </w:rPr>
      </w:r>
      <w:r>
        <w:rPr/>
        <w:t>继续涉入所转移金融资产的程度确认有关金融资产，并相应确认有关负债。</w:t>
      </w:r>
    </w:p>
    <w:p>
      <w:pPr>
        <w:spacing w:line="240" w:lineRule="auto" w:before="1"/>
        <w:rPr>
          <w:rFonts w:ascii="宋体" w:hAnsi="宋体" w:cs="宋体" w:eastAsia="宋体" w:hint="default"/>
          <w:sz w:val="17"/>
          <w:szCs w:val="17"/>
        </w:rPr>
      </w:pPr>
    </w:p>
    <w:p>
      <w:pPr>
        <w:pStyle w:val="BodyText"/>
        <w:spacing w:line="240" w:lineRule="auto"/>
        <w:ind w:right="0"/>
        <w:jc w:val="both"/>
      </w:pPr>
      <w:r>
        <w:rPr/>
        <w:t>（7）金融资产和金融负债的抵销</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当本公司具有抵销已确认金融资产和金融负债的法定权利，且目前可执行该种法定权利，同时本公司计划</w:t>
      </w:r>
      <w:r>
        <w:rPr>
          <w:spacing w:val="-42"/>
        </w:rPr>
        <w:t> </w:t>
      </w:r>
      <w:r>
        <w:rPr>
          <w:spacing w:val="-42"/>
        </w:rPr>
      </w:r>
      <w:r>
        <w:rPr>
          <w:spacing w:val="-2"/>
        </w:rPr>
        <w:t>以净额结算或同时变现该金融资产和清偿该金融负债时，金融资产和金融负债以相互抵销后的金额在资产</w:t>
      </w:r>
      <w:r>
        <w:rPr>
          <w:spacing w:val="-43"/>
        </w:rPr>
        <w:t> </w:t>
      </w:r>
      <w:r>
        <w:rPr>
          <w:spacing w:val="-43"/>
        </w:rPr>
      </w:r>
      <w:r>
        <w:rPr/>
        <w:t>负债表内列示。除此以外，金融资产和金融负债在资产负债表内分别列示，不予相互抵销。</w:t>
      </w:r>
    </w:p>
    <w:p>
      <w:pPr>
        <w:spacing w:line="240" w:lineRule="auto" w:before="7"/>
        <w:rPr>
          <w:rFonts w:ascii="宋体" w:hAnsi="宋体" w:cs="宋体" w:eastAsia="宋体" w:hint="default"/>
          <w:sz w:val="23"/>
          <w:szCs w:val="23"/>
        </w:rPr>
      </w:pPr>
    </w:p>
    <w:p>
      <w:pPr>
        <w:pStyle w:val="BodyText"/>
        <w:spacing w:line="240" w:lineRule="auto"/>
        <w:ind w:right="0"/>
        <w:jc w:val="both"/>
      </w:pPr>
      <w:r>
        <w:rPr/>
        <w:t>11、应收款项</w:t>
      </w:r>
    </w:p>
    <w:p>
      <w:pPr>
        <w:spacing w:line="240" w:lineRule="auto" w:before="12"/>
        <w:rPr>
          <w:rFonts w:ascii="宋体" w:hAnsi="宋体" w:cs="宋体" w:eastAsia="宋体" w:hint="default"/>
          <w:sz w:val="25"/>
          <w:szCs w:val="25"/>
        </w:rPr>
      </w:pPr>
    </w:p>
    <w:p>
      <w:pPr>
        <w:pStyle w:val="BodyText"/>
        <w:spacing w:line="240" w:lineRule="auto"/>
        <w:ind w:right="0"/>
        <w:jc w:val="both"/>
      </w:pPr>
      <w:r>
        <w:rPr/>
        <w:t>（1）单项金额重大并单独计提坏账准备的应收款项</w:t>
      </w:r>
    </w:p>
    <w:p>
      <w:pPr>
        <w:spacing w:line="240" w:lineRule="auto" w:before="9"/>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4782"/>
        <w:gridCol w:w="4786"/>
      </w:tblGrid>
      <w:tr>
        <w:trPr>
          <w:trHeight w:val="1027"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将</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大</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20</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的</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账</w:t>
            </w:r>
            <w:r>
              <w:rPr>
                <w:rFonts w:ascii="宋体" w:hAnsi="宋体" w:cs="宋体" w:eastAsia="宋体" w:hint="default"/>
                <w:spacing w:val="-1"/>
                <w:w w:val="100"/>
                <w:sz w:val="21"/>
                <w:szCs w:val="21"/>
              </w:rPr>
              <w:t>款</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年</w:t>
            </w:r>
            <w:r>
              <w:rPr>
                <w:rFonts w:ascii="宋体" w:hAnsi="宋体" w:cs="宋体" w:eastAsia="宋体" w:hint="default"/>
                <w:w w:val="100"/>
                <w:sz w:val="21"/>
                <w:szCs w:val="21"/>
              </w:rPr>
              <w:t>末余</w:t>
            </w:r>
          </w:p>
          <w:p>
            <w:pPr>
              <w:pStyle w:val="TableParagraph"/>
              <w:spacing w:line="273" w:lineRule="auto" w:before="37"/>
              <w:ind w:left="24" w:right="21"/>
              <w:jc w:val="left"/>
              <w:rPr>
                <w:rFonts w:ascii="宋体" w:hAnsi="宋体" w:cs="宋体" w:eastAsia="宋体" w:hint="default"/>
                <w:sz w:val="21"/>
                <w:szCs w:val="21"/>
              </w:rPr>
            </w:pPr>
            <w:r>
              <w:rPr>
                <w:rFonts w:ascii="宋体" w:hAnsi="宋体" w:cs="宋体" w:eastAsia="宋体" w:hint="default"/>
                <w:sz w:val="21"/>
                <w:szCs w:val="21"/>
              </w:rPr>
              <w:t>额大于</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万元的其他应收款，确定为单项金额重大</w:t>
            </w:r>
            <w:r>
              <w:rPr>
                <w:rFonts w:ascii="宋体" w:hAnsi="宋体" w:cs="宋体" w:eastAsia="宋体" w:hint="default"/>
                <w:w w:val="100"/>
                <w:sz w:val="21"/>
                <w:szCs w:val="21"/>
              </w:rPr>
              <w:t> </w:t>
            </w:r>
            <w:r>
              <w:rPr>
                <w:rFonts w:ascii="宋体" w:hAnsi="宋体" w:cs="宋体" w:eastAsia="宋体" w:hint="default"/>
                <w:sz w:val="21"/>
                <w:szCs w:val="21"/>
              </w:rPr>
              <w:t>的应收款项。</w:t>
            </w:r>
          </w:p>
        </w:tc>
      </w:tr>
      <w:tr>
        <w:trPr>
          <w:trHeight w:val="986"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both"/>
              <w:rPr>
                <w:rFonts w:ascii="宋体" w:hAnsi="宋体" w:cs="宋体" w:eastAsia="宋体" w:hint="default"/>
                <w:sz w:val="21"/>
                <w:szCs w:val="21"/>
              </w:rPr>
            </w:pPr>
            <w:r>
              <w:rPr>
                <w:rFonts w:ascii="宋体" w:hAnsi="宋体" w:cs="宋体" w:eastAsia="宋体" w:hint="default"/>
                <w:w w:val="100"/>
                <w:sz w:val="21"/>
                <w:szCs w:val="21"/>
              </w:rPr>
              <w:t>对于</w:t>
            </w:r>
            <w:r>
              <w:rPr>
                <w:rFonts w:ascii="宋体" w:hAnsi="宋体" w:cs="宋体" w:eastAsia="宋体" w:hint="default"/>
                <w:spacing w:val="-3"/>
                <w:w w:val="100"/>
                <w:sz w:val="21"/>
                <w:szCs w:val="21"/>
              </w:rPr>
              <w:t>单</w:t>
            </w:r>
            <w:r>
              <w:rPr>
                <w:rFonts w:ascii="宋体" w:hAnsi="宋体" w:cs="宋体" w:eastAsia="宋体" w:hint="default"/>
                <w:w w:val="100"/>
                <w:sz w:val="21"/>
                <w:szCs w:val="21"/>
              </w:rPr>
              <w:t>项</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重</w:t>
            </w:r>
            <w:r>
              <w:rPr>
                <w:rFonts w:ascii="宋体" w:hAnsi="宋体" w:cs="宋体" w:eastAsia="宋体" w:hint="default"/>
                <w:w w:val="100"/>
                <w:sz w:val="21"/>
                <w:szCs w:val="21"/>
              </w:rPr>
              <w:t>大</w:t>
            </w:r>
            <w:r>
              <w:rPr>
                <w:rFonts w:ascii="宋体" w:hAnsi="宋体" w:cs="宋体" w:eastAsia="宋体" w:hint="default"/>
                <w:spacing w:val="-3"/>
                <w:w w:val="100"/>
                <w:sz w:val="21"/>
                <w:szCs w:val="21"/>
              </w:rPr>
              <w:t>的</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款项</w:t>
            </w:r>
            <w:r>
              <w:rPr>
                <w:rFonts w:ascii="宋体" w:hAnsi="宋体" w:cs="宋体" w:eastAsia="宋体" w:hint="default"/>
                <w:spacing w:val="-3"/>
                <w:w w:val="100"/>
                <w:sz w:val="21"/>
                <w:szCs w:val="21"/>
              </w:rPr>
              <w:t>单</w:t>
            </w:r>
            <w:r>
              <w:rPr>
                <w:rFonts w:ascii="宋体" w:hAnsi="宋体" w:cs="宋体" w:eastAsia="宋体" w:hint="default"/>
                <w:w w:val="100"/>
                <w:sz w:val="21"/>
                <w:szCs w:val="21"/>
              </w:rPr>
              <w:t>独</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w:t>
            </w:r>
            <w:r>
              <w:rPr>
                <w:rFonts w:ascii="宋体" w:hAnsi="宋体" w:cs="宋体" w:eastAsia="宋体" w:hint="default"/>
                <w:spacing w:val="-1"/>
                <w:w w:val="100"/>
                <w:sz w:val="21"/>
                <w:szCs w:val="21"/>
              </w:rPr>
              <w:t>试</w:t>
            </w:r>
            <w:r>
              <w:rPr>
                <w:rFonts w:ascii="宋体" w:hAnsi="宋体" w:cs="宋体" w:eastAsia="宋体" w:hint="default"/>
                <w:spacing w:val="-104"/>
                <w:w w:val="100"/>
                <w:sz w:val="21"/>
                <w:szCs w:val="21"/>
              </w:rPr>
              <w:t>，</w:t>
            </w:r>
            <w:r>
              <w:rPr>
                <w:rFonts w:ascii="宋体" w:hAnsi="宋体" w:cs="宋体" w:eastAsia="宋体" w:hint="default"/>
                <w:w w:val="100"/>
                <w:sz w:val="21"/>
                <w:szCs w:val="21"/>
              </w:rPr>
              <w:t>有</w:t>
            </w:r>
            <w:r>
              <w:rPr>
                <w:rFonts w:ascii="宋体" w:hAnsi="宋体" w:cs="宋体" w:eastAsia="宋体" w:hint="default"/>
                <w:w w:val="100"/>
                <w:sz w:val="21"/>
                <w:szCs w:val="21"/>
              </w:rPr>
              <w:t> 客观</w:t>
            </w:r>
            <w:r>
              <w:rPr>
                <w:rFonts w:ascii="宋体" w:hAnsi="宋体" w:cs="宋体" w:eastAsia="宋体" w:hint="default"/>
                <w:spacing w:val="-3"/>
                <w:w w:val="100"/>
                <w:sz w:val="21"/>
                <w:szCs w:val="21"/>
              </w:rPr>
              <w:t>证</w:t>
            </w:r>
            <w:r>
              <w:rPr>
                <w:rFonts w:ascii="宋体" w:hAnsi="宋体" w:cs="宋体" w:eastAsia="宋体" w:hint="default"/>
                <w:w w:val="100"/>
                <w:sz w:val="21"/>
                <w:szCs w:val="21"/>
              </w:rPr>
              <w:t>据</w:t>
            </w:r>
            <w:r>
              <w:rPr>
                <w:rFonts w:ascii="宋体" w:hAnsi="宋体" w:cs="宋体" w:eastAsia="宋体" w:hint="default"/>
                <w:spacing w:val="-3"/>
                <w:w w:val="100"/>
                <w:sz w:val="21"/>
                <w:szCs w:val="21"/>
              </w:rPr>
              <w:t>表</w:t>
            </w:r>
            <w:r>
              <w:rPr>
                <w:rFonts w:ascii="宋体" w:hAnsi="宋体" w:cs="宋体" w:eastAsia="宋体" w:hint="default"/>
                <w:w w:val="100"/>
                <w:sz w:val="21"/>
                <w:szCs w:val="21"/>
              </w:rPr>
              <w:t>明</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了</w:t>
            </w:r>
            <w:r>
              <w:rPr>
                <w:rFonts w:ascii="宋体" w:hAnsi="宋体" w:cs="宋体" w:eastAsia="宋体" w:hint="default"/>
                <w:w w:val="100"/>
                <w:sz w:val="21"/>
                <w:szCs w:val="21"/>
              </w:rPr>
              <w:t>减</w:t>
            </w:r>
            <w:r>
              <w:rPr>
                <w:rFonts w:ascii="宋体" w:hAnsi="宋体" w:cs="宋体" w:eastAsia="宋体" w:hint="default"/>
                <w:spacing w:val="-1"/>
                <w:w w:val="100"/>
                <w:sz w:val="21"/>
                <w:szCs w:val="21"/>
              </w:rPr>
              <w:t>值</w:t>
            </w:r>
            <w:r>
              <w:rPr>
                <w:rFonts w:ascii="宋体" w:hAnsi="宋体" w:cs="宋体" w:eastAsia="宋体" w:hint="default"/>
                <w:spacing w:val="-106"/>
                <w:w w:val="100"/>
                <w:sz w:val="21"/>
                <w:szCs w:val="21"/>
              </w:rPr>
              <w:t>，</w:t>
            </w:r>
            <w:r>
              <w:rPr>
                <w:rFonts w:ascii="宋体" w:hAnsi="宋体" w:cs="宋体" w:eastAsia="宋体" w:hint="default"/>
                <w:w w:val="100"/>
                <w:sz w:val="21"/>
                <w:szCs w:val="21"/>
              </w:rPr>
              <w:t>根据</w:t>
            </w:r>
            <w:r>
              <w:rPr>
                <w:rFonts w:ascii="宋体" w:hAnsi="宋体" w:cs="宋体" w:eastAsia="宋体" w:hint="default"/>
                <w:spacing w:val="-3"/>
                <w:w w:val="100"/>
                <w:sz w:val="21"/>
                <w:szCs w:val="21"/>
              </w:rPr>
              <w:t>其</w:t>
            </w:r>
            <w:r>
              <w:rPr>
                <w:rFonts w:ascii="宋体" w:hAnsi="宋体" w:cs="宋体" w:eastAsia="宋体" w:hint="default"/>
                <w:w w:val="100"/>
                <w:sz w:val="21"/>
                <w:szCs w:val="21"/>
              </w:rPr>
              <w:t>未</w:t>
            </w:r>
            <w:r>
              <w:rPr>
                <w:rFonts w:ascii="宋体" w:hAnsi="宋体" w:cs="宋体" w:eastAsia="宋体" w:hint="default"/>
                <w:spacing w:val="-3"/>
                <w:w w:val="100"/>
                <w:sz w:val="21"/>
                <w:szCs w:val="21"/>
              </w:rPr>
              <w:t>来</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w:t>
            </w:r>
            <w:r>
              <w:rPr>
                <w:rFonts w:ascii="宋体" w:hAnsi="宋体" w:cs="宋体" w:eastAsia="宋体" w:hint="default"/>
                <w:spacing w:val="-3"/>
                <w:w w:val="100"/>
                <w:sz w:val="21"/>
                <w:szCs w:val="21"/>
              </w:rPr>
              <w:t>量</w:t>
            </w:r>
            <w:r>
              <w:rPr>
                <w:rFonts w:ascii="宋体" w:hAnsi="宋体" w:cs="宋体" w:eastAsia="宋体" w:hint="default"/>
                <w:w w:val="100"/>
                <w:sz w:val="21"/>
                <w:szCs w:val="21"/>
              </w:rPr>
              <w:t>现值</w:t>
            </w:r>
            <w:r>
              <w:rPr>
                <w:rFonts w:ascii="宋体" w:hAnsi="宋体" w:cs="宋体" w:eastAsia="宋体" w:hint="default"/>
                <w:w w:val="100"/>
                <w:sz w:val="21"/>
                <w:szCs w:val="21"/>
              </w:rPr>
              <w:t> 低于</w:t>
            </w:r>
            <w:r>
              <w:rPr>
                <w:rFonts w:ascii="宋体" w:hAnsi="宋体" w:cs="宋体" w:eastAsia="宋体" w:hint="default"/>
                <w:spacing w:val="-3"/>
                <w:w w:val="100"/>
                <w:sz w:val="21"/>
                <w:szCs w:val="21"/>
              </w:rPr>
              <w:t>其</w:t>
            </w:r>
            <w:r>
              <w:rPr>
                <w:rFonts w:ascii="宋体" w:hAnsi="宋体" w:cs="宋体" w:eastAsia="宋体" w:hint="default"/>
                <w:w w:val="100"/>
                <w:sz w:val="21"/>
                <w:szCs w:val="21"/>
              </w:rPr>
              <w:t>账</w:t>
            </w:r>
            <w:r>
              <w:rPr>
                <w:rFonts w:ascii="宋体" w:hAnsi="宋体" w:cs="宋体" w:eastAsia="宋体" w:hint="default"/>
                <w:spacing w:val="-3"/>
                <w:w w:val="100"/>
                <w:sz w:val="21"/>
                <w:szCs w:val="21"/>
              </w:rPr>
              <w:t>面</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的</w:t>
            </w:r>
            <w:r>
              <w:rPr>
                <w:rFonts w:ascii="宋体" w:hAnsi="宋体" w:cs="宋体" w:eastAsia="宋体" w:hint="default"/>
                <w:spacing w:val="-3"/>
                <w:w w:val="100"/>
                <w:sz w:val="21"/>
                <w:szCs w:val="21"/>
              </w:rPr>
              <w:t>差</w:t>
            </w:r>
            <w:r>
              <w:rPr>
                <w:rFonts w:ascii="宋体" w:hAnsi="宋体" w:cs="宋体" w:eastAsia="宋体" w:hint="default"/>
                <w:w w:val="100"/>
                <w:sz w:val="21"/>
                <w:szCs w:val="21"/>
              </w:rPr>
              <w:t>额</w:t>
            </w:r>
            <w:r>
              <w:rPr>
                <w:rFonts w:ascii="宋体" w:hAnsi="宋体" w:cs="宋体" w:eastAsia="宋体" w:hint="default"/>
                <w:spacing w:val="-3"/>
                <w:w w:val="100"/>
                <w:sz w:val="21"/>
                <w:szCs w:val="21"/>
              </w:rPr>
              <w:t>计</w:t>
            </w:r>
            <w:r>
              <w:rPr>
                <w:rFonts w:ascii="宋体" w:hAnsi="宋体" w:cs="宋体" w:eastAsia="宋体" w:hint="default"/>
                <w:w w:val="100"/>
                <w:sz w:val="21"/>
                <w:szCs w:val="21"/>
              </w:rPr>
              <w:t>提坏</w:t>
            </w:r>
            <w:r>
              <w:rPr>
                <w:rFonts w:ascii="宋体" w:hAnsi="宋体" w:cs="宋体" w:eastAsia="宋体" w:hint="default"/>
                <w:spacing w:val="-3"/>
                <w:w w:val="100"/>
                <w:sz w:val="21"/>
                <w:szCs w:val="21"/>
              </w:rPr>
              <w:t>账</w:t>
            </w:r>
            <w:r>
              <w:rPr>
                <w:rFonts w:ascii="宋体" w:hAnsi="宋体" w:cs="宋体" w:eastAsia="宋体" w:hint="default"/>
                <w:w w:val="100"/>
                <w:sz w:val="21"/>
                <w:szCs w:val="21"/>
              </w:rPr>
              <w:t>准</w:t>
            </w:r>
            <w:r>
              <w:rPr>
                <w:rFonts w:ascii="宋体" w:hAnsi="宋体" w:cs="宋体" w:eastAsia="宋体" w:hint="default"/>
                <w:spacing w:val="-1"/>
                <w:w w:val="100"/>
                <w:sz w:val="21"/>
                <w:szCs w:val="21"/>
              </w:rPr>
              <w:t>备</w:t>
            </w:r>
            <w:r>
              <w:rPr>
                <w:rFonts w:ascii="宋体" w:hAnsi="宋体" w:cs="宋体" w:eastAsia="宋体" w:hint="default"/>
                <w:spacing w:val="-106"/>
                <w:w w:val="100"/>
                <w:sz w:val="21"/>
                <w:szCs w:val="21"/>
              </w:rPr>
              <w:t>。</w:t>
            </w:r>
            <w:r>
              <w:rPr>
                <w:rFonts w:ascii="宋体" w:hAnsi="宋体" w:cs="宋体" w:eastAsia="宋体" w:hint="default"/>
                <w:w w:val="100"/>
                <w:sz w:val="21"/>
                <w:szCs w:val="21"/>
              </w:rPr>
              <w:t>单</w:t>
            </w:r>
            <w:r>
              <w:rPr>
                <w:rFonts w:ascii="宋体" w:hAnsi="宋体" w:cs="宋体" w:eastAsia="宋体" w:hint="default"/>
                <w:spacing w:val="-3"/>
                <w:w w:val="100"/>
                <w:sz w:val="21"/>
                <w:szCs w:val="21"/>
              </w:rPr>
              <w:t>项</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重大</w:t>
            </w:r>
          </w:p>
        </w:tc>
      </w:tr>
    </w:tbl>
    <w:p>
      <w:pPr>
        <w:spacing w:after="0" w:line="271" w:lineRule="auto"/>
        <w:jc w:val="both"/>
        <w:rPr>
          <w:rFonts w:ascii="宋体" w:hAnsi="宋体" w:cs="宋体" w:eastAsia="宋体" w:hint="default"/>
          <w:sz w:val="21"/>
          <w:szCs w:val="21"/>
        </w:rPr>
        <w:sectPr>
          <w:pgSz w:w="11910" w:h="16840"/>
          <w:pgMar w:header="747" w:footer="979" w:top="1060" w:bottom="1160" w:left="980" w:right="980"/>
        </w:sectPr>
      </w:pPr>
    </w:p>
    <w:p>
      <w:pPr>
        <w:spacing w:line="240" w:lineRule="auto" w:before="2"/>
        <w:rPr>
          <w:rFonts w:ascii="宋体" w:hAnsi="宋体" w:cs="宋体" w:eastAsia="宋体" w:hint="default"/>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2;top:14;width:4774;height:665" coordorigin="12,14" coordsize="4774,665">
              <v:shape style="position:absolute;left:12;top:14;width:4774;height:665" coordorigin="12,14" coordsize="4774,665" path="m12,14l4786,14,4786,679,12,679,12,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7999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7999pt" strokecolor="#000000">
                <v:path arrowok="t"/>
              </v:shape>
            </v:group>
            <v:group style="position:absolute;left:5;top:5;width:2;height:684" coordorigin="5,5" coordsize="2,684">
              <v:shape style="position:absolute;left:5;top:5;width:2;height:684" coordorigin="5,5" coordsize="0,684" path="m5,5l5,689e" filled="false" stroked="true" strokeweight=".47999pt" strokecolor="#000000">
                <v:path arrowok="t"/>
              </v:shape>
            </v:group>
            <v:group style="position:absolute;left:10;top:684;width:4774;height:2" coordorigin="10,684" coordsize="4774,2">
              <v:shape style="position:absolute;left:10;top:684;width:4774;height:2" coordorigin="10,684" coordsize="4774,0" path="m10,684l4783,684e" filled="false" stroked="true" strokeweight=".47999pt" strokecolor="#000000">
                <v:path arrowok="t"/>
              </v:shape>
            </v:group>
            <v:group style="position:absolute;left:4788;top:5;width:2;height:684" coordorigin="4788,5" coordsize="2,684">
              <v:shape style="position:absolute;left:4788;top:5;width:2;height:684" coordorigin="4788,5" coordsize="0,684" path="m4788,5l4788,689e" filled="false" stroked="true" strokeweight=".47999pt" strokecolor="#000000">
                <v:path arrowok="t"/>
              </v:shape>
            </v:group>
            <v:group style="position:absolute;left:4793;top:684;width:4776;height:2" coordorigin="4793,684" coordsize="4776,2">
              <v:shape style="position:absolute;left:4793;top:684;width:4776;height:2" coordorigin="4793,684" coordsize="4776,0" path="m4793,684l9569,684e" filled="false" stroked="true" strokeweight=".47999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7999pt" strokecolor="#000000">
                <v:path arrowok="t"/>
              </v:shape>
              <v:shape style="position:absolute;left:4788;top:10;width:4786;height:675" type="#_x0000_t202" filled="false" stroked="false">
                <v:textbox inset="0,0,0,0">
                  <w:txbxContent>
                    <w:p>
                      <w:pPr>
                        <w:spacing w:line="273" w:lineRule="auto" w:before="0"/>
                        <w:ind w:left="28" w:right="21" w:firstLine="0"/>
                        <w:jc w:val="left"/>
                        <w:rPr>
                          <w:rFonts w:ascii="宋体" w:hAnsi="宋体" w:cs="宋体" w:eastAsia="宋体" w:hint="default"/>
                          <w:sz w:val="21"/>
                          <w:szCs w:val="21"/>
                        </w:rPr>
                      </w:pPr>
                      <w:r>
                        <w:rPr>
                          <w:rFonts w:ascii="宋体" w:hAnsi="宋体" w:cs="宋体" w:eastAsia="宋体" w:hint="default"/>
                          <w:spacing w:val="-6"/>
                          <w:sz w:val="21"/>
                          <w:szCs w:val="21"/>
                        </w:rPr>
                        <w:t>经单独测试未发生减值的应收款项，再按组合计提坏</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账准备</w:t>
                      </w:r>
                    </w:p>
                  </w:txbxContent>
                </v:textbox>
                <w10:wrap type="none"/>
              </v:shape>
            </v:group>
          </v:group>
        </w:pict>
      </w:r>
      <w:r>
        <w:rPr>
          <w:rFonts w:ascii="宋体" w:hAnsi="宋体" w:cs="宋体" w:eastAsia="宋体" w:hint="default"/>
          <w:position w:val="-13"/>
          <w:sz w:val="20"/>
          <w:szCs w:val="20"/>
        </w:rPr>
      </w:r>
    </w:p>
    <w:p>
      <w:pPr>
        <w:spacing w:line="240" w:lineRule="auto" w:before="12"/>
        <w:rPr>
          <w:rFonts w:ascii="宋体" w:hAnsi="宋体" w:cs="宋体" w:eastAsia="宋体" w:hint="default"/>
          <w:sz w:val="18"/>
          <w:szCs w:val="18"/>
        </w:rPr>
      </w:pPr>
    </w:p>
    <w:p>
      <w:pPr>
        <w:pStyle w:val="BodyText"/>
        <w:spacing w:line="240" w:lineRule="auto" w:before="36"/>
        <w:ind w:right="99"/>
        <w:jc w:val="left"/>
      </w:pPr>
      <w:r>
        <w:rPr/>
        <w:t>（2）按信用风险特征组合计提坏账准备的应收款项</w:t>
      </w:r>
    </w:p>
    <w:p>
      <w:pPr>
        <w:spacing w:line="240" w:lineRule="auto" w:before="1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48"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信用风险组合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auto" w:before="28"/>
        <w:ind w:right="99"/>
        <w:jc w:val="left"/>
      </w:pPr>
      <w:r>
        <w:rPr/>
        <w:t>组合中，采用账龄分析法计提坏账准备的：</w:t>
      </w:r>
    </w:p>
    <w:p>
      <w:pPr>
        <w:pStyle w:val="BodyText"/>
        <w:spacing w:line="240" w:lineRule="auto" w:before="75"/>
        <w:ind w:right="99"/>
        <w:jc w:val="left"/>
      </w:pP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28"/>
        <w:ind w:right="99"/>
        <w:jc w:val="left"/>
      </w:pPr>
      <w:r>
        <w:rPr/>
        <w:t>组合中，采用余额百分比法计提坏账准备的：</w:t>
      </w:r>
    </w:p>
    <w:p>
      <w:pPr>
        <w:pStyle w:val="BodyText"/>
        <w:spacing w:line="307" w:lineRule="auto" w:before="78"/>
        <w:ind w:right="4875"/>
        <w:jc w:val="left"/>
      </w:pPr>
      <w:r>
        <w:rPr/>
        <w:t>□ 适用 √</w:t>
      </w:r>
      <w:r>
        <w:rPr>
          <w:spacing w:val="-2"/>
        </w:rPr>
        <w:t> </w:t>
      </w:r>
      <w:r>
        <w:rPr/>
        <w:t>不适用</w:t>
      </w:r>
      <w:r>
        <w:rPr>
          <w:spacing w:val="-103"/>
        </w:rPr>
        <w:t> </w:t>
      </w:r>
      <w:r>
        <w:rPr>
          <w:spacing w:val="-103"/>
        </w:rPr>
      </w:r>
      <w:r>
        <w:rPr>
          <w:spacing w:val="-2"/>
        </w:rPr>
        <w:t>组合中，采用其他方法计提坏账准备的：</w:t>
      </w:r>
    </w:p>
    <w:p>
      <w:pPr>
        <w:pStyle w:val="BodyText"/>
        <w:spacing w:line="240" w:lineRule="auto" w:before="19"/>
        <w:ind w:right="99"/>
        <w:jc w:val="left"/>
      </w:pPr>
      <w:r>
        <w:rPr/>
        <w:t>□ 适用 √ 不适用</w:t>
      </w:r>
    </w:p>
    <w:p>
      <w:pPr>
        <w:spacing w:line="240" w:lineRule="auto" w:before="10"/>
        <w:rPr>
          <w:rFonts w:ascii="宋体" w:hAnsi="宋体" w:cs="宋体" w:eastAsia="宋体" w:hint="default"/>
          <w:sz w:val="25"/>
          <w:szCs w:val="25"/>
        </w:rPr>
      </w:pPr>
    </w:p>
    <w:p>
      <w:pPr>
        <w:pStyle w:val="BodyText"/>
        <w:spacing w:line="240" w:lineRule="auto"/>
        <w:ind w:right="99"/>
        <w:jc w:val="left"/>
      </w:pPr>
      <w:r>
        <w:rPr/>
        <w:t>（3）单项金额不重大但单独计提坏账准备的应收款项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36"/>
        <w:ind w:left="0" w:right="200"/>
        <w:jc w:val="right"/>
      </w:pPr>
      <w:r>
        <w:rPr/>
        <w:pict>
          <v:shape style="position:absolute;margin-left:56.558266pt;margin-top:-98.13633pt;width:479.1pt;height:134.3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2"/>
                    <w:gridCol w:w="4786"/>
                  </w:tblGrid>
                  <w:tr>
                    <w:trPr>
                      <w:trHeight w:val="1025"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z w:val="21"/>
                            <w:szCs w:val="21"/>
                          </w:rPr>
                          <w:t>本公司将年末余额小于</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万元且账龄超过一年的</w:t>
                        </w:r>
                        <w:r>
                          <w:rPr>
                            <w:rFonts w:ascii="宋体" w:hAnsi="宋体" w:cs="宋体" w:eastAsia="宋体" w:hint="default"/>
                            <w:w w:val="100"/>
                            <w:sz w:val="21"/>
                            <w:szCs w:val="21"/>
                          </w:rPr>
                          <w:t> </w:t>
                        </w:r>
                        <w:r>
                          <w:rPr>
                            <w:rFonts w:ascii="宋体" w:hAnsi="宋体" w:cs="宋体" w:eastAsia="宋体" w:hint="default"/>
                            <w:spacing w:val="-6"/>
                            <w:w w:val="100"/>
                            <w:sz w:val="21"/>
                            <w:szCs w:val="21"/>
                          </w:rPr>
                          <w:t>应收账款，确定为单项金额不重大但单项计提坏账准</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备的应收款项</w:t>
                        </w:r>
                      </w:p>
                    </w:tc>
                  </w:tr>
                  <w:tr>
                    <w:trPr>
                      <w:trHeight w:val="359" w:hRule="exact"/>
                    </w:trPr>
                    <w:tc>
                      <w:tcPr>
                        <w:tcW w:w="4782"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对于年末余额小于</w:t>
                        </w:r>
                        <w:r>
                          <w:rPr>
                            <w:rFonts w:ascii="宋体" w:hAnsi="宋体" w:cs="宋体" w:eastAsia="宋体" w:hint="default"/>
                            <w:spacing w:val="-54"/>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z w:val="21"/>
                            <w:szCs w:val="21"/>
                          </w:rPr>
                          <w:t>万元且账龄超过一年的应收</w:t>
                        </w:r>
                      </w:p>
                    </w:tc>
                  </w:tr>
                  <w:tr>
                    <w:trPr>
                      <w:trHeight w:val="312" w:hRule="exact"/>
                    </w:trPr>
                    <w:tc>
                      <w:tcPr>
                        <w:tcW w:w="4782" w:type="dxa"/>
                        <w:tcBorders>
                          <w:top w:val="nil" w:sz="6" w:space="0" w:color="auto"/>
                          <w:left w:val="single" w:sz="4" w:space="0" w:color="000000"/>
                          <w:bottom w:val="nil" w:sz="6" w:space="0" w:color="auto"/>
                          <w:right w:val="single" w:sz="4" w:space="0" w:color="000000"/>
                        </w:tcBorders>
                        <w:shd w:val="clear" w:color="auto" w:fill="D3D3D3"/>
                      </w:tcPr>
                      <w:p>
                        <w:pP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账款单独进行减值测试，有客观证据表明发生了减</w:t>
                        </w:r>
                      </w:p>
                    </w:tc>
                  </w:tr>
                  <w:tr>
                    <w:trPr>
                      <w:trHeight w:val="312" w:hRule="exact"/>
                    </w:trPr>
                    <w:tc>
                      <w:tcPr>
                        <w:tcW w:w="47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值</w:t>
                        </w:r>
                        <w:r>
                          <w:rPr>
                            <w:rFonts w:ascii="宋体" w:hAnsi="宋体" w:cs="宋体" w:eastAsia="宋体" w:hint="default"/>
                            <w:spacing w:val="-104"/>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其</w:t>
                        </w:r>
                        <w:r>
                          <w:rPr>
                            <w:rFonts w:ascii="宋体" w:hAnsi="宋体" w:cs="宋体" w:eastAsia="宋体" w:hint="default"/>
                            <w:spacing w:val="-3"/>
                            <w:w w:val="100"/>
                            <w:sz w:val="21"/>
                            <w:szCs w:val="21"/>
                          </w:rPr>
                          <w:t>未</w:t>
                        </w:r>
                        <w:r>
                          <w:rPr>
                            <w:rFonts w:ascii="宋体" w:hAnsi="宋体" w:cs="宋体" w:eastAsia="宋体" w:hint="default"/>
                            <w:w w:val="100"/>
                            <w:sz w:val="21"/>
                            <w:szCs w:val="21"/>
                          </w:rPr>
                          <w:t>来</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r>
                          <w:rPr>
                            <w:rFonts w:ascii="宋体" w:hAnsi="宋体" w:cs="宋体" w:eastAsia="宋体" w:hint="default"/>
                            <w:spacing w:val="-3"/>
                            <w:w w:val="100"/>
                            <w:sz w:val="21"/>
                            <w:szCs w:val="21"/>
                          </w:rPr>
                          <w:t>现</w:t>
                        </w:r>
                        <w:r>
                          <w:rPr>
                            <w:rFonts w:ascii="宋体" w:hAnsi="宋体" w:cs="宋体" w:eastAsia="宋体" w:hint="default"/>
                            <w:w w:val="100"/>
                            <w:sz w:val="21"/>
                            <w:szCs w:val="21"/>
                          </w:rPr>
                          <w:t>值低</w:t>
                        </w:r>
                        <w:r>
                          <w:rPr>
                            <w:rFonts w:ascii="宋体" w:hAnsi="宋体" w:cs="宋体" w:eastAsia="宋体" w:hint="default"/>
                            <w:spacing w:val="-3"/>
                            <w:w w:val="100"/>
                            <w:sz w:val="21"/>
                            <w:szCs w:val="21"/>
                          </w:rPr>
                          <w:t>于</w:t>
                        </w:r>
                        <w:r>
                          <w:rPr>
                            <w:rFonts w:ascii="宋体" w:hAnsi="宋体" w:cs="宋体" w:eastAsia="宋体" w:hint="default"/>
                            <w:w w:val="100"/>
                            <w:sz w:val="21"/>
                            <w:szCs w:val="21"/>
                          </w:rPr>
                          <w:t>其</w:t>
                        </w:r>
                        <w:r>
                          <w:rPr>
                            <w:rFonts w:ascii="宋体" w:hAnsi="宋体" w:cs="宋体" w:eastAsia="宋体" w:hint="default"/>
                            <w:spacing w:val="-3"/>
                            <w:w w:val="100"/>
                            <w:sz w:val="21"/>
                            <w:szCs w:val="21"/>
                          </w:rPr>
                          <w:t>账</w:t>
                        </w:r>
                        <w:r>
                          <w:rPr>
                            <w:rFonts w:ascii="宋体" w:hAnsi="宋体" w:cs="宋体" w:eastAsia="宋体" w:hint="default"/>
                            <w:w w:val="100"/>
                            <w:sz w:val="21"/>
                            <w:szCs w:val="21"/>
                          </w:rPr>
                          <w:t>面</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的</w:t>
                        </w:r>
                        <w:r>
                          <w:rPr>
                            <w:rFonts w:ascii="宋体" w:hAnsi="宋体" w:cs="宋体" w:eastAsia="宋体" w:hint="default"/>
                            <w:w w:val="100"/>
                            <w:sz w:val="21"/>
                            <w:szCs w:val="21"/>
                          </w:rPr>
                          <w:t>差额</w:t>
                        </w:r>
                      </w:p>
                    </w:tc>
                  </w:tr>
                  <w:tr>
                    <w:trPr>
                      <w:trHeight w:val="312" w:hRule="exact"/>
                    </w:trPr>
                    <w:tc>
                      <w:tcPr>
                        <w:tcW w:w="4782" w:type="dxa"/>
                        <w:tcBorders>
                          <w:top w:val="nil" w:sz="6" w:space="0" w:color="auto"/>
                          <w:left w:val="single" w:sz="4" w:space="0" w:color="000000"/>
                          <w:bottom w:val="nil" w:sz="6" w:space="0" w:color="auto"/>
                          <w:right w:val="single" w:sz="4" w:space="0" w:color="000000"/>
                        </w:tcBorders>
                        <w:shd w:val="clear" w:color="auto" w:fill="D3D3D3"/>
                      </w:tcPr>
                      <w:p>
                        <w:pP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计提坏账准备。经单独测试未发生减值的应收款项</w:t>
                        </w:r>
                      </w:p>
                    </w:tc>
                  </w:tr>
                  <w:tr>
                    <w:trPr>
                      <w:trHeight w:val="357" w:hRule="exact"/>
                    </w:trPr>
                    <w:tc>
                      <w:tcPr>
                        <w:tcW w:w="4782"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再按组合计提坏账准备。</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99"/>
        <w:jc w:val="left"/>
      </w:pPr>
      <w:r>
        <w:rPr/>
        <w:t>12、存货</w:t>
      </w:r>
    </w:p>
    <w:p>
      <w:pPr>
        <w:spacing w:line="240" w:lineRule="auto" w:before="10"/>
        <w:rPr>
          <w:rFonts w:ascii="宋体" w:hAnsi="宋体" w:cs="宋体" w:eastAsia="宋体" w:hint="default"/>
          <w:sz w:val="25"/>
          <w:szCs w:val="25"/>
        </w:rPr>
      </w:pPr>
    </w:p>
    <w:p>
      <w:pPr>
        <w:pStyle w:val="BodyText"/>
        <w:spacing w:line="240" w:lineRule="auto"/>
        <w:ind w:right="99"/>
        <w:jc w:val="left"/>
      </w:pPr>
      <w:r>
        <w:rPr/>
        <w:t>（1）存货的分类</w:t>
      </w:r>
    </w:p>
    <w:p>
      <w:pPr>
        <w:spacing w:line="240" w:lineRule="auto" w:before="10"/>
        <w:rPr>
          <w:rFonts w:ascii="宋体" w:hAnsi="宋体" w:cs="宋体" w:eastAsia="宋体" w:hint="default"/>
          <w:sz w:val="25"/>
          <w:szCs w:val="25"/>
        </w:rPr>
      </w:pPr>
    </w:p>
    <w:p>
      <w:pPr>
        <w:pStyle w:val="BodyText"/>
        <w:spacing w:line="273" w:lineRule="auto"/>
        <w:ind w:right="99"/>
        <w:jc w:val="left"/>
      </w:pPr>
      <w:r>
        <w:rPr>
          <w:spacing w:val="-2"/>
        </w:rPr>
        <w:t>存货是指本公司在日常活动中持有以备出售的产成品或商品、处在生产过程中的在产品、在生产过程或提</w:t>
      </w:r>
      <w:r>
        <w:rPr>
          <w:spacing w:val="-43"/>
        </w:rPr>
        <w:t> </w:t>
      </w:r>
      <w:r>
        <w:rPr>
          <w:spacing w:val="-43"/>
        </w:rPr>
      </w:r>
      <w:r>
        <w:rPr>
          <w:spacing w:val="-5"/>
        </w:rPr>
        <w:t>供劳务过程中耗用的材料和物料等。主要包括原材料、周转材料、在产品、发出商品、产成品（库存商品） </w:t>
      </w:r>
      <w:r>
        <w:rPr>
          <w:spacing w:val="-5"/>
        </w:rPr>
      </w:r>
      <w:r>
        <w:rPr/>
        <w:t>等</w:t>
      </w:r>
    </w:p>
    <w:p>
      <w:pPr>
        <w:spacing w:after="0" w:line="273" w:lineRule="auto"/>
        <w:jc w:val="left"/>
        <w:sectPr>
          <w:footerReference w:type="default" r:id="rId23"/>
          <w:pgSz w:w="11910" w:h="16840"/>
          <w:pgMar w:footer="979" w:header="747" w:top="1060" w:bottom="1160" w:left="980" w:right="920"/>
          <w:pgNumType w:start="90"/>
        </w:sectPr>
      </w:pPr>
    </w:p>
    <w:p>
      <w:pPr>
        <w:spacing w:line="240" w:lineRule="auto" w:before="10"/>
        <w:rPr>
          <w:rFonts w:ascii="宋体" w:hAnsi="宋体" w:cs="宋体" w:eastAsia="宋体" w:hint="default"/>
          <w:sz w:val="24"/>
          <w:szCs w:val="24"/>
        </w:rPr>
      </w:pPr>
    </w:p>
    <w:p>
      <w:pPr>
        <w:pStyle w:val="BodyText"/>
        <w:spacing w:line="240" w:lineRule="auto" w:before="36"/>
        <w:ind w:right="99"/>
        <w:jc w:val="left"/>
      </w:pPr>
      <w:r>
        <w:rPr/>
        <w:t>（2）发出存货的计价方法</w:t>
      </w:r>
    </w:p>
    <w:p>
      <w:pPr>
        <w:spacing w:line="240" w:lineRule="auto" w:before="10"/>
        <w:rPr>
          <w:rFonts w:ascii="宋体" w:hAnsi="宋体" w:cs="宋体" w:eastAsia="宋体" w:hint="default"/>
          <w:sz w:val="25"/>
          <w:szCs w:val="25"/>
        </w:rPr>
      </w:pPr>
    </w:p>
    <w:p>
      <w:pPr>
        <w:pStyle w:val="BodyText"/>
        <w:spacing w:line="307" w:lineRule="auto"/>
        <w:ind w:right="99"/>
        <w:jc w:val="left"/>
      </w:pPr>
      <w:r>
        <w:rPr/>
        <w:t>计价方法：先进先出法</w:t>
      </w:r>
      <w:r>
        <w:rPr>
          <w:w w:val="100"/>
        </w:rPr>
        <w:t> </w:t>
      </w:r>
      <w:r>
        <w:rPr>
          <w:spacing w:val="-2"/>
        </w:rPr>
        <w:t>本公司存货取得时按实际成本计价。原材料、在产品、库存商品、发出商品等发出时采用加权平均法计价</w:t>
      </w:r>
    </w:p>
    <w:p>
      <w:pPr>
        <w:pStyle w:val="BodyText"/>
        <w:spacing w:line="612" w:lineRule="exact" w:before="34"/>
        <w:ind w:left="574" w:right="99" w:hanging="420"/>
        <w:jc w:val="left"/>
      </w:pPr>
      <w:r>
        <w:rPr/>
        <w:t>（3）存货可变现净值的确定依据及存货跌价准备的计提方法</w:t>
      </w:r>
      <w:r>
        <w:rPr>
          <w:spacing w:val="-86"/>
        </w:rPr>
        <w:t> </w:t>
      </w:r>
      <w:r>
        <w:rPr>
          <w:spacing w:val="-86"/>
        </w:rPr>
      </w:r>
      <w:r>
        <w:rPr>
          <w:spacing w:val="-2"/>
        </w:rPr>
        <w:t>存货可变现净值是按存货的估计售价减去至完工时估计将要发生的成本、估计的销售费用以及相关税</w:t>
      </w:r>
    </w:p>
    <w:p>
      <w:pPr>
        <w:pStyle w:val="BodyText"/>
        <w:spacing w:line="219" w:lineRule="exact"/>
        <w:ind w:right="99"/>
        <w:jc w:val="left"/>
      </w:pPr>
      <w:r>
        <w:rPr/>
        <w:t>费后的金额。在确定存货的可变现净值时，以取得的确凿证据为基础，同时考虑持有存货的目的以及资产</w:t>
      </w:r>
    </w:p>
    <w:p>
      <w:pPr>
        <w:pStyle w:val="BodyText"/>
        <w:spacing w:line="240" w:lineRule="auto" w:before="37"/>
        <w:ind w:right="99"/>
        <w:jc w:val="left"/>
      </w:pPr>
      <w:r>
        <w:rPr/>
        <w:t>负债表日后事项的影响。</w:t>
      </w:r>
    </w:p>
    <w:p>
      <w:pPr>
        <w:spacing w:line="240" w:lineRule="auto" w:before="5"/>
        <w:rPr>
          <w:rFonts w:ascii="宋体" w:hAnsi="宋体" w:cs="宋体" w:eastAsia="宋体" w:hint="default"/>
          <w:sz w:val="19"/>
          <w:szCs w:val="19"/>
        </w:rPr>
      </w:pPr>
    </w:p>
    <w:p>
      <w:pPr>
        <w:pStyle w:val="BodyText"/>
        <w:spacing w:line="273" w:lineRule="auto"/>
        <w:ind w:right="205" w:firstLine="314"/>
        <w:jc w:val="both"/>
      </w:pPr>
      <w:r>
        <w:rPr/>
        <w:t>资产负债表日，存货成本高于其可变现净值的，计提存货跌价准备。本公司通常按照单个存货项目计</w:t>
      </w:r>
      <w:r>
        <w:rPr>
          <w:w w:val="100"/>
        </w:rPr>
        <w:t> </w:t>
      </w:r>
      <w:r>
        <w:rPr>
          <w:spacing w:val="-2"/>
        </w:rPr>
        <w:t>提存货跌价准备，资产负债表日，以前减记存货价值的影响因素已经消失的，存货跌价准备在原已计提的</w:t>
      </w:r>
      <w:r>
        <w:rPr>
          <w:spacing w:val="-45"/>
        </w:rPr>
        <w:t> </w:t>
      </w:r>
      <w:r>
        <w:rPr>
          <w:spacing w:val="-45"/>
        </w:rPr>
      </w:r>
      <w:r>
        <w:rPr/>
        <w:t>金额内转回。</w:t>
      </w:r>
    </w:p>
    <w:p>
      <w:pPr>
        <w:spacing w:line="240" w:lineRule="auto" w:before="7"/>
        <w:rPr>
          <w:rFonts w:ascii="宋体" w:hAnsi="宋体" w:cs="宋体" w:eastAsia="宋体" w:hint="default"/>
          <w:sz w:val="23"/>
          <w:szCs w:val="23"/>
        </w:rPr>
      </w:pPr>
    </w:p>
    <w:p>
      <w:pPr>
        <w:pStyle w:val="BodyText"/>
        <w:spacing w:line="240" w:lineRule="auto"/>
        <w:ind w:right="99"/>
        <w:jc w:val="left"/>
      </w:pPr>
      <w:r>
        <w:rPr/>
        <w:t>（4）存货的盘存制度</w:t>
      </w:r>
    </w:p>
    <w:p>
      <w:pPr>
        <w:spacing w:line="240" w:lineRule="auto" w:before="10"/>
        <w:rPr>
          <w:rFonts w:ascii="宋体" w:hAnsi="宋体" w:cs="宋体" w:eastAsia="宋体" w:hint="default"/>
          <w:sz w:val="25"/>
          <w:szCs w:val="25"/>
        </w:rPr>
      </w:pPr>
    </w:p>
    <w:p>
      <w:pPr>
        <w:pStyle w:val="BodyText"/>
        <w:spacing w:line="307" w:lineRule="auto"/>
        <w:ind w:right="4875"/>
        <w:jc w:val="left"/>
      </w:pPr>
      <w:r>
        <w:rPr/>
        <w:t>盘存制度：永续盘存制</w:t>
      </w:r>
      <w:r>
        <w:rPr>
          <w:w w:val="100"/>
        </w:rPr>
        <w:t> </w:t>
      </w:r>
      <w:r>
        <w:rPr>
          <w:spacing w:val="-2"/>
        </w:rPr>
        <w:t>本公司存货盘存制度采用永续盘存制。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610" w:lineRule="atLeast"/>
        <w:ind w:right="6366"/>
        <w:jc w:val="left"/>
      </w:pPr>
      <w:r>
        <w:rPr/>
        <w:t>（5）低值易耗品和包装物的摊销方法</w:t>
      </w:r>
      <w:r>
        <w:rPr>
          <w:spacing w:val="-92"/>
        </w:rPr>
        <w:t> </w:t>
      </w:r>
      <w:r>
        <w:rPr>
          <w:spacing w:val="-92"/>
        </w:rPr>
      </w:r>
      <w:r>
        <w:rPr/>
        <w:t>低值易耗品</w:t>
      </w:r>
    </w:p>
    <w:p>
      <w:pPr>
        <w:pStyle w:val="BodyText"/>
        <w:spacing w:line="614" w:lineRule="auto" w:before="78"/>
        <w:ind w:right="4875"/>
        <w:jc w:val="left"/>
      </w:pPr>
      <w:r>
        <w:rPr/>
        <w:t>摊销方法：一次摊销法</w:t>
      </w:r>
      <w:r>
        <w:rPr>
          <w:w w:val="100"/>
        </w:rPr>
        <w:t> </w:t>
      </w:r>
      <w:r>
        <w:rPr>
          <w:spacing w:val="-2"/>
        </w:rPr>
        <w:t>低值易耗品领用时采用一次转销法摊销。</w:t>
      </w:r>
    </w:p>
    <w:p>
      <w:pPr>
        <w:pStyle w:val="BodyText"/>
        <w:spacing w:line="307" w:lineRule="auto" w:before="103"/>
        <w:ind w:right="7521"/>
        <w:jc w:val="left"/>
      </w:pPr>
      <w:r>
        <w:rPr/>
        <w:t>包装物</w:t>
      </w:r>
      <w:r>
        <w:rPr>
          <w:spacing w:val="-102"/>
        </w:rPr>
        <w:t> </w:t>
      </w:r>
      <w:r>
        <w:rPr>
          <w:spacing w:val="-2"/>
        </w:rPr>
        <w:t>摊销方法：一次摊销法</w:t>
      </w:r>
    </w:p>
    <w:p>
      <w:pPr>
        <w:pStyle w:val="BodyText"/>
        <w:spacing w:line="240" w:lineRule="auto" w:before="19"/>
        <w:ind w:right="99"/>
        <w:jc w:val="left"/>
      </w:pPr>
      <w:r>
        <w:rPr/>
        <w:t>包装物领用时采用一次转销法摊销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537" w:lineRule="auto"/>
        <w:ind w:right="7521"/>
        <w:jc w:val="left"/>
      </w:pPr>
      <w:r>
        <w:rPr/>
        <w:t>13、划分为持有待售资产</w:t>
      </w:r>
      <w:r>
        <w:rPr>
          <w:spacing w:val="-92"/>
        </w:rPr>
        <w:t> </w:t>
      </w:r>
      <w:r>
        <w:rPr/>
        <w:t>不适用</w:t>
      </w:r>
    </w:p>
    <w:p>
      <w:pPr>
        <w:pStyle w:val="BodyText"/>
        <w:spacing w:line="240" w:lineRule="auto" w:before="76"/>
        <w:ind w:right="99"/>
        <w:jc w:val="left"/>
      </w:pPr>
      <w:r>
        <w:rPr/>
        <w:t>14、长期股权投资</w:t>
      </w:r>
    </w:p>
    <w:p>
      <w:pPr>
        <w:spacing w:line="240" w:lineRule="auto" w:before="10"/>
        <w:rPr>
          <w:rFonts w:ascii="宋体" w:hAnsi="宋体" w:cs="宋体" w:eastAsia="宋体" w:hint="default"/>
          <w:sz w:val="25"/>
          <w:szCs w:val="25"/>
        </w:rPr>
      </w:pPr>
    </w:p>
    <w:p>
      <w:pPr>
        <w:pStyle w:val="BodyText"/>
        <w:spacing w:line="273" w:lineRule="auto"/>
        <w:ind w:right="99"/>
        <w:jc w:val="left"/>
      </w:pPr>
      <w:r>
        <w:rPr>
          <w:spacing w:val="-5"/>
        </w:rPr>
        <w:t>本公司长期股权投资包括对被投资单位实施控制、重大影响的权益性投资，以及对合营企业的权益性投资。 </w:t>
      </w:r>
      <w:r>
        <w:rPr/>
        <w:t>本公司能够对被投资单位施加重大影响的，为本公司的联营企业。</w:t>
      </w:r>
    </w:p>
    <w:p>
      <w:pPr>
        <w:spacing w:line="240" w:lineRule="auto" w:before="1"/>
        <w:rPr>
          <w:rFonts w:ascii="宋体" w:hAnsi="宋体" w:cs="宋体" w:eastAsia="宋体" w:hint="default"/>
          <w:sz w:val="17"/>
          <w:szCs w:val="17"/>
        </w:rPr>
      </w:pPr>
    </w:p>
    <w:p>
      <w:pPr>
        <w:pStyle w:val="BodyText"/>
        <w:spacing w:line="240" w:lineRule="auto"/>
        <w:ind w:right="99"/>
        <w:jc w:val="left"/>
      </w:pPr>
      <w:r>
        <w:rPr/>
        <w:t>（1）投资成本确定</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5"/>
        <w:jc w:val="both"/>
      </w:pPr>
      <w:r>
        <w:rPr>
          <w:spacing w:val="-2"/>
        </w:rPr>
        <w:t>对于企业合并形成的长期股权投资：同一控制下企业合并取得的长期股权投资，在合并日按照取得被合并</w:t>
      </w:r>
      <w:r>
        <w:rPr>
          <w:spacing w:val="-44"/>
        </w:rPr>
        <w:t> </w:t>
      </w:r>
      <w:r>
        <w:rPr>
          <w:spacing w:val="-44"/>
        </w:rPr>
      </w:r>
      <w:r>
        <w:rPr>
          <w:spacing w:val="-2"/>
        </w:rPr>
        <w:t>方所有者权益在最终控制方合并财务报表中的账面价值份额作为投资成本；非同一控制下企业合并取得的</w:t>
      </w:r>
      <w:r>
        <w:rPr>
          <w:spacing w:val="-42"/>
        </w:rPr>
        <w:t> </w:t>
      </w:r>
      <w:r>
        <w:rPr>
          <w:spacing w:val="-42"/>
        </w:rPr>
      </w:r>
      <w:r>
        <w:rPr/>
        <w:t>长期股权投资，按照合并成本作为长期股权投资的投资成本。</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对于以企业合并以外的其他方式取得的长期股权投资：支付现金取得的长期股权投资，按照实际支付的购</w:t>
      </w:r>
      <w:r>
        <w:rPr>
          <w:spacing w:val="-44"/>
        </w:rPr>
        <w:t> </w:t>
      </w:r>
      <w:r>
        <w:rPr>
          <w:spacing w:val="-44"/>
        </w:rPr>
      </w:r>
      <w:r>
        <w:rPr>
          <w:spacing w:val="-2"/>
        </w:rPr>
        <w:t>买价款作为初始投资成本；发行权益性证券取得的长期股权投资，以发行权益性证券的公允价值作为初始</w:t>
      </w:r>
      <w:r>
        <w:rPr>
          <w:spacing w:val="-43"/>
        </w:rPr>
        <w:t> </w:t>
      </w:r>
      <w:r>
        <w:rPr>
          <w:spacing w:val="-43"/>
        </w:rPr>
      </w:r>
      <w:r>
        <w:rPr/>
        <w:t>投资成本。</w:t>
      </w:r>
    </w:p>
    <w:p>
      <w:pPr>
        <w:spacing w:line="240" w:lineRule="auto" w:before="1"/>
        <w:rPr>
          <w:rFonts w:ascii="宋体" w:hAnsi="宋体" w:cs="宋体" w:eastAsia="宋体" w:hint="default"/>
          <w:sz w:val="17"/>
          <w:szCs w:val="17"/>
        </w:rPr>
      </w:pPr>
    </w:p>
    <w:p>
      <w:pPr>
        <w:pStyle w:val="BodyText"/>
        <w:spacing w:line="240" w:lineRule="auto"/>
        <w:ind w:right="0"/>
        <w:jc w:val="both"/>
      </w:pPr>
      <w:r>
        <w:rPr/>
        <w:t>（2）后续计量及损益确认方法</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本公司能够对被投资单位实施控制的长期股权投资采用成本法核算；对联营企业和合营企业的投资采用权</w:t>
      </w:r>
      <w:r>
        <w:rPr>
          <w:spacing w:val="-43"/>
        </w:rPr>
        <w:t> </w:t>
      </w:r>
      <w:r>
        <w:rPr>
          <w:spacing w:val="-43"/>
        </w:rPr>
      </w:r>
      <w:r>
        <w:rPr/>
        <w:t>益法核算。</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采用成本法核算的长期股权投资，除取得投资时实际支付的价款或对价中包含的已宣告但尚未发放的现金</w:t>
      </w:r>
      <w:r>
        <w:rPr>
          <w:spacing w:val="-42"/>
        </w:rPr>
        <w:t> </w:t>
      </w:r>
      <w:r>
        <w:rPr>
          <w:spacing w:val="-42"/>
        </w:rPr>
      </w:r>
      <w:r>
        <w:rPr/>
        <w:t>股利或利润外，被投资单位宣告分派的现金股利或利润，确认为投资收益计入当期损益。</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采用权益法核算的长期股权投资，初始投资成本大于投资时应享有被投资单位可辨认净资产公允价值份额</w:t>
      </w:r>
      <w:r>
        <w:rPr>
          <w:spacing w:val="-42"/>
        </w:rPr>
        <w:t> </w:t>
      </w:r>
      <w:r>
        <w:rPr>
          <w:spacing w:val="-42"/>
        </w:rPr>
      </w:r>
      <w:r>
        <w:rPr>
          <w:spacing w:val="-2"/>
        </w:rPr>
        <w:t>的，不调整长期股权投资的投资成本；初始投资成本小于投资时应享有被投资单位可辨认净资产公允价值</w:t>
      </w:r>
      <w:r>
        <w:rPr>
          <w:spacing w:val="-42"/>
        </w:rPr>
        <w:t> </w:t>
      </w:r>
      <w:r>
        <w:rPr>
          <w:spacing w:val="-42"/>
        </w:rPr>
      </w:r>
      <w:r>
        <w:rPr/>
        <w:t>份额的，对长期股权投资的账面价值进行调整，差额计入投资当期的损益。</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采用权益法核算时，按照应享有或应分担的被投资单位实现的净损益和其他综合收益的份额，分别确认投</w:t>
      </w:r>
      <w:r>
        <w:rPr>
          <w:spacing w:val="-42"/>
        </w:rPr>
        <w:t> </w:t>
      </w:r>
      <w:r>
        <w:rPr>
          <w:spacing w:val="-42"/>
        </w:rPr>
      </w:r>
      <w:r>
        <w:rPr>
          <w:spacing w:val="-2"/>
        </w:rPr>
        <w:t>资收益和其他综合收益，同时调整长期股权投资的账面价值；按照被投资单位宣告分派的利润或现金股利</w:t>
      </w:r>
      <w:r>
        <w:rPr>
          <w:spacing w:val="-44"/>
        </w:rPr>
        <w:t> </w:t>
      </w:r>
      <w:r>
        <w:rPr>
          <w:spacing w:val="-44"/>
        </w:rPr>
      </w:r>
      <w:r>
        <w:rPr>
          <w:spacing w:val="-2"/>
        </w:rPr>
        <w:t>计算应享有的部分，相应减少长期股权投资的账面价值；被投资单位除净损益、其他综合收益和利润分配</w:t>
      </w:r>
      <w:r>
        <w:rPr>
          <w:spacing w:val="-45"/>
        </w:rPr>
        <w:t> </w:t>
      </w:r>
      <w:r>
        <w:rPr>
          <w:spacing w:val="-45"/>
        </w:rPr>
      </w:r>
      <w:r>
        <w:rPr>
          <w:spacing w:val="-2"/>
        </w:rPr>
        <w:t>以外所有者权益的其他变动，调整长期股权投资的账面价值并计入所有者权益。在确认应享有被投资单位</w:t>
      </w:r>
      <w:r>
        <w:rPr>
          <w:spacing w:val="-44"/>
        </w:rPr>
        <w:t> </w:t>
      </w:r>
      <w:r>
        <w:rPr>
          <w:spacing w:val="-44"/>
        </w:rPr>
      </w:r>
      <w:r>
        <w:rPr>
          <w:spacing w:val="-2"/>
        </w:rPr>
        <w:t>净损益的份额时，以取得投资时被投资单位各项可辨认资产等的公允价值为基础，并按照本公司的会计政</w:t>
      </w:r>
      <w:r>
        <w:rPr>
          <w:spacing w:val="-43"/>
        </w:rPr>
        <w:t> </w:t>
      </w:r>
      <w:r>
        <w:rPr>
          <w:spacing w:val="-43"/>
        </w:rPr>
      </w:r>
      <w:r>
        <w:rPr/>
        <w:t>策及会计期间，对被投资单位的净利润进行调整后确认。</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因追加投资等原因能够对被投资单位施加重大影响或实施共同控制但不构成控制的，按照原持有的股权投</w:t>
      </w:r>
      <w:r>
        <w:rPr>
          <w:spacing w:val="-42"/>
        </w:rPr>
        <w:t> </w:t>
      </w:r>
      <w:r>
        <w:rPr>
          <w:spacing w:val="-42"/>
        </w:rPr>
      </w:r>
      <w:r>
        <w:rPr>
          <w:spacing w:val="-2"/>
        </w:rPr>
        <w:t>资的公允价值加上新增投资成本之和，作为改按权益法核算的初始投资成本。原持有的股权投资分类为可</w:t>
      </w:r>
      <w:r>
        <w:rPr>
          <w:spacing w:val="-42"/>
        </w:rPr>
        <w:t> </w:t>
      </w:r>
      <w:r>
        <w:rPr>
          <w:spacing w:val="-42"/>
        </w:rPr>
      </w:r>
      <w:r>
        <w:rPr>
          <w:spacing w:val="-2"/>
        </w:rPr>
        <w:t>供出售金融资产的，其公允价值与账面价值之间的差额，以及原计入其他综合收益的累计公允价值变动应</w:t>
      </w:r>
      <w:r>
        <w:rPr>
          <w:spacing w:val="-44"/>
        </w:rPr>
        <w:t> </w:t>
      </w:r>
      <w:r>
        <w:rPr>
          <w:spacing w:val="-44"/>
        </w:rPr>
      </w:r>
      <w:r>
        <w:rPr/>
        <w:t>当转入改按权益法核算的当期损益。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spacing w:val="2"/>
        </w:rPr>
        <w:t>因处置部分股权投资等原因丧失了对被投资单位的共同控制或重大影响的，处置后的剩余股权应当改按</w:t>
      </w:r>
    </w:p>
    <w:p>
      <w:pPr>
        <w:pStyle w:val="BodyText"/>
        <w:spacing w:line="273" w:lineRule="auto" w:before="37"/>
        <w:ind w:right="145"/>
        <w:jc w:val="both"/>
      </w:pPr>
      <w:r>
        <w:rPr>
          <w:spacing w:val="-2"/>
        </w:rPr>
        <w:t>《企业会计准则第22号—金融工具确认和计量》进行会计处理，在丧失共同控制或重大影响之日的公允价</w:t>
      </w:r>
      <w:r>
        <w:rPr>
          <w:spacing w:val="-41"/>
        </w:rPr>
        <w:t> </w:t>
      </w:r>
      <w:r>
        <w:rPr>
          <w:spacing w:val="-41"/>
        </w:rPr>
      </w:r>
      <w:r>
        <w:rPr>
          <w:spacing w:val="-2"/>
        </w:rPr>
        <w:t>值与账面价值之间的差额计入当期损益。原股权投资因采用权益法核算而确认的其他综合收益，应当在终</w:t>
      </w:r>
      <w:r>
        <w:rPr>
          <w:spacing w:val="-44"/>
        </w:rPr>
        <w:t> </w:t>
      </w:r>
      <w:r>
        <w:rPr>
          <w:spacing w:val="-44"/>
        </w:rPr>
      </w:r>
      <w:r>
        <w:rPr>
          <w:spacing w:val="-2"/>
        </w:rPr>
        <w:t>止采用权益法核算时采用与被投资单位直接处置相关资产或负债相同的基础进行会计处理；原股权投资相</w:t>
      </w:r>
      <w:r>
        <w:rPr>
          <w:spacing w:val="-43"/>
        </w:rPr>
        <w:t> </w:t>
      </w:r>
      <w:r>
        <w:rPr>
          <w:spacing w:val="-43"/>
        </w:rPr>
      </w:r>
      <w:r>
        <w:rPr/>
        <w:t>关的其他所有者权益变动转入当期损益。</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因处置部分股权投资等原因丧失了对被投资单位的控制的，处置后的剩余股权能够对被投资单位实施共同</w:t>
      </w:r>
      <w:r>
        <w:rPr>
          <w:spacing w:val="-42"/>
        </w:rPr>
        <w:t> </w:t>
      </w:r>
      <w:r>
        <w:rPr>
          <w:spacing w:val="-42"/>
        </w:rPr>
      </w:r>
      <w:r>
        <w:rPr>
          <w:spacing w:val="-2"/>
        </w:rPr>
        <w:t>控制或施加重大影响的，改按权益法核算，并对该剩余股权视同自取得时即采用权益法核算进行调整；处</w:t>
      </w:r>
      <w:r>
        <w:rPr>
          <w:spacing w:val="-44"/>
        </w:rPr>
        <w:t> </w:t>
      </w:r>
      <w:r>
        <w:rPr>
          <w:spacing w:val="-44"/>
        </w:rPr>
      </w:r>
      <w:r>
        <w:rPr>
          <w:spacing w:val="-2"/>
        </w:rPr>
        <w:t>置后的剩余股权不能对被投资单位实施共同控制或施加重大影响的，改按《企业会计准则第22号—金融工</w:t>
      </w:r>
      <w:r>
        <w:rPr>
          <w:spacing w:val="-40"/>
        </w:rPr>
        <w:t> </w:t>
      </w:r>
      <w:r>
        <w:rPr>
          <w:spacing w:val="-40"/>
        </w:rPr>
      </w:r>
      <w:r>
        <w:rPr>
          <w:spacing w:val="-2"/>
        </w:rPr>
        <w:t>具确认和计量》的有关规定进行会计处理，其在丧失控制之日的公允价值与账面价值间的差额计入当期损</w:t>
      </w:r>
      <w:r>
        <w:rPr>
          <w:spacing w:val="-43"/>
        </w:rPr>
        <w:t> </w:t>
      </w:r>
      <w:r>
        <w:rPr>
          <w:spacing w:val="-43"/>
        </w:rPr>
      </w:r>
      <w:r>
        <w:rPr/>
        <w:t>益。</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本公司与联营企业及合营企业之间发生的未实现内部交易损益按照持股比例计算归属于本公司的部分，在</w:t>
      </w:r>
      <w:r>
        <w:rPr>
          <w:spacing w:val="-42"/>
        </w:rPr>
        <w:t> </w:t>
      </w:r>
      <w:r>
        <w:rPr>
          <w:spacing w:val="-42"/>
        </w:rPr>
      </w:r>
      <w:r>
        <w:rPr>
          <w:spacing w:val="-2"/>
        </w:rPr>
        <w:t>抵销基础上确认投资损益。但本公司与被投资单位发生的未实现内部交易损失，属于所转让资产减值损失</w:t>
      </w:r>
      <w:r>
        <w:rPr>
          <w:spacing w:val="-43"/>
        </w:rPr>
        <w:t> </w:t>
      </w:r>
      <w:r>
        <w:rPr>
          <w:spacing w:val="-43"/>
        </w:rPr>
      </w:r>
      <w:r>
        <w:rPr/>
        <w:t>的，不予以抵销。</w:t>
      </w:r>
    </w:p>
    <w:p>
      <w:pPr>
        <w:spacing w:after="0" w:line="273"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5"/>
        <w:jc w:val="both"/>
      </w:pPr>
      <w:r>
        <w:rPr>
          <w:spacing w:val="-2"/>
        </w:rPr>
        <w:t>对于2007年1月1日之前已经持有的对联营企业及合营企业的长期股权投资，如存在与该投资相关的股权投</w:t>
      </w:r>
      <w:r>
        <w:rPr>
          <w:spacing w:val="-36"/>
        </w:rPr>
        <w:t> </w:t>
      </w:r>
      <w:r>
        <w:rPr>
          <w:spacing w:val="-36"/>
        </w:rPr>
      </w:r>
      <w:r>
        <w:rPr/>
        <w:t>资借方差额，在扣除按原剩余期限直线法摊销的股权投资借方差额后，确认投资损益。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（3）确定对被投资单位具有共同控制、重大影响的依据</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共同控制，是指按照相关约定对某项安排所共有的控制，并且该安排的相关活动必须经过分享控制权的参</w:t>
      </w:r>
      <w:r>
        <w:rPr>
          <w:spacing w:val="-44"/>
        </w:rPr>
        <w:t> </w:t>
      </w:r>
      <w:r>
        <w:rPr>
          <w:spacing w:val="-44"/>
        </w:rPr>
      </w:r>
      <w:r>
        <w:rPr>
          <w:spacing w:val="-2"/>
        </w:rPr>
        <w:t>与方一致同意后才能决策。在判断是否存在共同控制时，首先判断所有参与方或参与方组合是否集体控制</w:t>
      </w:r>
      <w:r>
        <w:rPr>
          <w:spacing w:val="-43"/>
        </w:rPr>
        <w:t> </w:t>
      </w:r>
      <w:r>
        <w:rPr>
          <w:spacing w:val="-43"/>
        </w:rPr>
      </w:r>
      <w:r>
        <w:rPr>
          <w:spacing w:val="-2"/>
        </w:rPr>
        <w:t>该安排，如果所有参与方或一组参与方必须一致行动才能决定某项安排的相关活动，则认为所有参与方或</w:t>
      </w:r>
      <w:r>
        <w:rPr>
          <w:spacing w:val="-42"/>
        </w:rPr>
        <w:t> </w:t>
      </w:r>
      <w:r>
        <w:rPr>
          <w:spacing w:val="-42"/>
        </w:rPr>
      </w:r>
      <w:r>
        <w:rPr>
          <w:spacing w:val="-2"/>
        </w:rPr>
        <w:t>一组参与方集体控制该安排。其次再判断该安排相关活动的决策是否必须经过这些集体控制该安排的参与</w:t>
      </w:r>
      <w:r>
        <w:rPr>
          <w:spacing w:val="-43"/>
        </w:rPr>
        <w:t> </w:t>
      </w:r>
      <w:r>
        <w:rPr>
          <w:spacing w:val="-43"/>
        </w:rPr>
      </w:r>
      <w:r>
        <w:rPr>
          <w:spacing w:val="-2"/>
        </w:rPr>
        <w:t>方一致同意。如果存在两个或两个以上的参与方组合能够集体控制某项安排的，不构成共同控制。判断是</w:t>
      </w:r>
      <w:r>
        <w:rPr>
          <w:spacing w:val="-43"/>
        </w:rPr>
        <w:t> </w:t>
      </w:r>
      <w:r>
        <w:rPr>
          <w:spacing w:val="-43"/>
        </w:rPr>
      </w:r>
      <w:r>
        <w:rPr/>
        <w:t>否存在共同控制时，不考虑享有的保护性权利。</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重大影响，是指投资方对被投资单位的财务和经营政策有参与决策的权力，但并不能够控制或者与其他方</w:t>
      </w:r>
      <w:r>
        <w:rPr>
          <w:spacing w:val="-44"/>
        </w:rPr>
        <w:t> </w:t>
      </w:r>
      <w:r>
        <w:rPr>
          <w:spacing w:val="-44"/>
        </w:rPr>
      </w:r>
      <w:r>
        <w:rPr>
          <w:spacing w:val="-2"/>
        </w:rPr>
        <w:t>一起共同控制这些政策的制定。在确定能否对被投资单位施加重大影响时，考虑投资方直接或间接持有被</w:t>
      </w:r>
      <w:r>
        <w:rPr>
          <w:spacing w:val="-44"/>
        </w:rPr>
        <w:t> </w:t>
      </w:r>
      <w:r>
        <w:rPr>
          <w:spacing w:val="-44"/>
        </w:rPr>
      </w:r>
      <w:r>
        <w:rPr>
          <w:spacing w:val="2"/>
        </w:rPr>
        <w:t>投资单位的表决权股份以及投资方及其他方持有的当期可执行潜在表决权在假定转换为对被投资方单位</w:t>
      </w:r>
      <w:r>
        <w:rPr>
          <w:spacing w:val="-30"/>
        </w:rPr>
        <w:t> </w:t>
      </w:r>
      <w:r>
        <w:rPr>
          <w:spacing w:val="-30"/>
        </w:rPr>
      </w:r>
      <w:r>
        <w:rPr>
          <w:spacing w:val="-2"/>
        </w:rPr>
        <w:t>的股权后产生的影响，包括被投资单位发行的当期可转换的认股权证、股份期权及可转换公司债券等的影</w:t>
      </w:r>
      <w:r>
        <w:rPr>
          <w:spacing w:val="-43"/>
        </w:rPr>
        <w:t> </w:t>
      </w:r>
      <w:r>
        <w:rPr>
          <w:spacing w:val="-43"/>
        </w:rPr>
      </w:r>
      <w:r>
        <w:rPr/>
        <w:t>响。</w:t>
      </w:r>
    </w:p>
    <w:p>
      <w:pPr>
        <w:spacing w:line="240" w:lineRule="auto" w:before="1"/>
        <w:rPr>
          <w:rFonts w:ascii="宋体" w:hAnsi="宋体" w:cs="宋体" w:eastAsia="宋体" w:hint="default"/>
          <w:sz w:val="17"/>
          <w:szCs w:val="17"/>
        </w:rPr>
      </w:pPr>
    </w:p>
    <w:p>
      <w:pPr>
        <w:pStyle w:val="BodyText"/>
        <w:spacing w:line="273" w:lineRule="auto"/>
        <w:ind w:right="145"/>
        <w:jc w:val="both"/>
      </w:pPr>
      <w:r>
        <w:rPr/>
        <w:t>当本公司直接或通过子公司间接拥有被投资单位20%（含20%）以上但低于50%的表决权股份时，除非有明</w:t>
      </w:r>
      <w:r>
        <w:rPr>
          <w:spacing w:val="-28"/>
        </w:rPr>
        <w:t> </w:t>
      </w:r>
      <w:r>
        <w:rPr>
          <w:spacing w:val="-28"/>
        </w:rPr>
      </w:r>
      <w:r>
        <w:rPr>
          <w:spacing w:val="-2"/>
        </w:rPr>
        <w:t>确证据表明该种情况下不能参与被投资单位的生产经营决策，不形成重大影响外，均确定对被投资单位具</w:t>
      </w:r>
      <w:r>
        <w:rPr>
          <w:spacing w:val="-44"/>
        </w:rPr>
        <w:t> </w:t>
      </w:r>
      <w:r>
        <w:rPr>
          <w:spacing w:val="-44"/>
        </w:rPr>
      </w:r>
      <w:r>
        <w:rPr/>
        <w:t>有重大影响；本公司拥有被投资单位20%（不含）以下的表决权股份，一般不认为对被投资单位具有重大</w:t>
      </w:r>
      <w:r>
        <w:rPr>
          <w:spacing w:val="-27"/>
        </w:rPr>
        <w:t> </w:t>
      </w:r>
      <w:r>
        <w:rPr>
          <w:spacing w:val="-27"/>
        </w:rPr>
      </w:r>
      <w:r>
        <w:rPr/>
        <w:t>影响，除非有明确证据表明该种情况下能够参与被投资单位的生产经营决策，形成重大影响。</w:t>
      </w:r>
    </w:p>
    <w:p>
      <w:pPr>
        <w:spacing w:line="240" w:lineRule="auto" w:before="1"/>
        <w:rPr>
          <w:rFonts w:ascii="宋体" w:hAnsi="宋体" w:cs="宋体" w:eastAsia="宋体" w:hint="default"/>
          <w:sz w:val="17"/>
          <w:szCs w:val="17"/>
        </w:rPr>
      </w:pPr>
    </w:p>
    <w:p>
      <w:pPr>
        <w:pStyle w:val="BodyText"/>
        <w:spacing w:line="460" w:lineRule="auto"/>
        <w:ind w:right="2880"/>
        <w:jc w:val="left"/>
      </w:pPr>
      <w:r>
        <w:rPr/>
        <w:t>（4）减值测试方法及减值准备计提方法</w:t>
      </w:r>
      <w:r>
        <w:rPr>
          <w:w w:val="100"/>
        </w:rPr>
        <w:t> </w:t>
      </w:r>
      <w:r>
        <w:rPr>
          <w:spacing w:val="-2"/>
        </w:rPr>
        <w:t>对子公司的投资，本公司计提资产减值的方法见附注三、19。</w:t>
      </w:r>
    </w:p>
    <w:p>
      <w:pPr>
        <w:pStyle w:val="BodyText"/>
        <w:spacing w:line="240" w:lineRule="auto" w:before="144"/>
        <w:ind w:right="0"/>
        <w:jc w:val="both"/>
      </w:pPr>
      <w:r>
        <w:rPr/>
        <w:t>15、投资性房地产</w:t>
      </w:r>
    </w:p>
    <w:p>
      <w:pPr>
        <w:spacing w:line="240" w:lineRule="auto" w:before="12"/>
        <w:rPr>
          <w:rFonts w:ascii="宋体" w:hAnsi="宋体" w:cs="宋体" w:eastAsia="宋体" w:hint="default"/>
          <w:sz w:val="25"/>
          <w:szCs w:val="25"/>
        </w:rPr>
      </w:pPr>
    </w:p>
    <w:p>
      <w:pPr>
        <w:pStyle w:val="BodyText"/>
        <w:spacing w:line="307" w:lineRule="auto"/>
        <w:ind w:right="7356"/>
        <w:jc w:val="left"/>
      </w:pPr>
      <w:r>
        <w:rPr>
          <w:spacing w:val="-2"/>
        </w:rPr>
        <w:t>投资性房地产计量模式</w:t>
      </w:r>
      <w:r>
        <w:rPr>
          <w:spacing w:val="-85"/>
        </w:rPr>
        <w:t> </w:t>
      </w:r>
      <w:r>
        <w:rPr>
          <w:spacing w:val="-85"/>
        </w:rPr>
      </w:r>
      <w:r>
        <w:rPr/>
        <w:t>成本法计量</w:t>
      </w:r>
      <w:r>
        <w:rPr>
          <w:spacing w:val="-102"/>
        </w:rPr>
        <w:t> </w:t>
      </w:r>
      <w:r>
        <w:rPr>
          <w:spacing w:val="-102"/>
        </w:rPr>
      </w:r>
      <w:r>
        <w:rPr/>
        <w:t>折旧或摊销方法</w:t>
      </w:r>
    </w:p>
    <w:p>
      <w:pPr>
        <w:pStyle w:val="BodyText"/>
        <w:spacing w:line="273" w:lineRule="auto" w:before="19"/>
        <w:ind w:right="145"/>
        <w:jc w:val="both"/>
      </w:pPr>
      <w:r>
        <w:rPr>
          <w:spacing w:val="-2"/>
        </w:rPr>
        <w:t>本公司投资性房地产按照取得时的成本进行初始计量，并按照固定资产或无形资产的有关规定，按期计提</w:t>
      </w:r>
      <w:r>
        <w:rPr>
          <w:spacing w:val="-44"/>
        </w:rPr>
        <w:t> </w:t>
      </w:r>
      <w:r>
        <w:rPr>
          <w:spacing w:val="-44"/>
        </w:rPr>
      </w:r>
      <w:r>
        <w:rPr/>
        <w:t>折旧或摊销。</w:t>
      </w:r>
    </w:p>
    <w:p>
      <w:pPr>
        <w:pStyle w:val="BodyText"/>
        <w:spacing w:line="408" w:lineRule="auto" w:before="84"/>
        <w:ind w:right="0"/>
        <w:jc w:val="left"/>
      </w:pPr>
      <w:r>
        <w:rPr/>
        <w:t>采用成本模式进行后续计量的投资性房地产，计提资产减值方法见22、长期资产减值。</w:t>
      </w:r>
      <w:r>
        <w:rPr>
          <w:w w:val="100"/>
        </w:rPr>
        <w:t> </w:t>
      </w:r>
      <w:r>
        <w:rPr>
          <w:spacing w:val="-2"/>
        </w:rPr>
        <w:t>投资性房地产出售、转让、报废或毁损的处置收入扣除其账面价值和相关税费后的差额计入当期损益。</w:t>
      </w:r>
    </w:p>
    <w:p>
      <w:pPr>
        <w:spacing w:line="240" w:lineRule="auto" w:before="8"/>
        <w:rPr>
          <w:rFonts w:ascii="宋体" w:hAnsi="宋体" w:cs="宋体" w:eastAsia="宋体" w:hint="default"/>
          <w:sz w:val="20"/>
          <w:szCs w:val="20"/>
        </w:rPr>
      </w:pPr>
    </w:p>
    <w:p>
      <w:pPr>
        <w:pStyle w:val="BodyText"/>
        <w:spacing w:line="240" w:lineRule="auto"/>
        <w:ind w:right="0"/>
        <w:jc w:val="both"/>
      </w:pPr>
      <w:r>
        <w:rPr/>
        <w:t>16、固定资产</w:t>
      </w:r>
    </w:p>
    <w:p>
      <w:pPr>
        <w:spacing w:line="240" w:lineRule="auto" w:before="10"/>
        <w:rPr>
          <w:rFonts w:ascii="宋体" w:hAnsi="宋体" w:cs="宋体" w:eastAsia="宋体" w:hint="default"/>
          <w:sz w:val="25"/>
          <w:szCs w:val="25"/>
        </w:rPr>
      </w:pPr>
    </w:p>
    <w:p>
      <w:pPr>
        <w:pStyle w:val="BodyText"/>
        <w:spacing w:line="240" w:lineRule="auto"/>
        <w:ind w:right="0"/>
        <w:jc w:val="both"/>
      </w:pPr>
      <w:r>
        <w:rPr/>
        <w:t>（1）确认条件</w:t>
      </w:r>
    </w:p>
    <w:p>
      <w:pPr>
        <w:spacing w:line="240" w:lineRule="auto" w:before="12"/>
        <w:rPr>
          <w:rFonts w:ascii="宋体" w:hAnsi="宋体" w:cs="宋体" w:eastAsia="宋体" w:hint="default"/>
          <w:sz w:val="25"/>
          <w:szCs w:val="25"/>
        </w:rPr>
      </w:pPr>
    </w:p>
    <w:p>
      <w:pPr>
        <w:pStyle w:val="BodyText"/>
        <w:spacing w:line="273" w:lineRule="auto"/>
        <w:ind w:right="145"/>
        <w:jc w:val="both"/>
      </w:pPr>
      <w:r>
        <w:rPr>
          <w:spacing w:val="-2"/>
        </w:rPr>
        <w:t>本公司固定资产是指为生产商品、提供劳务、出租或经营管理而持有的，使用寿命超过一个会计年度的有</w:t>
      </w:r>
      <w:r>
        <w:rPr>
          <w:spacing w:val="-44"/>
        </w:rPr>
        <w:t> </w:t>
      </w:r>
      <w:r>
        <w:rPr>
          <w:spacing w:val="-44"/>
        </w:rPr>
      </w:r>
      <w:r>
        <w:rPr>
          <w:spacing w:val="-2"/>
        </w:rPr>
        <w:t>形资产。与该固定资产有关的经济利益很可能流入企业，并且该固定资产的成本能够可靠地计量时，固定</w:t>
      </w:r>
      <w:r>
        <w:rPr>
          <w:spacing w:val="-44"/>
        </w:rPr>
        <w:t> </w:t>
      </w:r>
      <w:r>
        <w:rPr>
          <w:spacing w:val="-44"/>
        </w:rPr>
      </w:r>
      <w:r>
        <w:rPr/>
        <w:t>资产才能予以确认。本公司固定资产按照取得时的实际成本进行初始计量。</w:t>
      </w:r>
    </w:p>
    <w:p>
      <w:pPr>
        <w:spacing w:after="0" w:line="273"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99"/>
        <w:jc w:val="left"/>
      </w:pPr>
      <w:r>
        <w:rPr/>
        <w:t>（2）折旧方法</w:t>
      </w:r>
    </w:p>
    <w:p>
      <w:pPr>
        <w:spacing w:line="240" w:lineRule="auto" w:before="1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2.375%-4.75%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6.33%-9.50%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19.00%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19.00%</w:t>
            </w:r>
          </w:p>
        </w:tc>
      </w:tr>
    </w:tbl>
    <w:p>
      <w:pPr>
        <w:pStyle w:val="BodyText"/>
        <w:spacing w:line="262" w:lineRule="exact"/>
        <w:ind w:right="99"/>
        <w:jc w:val="left"/>
      </w:pPr>
      <w:r>
        <w:rPr/>
        <w:t>不适用</w:t>
      </w:r>
    </w:p>
    <w:p>
      <w:pPr>
        <w:spacing w:line="240" w:lineRule="auto" w:before="10"/>
        <w:rPr>
          <w:rFonts w:ascii="宋体" w:hAnsi="宋体" w:cs="宋体" w:eastAsia="宋体" w:hint="default"/>
          <w:sz w:val="25"/>
          <w:szCs w:val="25"/>
        </w:rPr>
      </w:pPr>
    </w:p>
    <w:p>
      <w:pPr>
        <w:pStyle w:val="BodyText"/>
        <w:spacing w:line="240" w:lineRule="auto"/>
        <w:ind w:right="99"/>
        <w:jc w:val="left"/>
      </w:pPr>
      <w:r>
        <w:rPr/>
        <w:t>（3）融资租入固定资产的认定依据、计价和折旧方法</w:t>
      </w:r>
    </w:p>
    <w:p>
      <w:pPr>
        <w:spacing w:line="240" w:lineRule="auto" w:before="12"/>
        <w:rPr>
          <w:rFonts w:ascii="宋体" w:hAnsi="宋体" w:cs="宋体" w:eastAsia="宋体" w:hint="default"/>
          <w:sz w:val="25"/>
          <w:szCs w:val="25"/>
        </w:rPr>
      </w:pPr>
    </w:p>
    <w:p>
      <w:pPr>
        <w:pStyle w:val="BodyText"/>
        <w:spacing w:line="273" w:lineRule="auto"/>
        <w:ind w:right="99"/>
        <w:jc w:val="left"/>
      </w:pPr>
      <w:r>
        <w:rPr>
          <w:spacing w:val="-2"/>
        </w:rPr>
        <w:t>当本公司租入的固定资产符合下列一项或数项标准时，确认为融资租入固定资产：①在租赁期届满时，租</w:t>
      </w:r>
      <w:r>
        <w:rPr>
          <w:spacing w:val="-44"/>
        </w:rPr>
        <w:t> </w:t>
      </w:r>
      <w:r>
        <w:rPr>
          <w:spacing w:val="-44"/>
        </w:rPr>
      </w:r>
      <w:r>
        <w:rPr>
          <w:spacing w:val="-2"/>
        </w:rPr>
        <w:t>赁资产的所有权转移给本公司。②本公司有购买租赁资产的选择权，所订立的购买价款预计将远低于行使</w:t>
      </w:r>
      <w:r>
        <w:rPr>
          <w:spacing w:val="-43"/>
        </w:rPr>
        <w:t> </w:t>
      </w:r>
      <w:r>
        <w:rPr>
          <w:spacing w:val="-43"/>
        </w:rPr>
      </w:r>
      <w:r>
        <w:rPr>
          <w:spacing w:val="-2"/>
        </w:rPr>
        <w:t>选择权时租赁资产的公允价值，因而在租赁开始日就可以合理确定本公司将会行使这种选择权。③即使资</w:t>
      </w:r>
      <w:r>
        <w:rPr>
          <w:spacing w:val="-45"/>
        </w:rPr>
        <w:t> </w:t>
      </w:r>
      <w:r>
        <w:rPr>
          <w:spacing w:val="-45"/>
        </w:rPr>
      </w:r>
      <w:r>
        <w:rPr>
          <w:spacing w:val="-2"/>
        </w:rPr>
        <w:t>产的所有权不转移，但租赁期占租赁资产使用寿命的大部分。④本公司在租赁开始日的最低租赁付款额现</w:t>
      </w:r>
      <w:r>
        <w:rPr>
          <w:spacing w:val="-44"/>
        </w:rPr>
        <w:t> </w:t>
      </w:r>
      <w:r>
        <w:rPr>
          <w:spacing w:val="-44"/>
        </w:rPr>
      </w:r>
      <w:r>
        <w:rPr>
          <w:spacing w:val="-2"/>
        </w:rPr>
        <w:t>值，几乎相当于租赁开始日租赁资产公允价值。⑤租赁资产性质特殊，如果不作较大改造，只有本公司才</w:t>
      </w:r>
      <w:r>
        <w:rPr>
          <w:spacing w:val="-50"/>
        </w:rPr>
        <w:t> </w:t>
      </w:r>
      <w:r>
        <w:rPr>
          <w:spacing w:val="-50"/>
        </w:rPr>
      </w:r>
      <w:r>
        <w:rPr>
          <w:spacing w:val="-2"/>
        </w:rPr>
        <w:t>能使用。融资租赁租入的固定资产，按租赁开始日租赁资产公允价值与最低租赁付款额的现值两者中较低</w:t>
      </w:r>
      <w:r>
        <w:rPr>
          <w:spacing w:val="-43"/>
        </w:rPr>
        <w:t> </w:t>
      </w:r>
      <w:r>
        <w:rPr>
          <w:spacing w:val="-43"/>
        </w:rPr>
      </w:r>
      <w:r>
        <w:rPr>
          <w:spacing w:val="-2"/>
        </w:rPr>
        <w:t>者，作为入账价值。最低租赁付款额作为长期应付款的入账价值，其差额作为未确认融资费用。在租赁谈</w:t>
      </w:r>
      <w:r>
        <w:rPr>
          <w:spacing w:val="-47"/>
        </w:rPr>
        <w:t> </w:t>
      </w:r>
      <w:r>
        <w:rPr>
          <w:spacing w:val="-47"/>
        </w:rPr>
      </w:r>
      <w:r>
        <w:rPr>
          <w:spacing w:val="-5"/>
        </w:rPr>
        <w:t>判和签订租赁合同过程中发生的，可归属于租赁项目的手续费、律师费、差旅费、印花税等初始直接费用，</w:t>
      </w:r>
      <w:r>
        <w:rPr>
          <w:spacing w:val="-9"/>
        </w:rPr>
        <w:t> </w:t>
      </w:r>
      <w:r>
        <w:rPr>
          <w:spacing w:val="-9"/>
        </w:rPr>
      </w:r>
      <w:r>
        <w:rPr>
          <w:spacing w:val="-2"/>
        </w:rPr>
        <w:t>计入租入资产价值。未确认融资费用在租赁期内各个期间采用实际利率法进行分摊。融资租入的固定资产</w:t>
      </w:r>
      <w:r>
        <w:rPr>
          <w:spacing w:val="-42"/>
        </w:rPr>
        <w:t> </w:t>
      </w:r>
      <w:r>
        <w:rPr>
          <w:spacing w:val="-42"/>
        </w:rPr>
      </w:r>
      <w:r>
        <w:rPr>
          <w:spacing w:val="-2"/>
        </w:rPr>
        <w:t>采用与自有固定资产一致的政策计提租赁资产折旧。能够合理确定租赁期届满时将会取得租赁资产所有权</w:t>
      </w:r>
      <w:r>
        <w:rPr>
          <w:spacing w:val="-43"/>
        </w:rPr>
        <w:t> </w:t>
      </w:r>
      <w:r>
        <w:rPr>
          <w:spacing w:val="-43"/>
        </w:rPr>
      </w:r>
      <w:r>
        <w:rPr>
          <w:spacing w:val="-2"/>
        </w:rPr>
        <w:t>的，在租赁资产尚可使用年限内计提折旧；无法合理确定租赁期届满时能够取得租赁资产所有权的，在租</w:t>
      </w:r>
      <w:r>
        <w:rPr>
          <w:spacing w:val="-44"/>
        </w:rPr>
        <w:t> </w:t>
      </w:r>
      <w:r>
        <w:rPr>
          <w:spacing w:val="-44"/>
        </w:rPr>
      </w:r>
      <w:r>
        <w:rPr/>
        <w:t>赁期与租赁资产尚可使用年限两者中较短的期间内计提折旧。</w:t>
      </w:r>
    </w:p>
    <w:p>
      <w:pPr>
        <w:spacing w:line="240" w:lineRule="auto" w:before="4"/>
        <w:rPr>
          <w:rFonts w:ascii="宋体" w:hAnsi="宋体" w:cs="宋体" w:eastAsia="宋体" w:hint="default"/>
          <w:sz w:val="23"/>
          <w:szCs w:val="23"/>
        </w:rPr>
      </w:pPr>
    </w:p>
    <w:p>
      <w:pPr>
        <w:pStyle w:val="BodyText"/>
        <w:spacing w:line="240" w:lineRule="auto"/>
        <w:ind w:right="99"/>
        <w:jc w:val="left"/>
      </w:pPr>
      <w:r>
        <w:rPr/>
        <w:t>17、在建工程</w:t>
      </w:r>
    </w:p>
    <w:p>
      <w:pPr>
        <w:spacing w:line="240" w:lineRule="auto" w:before="12"/>
        <w:rPr>
          <w:rFonts w:ascii="宋体" w:hAnsi="宋体" w:cs="宋体" w:eastAsia="宋体" w:hint="default"/>
          <w:sz w:val="25"/>
          <w:szCs w:val="25"/>
        </w:rPr>
      </w:pPr>
    </w:p>
    <w:p>
      <w:pPr>
        <w:pStyle w:val="BodyText"/>
        <w:spacing w:line="273" w:lineRule="auto"/>
        <w:ind w:right="99"/>
        <w:jc w:val="left"/>
      </w:pPr>
      <w:r>
        <w:rPr>
          <w:spacing w:val="-2"/>
        </w:rPr>
        <w:t>本公司在建工程成本按实际工程支出确定，包括在建期间发生的各项必要工程支出、工程达到预定可使用</w:t>
      </w:r>
      <w:r>
        <w:rPr>
          <w:spacing w:val="-42"/>
        </w:rPr>
        <w:t> </w:t>
      </w:r>
      <w:r>
        <w:rPr>
          <w:spacing w:val="-42"/>
        </w:rPr>
      </w:r>
      <w:r>
        <w:rPr/>
        <w:t>状态前的应予资本化的借款费用以及其他相关费用等。</w:t>
      </w:r>
    </w:p>
    <w:p>
      <w:pPr>
        <w:spacing w:line="240" w:lineRule="auto" w:before="1"/>
        <w:rPr>
          <w:rFonts w:ascii="宋体" w:hAnsi="宋体" w:cs="宋体" w:eastAsia="宋体" w:hint="default"/>
          <w:sz w:val="17"/>
          <w:szCs w:val="17"/>
        </w:rPr>
      </w:pPr>
    </w:p>
    <w:p>
      <w:pPr>
        <w:pStyle w:val="BodyText"/>
        <w:spacing w:line="460" w:lineRule="auto"/>
        <w:ind w:right="4875"/>
        <w:jc w:val="left"/>
      </w:pPr>
      <w:r>
        <w:rPr>
          <w:spacing w:val="-2"/>
        </w:rPr>
        <w:t>在建工程在达到预定可使用状态时转入固定资产。</w:t>
      </w:r>
      <w:r>
        <w:rPr>
          <w:spacing w:val="-63"/>
        </w:rPr>
        <w:t> </w:t>
      </w:r>
      <w:r>
        <w:rPr>
          <w:spacing w:val="-63"/>
        </w:rPr>
      </w:r>
      <w:r>
        <w:rPr/>
        <w:t>在建工程计提资产减值方法见22.长期资产减值。</w:t>
      </w:r>
    </w:p>
    <w:p>
      <w:pPr>
        <w:pStyle w:val="BodyText"/>
        <w:spacing w:line="240" w:lineRule="auto" w:before="144"/>
        <w:ind w:right="99"/>
        <w:jc w:val="left"/>
      </w:pPr>
      <w:r>
        <w:rPr/>
        <w:t>18、借款费用</w:t>
      </w:r>
    </w:p>
    <w:p>
      <w:pPr>
        <w:pStyle w:val="BodyText"/>
        <w:spacing w:line="610" w:lineRule="atLeast" w:before="4"/>
        <w:ind w:left="574" w:right="99" w:hanging="420"/>
        <w:jc w:val="left"/>
      </w:pPr>
      <w:r>
        <w:rPr/>
        <w:t>（1）借款费用资本化的确认原则</w:t>
      </w:r>
      <w:r>
        <w:rPr>
          <w:spacing w:val="-94"/>
        </w:rPr>
        <w:t> </w:t>
      </w:r>
      <w:r>
        <w:rPr>
          <w:spacing w:val="-94"/>
        </w:rPr>
      </w:r>
      <w:r>
        <w:rPr>
          <w:spacing w:val="-2"/>
        </w:rPr>
        <w:t>本公司发生的借款费用，可直接归属于符合资本化条件的资产的购建或者生产的，予以资本化，计入</w:t>
      </w:r>
    </w:p>
    <w:p>
      <w:pPr>
        <w:pStyle w:val="BodyText"/>
        <w:spacing w:line="273" w:lineRule="auto" w:before="37"/>
        <w:ind w:right="99"/>
        <w:jc w:val="left"/>
      </w:pPr>
      <w:r>
        <w:rPr>
          <w:spacing w:val="-2"/>
        </w:rPr>
        <w:t>相关资产成本；其他借款费用，在发生时根据其发生额确认为费用，计入当期损益。借款费用同时满足下</w:t>
      </w:r>
      <w:r>
        <w:rPr>
          <w:spacing w:val="-50"/>
        </w:rPr>
        <w:t> </w:t>
      </w:r>
      <w:r>
        <w:rPr>
          <w:spacing w:val="-50"/>
        </w:rPr>
      </w:r>
      <w:r>
        <w:rPr/>
        <w:t>列条件的，开始资本化：</w:t>
      </w:r>
    </w:p>
    <w:p>
      <w:pPr>
        <w:spacing w:line="240" w:lineRule="auto" w:before="1"/>
        <w:rPr>
          <w:rFonts w:ascii="宋体" w:hAnsi="宋体" w:cs="宋体" w:eastAsia="宋体" w:hint="default"/>
          <w:sz w:val="17"/>
          <w:szCs w:val="17"/>
        </w:rPr>
      </w:pPr>
    </w:p>
    <w:p>
      <w:pPr>
        <w:pStyle w:val="BodyText"/>
        <w:spacing w:line="240" w:lineRule="auto"/>
        <w:ind w:left="469" w:right="99"/>
        <w:jc w:val="left"/>
      </w:pPr>
      <w:r>
        <w:rPr/>
        <w:t>①资产支出已经发生，；</w:t>
      </w:r>
    </w:p>
    <w:p>
      <w:pPr>
        <w:spacing w:line="240" w:lineRule="auto" w:before="5"/>
        <w:rPr>
          <w:rFonts w:ascii="宋体" w:hAnsi="宋体" w:cs="宋体" w:eastAsia="宋体" w:hint="default"/>
          <w:sz w:val="19"/>
          <w:szCs w:val="19"/>
        </w:rPr>
      </w:pPr>
    </w:p>
    <w:p>
      <w:pPr>
        <w:pStyle w:val="BodyText"/>
        <w:spacing w:line="240" w:lineRule="auto"/>
        <w:ind w:left="469" w:right="99"/>
        <w:jc w:val="left"/>
      </w:pPr>
      <w:r>
        <w:rPr/>
        <w:t>②借款费用已经发生；</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left="469" w:right="99"/>
        <w:jc w:val="left"/>
      </w:pPr>
      <w:r>
        <w:rPr/>
        <w:t>③为使资产达到预定可使用或者可销售状态所必要的购建或者生产活动已经开始。</w:t>
      </w:r>
    </w:p>
    <w:p>
      <w:pPr>
        <w:pStyle w:val="BodyText"/>
        <w:spacing w:line="610" w:lineRule="atLeast" w:before="2"/>
        <w:ind w:left="469" w:right="99" w:hanging="315"/>
        <w:jc w:val="left"/>
      </w:pPr>
      <w:r>
        <w:rPr/>
        <w:t>（2）借款费用资本化期间</w:t>
      </w:r>
      <w:r>
        <w:rPr>
          <w:spacing w:val="-95"/>
        </w:rPr>
        <w:t> </w:t>
      </w:r>
      <w:r>
        <w:rPr>
          <w:spacing w:val="-95"/>
        </w:rPr>
      </w:r>
      <w:r>
        <w:rPr>
          <w:spacing w:val="-2"/>
        </w:rPr>
        <w:t>本公司购建或者生产符合资本化条件的资产达到预定可使用或者可销售状态时，借款费用停止资本化。</w:t>
      </w:r>
    </w:p>
    <w:p>
      <w:pPr>
        <w:pStyle w:val="BodyText"/>
        <w:spacing w:line="273" w:lineRule="auto" w:before="37"/>
        <w:ind w:right="99"/>
        <w:jc w:val="left"/>
      </w:pPr>
      <w:r>
        <w:rPr>
          <w:spacing w:val="-2"/>
        </w:rPr>
        <w:t>在符合资本化条件的资产达到预定可使用或者可销售状态之后所发生的借款费用，在发生时根据其发生额</w:t>
      </w:r>
      <w:r>
        <w:rPr>
          <w:spacing w:val="-43"/>
        </w:rPr>
        <w:t> </w:t>
      </w:r>
      <w:r>
        <w:rPr>
          <w:spacing w:val="-43"/>
        </w:rPr>
      </w:r>
      <w:r>
        <w:rPr/>
        <w:t>确认为费用，计入当期损益。</w:t>
      </w:r>
    </w:p>
    <w:p>
      <w:pPr>
        <w:pStyle w:val="BodyText"/>
        <w:spacing w:line="612" w:lineRule="exact" w:before="63"/>
        <w:ind w:left="469" w:right="99" w:hanging="315"/>
        <w:jc w:val="left"/>
      </w:pPr>
      <w:r>
        <w:rPr/>
        <w:t>（3）暂停资本化期间</w:t>
      </w:r>
      <w:r>
        <w:rPr>
          <w:spacing w:val="-94"/>
        </w:rPr>
        <w:t> </w:t>
      </w:r>
      <w:r>
        <w:rPr>
          <w:spacing w:val="-2"/>
        </w:rPr>
        <w:t>符合资本化条件的资产在购建或者生产过程中，发生除达到预定可使用或者可销售状态必要的程序之</w:t>
      </w:r>
    </w:p>
    <w:p>
      <w:pPr>
        <w:pStyle w:val="BodyText"/>
        <w:spacing w:line="219" w:lineRule="exact"/>
        <w:ind w:right="99"/>
        <w:jc w:val="left"/>
      </w:pPr>
      <w:r>
        <w:rPr/>
        <w:t>外的非正常中断、且中断时间连续超过3个月的，暂停借款费用的资本化。在中断期间发生的借款费用确</w:t>
      </w:r>
    </w:p>
    <w:p>
      <w:pPr>
        <w:pStyle w:val="BodyText"/>
        <w:spacing w:line="240" w:lineRule="auto" w:before="37"/>
        <w:ind w:right="99"/>
        <w:jc w:val="left"/>
      </w:pPr>
      <w:r>
        <w:rPr/>
        <w:t>认为费用，计入当期损益，直至资产的购建或者生产活动重新开始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535" w:lineRule="auto"/>
        <w:ind w:left="469" w:right="99" w:hanging="315"/>
        <w:jc w:val="left"/>
      </w:pPr>
      <w:r>
        <w:rPr/>
        <w:t>（4）借款费用资本化金额的计算方法</w:t>
      </w:r>
      <w:r>
        <w:rPr>
          <w:spacing w:val="-92"/>
        </w:rPr>
        <w:t> </w:t>
      </w:r>
      <w:r>
        <w:rPr>
          <w:spacing w:val="-92"/>
        </w:rPr>
      </w:r>
      <w:r>
        <w:rPr>
          <w:spacing w:val="-2"/>
        </w:rPr>
        <w:t>在资本化期间内，每一会计期间的利息资本化金额，按照下列方法确定：</w:t>
      </w:r>
    </w:p>
    <w:p>
      <w:pPr>
        <w:pStyle w:val="BodyText"/>
        <w:spacing w:line="270" w:lineRule="exact"/>
        <w:ind w:left="469" w:right="99"/>
        <w:jc w:val="left"/>
      </w:pPr>
      <w:r>
        <w:rPr/>
        <w:t>①专门借款以当期实际发生的利息费用，减去暂时性的存款利息收入或投资收益后的金额确定。</w:t>
      </w:r>
    </w:p>
    <w:p>
      <w:pPr>
        <w:spacing w:line="240" w:lineRule="auto" w:before="5"/>
        <w:rPr>
          <w:rFonts w:ascii="宋体" w:hAnsi="宋体" w:cs="宋体" w:eastAsia="宋体" w:hint="default"/>
          <w:sz w:val="19"/>
          <w:szCs w:val="19"/>
        </w:rPr>
      </w:pPr>
    </w:p>
    <w:p>
      <w:pPr>
        <w:pStyle w:val="BodyText"/>
        <w:spacing w:line="273" w:lineRule="auto"/>
        <w:ind w:right="99" w:firstLine="314"/>
        <w:jc w:val="left"/>
      </w:pPr>
      <w:r>
        <w:rPr/>
        <w:t>②占用的一般借款，根据累计资产支出超过专门借款部分的资产支出加权平均数乘以所占用一般借款</w:t>
      </w:r>
      <w:r>
        <w:rPr>
          <w:w w:val="100"/>
        </w:rPr>
        <w:t> </w:t>
      </w:r>
      <w:r>
        <w:rPr/>
        <w:t>的加权平均利率计算确定。</w:t>
      </w:r>
    </w:p>
    <w:p>
      <w:pPr>
        <w:spacing w:line="240" w:lineRule="auto" w:before="7"/>
        <w:rPr>
          <w:rFonts w:ascii="宋体" w:hAnsi="宋体" w:cs="宋体" w:eastAsia="宋体" w:hint="default"/>
          <w:sz w:val="23"/>
          <w:szCs w:val="23"/>
        </w:rPr>
      </w:pPr>
    </w:p>
    <w:p>
      <w:pPr>
        <w:pStyle w:val="BodyText"/>
        <w:spacing w:line="535" w:lineRule="auto"/>
        <w:ind w:right="8571"/>
        <w:jc w:val="left"/>
      </w:pPr>
      <w:r>
        <w:rPr/>
        <w:t>19、生物资产</w:t>
      </w:r>
      <w:r>
        <w:rPr>
          <w:spacing w:val="-98"/>
        </w:rPr>
        <w:t> </w:t>
      </w:r>
      <w:r>
        <w:rPr/>
        <w:t>不适用</w:t>
      </w:r>
      <w:r>
        <w:rPr>
          <w:spacing w:val="-102"/>
        </w:rPr>
        <w:t> </w:t>
      </w:r>
      <w:r>
        <w:rPr/>
        <w:t>20、油气资产</w:t>
      </w:r>
      <w:r>
        <w:rPr>
          <w:spacing w:val="-98"/>
        </w:rPr>
        <w:t> </w:t>
      </w:r>
      <w:r>
        <w:rPr/>
        <w:t>不适用</w:t>
      </w:r>
      <w:r>
        <w:rPr>
          <w:spacing w:val="-102"/>
        </w:rPr>
        <w:t> </w:t>
      </w:r>
      <w:r>
        <w:rPr/>
        <w:t>21、无形资产</w:t>
      </w:r>
    </w:p>
    <w:p>
      <w:pPr>
        <w:pStyle w:val="BodyText"/>
        <w:spacing w:line="573" w:lineRule="auto" w:before="81"/>
        <w:ind w:right="1181"/>
        <w:jc w:val="left"/>
      </w:pPr>
      <w:r>
        <w:rPr/>
        <w:t>（1）计价方法、使用寿命、减值测试</w:t>
      </w:r>
      <w:r>
        <w:rPr>
          <w:spacing w:val="-92"/>
        </w:rPr>
        <w:t> </w:t>
      </w:r>
      <w:r>
        <w:rPr>
          <w:spacing w:val="-92"/>
        </w:rPr>
      </w:r>
      <w:r>
        <w:rPr>
          <w:spacing w:val="-2"/>
        </w:rPr>
        <w:t>本公司无形资产包括土地使用权、非专利技术和计算机软件。</w:t>
      </w:r>
    </w:p>
    <w:p>
      <w:pPr>
        <w:pStyle w:val="BodyText"/>
        <w:spacing w:line="297" w:lineRule="auto" w:before="52"/>
        <w:ind w:right="205"/>
        <w:jc w:val="both"/>
      </w:pPr>
      <w:r>
        <w:rPr>
          <w:spacing w:val="-2"/>
        </w:rPr>
        <w:t>无形资产按照成本进行初始计量，并于取得无形资产时分析判断其使用寿命。使用寿命为有限的，自无形</w:t>
      </w:r>
      <w:r>
        <w:rPr>
          <w:spacing w:val="-43"/>
        </w:rPr>
        <w:t> </w:t>
      </w:r>
      <w:r>
        <w:rPr>
          <w:spacing w:val="-43"/>
        </w:rPr>
      </w:r>
      <w:r>
        <w:rPr>
          <w:spacing w:val="-2"/>
        </w:rPr>
        <w:t>资产可供使用时起，采用能反映与该资产有关的经济利益的预期实现方式的摊销方法，在预计使用年限内</w:t>
      </w:r>
      <w:r>
        <w:rPr>
          <w:spacing w:val="-45"/>
        </w:rPr>
        <w:t> </w:t>
      </w:r>
      <w:r>
        <w:rPr>
          <w:spacing w:val="-45"/>
        </w:rPr>
      </w:r>
      <w:r>
        <w:rPr/>
        <w:t>摊销；无法可靠确定预期实现方式的，采用直线法摊销；使用寿命不确定的无形资产，不作摊销。</w:t>
      </w:r>
    </w:p>
    <w:p>
      <w:pPr>
        <w:spacing w:line="240" w:lineRule="auto" w:before="6"/>
        <w:rPr>
          <w:rFonts w:ascii="宋体" w:hAnsi="宋体" w:cs="宋体" w:eastAsia="宋体" w:hint="default"/>
          <w:sz w:val="22"/>
          <w:szCs w:val="22"/>
        </w:rPr>
      </w:pPr>
    </w:p>
    <w:p>
      <w:pPr>
        <w:pStyle w:val="BodyText"/>
        <w:spacing w:line="240" w:lineRule="auto"/>
        <w:ind w:right="99"/>
        <w:jc w:val="left"/>
      </w:pPr>
      <w:r>
        <w:rPr/>
        <w:t>使用寿命有限的无形资产摊销方法如下：</w:t>
      </w:r>
    </w:p>
    <w:p>
      <w:pPr>
        <w:spacing w:line="240" w:lineRule="auto" w:before="10"/>
        <w:rPr>
          <w:rFonts w:ascii="宋体" w:hAnsi="宋体" w:cs="宋体" w:eastAsia="宋体" w:hint="default"/>
          <w:sz w:val="23"/>
          <w:szCs w:val="23"/>
        </w:rPr>
      </w:pPr>
    </w:p>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454.6pt;height:1pt;mso-position-horizontal-relative:char;mso-position-vertical-relative:line" coordorigin="0,0" coordsize="9092,20">
            <v:group style="position:absolute;left:10;top:10;width:3716;height:2" coordorigin="10,10" coordsize="3716,2">
              <v:shape style="position:absolute;left:10;top:10;width:3716;height:2" coordorigin="10,10" coordsize="3716,0" path="m10,10l3725,10e" filled="false" stroked="true" strokeweight=".95999pt" strokecolor="#000000">
                <v:path arrowok="t"/>
              </v:shape>
            </v:group>
            <v:group style="position:absolute;left:3725;top:10;width:20;height:2" coordorigin="3725,10" coordsize="20,2">
              <v:shape style="position:absolute;left:3725;top:10;width:20;height:2" coordorigin="3725,10" coordsize="20,0" path="m3725,10l3744,10e" filled="false" stroked="true" strokeweight=".95999pt" strokecolor="#000000">
                <v:path arrowok="t"/>
              </v:shape>
            </v:group>
            <v:group style="position:absolute;left:3744;top:10;width:2446;height:2" coordorigin="3744,10" coordsize="2446,2">
              <v:shape style="position:absolute;left:3744;top:10;width:2446;height:2" coordorigin="3744,10" coordsize="2446,0" path="m3744,10l6190,10e" filled="false" stroked="true" strokeweight=".95999pt" strokecolor="#000000">
                <v:path arrowok="t"/>
              </v:shape>
            </v:group>
            <v:group style="position:absolute;left:6190;top:10;width:20;height:2" coordorigin="6190,10" coordsize="20,2">
              <v:shape style="position:absolute;left:6190;top:10;width:20;height:2" coordorigin="6190,10" coordsize="20,0" path="m6190,10l6209,10e" filled="false" stroked="true" strokeweight=".95999pt" strokecolor="#000000">
                <v:path arrowok="t"/>
              </v:shape>
            </v:group>
            <v:group style="position:absolute;left:6209;top:10;width:2873;height:2" coordorigin="6209,10" coordsize="2873,2">
              <v:shape style="position:absolute;left:6209;top:10;width:2873;height:2" coordorigin="6209,10" coordsize="2873,0" path="m6209,10l9082,10e" filled="false" stroked="true" strokeweight=".95999pt" strokecolor="#000000">
                <v:path arrowok="t"/>
              </v:shape>
            </v:group>
          </v:group>
        </w:pict>
      </w:r>
      <w:r>
        <w:rPr>
          <w:rFonts w:ascii="宋体" w:hAnsi="宋体" w:cs="宋体" w:eastAsia="宋体" w:hint="default"/>
          <w:sz w:val="2"/>
          <w:szCs w:val="2"/>
        </w:rPr>
      </w:r>
    </w:p>
    <w:p>
      <w:pPr>
        <w:pStyle w:val="BodyText"/>
        <w:tabs>
          <w:tab w:pos="862" w:val="left" w:leader="none"/>
          <w:tab w:pos="4911" w:val="left" w:leader="none"/>
          <w:tab w:pos="6620" w:val="left" w:leader="none"/>
        </w:tabs>
        <w:spacing w:line="240" w:lineRule="auto" w:before="32"/>
        <w:ind w:left="440" w:right="99"/>
        <w:jc w:val="left"/>
      </w:pPr>
      <w:r>
        <w:rPr/>
        <w:t>类</w:t>
        <w:tab/>
        <w:t>别</w:t>
        <w:tab/>
        <w:t>使用寿命</w:t>
        <w:tab/>
        <w:t>摊销方法</w:t>
      </w:r>
    </w:p>
    <w:p>
      <w:pPr>
        <w:spacing w:line="240" w:lineRule="auto" w:before="12"/>
        <w:rPr>
          <w:rFonts w:ascii="宋体" w:hAnsi="宋体" w:cs="宋体" w:eastAsia="宋体" w:hint="default"/>
          <w:sz w:val="6"/>
          <w:szCs w:val="6"/>
        </w:rPr>
      </w:pPr>
    </w:p>
    <w:p>
      <w:pPr>
        <w:spacing w:line="20" w:lineRule="exact"/>
        <w:ind w:left="418" w:right="0" w:firstLine="0"/>
        <w:rPr>
          <w:rFonts w:ascii="宋体" w:hAnsi="宋体" w:cs="宋体" w:eastAsia="宋体" w:hint="default"/>
          <w:sz w:val="2"/>
          <w:szCs w:val="2"/>
        </w:rPr>
      </w:pPr>
      <w:r>
        <w:rPr>
          <w:rFonts w:ascii="宋体" w:hAnsi="宋体" w:cs="宋体" w:eastAsia="宋体" w:hint="default"/>
          <w:sz w:val="2"/>
          <w:szCs w:val="2"/>
        </w:rPr>
        <w:pict>
          <v:group style="width:454.8pt;height:.5pt;mso-position-horizontal-relative:char;mso-position-vertical-relative:line" coordorigin="0,0" coordsize="9096,10">
            <v:group style="position:absolute;left:5;top:5;width:3730;height:2" coordorigin="5,5" coordsize="3730,2">
              <v:shape style="position:absolute;left:5;top:5;width:3730;height:2" coordorigin="5,5" coordsize="3730,0" path="m5,5l3734,5e" filled="false" stroked="true" strokeweight=".47999pt" strokecolor="#000000">
                <v:path arrowok="t"/>
              </v:shape>
            </v:group>
            <v:group style="position:absolute;left:3720;top:5;width:10;height:2" coordorigin="3720,5" coordsize="10,2">
              <v:shape style="position:absolute;left:3720;top:5;width:10;height:2" coordorigin="3720,5" coordsize="10,0" path="m3720,5l3730,5e" filled="false" stroked="true" strokeweight=".47999pt" strokecolor="#000000">
                <v:path arrowok="t"/>
              </v:shape>
            </v:group>
            <v:group style="position:absolute;left:3730;top:5;width:2470;height:2" coordorigin="3730,5" coordsize="2470,2">
              <v:shape style="position:absolute;left:3730;top:5;width:2470;height:2" coordorigin="3730,5" coordsize="2470,0" path="m3730,5l6199,5e" filled="false" stroked="true" strokeweight=".47999pt" strokecolor="#000000">
                <v:path arrowok="t"/>
              </v:shape>
            </v:group>
            <v:group style="position:absolute;left:6185;top:5;width:10;height:2" coordorigin="6185,5" coordsize="10,2">
              <v:shape style="position:absolute;left:6185;top:5;width:10;height:2" coordorigin="6185,5" coordsize="10,0" path="m6185,5l6194,5e" filled="false" stroked="true" strokeweight=".47999pt" strokecolor="#000000">
                <v:path arrowok="t"/>
              </v:shape>
            </v:group>
            <v:group style="position:absolute;left:6194;top:5;width:2897;height:2" coordorigin="6194,5" coordsize="2897,2">
              <v:shape style="position:absolute;left:6194;top:5;width:2897;height:2" coordorigin="6194,5" coordsize="2897,0" path="m6194,5l9091,5e" filled="false" stroked="true" strokeweight=".47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7" w:footer="979" w:top="1060" w:bottom="1160" w:left="980" w:right="920"/>
        </w:sectPr>
      </w:pPr>
    </w:p>
    <w:p>
      <w:pPr>
        <w:spacing w:line="240" w:lineRule="auto" w:before="11"/>
        <w:rPr>
          <w:rFonts w:ascii="宋体" w:hAnsi="宋体" w:cs="宋体" w:eastAsia="宋体" w:hint="default"/>
          <w:sz w:val="28"/>
          <w:szCs w:val="28"/>
        </w:rPr>
      </w:pPr>
    </w:p>
    <w:tbl>
      <w:tblPr>
        <w:tblW w:w="0" w:type="auto"/>
        <w:jc w:val="left"/>
        <w:tblInd w:w="437" w:type="dxa"/>
        <w:tblLayout w:type="fixed"/>
        <w:tblCellMar>
          <w:top w:w="0" w:type="dxa"/>
          <w:left w:w="0" w:type="dxa"/>
          <w:bottom w:w="0" w:type="dxa"/>
          <w:right w:w="0" w:type="dxa"/>
        </w:tblCellMar>
        <w:tblLook w:val="01E0"/>
      </w:tblPr>
      <w:tblGrid>
        <w:gridCol w:w="3487"/>
        <w:gridCol w:w="2171"/>
        <w:gridCol w:w="1613"/>
      </w:tblGrid>
      <w:tr>
        <w:trPr>
          <w:trHeight w:val="402" w:hRule="exact"/>
        </w:trPr>
        <w:tc>
          <w:tcPr>
            <w:tcW w:w="348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2"/>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r>
      <w:tr>
        <w:trPr>
          <w:trHeight w:val="407" w:hRule="exact"/>
        </w:trPr>
        <w:tc>
          <w:tcPr>
            <w:tcW w:w="348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 w:right="0"/>
              <w:jc w:val="left"/>
              <w:rPr>
                <w:rFonts w:ascii="宋体" w:hAnsi="宋体" w:cs="宋体" w:eastAsia="宋体" w:hint="default"/>
                <w:sz w:val="21"/>
                <w:szCs w:val="21"/>
              </w:rPr>
            </w:pPr>
            <w:r>
              <w:rPr>
                <w:rFonts w:ascii="宋体" w:hAnsi="宋体" w:cs="宋体" w:eastAsia="宋体" w:hint="default"/>
                <w:sz w:val="21"/>
                <w:szCs w:val="21"/>
              </w:rPr>
              <w:t>非专利技术、计算机软件</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7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hAnsi="宋体" w:cs="宋体" w:eastAsia="宋体" w:hint="default"/>
                <w:spacing w:val="-1"/>
                <w:sz w:val="21"/>
                <w:szCs w:val="21"/>
              </w:rPr>
              <w:t>年限平均法</w:t>
            </w:r>
          </w:p>
        </w:tc>
      </w:tr>
    </w:tbl>
    <w:p>
      <w:pPr>
        <w:spacing w:line="240" w:lineRule="auto" w:before="5"/>
        <w:rPr>
          <w:rFonts w:ascii="宋体" w:hAnsi="宋体" w:cs="宋体" w:eastAsia="宋体" w:hint="default"/>
          <w:sz w:val="12"/>
          <w:szCs w:val="12"/>
        </w:rPr>
      </w:pPr>
    </w:p>
    <w:p>
      <w:pPr>
        <w:pStyle w:val="BodyText"/>
        <w:spacing w:line="297" w:lineRule="auto" w:before="36"/>
        <w:ind w:right="99"/>
        <w:jc w:val="left"/>
      </w:pPr>
      <w:r>
        <w:rPr/>
        <w:pict>
          <v:group style="position:absolute;margin-left:70.658264pt;margin-top:-48.816319pt;width:454.1pt;height:.5pt;mso-position-horizontal-relative:page;mso-position-vertical-relative:paragraph;z-index:-886840" coordorigin="1413,-976" coordsize="9082,10">
            <v:group style="position:absolute;left:1418;top:-972;width:3716;height:2" coordorigin="1418,-972" coordsize="3716,2">
              <v:shape style="position:absolute;left:1418;top:-972;width:3716;height:2" coordorigin="1418,-972" coordsize="3716,0" path="m1418,-972l5133,-972e" filled="false" stroked="true" strokeweight=".47999pt" strokecolor="#000000">
                <v:path arrowok="t"/>
              </v:shape>
            </v:group>
            <v:group style="position:absolute;left:5133;top:-972;width:10;height:2" coordorigin="5133,-972" coordsize="10,2">
              <v:shape style="position:absolute;left:5133;top:-972;width:10;height:2" coordorigin="5133,-972" coordsize="10,0" path="m5133,-972l5143,-972e" filled="false" stroked="true" strokeweight=".47999pt" strokecolor="#000000">
                <v:path arrowok="t"/>
              </v:shape>
            </v:group>
            <v:group style="position:absolute;left:5143;top:-972;width:2456;height:2" coordorigin="5143,-972" coordsize="2456,2">
              <v:shape style="position:absolute;left:5143;top:-972;width:2456;height:2" coordorigin="5143,-972" coordsize="2456,0" path="m5143,-972l7598,-972e" filled="false" stroked="true" strokeweight=".47999pt" strokecolor="#000000">
                <v:path arrowok="t"/>
              </v:shape>
            </v:group>
            <v:group style="position:absolute;left:7598;top:-972;width:10;height:2" coordorigin="7598,-972" coordsize="10,2">
              <v:shape style="position:absolute;left:7598;top:-972;width:10;height:2" coordorigin="7598,-972" coordsize="10,0" path="m7598,-972l7608,-972e" filled="false" stroked="true" strokeweight=".47999pt" strokecolor="#000000">
                <v:path arrowok="t"/>
              </v:shape>
            </v:group>
            <v:group style="position:absolute;left:7608;top:-972;width:2883;height:2" coordorigin="7608,-972" coordsize="2883,2">
              <v:shape style="position:absolute;left:7608;top:-972;width:2883;height:2" coordorigin="7608,-972" coordsize="2883,0" path="m7608,-972l10490,-972e" filled="false" stroked="true" strokeweight=".47999pt" strokecolor="#000000">
                <v:path arrowok="t"/>
              </v:shape>
            </v:group>
            <w10:wrap type="none"/>
          </v:group>
        </w:pict>
      </w:r>
      <w:r>
        <w:rPr/>
        <w:pict>
          <v:group style="position:absolute;margin-left:69.698265pt;margin-top:-8.616319pt;width:455.3pt;height:1pt;mso-position-horizontal-relative:page;mso-position-vertical-relative:paragraph;z-index:-886816" coordorigin="1394,-172" coordsize="9106,20">
            <v:group style="position:absolute;left:1404;top:-163;width:3730;height:2" coordorigin="1404,-163" coordsize="3730,2">
              <v:shape style="position:absolute;left:1404;top:-163;width:3730;height:2" coordorigin="1404,-163" coordsize="3730,0" path="m1404,-163l5133,-163e" filled="false" stroked="true" strokeweight=".95999pt" strokecolor="#000000">
                <v:path arrowok="t"/>
              </v:shape>
            </v:group>
            <v:group style="position:absolute;left:5119;top:-163;width:20;height:2" coordorigin="5119,-163" coordsize="20,2">
              <v:shape style="position:absolute;left:5119;top:-163;width:20;height:2" coordorigin="5119,-163" coordsize="20,0" path="m5119,-163l5138,-163e" filled="false" stroked="true" strokeweight=".95999pt" strokecolor="#000000">
                <v:path arrowok="t"/>
              </v:shape>
            </v:group>
            <v:group style="position:absolute;left:5138;top:-163;width:2460;height:2" coordorigin="5138,-163" coordsize="2460,2">
              <v:shape style="position:absolute;left:5138;top:-163;width:2460;height:2" coordorigin="5138,-163" coordsize="2460,0" path="m5138,-163l7598,-163e" filled="false" stroked="true" strokeweight=".95999pt" strokecolor="#000000">
                <v:path arrowok="t"/>
              </v:shape>
            </v:group>
            <v:group style="position:absolute;left:7584;top:-163;width:20;height:2" coordorigin="7584,-163" coordsize="20,2">
              <v:shape style="position:absolute;left:7584;top:-163;width:20;height:2" coordorigin="7584,-163" coordsize="20,0" path="m7584,-163l7603,-163e" filled="false" stroked="true" strokeweight=".95999pt" strokecolor="#000000">
                <v:path arrowok="t"/>
              </v:shape>
            </v:group>
            <v:group style="position:absolute;left:7603;top:-163;width:2888;height:2" coordorigin="7603,-163" coordsize="2888,2">
              <v:shape style="position:absolute;left:7603;top:-163;width:2888;height:2" coordorigin="7603,-163" coordsize="2888,0" path="m7603,-163l10490,-163e" filled="false" stroked="true" strokeweight=".95999pt" strokecolor="#000000">
                <v:path arrowok="t"/>
              </v:shape>
            </v:group>
            <w10:wrap type="none"/>
          </v:group>
        </w:pict>
      </w:r>
      <w:r>
        <w:rPr>
          <w:spacing w:val="-5"/>
        </w:rPr>
        <w:t>本公司于每年年度终了，对使用寿命有限的无形资产的使用寿命及摊销方法进行复核，与以前估计不同的，</w:t>
      </w:r>
      <w:r>
        <w:rPr>
          <w:spacing w:val="-6"/>
        </w:rPr>
        <w:t> </w:t>
      </w:r>
      <w:r>
        <w:rPr>
          <w:spacing w:val="-6"/>
        </w:rPr>
      </w:r>
      <w:r>
        <w:rPr/>
        <w:t>调整原先估计数，并按会计估计变更处理。</w:t>
      </w:r>
    </w:p>
    <w:p>
      <w:pPr>
        <w:spacing w:line="240" w:lineRule="auto" w:before="6"/>
        <w:rPr>
          <w:rFonts w:ascii="宋体" w:hAnsi="宋体" w:cs="宋体" w:eastAsia="宋体" w:hint="default"/>
          <w:sz w:val="22"/>
          <w:szCs w:val="22"/>
        </w:rPr>
      </w:pPr>
    </w:p>
    <w:p>
      <w:pPr>
        <w:pStyle w:val="BodyText"/>
        <w:spacing w:line="297" w:lineRule="auto"/>
        <w:ind w:right="205"/>
        <w:jc w:val="both"/>
      </w:pPr>
      <w:r>
        <w:rPr>
          <w:spacing w:val="-2"/>
        </w:rPr>
        <w:t>资产负债表日预计某项无形资产已经不能给企业带来未来经济利益的，将该项无形资产的账面价值全部转</w:t>
      </w:r>
      <w:r>
        <w:rPr>
          <w:spacing w:val="-43"/>
        </w:rPr>
        <w:t> </w:t>
      </w:r>
      <w:r>
        <w:rPr>
          <w:spacing w:val="-43"/>
        </w:rPr>
      </w:r>
      <w:r>
        <w:rPr/>
        <w:t>入当期损益。</w:t>
      </w:r>
    </w:p>
    <w:p>
      <w:pPr>
        <w:spacing w:line="240" w:lineRule="auto" w:before="6"/>
        <w:rPr>
          <w:rFonts w:ascii="宋体" w:hAnsi="宋体" w:cs="宋体" w:eastAsia="宋体" w:hint="default"/>
          <w:sz w:val="22"/>
          <w:szCs w:val="22"/>
        </w:rPr>
      </w:pPr>
    </w:p>
    <w:p>
      <w:pPr>
        <w:pStyle w:val="BodyText"/>
        <w:spacing w:line="240" w:lineRule="auto"/>
        <w:ind w:right="99"/>
        <w:jc w:val="left"/>
      </w:pPr>
      <w:r>
        <w:rPr/>
        <w:t>无形资产计提资产减值方法见</w:t>
      </w:r>
      <w:r>
        <w:rPr>
          <w:spacing w:val="-55"/>
        </w:rPr>
        <w:t> </w:t>
      </w:r>
      <w:r>
        <w:rPr/>
        <w:t>22、长期资产减值</w:t>
      </w:r>
    </w:p>
    <w:p>
      <w:pPr>
        <w:pStyle w:val="BodyText"/>
        <w:spacing w:line="614" w:lineRule="exact" w:before="74"/>
        <w:ind w:left="574" w:right="289" w:hanging="420"/>
        <w:jc w:val="left"/>
      </w:pPr>
      <w:r>
        <w:rPr/>
        <w:t>（2）内部研究开发支出会计政策</w:t>
      </w:r>
      <w:r>
        <w:rPr>
          <w:spacing w:val="-94"/>
        </w:rPr>
        <w:t> </w:t>
      </w:r>
      <w:r>
        <w:rPr>
          <w:spacing w:val="-94"/>
        </w:rPr>
      </w:r>
      <w:r>
        <w:rPr/>
        <w:t>本公司将内部研究开发项目的支出分为研究阶段支出与开发阶段支出。</w:t>
      </w:r>
      <w:r>
        <w:rPr>
          <w:spacing w:val="-9"/>
        </w:rPr>
        <w:t> </w:t>
      </w:r>
      <w:r>
        <w:rPr/>
        <w:t>研究阶段是指为获取新的技</w:t>
      </w:r>
    </w:p>
    <w:p>
      <w:pPr>
        <w:pStyle w:val="BodyText"/>
        <w:spacing w:line="219" w:lineRule="exact"/>
        <w:ind w:right="99"/>
        <w:jc w:val="left"/>
      </w:pPr>
      <w:r>
        <w:rPr/>
        <w:t>术和知识等进行的有计划的调查,研究活动的阶段；开发阶段是指在进行商业性生产或使用前,将研究成果</w:t>
      </w:r>
    </w:p>
    <w:p>
      <w:pPr>
        <w:pStyle w:val="BodyText"/>
        <w:spacing w:line="273" w:lineRule="auto" w:before="37"/>
        <w:ind w:left="574" w:right="99" w:hanging="420"/>
        <w:jc w:val="left"/>
      </w:pPr>
      <w:r>
        <w:rPr/>
        <w:t>或其他知识应用于某项划或设计,以生产出新的或具有实质性改进的材料、装置、产品等活动的阶段。</w:t>
      </w:r>
      <w:r>
        <w:rPr>
          <w:w w:val="100"/>
        </w:rPr>
        <w:t> </w:t>
      </w:r>
      <w:r>
        <w:rPr/>
        <w:t>研究阶段的支出，于发生时计入当期损益。</w:t>
      </w:r>
      <w:r>
        <w:rPr>
          <w:w w:val="100"/>
        </w:rPr>
        <w:t> </w:t>
      </w:r>
      <w:r>
        <w:rPr>
          <w:spacing w:val="-2"/>
        </w:rPr>
        <w:t>开发阶段的支出，同时满足下列条件的，才能予以资本化，即：完成该无形资产以使其能够使用或出</w:t>
      </w:r>
    </w:p>
    <w:p>
      <w:pPr>
        <w:pStyle w:val="BodyText"/>
        <w:spacing w:line="273" w:lineRule="auto" w:before="7"/>
        <w:ind w:right="205"/>
        <w:jc w:val="both"/>
      </w:pPr>
      <w:r>
        <w:rPr>
          <w:spacing w:val="-2"/>
        </w:rPr>
        <w:t>售在技术上具有可行性；具有完成该无形资产并使用或出售的意图；无形资产产生经济利益的方式，包括</w:t>
      </w:r>
      <w:r>
        <w:rPr>
          <w:spacing w:val="-45"/>
        </w:rPr>
        <w:t> </w:t>
      </w:r>
      <w:r>
        <w:rPr>
          <w:spacing w:val="-45"/>
        </w:rPr>
      </w:r>
      <w:r>
        <w:rPr>
          <w:spacing w:val="-2"/>
        </w:rPr>
        <w:t>能够证明运用该无形资产生产的产品存在市场或无形资产自身存在市场，无形资产将在内部使用的，能够</w:t>
      </w:r>
      <w:r>
        <w:rPr>
          <w:spacing w:val="-43"/>
        </w:rPr>
        <w:t> </w:t>
      </w:r>
      <w:r>
        <w:rPr>
          <w:spacing w:val="-43"/>
        </w:rPr>
      </w:r>
      <w:r>
        <w:rPr>
          <w:spacing w:val="-2"/>
        </w:rPr>
        <w:t>证明其有用性；有足够的技术、财务资源和其他资源支持，以完成该无形资产的开发，并有能力使用或出</w:t>
      </w:r>
      <w:r>
        <w:rPr>
          <w:spacing w:val="-50"/>
        </w:rPr>
        <w:t> </w:t>
      </w:r>
      <w:r>
        <w:rPr>
          <w:spacing w:val="-50"/>
        </w:rPr>
      </w:r>
      <w:r>
        <w:rPr>
          <w:spacing w:val="-2"/>
        </w:rPr>
        <w:t>售该无形资产；归属于该无形资产开发阶段的支出能够可靠地计量。不满足上述条件的开发支出计入当期</w:t>
      </w:r>
      <w:r>
        <w:rPr>
          <w:spacing w:val="-43"/>
        </w:rPr>
        <w:t> </w:t>
      </w:r>
      <w:r>
        <w:rPr>
          <w:spacing w:val="-43"/>
        </w:rPr>
      </w:r>
      <w:r>
        <w:rPr/>
        <w:t>损益。</w:t>
      </w:r>
    </w:p>
    <w:p>
      <w:pPr>
        <w:pStyle w:val="BodyText"/>
        <w:spacing w:line="273" w:lineRule="auto" w:before="7"/>
        <w:ind w:right="205" w:firstLine="420"/>
        <w:jc w:val="both"/>
      </w:pPr>
      <w:r>
        <w:rPr>
          <w:spacing w:val="-2"/>
        </w:rPr>
        <w:t>本公司研究开发项目在满足上述条件，通过技术可行性及经济可行性研究，形成项目立项后，进入开</w:t>
      </w:r>
      <w:r>
        <w:rPr>
          <w:w w:val="100"/>
        </w:rPr>
        <w:t> </w:t>
      </w:r>
      <w:r>
        <w:rPr/>
        <w:t>发阶段。</w:t>
      </w:r>
    </w:p>
    <w:p>
      <w:pPr>
        <w:pStyle w:val="BodyText"/>
        <w:spacing w:line="273" w:lineRule="auto" w:before="7"/>
        <w:ind w:right="205" w:firstLine="420"/>
        <w:jc w:val="both"/>
      </w:pPr>
      <w:r>
        <w:rPr>
          <w:spacing w:val="-2"/>
        </w:rPr>
        <w:t>已资本化的开发阶段的支出在资产负债表上列示为开发支出，自该项目达到预定可使用状态之日转为</w:t>
      </w:r>
      <w:r>
        <w:rPr>
          <w:w w:val="100"/>
        </w:rPr>
        <w:t> </w:t>
      </w:r>
      <w:r>
        <w:rPr/>
        <w:t>无形资产。</w:t>
      </w:r>
    </w:p>
    <w:p>
      <w:pPr>
        <w:pStyle w:val="BodyText"/>
        <w:spacing w:line="590" w:lineRule="exact" w:before="81"/>
        <w:ind w:left="574" w:right="99" w:hanging="420"/>
        <w:jc w:val="left"/>
      </w:pPr>
      <w:r>
        <w:rPr/>
        <w:t>22、长期资产减值</w:t>
      </w:r>
      <w:r>
        <w:rPr>
          <w:spacing w:val="-96"/>
        </w:rPr>
        <w:t> </w:t>
      </w:r>
      <w:r>
        <w:rPr>
          <w:spacing w:val="-2"/>
        </w:rPr>
        <w:t>对子公司的长期股权投资、采用成本模式进行后续计量的投资性房地产、固定资产、在建工程、无形</w:t>
      </w:r>
    </w:p>
    <w:p>
      <w:pPr>
        <w:pStyle w:val="BodyText"/>
        <w:spacing w:line="355" w:lineRule="auto" w:before="44"/>
        <w:ind w:right="205"/>
        <w:jc w:val="both"/>
      </w:pPr>
      <w:r>
        <w:rPr>
          <w:spacing w:val="-2"/>
        </w:rPr>
        <w:t>资产、商誉等（存货、按公允价值模式计量的投资性房地产、递延所得税资产、金融资产除外）的资产减</w:t>
      </w:r>
      <w:r>
        <w:rPr>
          <w:spacing w:val="-45"/>
        </w:rPr>
        <w:t> </w:t>
      </w:r>
      <w:r>
        <w:rPr>
          <w:spacing w:val="-45"/>
        </w:rPr>
      </w:r>
      <w:r>
        <w:rPr/>
        <w:t>值，按以下方法确定：</w:t>
      </w:r>
    </w:p>
    <w:p>
      <w:pPr>
        <w:spacing w:line="240" w:lineRule="auto" w:before="2"/>
        <w:rPr>
          <w:rFonts w:ascii="宋体" w:hAnsi="宋体" w:cs="宋体" w:eastAsia="宋体" w:hint="default"/>
          <w:sz w:val="24"/>
          <w:szCs w:val="24"/>
        </w:rPr>
      </w:pPr>
    </w:p>
    <w:p>
      <w:pPr>
        <w:pStyle w:val="BodyText"/>
        <w:spacing w:line="355" w:lineRule="auto"/>
        <w:ind w:right="205" w:firstLine="420"/>
        <w:jc w:val="both"/>
      </w:pPr>
      <w:r>
        <w:rPr>
          <w:spacing w:val="-2"/>
        </w:rPr>
        <w:t>于资产负债表日判断资产是否存在可能发生减值的迹象，存在减值迹象的，本公司将估计其可收回金</w:t>
      </w:r>
      <w:r>
        <w:rPr>
          <w:w w:val="100"/>
        </w:rPr>
        <w:t> </w:t>
      </w:r>
      <w:r>
        <w:rPr>
          <w:spacing w:val="-2"/>
        </w:rPr>
        <w:t>额，进行减值测试。对因企业合并所形成的商誉、使用寿命不确定的无形资产和尚未达到可使用状态的无</w:t>
      </w:r>
      <w:r>
        <w:rPr>
          <w:spacing w:val="-44"/>
        </w:rPr>
        <w:t> </w:t>
      </w:r>
      <w:r>
        <w:rPr>
          <w:spacing w:val="-44"/>
        </w:rPr>
      </w:r>
      <w:r>
        <w:rPr/>
        <w:t>形资产无论是否存在减值迹象，每年都进行减值测试。</w:t>
      </w:r>
    </w:p>
    <w:p>
      <w:pPr>
        <w:spacing w:line="240" w:lineRule="auto" w:before="2"/>
        <w:rPr>
          <w:rFonts w:ascii="宋体" w:hAnsi="宋体" w:cs="宋体" w:eastAsia="宋体" w:hint="default"/>
          <w:sz w:val="24"/>
          <w:szCs w:val="24"/>
        </w:rPr>
      </w:pPr>
    </w:p>
    <w:p>
      <w:pPr>
        <w:pStyle w:val="BodyText"/>
        <w:spacing w:line="355" w:lineRule="auto"/>
        <w:ind w:right="205" w:firstLine="420"/>
        <w:jc w:val="both"/>
      </w:pPr>
      <w:r>
        <w:rPr>
          <w:spacing w:val="2"/>
        </w:rPr>
        <w:t>可收回金额根据资产的公允价值减去处置费用后的净额与资产预计未来现金流量的现值两者之间较</w:t>
      </w:r>
      <w:r>
        <w:rPr>
          <w:w w:val="100"/>
        </w:rPr>
        <w:t> </w:t>
      </w:r>
      <w:r>
        <w:rPr>
          <w:spacing w:val="-2"/>
        </w:rPr>
        <w:t>高者确定。本公司以单项资产为基础估计其可收回金额；难以对单项资产的可收回金额进行估计的，以该</w:t>
      </w:r>
      <w:r>
        <w:rPr>
          <w:spacing w:val="-45"/>
        </w:rPr>
        <w:t> </w:t>
      </w:r>
      <w:r>
        <w:rPr>
          <w:spacing w:val="-45"/>
        </w:rPr>
      </w:r>
      <w:r>
        <w:rPr>
          <w:spacing w:val="-2"/>
        </w:rPr>
        <w:t>资产所属的资产组为基础确定资产组的可收回金额。资产组的认定，以资产组产生的主要现金流入是否独</w:t>
      </w:r>
      <w:r>
        <w:rPr>
          <w:spacing w:val="-43"/>
        </w:rPr>
        <w:t> </w:t>
      </w:r>
      <w:r>
        <w:rPr>
          <w:spacing w:val="-43"/>
        </w:rPr>
      </w:r>
      <w:r>
        <w:rPr/>
        <w:t>立于其他资产或者资产组的现金流入为依据。</w:t>
      </w:r>
    </w:p>
    <w:p>
      <w:pPr>
        <w:spacing w:after="0" w:line="355" w:lineRule="auto"/>
        <w:jc w:val="both"/>
        <w:sectPr>
          <w:pgSz w:w="11910" w:h="16840"/>
          <w:pgMar w:header="747" w:footer="979" w:top="1060" w:bottom="1160" w:left="980" w:right="920"/>
        </w:sectPr>
      </w:pPr>
    </w:p>
    <w:p>
      <w:pPr>
        <w:spacing w:line="240" w:lineRule="auto" w:before="2"/>
        <w:rPr>
          <w:rFonts w:ascii="宋体" w:hAnsi="宋体" w:cs="宋体" w:eastAsia="宋体" w:hint="default"/>
          <w:sz w:val="23"/>
          <w:szCs w:val="23"/>
        </w:rPr>
      </w:pPr>
    </w:p>
    <w:p>
      <w:pPr>
        <w:pStyle w:val="BodyText"/>
        <w:spacing w:line="355" w:lineRule="auto" w:before="36"/>
        <w:ind w:right="99" w:firstLine="420"/>
        <w:jc w:val="left"/>
      </w:pPr>
      <w:r>
        <w:rPr>
          <w:spacing w:val="-2"/>
        </w:rPr>
        <w:t>当资产或资产组的可收回金额低于其账面价值时，本公司将其账面价值减记至可收回金额，减记的金</w:t>
      </w:r>
      <w:r>
        <w:rPr>
          <w:w w:val="100"/>
        </w:rPr>
        <w:t> </w:t>
      </w:r>
      <w:r>
        <w:rPr/>
        <w:t>额计入当期损益，同时计提相应的资产减值准备。</w:t>
      </w:r>
    </w:p>
    <w:p>
      <w:pPr>
        <w:spacing w:line="240" w:lineRule="auto" w:before="2"/>
        <w:rPr>
          <w:rFonts w:ascii="宋体" w:hAnsi="宋体" w:cs="宋体" w:eastAsia="宋体" w:hint="default"/>
          <w:sz w:val="24"/>
          <w:szCs w:val="24"/>
        </w:rPr>
      </w:pPr>
    </w:p>
    <w:p>
      <w:pPr>
        <w:pStyle w:val="BodyText"/>
        <w:spacing w:line="355" w:lineRule="auto"/>
        <w:ind w:right="99" w:firstLine="420"/>
        <w:jc w:val="left"/>
      </w:pPr>
      <w:r>
        <w:rPr/>
        <w:t>就商誉的减值测试而言，对于因企业合并形成的商誉的账面价值，自购买日起按照合理的方法分摊至</w:t>
      </w:r>
      <w:r>
        <w:rPr>
          <w:w w:val="100"/>
        </w:rPr>
        <w:t> </w:t>
      </w:r>
      <w:r>
        <w:rPr>
          <w:spacing w:val="-5"/>
        </w:rPr>
        <w:t>相关的资产组；难以分摊至相关的资产组的，将其分摊至相关的资产组组合。相关的资产组或资产组组合，</w:t>
      </w:r>
      <w:r>
        <w:rPr>
          <w:spacing w:val="-7"/>
        </w:rPr>
        <w:t> </w:t>
      </w:r>
      <w:r>
        <w:rPr>
          <w:spacing w:val="-7"/>
        </w:rPr>
      </w:r>
      <w:r>
        <w:rPr/>
        <w:t>是能够从企业合并的协同效应中受益的资产组或者资产组组合，且不大于本公司确定的报告分部。</w:t>
      </w:r>
    </w:p>
    <w:p>
      <w:pPr>
        <w:spacing w:line="240" w:lineRule="auto" w:before="12"/>
        <w:rPr>
          <w:rFonts w:ascii="宋体" w:hAnsi="宋体" w:cs="宋体" w:eastAsia="宋体" w:hint="default"/>
          <w:sz w:val="23"/>
          <w:szCs w:val="23"/>
        </w:rPr>
      </w:pPr>
    </w:p>
    <w:p>
      <w:pPr>
        <w:pStyle w:val="BodyText"/>
        <w:spacing w:line="355" w:lineRule="auto"/>
        <w:ind w:right="205" w:firstLine="420"/>
        <w:jc w:val="both"/>
      </w:pPr>
      <w:r>
        <w:rPr>
          <w:spacing w:val="-2"/>
        </w:rPr>
        <w:t>减值测试时，如与商誉相关的资产组或者资产组组合存在减值迹象的，首先对不包含商誉的资产组或</w:t>
      </w:r>
      <w:r>
        <w:rPr>
          <w:w w:val="100"/>
        </w:rPr>
        <w:t> </w:t>
      </w:r>
      <w:r>
        <w:rPr>
          <w:spacing w:val="-2"/>
        </w:rPr>
        <w:t>者资产组组合进行减值测试，计算可收回金额，确认相应的减值损失。然后对包含商誉的资产组或者资产</w:t>
      </w:r>
      <w:r>
        <w:rPr>
          <w:spacing w:val="-44"/>
        </w:rPr>
        <w:t> </w:t>
      </w:r>
      <w:r>
        <w:rPr>
          <w:spacing w:val="-44"/>
        </w:rPr>
      </w:r>
      <w:r>
        <w:rPr>
          <w:spacing w:val="-2"/>
        </w:rPr>
        <w:t>组组合进行减值测试，比较其账面价值与可收回金额，如可收回金额低于账面价值的，确认商誉的减值损</w:t>
      </w:r>
      <w:r>
        <w:rPr>
          <w:spacing w:val="-45"/>
        </w:rPr>
        <w:t> </w:t>
      </w:r>
      <w:r>
        <w:rPr>
          <w:spacing w:val="-45"/>
        </w:rPr>
      </w:r>
      <w:r>
        <w:rPr/>
        <w:t>失。</w:t>
      </w:r>
    </w:p>
    <w:p>
      <w:pPr>
        <w:spacing w:line="240" w:lineRule="auto" w:before="12"/>
        <w:rPr>
          <w:rFonts w:ascii="宋体" w:hAnsi="宋体" w:cs="宋体" w:eastAsia="宋体" w:hint="default"/>
          <w:sz w:val="23"/>
          <w:szCs w:val="23"/>
        </w:rPr>
      </w:pPr>
    </w:p>
    <w:p>
      <w:pPr>
        <w:pStyle w:val="BodyText"/>
        <w:spacing w:line="240" w:lineRule="auto"/>
        <w:ind w:left="574" w:right="99"/>
        <w:jc w:val="left"/>
      </w:pPr>
      <w:r>
        <w:rPr/>
        <w:t>资产减值损失一经确认，在以后会计期间不再转回。</w:t>
      </w:r>
    </w:p>
    <w:p>
      <w:pPr>
        <w:pStyle w:val="BodyText"/>
        <w:spacing w:line="610" w:lineRule="atLeast" w:before="122"/>
        <w:ind w:left="574" w:right="99" w:hanging="420"/>
        <w:jc w:val="left"/>
      </w:pPr>
      <w:r>
        <w:rPr/>
        <w:t>23、长期待摊费用</w:t>
      </w:r>
      <w:r>
        <w:rPr>
          <w:spacing w:val="-96"/>
        </w:rPr>
        <w:t> </w:t>
      </w:r>
      <w:r>
        <w:rPr>
          <w:spacing w:val="-2"/>
        </w:rPr>
        <w:t>本公司发生的长期待摊费用按实际成本计价，并按预计受益期限平均摊销。对不能使以后会计期间受</w:t>
      </w:r>
    </w:p>
    <w:p>
      <w:pPr>
        <w:pStyle w:val="BodyText"/>
        <w:spacing w:line="240" w:lineRule="auto" w:before="37"/>
        <w:ind w:right="0"/>
        <w:jc w:val="both"/>
      </w:pPr>
      <w:r>
        <w:rPr/>
        <w:t>益的长期待摊费用项目，其摊余价值全部计入当期损益。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both"/>
      </w:pPr>
      <w:r>
        <w:rPr/>
        <w:t>24、职工薪酬</w:t>
      </w:r>
    </w:p>
    <w:p>
      <w:pPr>
        <w:spacing w:line="240" w:lineRule="auto" w:before="10"/>
        <w:rPr>
          <w:rFonts w:ascii="宋体" w:hAnsi="宋体" w:cs="宋体" w:eastAsia="宋体" w:hint="default"/>
          <w:sz w:val="25"/>
          <w:szCs w:val="25"/>
        </w:rPr>
      </w:pPr>
    </w:p>
    <w:p>
      <w:pPr>
        <w:pStyle w:val="BodyText"/>
        <w:spacing w:line="240" w:lineRule="auto"/>
        <w:ind w:right="0"/>
        <w:jc w:val="both"/>
      </w:pPr>
      <w:r>
        <w:rPr/>
        <w:t>（1）短期薪酬的会计处理方法</w:t>
      </w:r>
    </w:p>
    <w:p>
      <w:pPr>
        <w:spacing w:line="240" w:lineRule="auto" w:before="12"/>
        <w:rPr>
          <w:rFonts w:ascii="宋体" w:hAnsi="宋体" w:cs="宋体" w:eastAsia="宋体" w:hint="default"/>
          <w:sz w:val="25"/>
          <w:szCs w:val="25"/>
        </w:rPr>
      </w:pPr>
    </w:p>
    <w:p>
      <w:pPr>
        <w:pStyle w:val="BodyText"/>
        <w:spacing w:line="273" w:lineRule="auto"/>
        <w:ind w:right="205"/>
        <w:jc w:val="both"/>
      </w:pPr>
      <w:r>
        <w:rPr>
          <w:spacing w:val="-2"/>
        </w:rPr>
        <w:t>企业应当在职工为其提供服务的会计期间，将实际发生的短期薪酬确认为负债，并计入当期损益。企业发</w:t>
      </w:r>
      <w:r>
        <w:rPr>
          <w:spacing w:val="-44"/>
        </w:rPr>
        <w:t> </w:t>
      </w:r>
      <w:r>
        <w:rPr>
          <w:spacing w:val="-44"/>
        </w:rPr>
      </w:r>
      <w:r>
        <w:rPr>
          <w:spacing w:val="-2"/>
        </w:rPr>
        <w:t>生的职工福利费，应当在实际发生时根据实际发生额计入当期损益或相关资产成本。职工福利费为非货币</w:t>
      </w:r>
      <w:r>
        <w:rPr>
          <w:spacing w:val="-42"/>
        </w:rPr>
        <w:t> </w:t>
      </w:r>
      <w:r>
        <w:rPr>
          <w:spacing w:val="-42"/>
        </w:rPr>
      </w:r>
      <w:r>
        <w:rPr>
          <w:spacing w:val="-2"/>
        </w:rPr>
        <w:t>性福利的，应当按照公允价值计量。企业为职工缴纳的医疗保险费、工伤保险费、生育保险费等社会保险</w:t>
      </w:r>
      <w:r>
        <w:rPr>
          <w:spacing w:val="-50"/>
        </w:rPr>
        <w:t> </w:t>
      </w:r>
      <w:r>
        <w:rPr>
          <w:spacing w:val="-50"/>
        </w:rPr>
      </w:r>
      <w:r>
        <w:rPr>
          <w:spacing w:val="-2"/>
        </w:rPr>
        <w:t>费和住房公积金，以及按规定提取的工会经费和职工教育经费，应当在职工为其提供服务的会计期间，根</w:t>
      </w:r>
      <w:r>
        <w:rPr>
          <w:spacing w:val="-43"/>
        </w:rPr>
        <w:t> </w:t>
      </w:r>
      <w:r>
        <w:rPr>
          <w:spacing w:val="-43"/>
        </w:rPr>
      </w:r>
      <w:r>
        <w:rPr>
          <w:spacing w:val="-2"/>
        </w:rPr>
        <w:t>据规定的计提基础和计提比例计算确定相应的职工薪酬金额，并确认相应负债，计入当期损益或相关资产</w:t>
      </w:r>
      <w:r>
        <w:rPr>
          <w:spacing w:val="-44"/>
        </w:rPr>
        <w:t> </w:t>
      </w:r>
      <w:r>
        <w:rPr>
          <w:spacing w:val="-44"/>
        </w:rPr>
      </w:r>
      <w:r>
        <w:rPr/>
        <w:t>成本。</w:t>
      </w:r>
    </w:p>
    <w:p>
      <w:pPr>
        <w:spacing w:line="240" w:lineRule="auto" w:before="7"/>
        <w:rPr>
          <w:rFonts w:ascii="宋体" w:hAnsi="宋体" w:cs="宋体" w:eastAsia="宋体" w:hint="default"/>
          <w:sz w:val="23"/>
          <w:szCs w:val="23"/>
        </w:rPr>
      </w:pPr>
    </w:p>
    <w:p>
      <w:pPr>
        <w:pStyle w:val="BodyText"/>
        <w:spacing w:line="240" w:lineRule="auto"/>
        <w:ind w:right="0"/>
        <w:jc w:val="both"/>
      </w:pPr>
      <w:r>
        <w:rPr/>
        <w:t>（2）离职后福利的会计处理方法</w:t>
      </w:r>
    </w:p>
    <w:p>
      <w:pPr>
        <w:spacing w:line="240" w:lineRule="auto" w:before="10"/>
        <w:rPr>
          <w:rFonts w:ascii="宋体" w:hAnsi="宋体" w:cs="宋体" w:eastAsia="宋体" w:hint="default"/>
          <w:sz w:val="25"/>
          <w:szCs w:val="25"/>
        </w:rPr>
      </w:pPr>
    </w:p>
    <w:p>
      <w:pPr>
        <w:pStyle w:val="BodyText"/>
        <w:spacing w:line="273" w:lineRule="auto"/>
        <w:ind w:right="205"/>
        <w:jc w:val="both"/>
      </w:pPr>
      <w:r>
        <w:rPr>
          <w:spacing w:val="-2"/>
        </w:rPr>
        <w:t>离职后福利计划包括设定提存计划和设定受益计划。其中，设定提存计划，是指向独立的基金缴存固定费</w:t>
      </w:r>
      <w:r>
        <w:rPr>
          <w:spacing w:val="-43"/>
        </w:rPr>
        <w:t> </w:t>
      </w:r>
      <w:r>
        <w:rPr>
          <w:spacing w:val="-43"/>
        </w:rPr>
      </w:r>
      <w:r>
        <w:rPr>
          <w:spacing w:val="-2"/>
        </w:rPr>
        <w:t>用后，企业不再承担进一步支付义务的离职后福利计划；设定受益计划，是指除设定提存计划以外的离职</w:t>
      </w:r>
      <w:r>
        <w:rPr>
          <w:spacing w:val="-44"/>
        </w:rPr>
        <w:t> </w:t>
      </w:r>
      <w:r>
        <w:rPr>
          <w:spacing w:val="-44"/>
        </w:rPr>
      </w:r>
      <w:r>
        <w:rPr/>
        <w:t>后福利计划。</w:t>
      </w:r>
    </w:p>
    <w:p>
      <w:pPr>
        <w:spacing w:line="240" w:lineRule="auto" w:before="1"/>
        <w:rPr>
          <w:rFonts w:ascii="宋体" w:hAnsi="宋体" w:cs="宋体" w:eastAsia="宋体" w:hint="default"/>
          <w:sz w:val="17"/>
          <w:szCs w:val="17"/>
        </w:rPr>
      </w:pPr>
    </w:p>
    <w:p>
      <w:pPr>
        <w:pStyle w:val="BodyText"/>
        <w:spacing w:line="460" w:lineRule="auto"/>
        <w:ind w:right="4875"/>
        <w:jc w:val="left"/>
      </w:pPr>
      <w:r>
        <w:rPr/>
        <w:t>设定提存计划</w:t>
      </w:r>
      <w:r>
        <w:rPr>
          <w:w w:val="100"/>
        </w:rPr>
        <w:t> </w:t>
      </w:r>
      <w:r>
        <w:rPr>
          <w:spacing w:val="-2"/>
        </w:rPr>
        <w:t>设定提存计划包括基本养老保险、失业保险等。</w:t>
      </w:r>
    </w:p>
    <w:p>
      <w:pPr>
        <w:pStyle w:val="BodyText"/>
        <w:spacing w:line="273" w:lineRule="auto" w:before="60"/>
        <w:ind w:right="205"/>
        <w:jc w:val="both"/>
      </w:pPr>
      <w:r>
        <w:rPr>
          <w:spacing w:val="-2"/>
        </w:rPr>
        <w:t>在职工提供服务的会计期间，根据设定提存计划计算的应缴存金额确认为负债，并计入当期损益或相关资</w:t>
      </w:r>
      <w:r>
        <w:rPr>
          <w:spacing w:val="-44"/>
        </w:rPr>
        <w:t> </w:t>
      </w:r>
      <w:r>
        <w:rPr>
          <w:spacing w:val="-44"/>
        </w:rPr>
      </w:r>
      <w:r>
        <w:rPr/>
        <w:t>产成本。</w:t>
      </w:r>
    </w:p>
    <w:p>
      <w:pPr>
        <w:spacing w:after="0" w:line="273"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设定受益计划</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对于设定受益计划，在年度资产负债表日由独立精算师进行精算估值，以预期累积福利单位法确定提供福</w:t>
      </w:r>
      <w:r>
        <w:rPr>
          <w:spacing w:val="-44"/>
        </w:rPr>
        <w:t> </w:t>
      </w:r>
      <w:r>
        <w:rPr>
          <w:spacing w:val="-44"/>
        </w:rPr>
      </w:r>
      <w:r>
        <w:rPr/>
        <w:t>利的成本。本公司设定受益计划导致的职工薪酬成本包括下列组成部分：</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①服务成本，包括当期服务成本、过去服务成本和结算利得或损失。其中，当期服务成本，是指职工当期</w:t>
      </w:r>
      <w:r>
        <w:rPr>
          <w:spacing w:val="-44"/>
        </w:rPr>
        <w:t> </w:t>
      </w:r>
      <w:r>
        <w:rPr>
          <w:spacing w:val="-44"/>
        </w:rPr>
      </w:r>
      <w:r>
        <w:rPr>
          <w:spacing w:val="-2"/>
        </w:rPr>
        <w:t>提供服务所导致的设定受益计划义务现值的增加额；过去服务成本，是指设定受益计划修改所导致的与以</w:t>
      </w:r>
      <w:r>
        <w:rPr>
          <w:spacing w:val="-43"/>
        </w:rPr>
        <w:t> </w:t>
      </w:r>
      <w:r>
        <w:rPr>
          <w:spacing w:val="-43"/>
        </w:rPr>
      </w:r>
      <w:r>
        <w:rPr/>
        <w:t>前期间职工服务相关的设定受益计划义务现值的增加或减少。</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②设定受益计划净负债或净资产的利息净额，包括计划资产的利息收益、设定受益计划义务的利息费用以</w:t>
      </w:r>
      <w:r>
        <w:rPr>
          <w:spacing w:val="-43"/>
        </w:rPr>
        <w:t> </w:t>
      </w:r>
      <w:r>
        <w:rPr>
          <w:spacing w:val="-43"/>
        </w:rPr>
      </w:r>
      <w:r>
        <w:rPr/>
        <w:t>及资产上限影响的利息。</w:t>
      </w:r>
    </w:p>
    <w:p>
      <w:pPr>
        <w:spacing w:line="240" w:lineRule="auto" w:before="1"/>
        <w:rPr>
          <w:rFonts w:ascii="宋体" w:hAnsi="宋体" w:cs="宋体" w:eastAsia="宋体" w:hint="default"/>
          <w:sz w:val="17"/>
          <w:szCs w:val="17"/>
        </w:rPr>
      </w:pPr>
    </w:p>
    <w:p>
      <w:pPr>
        <w:pStyle w:val="BodyText"/>
        <w:spacing w:line="240" w:lineRule="auto"/>
        <w:ind w:right="0"/>
        <w:jc w:val="both"/>
      </w:pPr>
      <w:r>
        <w:rPr/>
        <w:t>③重新计量设定受益计划净负债或净资产所产生的变动。</w:t>
      </w:r>
    </w:p>
    <w:p>
      <w:pPr>
        <w:spacing w:line="240" w:lineRule="auto" w:before="5"/>
        <w:rPr>
          <w:rFonts w:ascii="宋体" w:hAnsi="宋体" w:cs="宋体" w:eastAsia="宋体" w:hint="default"/>
          <w:sz w:val="19"/>
          <w:szCs w:val="19"/>
        </w:rPr>
      </w:pPr>
    </w:p>
    <w:p>
      <w:pPr>
        <w:pStyle w:val="BodyText"/>
        <w:spacing w:line="273" w:lineRule="auto"/>
        <w:ind w:right="145"/>
        <w:jc w:val="both"/>
      </w:pPr>
      <w:r>
        <w:rPr>
          <w:spacing w:val="-2"/>
        </w:rPr>
        <w:t>除非其他会计准则要求或允许职工福利成本计入资产成本，本公司将上述第①和②项计入当期损益；第③</w:t>
      </w:r>
      <w:r>
        <w:rPr>
          <w:spacing w:val="-43"/>
        </w:rPr>
        <w:t> </w:t>
      </w:r>
      <w:r>
        <w:rPr>
          <w:spacing w:val="-43"/>
        </w:rPr>
      </w:r>
      <w:r>
        <w:rPr>
          <w:spacing w:val="-2"/>
        </w:rPr>
        <w:t>项计入其他综合收益且不会在后续会计期间转回至损益，但可以在权益范围内转移这些在其他综合收益中</w:t>
      </w:r>
      <w:r>
        <w:rPr>
          <w:spacing w:val="-43"/>
        </w:rPr>
        <w:t> </w:t>
      </w:r>
      <w:r>
        <w:rPr>
          <w:spacing w:val="-43"/>
        </w:rPr>
      </w:r>
      <w:r>
        <w:rPr/>
        <w:t>确认的金额。</w:t>
      </w:r>
    </w:p>
    <w:p>
      <w:pPr>
        <w:spacing w:line="240" w:lineRule="auto" w:before="7"/>
        <w:rPr>
          <w:rFonts w:ascii="宋体" w:hAnsi="宋体" w:cs="宋体" w:eastAsia="宋体" w:hint="default"/>
          <w:sz w:val="23"/>
          <w:szCs w:val="23"/>
        </w:rPr>
      </w:pPr>
    </w:p>
    <w:p>
      <w:pPr>
        <w:pStyle w:val="BodyText"/>
        <w:spacing w:line="240" w:lineRule="auto"/>
        <w:ind w:right="0"/>
        <w:jc w:val="both"/>
      </w:pPr>
      <w:r>
        <w:rPr/>
        <w:t>（3）辞退福利的会计处理方法</w:t>
      </w:r>
    </w:p>
    <w:p>
      <w:pPr>
        <w:spacing w:line="240" w:lineRule="auto" w:before="12"/>
        <w:rPr>
          <w:rFonts w:ascii="宋体" w:hAnsi="宋体" w:cs="宋体" w:eastAsia="宋体" w:hint="default"/>
          <w:sz w:val="25"/>
          <w:szCs w:val="25"/>
        </w:rPr>
      </w:pPr>
    </w:p>
    <w:p>
      <w:pPr>
        <w:pStyle w:val="BodyText"/>
        <w:spacing w:line="273" w:lineRule="auto"/>
        <w:ind w:right="123"/>
        <w:jc w:val="both"/>
      </w:pPr>
      <w:r>
        <w:rPr>
          <w:spacing w:val="-2"/>
        </w:rPr>
        <w:t>本公司向职工提供辞退福利的，在下列两者孰早日确认辞退福利产生的职工薪酬负债，并计入当期损益：</w:t>
      </w:r>
      <w:r>
        <w:rPr>
          <w:spacing w:val="-23"/>
        </w:rPr>
        <w:t> </w:t>
      </w:r>
      <w:r>
        <w:rPr>
          <w:spacing w:val="-23"/>
        </w:rPr>
      </w:r>
      <w:r>
        <w:rPr>
          <w:spacing w:val="-2"/>
        </w:rPr>
        <w:t>本公司不能单方面撤回因解除劳动关系计划或裁减建议所提供的辞退福利时；本公司确认与涉及支付辞退</w:t>
      </w:r>
      <w:r>
        <w:rPr>
          <w:spacing w:val="-44"/>
        </w:rPr>
        <w:t> </w:t>
      </w:r>
      <w:r>
        <w:rPr>
          <w:spacing w:val="-44"/>
        </w:rPr>
      </w:r>
      <w:r>
        <w:rPr/>
        <w:t>福利的重组相关的成本或费用时。</w:t>
      </w:r>
    </w:p>
    <w:p>
      <w:pPr>
        <w:spacing w:line="240" w:lineRule="auto" w:before="1"/>
        <w:rPr>
          <w:rFonts w:ascii="宋体" w:hAnsi="宋体" w:cs="宋体" w:eastAsia="宋体" w:hint="default"/>
          <w:sz w:val="17"/>
          <w:szCs w:val="17"/>
        </w:rPr>
      </w:pPr>
    </w:p>
    <w:p>
      <w:pPr>
        <w:pStyle w:val="BodyText"/>
        <w:spacing w:line="273" w:lineRule="auto"/>
        <w:ind w:right="145"/>
        <w:jc w:val="both"/>
      </w:pPr>
      <w:r>
        <w:rPr>
          <w:spacing w:val="-2"/>
        </w:rPr>
        <w:t>实行职工内部退休计划的，在正式退休日之前的经济补偿，属于辞退福利，自职工停止提供服务日至正常</w:t>
      </w:r>
      <w:r>
        <w:rPr>
          <w:spacing w:val="-43"/>
        </w:rPr>
        <w:t> </w:t>
      </w:r>
      <w:r>
        <w:rPr>
          <w:spacing w:val="-43"/>
        </w:rPr>
      </w:r>
      <w:r>
        <w:rPr>
          <w:spacing w:val="-2"/>
        </w:rPr>
        <w:t>退休日期间，拟支付的内退职工工资和缴纳的社会保险费等一次性计入当期损益。正式退休日期之后的经</w:t>
      </w:r>
      <w:r>
        <w:rPr>
          <w:spacing w:val="-43"/>
        </w:rPr>
        <w:t> </w:t>
      </w:r>
      <w:r>
        <w:rPr>
          <w:spacing w:val="-43"/>
        </w:rPr>
      </w:r>
      <w:r>
        <w:rPr/>
        <w:t>济补偿（如正常养老退休金），按照离职后福利处理。</w:t>
      </w:r>
    </w:p>
    <w:p>
      <w:pPr>
        <w:spacing w:line="240" w:lineRule="auto" w:before="7"/>
        <w:rPr>
          <w:rFonts w:ascii="宋体" w:hAnsi="宋体" w:cs="宋体" w:eastAsia="宋体" w:hint="default"/>
          <w:sz w:val="23"/>
          <w:szCs w:val="23"/>
        </w:rPr>
      </w:pPr>
    </w:p>
    <w:p>
      <w:pPr>
        <w:pStyle w:val="BodyText"/>
        <w:spacing w:line="240" w:lineRule="auto"/>
        <w:ind w:right="0"/>
        <w:jc w:val="both"/>
      </w:pPr>
      <w:r>
        <w:rPr/>
        <w:t>（4）其他长期职工福利的会计处理方法</w:t>
      </w:r>
    </w:p>
    <w:p>
      <w:pPr>
        <w:spacing w:line="240" w:lineRule="auto" w:before="10"/>
        <w:rPr>
          <w:rFonts w:ascii="宋体" w:hAnsi="宋体" w:cs="宋体" w:eastAsia="宋体" w:hint="default"/>
          <w:sz w:val="25"/>
          <w:szCs w:val="25"/>
        </w:rPr>
      </w:pPr>
    </w:p>
    <w:p>
      <w:pPr>
        <w:pStyle w:val="BodyText"/>
        <w:spacing w:line="273" w:lineRule="auto"/>
        <w:ind w:right="145"/>
        <w:jc w:val="both"/>
      </w:pPr>
      <w:r>
        <w:rPr>
          <w:spacing w:val="-2"/>
        </w:rPr>
        <w:t>本公司向职工提供的其他长期职工福利，符合设定提存计划条件的，按照上述关于设定提存计划的有关规</w:t>
      </w:r>
      <w:r>
        <w:rPr>
          <w:spacing w:val="-43"/>
        </w:rPr>
        <w:t> </w:t>
      </w:r>
      <w:r>
        <w:rPr>
          <w:spacing w:val="-43"/>
        </w:rPr>
      </w:r>
      <w:r>
        <w:rPr>
          <w:spacing w:val="-2"/>
        </w:rPr>
        <w:t>定进行处理。符合设定受益计划的，按照上述关于设定受益计划的有关规定进行处理，但相关职工薪酬成</w:t>
      </w:r>
      <w:r>
        <w:rPr>
          <w:spacing w:val="-44"/>
        </w:rPr>
        <w:t> </w:t>
      </w:r>
      <w:r>
        <w:rPr>
          <w:spacing w:val="-44"/>
        </w:rPr>
      </w:r>
      <w:r>
        <w:rPr/>
        <w:t>本中“重新计量设定受益计划净负债或净资产所产生的变动”部分计入当期损益或相关资产成本。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right="0"/>
        <w:jc w:val="both"/>
      </w:pPr>
      <w:r>
        <w:rPr/>
        <w:t>25、预计负债</w:t>
      </w:r>
    </w:p>
    <w:p>
      <w:pPr>
        <w:spacing w:line="240" w:lineRule="auto" w:before="12"/>
        <w:rPr>
          <w:rFonts w:ascii="宋体" w:hAnsi="宋体" w:cs="宋体" w:eastAsia="宋体" w:hint="default"/>
          <w:sz w:val="25"/>
          <w:szCs w:val="25"/>
        </w:rPr>
      </w:pPr>
    </w:p>
    <w:p>
      <w:pPr>
        <w:pStyle w:val="BodyText"/>
        <w:spacing w:line="273" w:lineRule="auto"/>
        <w:ind w:right="0" w:firstLine="420"/>
        <w:jc w:val="left"/>
      </w:pPr>
      <w:r>
        <w:rPr>
          <w:spacing w:val="-2"/>
        </w:rPr>
        <w:t>本公司涉及诉讼、债务担保、亏损合同、重组等事项时，如该事项很可能需要未来以交换资产或提供</w:t>
      </w:r>
      <w:r>
        <w:rPr>
          <w:w w:val="100"/>
        </w:rPr>
        <w:t> </w:t>
      </w:r>
      <w:r>
        <w:rPr/>
        <w:t>劳务来偿付、且金额能够可靠计量的事项，确认为预计负债。</w:t>
      </w:r>
    </w:p>
    <w:p>
      <w:pPr>
        <w:spacing w:line="240" w:lineRule="auto" w:before="7"/>
        <w:rPr>
          <w:rFonts w:ascii="宋体" w:hAnsi="宋体" w:cs="宋体" w:eastAsia="宋体" w:hint="default"/>
          <w:sz w:val="23"/>
          <w:szCs w:val="23"/>
        </w:rPr>
      </w:pPr>
    </w:p>
    <w:p>
      <w:pPr>
        <w:pStyle w:val="BodyText"/>
        <w:spacing w:line="535" w:lineRule="auto"/>
        <w:ind w:left="574" w:right="1381" w:hanging="420"/>
        <w:jc w:val="left"/>
      </w:pPr>
      <w:r>
        <w:rPr/>
        <w:t>（1）预计负债的确认标准</w:t>
      </w:r>
      <w:r>
        <w:rPr>
          <w:spacing w:val="-95"/>
        </w:rPr>
        <w:t> </w:t>
      </w:r>
      <w:r>
        <w:rPr>
          <w:spacing w:val="-95"/>
        </w:rPr>
      </w:r>
      <w:r>
        <w:rPr>
          <w:spacing w:val="-2"/>
        </w:rPr>
        <w:t>如果与或有事项相关的义务同时符合以下条件，本公司将其确认为预计负债：</w:t>
      </w:r>
    </w:p>
    <w:p>
      <w:pPr>
        <w:pStyle w:val="BodyText"/>
        <w:spacing w:line="270" w:lineRule="exact"/>
        <w:ind w:left="469" w:right="2880"/>
        <w:jc w:val="left"/>
      </w:pPr>
      <w:r>
        <w:rPr/>
        <w:t>（1）该义务是本公司承担的现时义务；</w:t>
      </w:r>
    </w:p>
    <w:p>
      <w:pPr>
        <w:spacing w:after="0" w:line="270" w:lineRule="exact"/>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469" w:right="2880"/>
        <w:jc w:val="left"/>
      </w:pPr>
      <w:r>
        <w:rPr/>
        <w:t>（2）该义务的履行很可能导致经济利益流出本公司；</w:t>
      </w:r>
    </w:p>
    <w:p>
      <w:pPr>
        <w:spacing w:line="240" w:lineRule="auto" w:before="5"/>
        <w:rPr>
          <w:rFonts w:ascii="宋体" w:hAnsi="宋体" w:cs="宋体" w:eastAsia="宋体" w:hint="default"/>
          <w:sz w:val="19"/>
          <w:szCs w:val="19"/>
        </w:rPr>
      </w:pPr>
    </w:p>
    <w:p>
      <w:pPr>
        <w:pStyle w:val="BodyText"/>
        <w:spacing w:line="240" w:lineRule="auto"/>
        <w:ind w:left="469" w:right="2880"/>
        <w:jc w:val="left"/>
      </w:pPr>
      <w:r>
        <w:rPr/>
        <w:t>（3）该义务的金额能够可靠地计量。</w:t>
      </w:r>
    </w:p>
    <w:p>
      <w:pPr>
        <w:pStyle w:val="BodyText"/>
        <w:spacing w:line="610" w:lineRule="atLeast" w:before="4"/>
        <w:ind w:left="574" w:right="0" w:hanging="420"/>
        <w:jc w:val="left"/>
      </w:pPr>
      <w:r>
        <w:rPr/>
        <w:t>（2）预计负债的计量方法</w:t>
      </w:r>
      <w:r>
        <w:rPr>
          <w:spacing w:val="-95"/>
        </w:rPr>
        <w:t> </w:t>
      </w:r>
      <w:r>
        <w:rPr>
          <w:spacing w:val="-95"/>
        </w:rPr>
      </w:r>
      <w:r>
        <w:rPr>
          <w:spacing w:val="-2"/>
        </w:rPr>
        <w:t>预计负债按照履行相关现时义务所需支出的最佳估计数进行初始计量，并综合考虑与或有事项有关的</w:t>
      </w:r>
    </w:p>
    <w:p>
      <w:pPr>
        <w:pStyle w:val="BodyText"/>
        <w:spacing w:line="273" w:lineRule="auto" w:before="37"/>
        <w:ind w:right="145"/>
        <w:jc w:val="both"/>
      </w:pPr>
      <w:r>
        <w:rPr>
          <w:spacing w:val="-2"/>
        </w:rPr>
        <w:t>风险、不确定性和货币时间价值等因素。货币时间价值影响重大的，通过对相关未来现金流出进行折现后</w:t>
      </w:r>
      <w:r>
        <w:rPr>
          <w:spacing w:val="-45"/>
        </w:rPr>
        <w:t> </w:t>
      </w:r>
      <w:r>
        <w:rPr>
          <w:spacing w:val="-45"/>
        </w:rPr>
      </w:r>
      <w:r>
        <w:rPr>
          <w:spacing w:val="-2"/>
        </w:rPr>
        <w:t>确定最佳估计数。本公司于资产负债表日对预计负债的账面价值进行复核，并对账面价值进行调整以反映</w:t>
      </w:r>
      <w:r>
        <w:rPr>
          <w:spacing w:val="-43"/>
        </w:rPr>
        <w:t> </w:t>
      </w:r>
      <w:r>
        <w:rPr>
          <w:spacing w:val="-43"/>
        </w:rPr>
      </w:r>
      <w:r>
        <w:rPr/>
        <w:t>当前最佳估计数。</w:t>
      </w:r>
    </w:p>
    <w:p>
      <w:pPr>
        <w:spacing w:line="240" w:lineRule="auto" w:before="1"/>
        <w:rPr>
          <w:rFonts w:ascii="宋体" w:hAnsi="宋体" w:cs="宋体" w:eastAsia="宋体" w:hint="default"/>
          <w:sz w:val="17"/>
          <w:szCs w:val="17"/>
        </w:rPr>
      </w:pPr>
    </w:p>
    <w:p>
      <w:pPr>
        <w:pStyle w:val="BodyText"/>
        <w:spacing w:line="273" w:lineRule="auto"/>
        <w:ind w:right="0" w:firstLine="420"/>
        <w:jc w:val="left"/>
      </w:pPr>
      <w:r>
        <w:rPr>
          <w:spacing w:val="-2"/>
        </w:rPr>
        <w:t>如果清偿已确认预计负债所需支出全部或部分预期由第三方或其他方补偿，则补偿金额只能在基本确</w:t>
      </w:r>
      <w:r>
        <w:rPr>
          <w:w w:val="100"/>
        </w:rPr>
        <w:t> </w:t>
      </w:r>
      <w:r>
        <w:rPr/>
        <w:t>定能收到时，作为资产单独确认。确认的补偿金额不超过所确认负债的账面价值。</w:t>
      </w:r>
    </w:p>
    <w:p>
      <w:pPr>
        <w:spacing w:line="240" w:lineRule="auto" w:before="7"/>
        <w:rPr>
          <w:rFonts w:ascii="宋体" w:hAnsi="宋体" w:cs="宋体" w:eastAsia="宋体" w:hint="default"/>
          <w:sz w:val="23"/>
          <w:szCs w:val="23"/>
        </w:rPr>
      </w:pPr>
    </w:p>
    <w:p>
      <w:pPr>
        <w:pStyle w:val="BodyText"/>
        <w:spacing w:line="240" w:lineRule="auto"/>
        <w:ind w:right="2880"/>
        <w:jc w:val="left"/>
      </w:pPr>
      <w:r>
        <w:rPr/>
        <w:t>26、股份支付</w:t>
      </w:r>
    </w:p>
    <w:p>
      <w:pPr>
        <w:spacing w:line="240" w:lineRule="auto" w:before="12"/>
        <w:rPr>
          <w:rFonts w:ascii="宋体" w:hAnsi="宋体" w:cs="宋体" w:eastAsia="宋体" w:hint="default"/>
          <w:sz w:val="25"/>
          <w:szCs w:val="25"/>
        </w:rPr>
      </w:pPr>
    </w:p>
    <w:p>
      <w:pPr>
        <w:pStyle w:val="BodyText"/>
        <w:spacing w:line="535" w:lineRule="auto"/>
        <w:ind w:right="2880"/>
        <w:jc w:val="left"/>
      </w:pPr>
      <w:r>
        <w:rPr/>
        <w:t>（1）股份支付的种类</w:t>
      </w:r>
      <w:r>
        <w:rPr>
          <w:spacing w:val="-94"/>
        </w:rPr>
        <w:t> </w:t>
      </w:r>
      <w:r>
        <w:rPr>
          <w:spacing w:val="-2"/>
        </w:rPr>
        <w:t>本公司股份支付分为以权益结算的股份支付和以现金结算的股份支付。</w:t>
      </w:r>
    </w:p>
    <w:p>
      <w:pPr>
        <w:pStyle w:val="BodyText"/>
        <w:spacing w:line="240" w:lineRule="auto" w:before="79"/>
        <w:ind w:right="2880"/>
        <w:jc w:val="left"/>
      </w:pPr>
      <w:r>
        <w:rPr/>
        <w:t>（2）权益工具公允价值的确定方法</w:t>
      </w:r>
    </w:p>
    <w:p>
      <w:pPr>
        <w:spacing w:line="240" w:lineRule="auto" w:before="10"/>
        <w:rPr>
          <w:rFonts w:ascii="宋体" w:hAnsi="宋体" w:cs="宋体" w:eastAsia="宋体" w:hint="default"/>
          <w:sz w:val="25"/>
          <w:szCs w:val="25"/>
        </w:rPr>
      </w:pPr>
    </w:p>
    <w:p>
      <w:pPr>
        <w:pStyle w:val="BodyText"/>
        <w:spacing w:line="240" w:lineRule="auto"/>
        <w:ind w:right="2880"/>
        <w:jc w:val="left"/>
      </w:pPr>
      <w:r>
        <w:rPr/>
        <w:t>①存在活跃市场的，按照活跃市场中的报价确定；</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2"/>
        </w:rPr>
        <w:t>②不存在活跃市场的，采用估值技术确定，包括参考熟悉情况并自愿交易的各方最近进行的市场交易中使</w:t>
      </w:r>
      <w:r>
        <w:rPr>
          <w:spacing w:val="-42"/>
        </w:rPr>
        <w:t> </w:t>
      </w:r>
      <w:r>
        <w:rPr>
          <w:spacing w:val="-42"/>
        </w:rPr>
      </w:r>
      <w:r>
        <w:rPr/>
        <w:t>用的价格、参照实质上相同的其他金融工具的当前公允价值、现金流量折现法和期权定价模型等。</w:t>
      </w:r>
    </w:p>
    <w:p>
      <w:pPr>
        <w:spacing w:line="240" w:lineRule="auto" w:before="7"/>
        <w:rPr>
          <w:rFonts w:ascii="宋体" w:hAnsi="宋体" w:cs="宋体" w:eastAsia="宋体" w:hint="default"/>
          <w:sz w:val="23"/>
          <w:szCs w:val="23"/>
        </w:rPr>
      </w:pPr>
    </w:p>
    <w:p>
      <w:pPr>
        <w:pStyle w:val="BodyText"/>
        <w:spacing w:line="532" w:lineRule="auto"/>
        <w:ind w:right="2880"/>
        <w:jc w:val="left"/>
      </w:pPr>
      <w:r>
        <w:rPr/>
        <w:t>（3）确认可行权权益工具最佳估计的依据</w:t>
      </w:r>
      <w:r>
        <w:rPr>
          <w:spacing w:val="-89"/>
        </w:rPr>
        <w:t> </w:t>
      </w:r>
      <w:r>
        <w:rPr>
          <w:spacing w:val="-89"/>
        </w:rPr>
      </w:r>
      <w:r>
        <w:rPr>
          <w:spacing w:val="-2"/>
        </w:rPr>
        <w:t>根据最新取得的可行权职工数变动等后续信息进行估计。</w:t>
      </w:r>
      <w:r>
        <w:rPr>
          <w:spacing w:val="-56"/>
        </w:rPr>
        <w:t> </w:t>
      </w:r>
      <w:r>
        <w:rPr>
          <w:spacing w:val="-56"/>
        </w:rPr>
      </w:r>
      <w:r>
        <w:rPr/>
        <w:t>27、优先股、永续债等其他金融工具</w:t>
      </w:r>
    </w:p>
    <w:p>
      <w:pPr>
        <w:pStyle w:val="BodyText"/>
        <w:spacing w:line="535" w:lineRule="auto" w:before="83"/>
        <w:ind w:right="8931"/>
        <w:jc w:val="left"/>
      </w:pPr>
      <w:r>
        <w:rPr/>
        <w:t>不适用</w:t>
      </w:r>
      <w:r>
        <w:rPr>
          <w:spacing w:val="-102"/>
        </w:rPr>
        <w:t> </w:t>
      </w:r>
      <w:r>
        <w:rPr/>
        <w:t>28、收入</w:t>
      </w:r>
    </w:p>
    <w:p>
      <w:pPr>
        <w:pStyle w:val="BodyText"/>
        <w:spacing w:line="240" w:lineRule="auto" w:before="81"/>
        <w:ind w:right="2880"/>
        <w:jc w:val="left"/>
      </w:pPr>
      <w:r>
        <w:rPr/>
        <w:t>（1）销售商品收入确认时间的具体判断标准</w:t>
      </w:r>
    </w:p>
    <w:p>
      <w:pPr>
        <w:spacing w:line="240" w:lineRule="auto" w:before="10"/>
        <w:rPr>
          <w:rFonts w:ascii="宋体" w:hAnsi="宋体" w:cs="宋体" w:eastAsia="宋体" w:hint="default"/>
          <w:sz w:val="25"/>
          <w:szCs w:val="25"/>
        </w:rPr>
      </w:pPr>
    </w:p>
    <w:p>
      <w:pPr>
        <w:pStyle w:val="BodyText"/>
        <w:spacing w:line="273" w:lineRule="auto"/>
        <w:ind w:right="145"/>
        <w:jc w:val="both"/>
      </w:pPr>
      <w:r>
        <w:rPr>
          <w:spacing w:val="-2"/>
        </w:rPr>
        <w:t>在已将商品所有权上的主要风险和报酬转移给购货方，既没有保留通常与所有权相联系的继续管理权，也</w:t>
      </w:r>
      <w:r>
        <w:rPr>
          <w:spacing w:val="-43"/>
        </w:rPr>
        <w:t> </w:t>
      </w:r>
      <w:r>
        <w:rPr>
          <w:spacing w:val="-43"/>
        </w:rPr>
      </w:r>
      <w:r>
        <w:rPr>
          <w:spacing w:val="-2"/>
        </w:rPr>
        <w:t>没有对已售商品实施有效控制，收入的金额能够可靠地计量，相关的经济利益很可能流入企业，相关的已</w:t>
      </w:r>
      <w:r>
        <w:rPr>
          <w:spacing w:val="-45"/>
        </w:rPr>
        <w:t> </w:t>
      </w:r>
      <w:r>
        <w:rPr>
          <w:spacing w:val="-45"/>
        </w:rPr>
      </w:r>
      <w:r>
        <w:rPr/>
        <w:t>发生或将发生的成本能够可靠地计量时，确认商品销售收入的实现。</w:t>
      </w:r>
    </w:p>
    <w:p>
      <w:pPr>
        <w:spacing w:line="240" w:lineRule="auto" w:before="7"/>
        <w:rPr>
          <w:rFonts w:ascii="宋体" w:hAnsi="宋体" w:cs="宋体" w:eastAsia="宋体" w:hint="default"/>
          <w:sz w:val="23"/>
          <w:szCs w:val="23"/>
        </w:rPr>
      </w:pPr>
    </w:p>
    <w:p>
      <w:pPr>
        <w:pStyle w:val="BodyText"/>
        <w:spacing w:line="535" w:lineRule="auto"/>
        <w:ind w:left="469" w:right="0" w:hanging="315"/>
        <w:jc w:val="left"/>
      </w:pPr>
      <w:r>
        <w:rPr/>
        <w:t>（2）确认让渡资产使用权收入的依据</w:t>
      </w:r>
      <w:r>
        <w:rPr>
          <w:spacing w:val="-92"/>
        </w:rPr>
        <w:t> </w:t>
      </w:r>
      <w:r>
        <w:rPr>
          <w:spacing w:val="-92"/>
        </w:rPr>
      </w:r>
      <w:r>
        <w:rPr>
          <w:spacing w:val="-2"/>
        </w:rPr>
        <w:t>与资产使用权让渡相关的经济利益能够流入及收入的金额能够可靠地计量时，本公司确认收入。</w:t>
      </w:r>
    </w:p>
    <w:p>
      <w:pPr>
        <w:spacing w:after="0" w:line="535"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（3）确认提供劳务收入的依据</w:t>
      </w:r>
    </w:p>
    <w:p>
      <w:pPr>
        <w:pStyle w:val="BodyText"/>
        <w:spacing w:line="530" w:lineRule="atLeast" w:before="82"/>
        <w:ind w:left="469" w:right="0"/>
        <w:jc w:val="left"/>
      </w:pPr>
      <w:r>
        <w:rPr/>
        <w:t>对在提供劳务交易的结果能够可靠估计的情况下，本公司于资产负债表日按完工百分比法确认收入。</w:t>
      </w:r>
      <w:r>
        <w:rPr>
          <w:w w:val="100"/>
        </w:rPr>
        <w:t> </w:t>
      </w:r>
      <w:r>
        <w:rPr/>
        <w:t>劳务交易的完工进度按已经发生的劳务成本占估计总成本的比例确定。</w:t>
      </w:r>
      <w:r>
        <w:rPr>
          <w:w w:val="100"/>
        </w:rPr>
        <w:t> </w:t>
      </w:r>
      <w:r>
        <w:rPr/>
        <w:t>提供劳务交易的结果能够可靠估计是指同时满足：A、收入的金额能够可靠地计量；B、相关的经济利</w:t>
      </w:r>
    </w:p>
    <w:p>
      <w:pPr>
        <w:pStyle w:val="BodyText"/>
        <w:spacing w:line="273" w:lineRule="auto" w:before="37"/>
        <w:ind w:right="0"/>
        <w:jc w:val="left"/>
      </w:pPr>
      <w:r>
        <w:rPr>
          <w:spacing w:val="-2"/>
        </w:rPr>
        <w:t>益很可能流入企业；C、交易的完工程度能够可靠地确定；D、交易中已发生和将发生的成本能够可靠地计</w:t>
      </w:r>
      <w:r>
        <w:rPr>
          <w:spacing w:val="-45"/>
        </w:rPr>
        <w:t> </w:t>
      </w:r>
      <w:r>
        <w:rPr>
          <w:spacing w:val="-45"/>
        </w:rPr>
      </w:r>
      <w:r>
        <w:rPr/>
        <w:t>量。</w:t>
      </w:r>
    </w:p>
    <w:p>
      <w:pPr>
        <w:spacing w:line="240" w:lineRule="auto" w:before="1"/>
        <w:rPr>
          <w:rFonts w:ascii="宋体" w:hAnsi="宋体" w:cs="宋体" w:eastAsia="宋体" w:hint="default"/>
          <w:sz w:val="17"/>
          <w:szCs w:val="17"/>
        </w:rPr>
      </w:pPr>
    </w:p>
    <w:p>
      <w:pPr>
        <w:pStyle w:val="BodyText"/>
        <w:spacing w:line="273" w:lineRule="auto"/>
        <w:ind w:right="145" w:firstLine="314"/>
        <w:jc w:val="both"/>
      </w:pPr>
      <w:r>
        <w:rPr/>
        <w:t>如果提供劳务交易的结果不能够可靠估计，则按已经发生并预计能够得到补偿的劳务成本金额确认提</w:t>
      </w:r>
      <w:r>
        <w:rPr>
          <w:w w:val="100"/>
        </w:rPr>
        <w:t> </w:t>
      </w:r>
      <w:r>
        <w:rPr>
          <w:spacing w:val="-2"/>
        </w:rPr>
        <w:t>供的劳务收入，并将已发生的劳务成本作为当期费用。已经发生的劳务成本如预计不能得到补偿的，则不</w:t>
      </w:r>
      <w:r>
        <w:rPr>
          <w:spacing w:val="-45"/>
        </w:rPr>
        <w:t> </w:t>
      </w:r>
      <w:r>
        <w:rPr>
          <w:spacing w:val="-45"/>
        </w:rPr>
      </w:r>
      <w:r>
        <w:rPr/>
        <w:t>确认收入</w:t>
      </w:r>
    </w:p>
    <w:p>
      <w:pPr>
        <w:spacing w:line="240" w:lineRule="auto" w:before="9"/>
        <w:rPr>
          <w:rFonts w:ascii="宋体" w:hAnsi="宋体" w:cs="宋体" w:eastAsia="宋体" w:hint="default"/>
          <w:sz w:val="23"/>
          <w:szCs w:val="23"/>
        </w:rPr>
      </w:pPr>
    </w:p>
    <w:p>
      <w:pPr>
        <w:pStyle w:val="BodyText"/>
        <w:spacing w:line="532" w:lineRule="auto"/>
        <w:ind w:right="0"/>
        <w:jc w:val="left"/>
      </w:pPr>
      <w:r>
        <w:rPr>
          <w:spacing w:val="-1"/>
        </w:rPr>
        <w:t>（4）按完工百分比法确认提供劳务的收入和建造合同收入时，确定合同完工进度的依据和方法</w:t>
      </w:r>
      <w:r>
        <w:rPr>
          <w:spacing w:val="-33"/>
        </w:rPr>
        <w:t> </w:t>
      </w:r>
      <w:r>
        <w:rPr>
          <w:spacing w:val="-33"/>
        </w:rPr>
      </w:r>
      <w:r>
        <w:rPr/>
        <w:t>本公司根据已完工作的测量确定提供劳务交易的完工进度</w:t>
      </w:r>
    </w:p>
    <w:p>
      <w:pPr>
        <w:pStyle w:val="BodyText"/>
        <w:spacing w:line="240" w:lineRule="auto" w:before="81"/>
        <w:ind w:right="2880"/>
        <w:jc w:val="left"/>
      </w:pPr>
      <w:r>
        <w:rPr/>
        <w:t>29、政府补助</w:t>
      </w:r>
    </w:p>
    <w:p>
      <w:pPr>
        <w:pStyle w:val="BodyText"/>
        <w:spacing w:line="610" w:lineRule="atLeast" w:before="4"/>
        <w:ind w:left="469" w:right="0" w:hanging="315"/>
        <w:jc w:val="left"/>
      </w:pPr>
      <w:r>
        <w:rPr/>
        <w:t>（1）与资产相关的政府补助判断依据及会计处理方法</w:t>
      </w:r>
      <w:r>
        <w:rPr>
          <w:spacing w:val="-89"/>
        </w:rPr>
        <w:t> </w:t>
      </w:r>
      <w:r>
        <w:rPr>
          <w:spacing w:val="-89"/>
        </w:rPr>
      </w:r>
      <w:r>
        <w:rPr/>
        <w:t>与资产相关的政府补助，是指本公司取得的、用于购建或以其他方式形成长期资产的政府补助；除此</w:t>
      </w:r>
    </w:p>
    <w:p>
      <w:pPr>
        <w:pStyle w:val="BodyText"/>
        <w:spacing w:line="240" w:lineRule="auto" w:before="37"/>
        <w:ind w:right="2880"/>
        <w:jc w:val="left"/>
      </w:pPr>
      <w:r>
        <w:rPr/>
        <w:t>之外，作为与收益相关的政府补助。</w:t>
      </w:r>
    </w:p>
    <w:p>
      <w:pPr>
        <w:spacing w:line="240" w:lineRule="auto" w:before="5"/>
        <w:rPr>
          <w:rFonts w:ascii="宋体" w:hAnsi="宋体" w:cs="宋体" w:eastAsia="宋体" w:hint="default"/>
          <w:sz w:val="19"/>
          <w:szCs w:val="19"/>
        </w:rPr>
      </w:pPr>
    </w:p>
    <w:p>
      <w:pPr>
        <w:pStyle w:val="BodyText"/>
        <w:spacing w:line="273" w:lineRule="auto"/>
        <w:ind w:right="152" w:firstLine="316"/>
        <w:jc w:val="both"/>
      </w:pPr>
      <w:r>
        <w:rPr/>
        <w:t>与资产相关的政府补助，公司确认为递延收益，并在相关资产使用寿命内平均分配，计入当期损益。</w:t>
      </w:r>
      <w:r>
        <w:rPr>
          <w:w w:val="100"/>
        </w:rPr>
        <w:t> </w:t>
      </w:r>
      <w:r>
        <w:rPr/>
        <w:t>但是，按照名义金额计量的政府补助，直接计入当期损益。</w:t>
      </w:r>
    </w:p>
    <w:p>
      <w:pPr>
        <w:pStyle w:val="BodyText"/>
        <w:spacing w:line="614" w:lineRule="exact" w:before="62"/>
        <w:ind w:left="634" w:right="0" w:hanging="480"/>
        <w:jc w:val="left"/>
      </w:pPr>
      <w:r>
        <w:rPr/>
        <w:t>（2）与收益相关的政府补助判断依据及会计处理方法</w:t>
      </w:r>
      <w:r>
        <w:rPr>
          <w:spacing w:val="-89"/>
        </w:rPr>
        <w:t> </w:t>
      </w:r>
      <w:r>
        <w:rPr>
          <w:spacing w:val="-89"/>
        </w:rPr>
      </w:r>
      <w:r>
        <w:rPr>
          <w:spacing w:val="-4"/>
        </w:rPr>
        <w:t>与收益相关的政府补助，用于补偿本公司以后期间的相关费用或损失的，确认为递延收益，并在确认</w:t>
      </w:r>
    </w:p>
    <w:p>
      <w:pPr>
        <w:pStyle w:val="BodyText"/>
        <w:spacing w:line="219" w:lineRule="exact"/>
        <w:ind w:right="0"/>
        <w:jc w:val="left"/>
      </w:pPr>
      <w:r>
        <w:rPr/>
        <w:t>相关费用的期间，计入当期损益；用于补偿本公司已发生的相关费用或损失的，直接计入当期损益。</w:t>
      </w:r>
    </w:p>
    <w:p>
      <w:pPr>
        <w:pStyle w:val="BodyText"/>
        <w:spacing w:line="273" w:lineRule="auto" w:before="37"/>
        <w:ind w:right="0" w:firstLine="480"/>
        <w:jc w:val="left"/>
      </w:pPr>
      <w:r>
        <w:rPr>
          <w:spacing w:val="-4"/>
        </w:rPr>
        <w:t>已确认的政府补助需要返还的，存在相关递延收益的，冲减相关递延收益账面余额，超出部分计入当</w:t>
      </w:r>
      <w:r>
        <w:rPr>
          <w:w w:val="100"/>
        </w:rPr>
        <w:t> </w:t>
      </w:r>
      <w:r>
        <w:rPr/>
        <w:t>期损益；不存在相关递延收益的，直接计入当期损益。</w:t>
      </w:r>
    </w:p>
    <w:p>
      <w:pPr>
        <w:spacing w:line="240" w:lineRule="auto" w:before="7"/>
        <w:rPr>
          <w:rFonts w:ascii="宋体" w:hAnsi="宋体" w:cs="宋体" w:eastAsia="宋体" w:hint="default"/>
          <w:sz w:val="23"/>
          <w:szCs w:val="23"/>
        </w:rPr>
      </w:pPr>
    </w:p>
    <w:p>
      <w:pPr>
        <w:pStyle w:val="BodyText"/>
        <w:spacing w:line="240" w:lineRule="auto"/>
        <w:ind w:right="2880"/>
        <w:jc w:val="left"/>
      </w:pPr>
      <w:r>
        <w:rPr/>
        <w:t>30、递延所得税资产/递延所得税负债</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（1）确认递延所得税资产的依据</w:t>
      </w:r>
    </w:p>
    <w:p>
      <w:pPr>
        <w:spacing w:line="240" w:lineRule="auto" w:before="10"/>
        <w:rPr>
          <w:rFonts w:ascii="宋体" w:hAnsi="宋体" w:cs="宋体" w:eastAsia="宋体" w:hint="default"/>
          <w:sz w:val="25"/>
          <w:szCs w:val="25"/>
        </w:rPr>
      </w:pPr>
    </w:p>
    <w:p>
      <w:pPr>
        <w:pStyle w:val="BodyText"/>
        <w:spacing w:line="273" w:lineRule="auto"/>
        <w:ind w:right="145"/>
        <w:jc w:val="both"/>
      </w:pPr>
      <w:r>
        <w:rPr>
          <w:spacing w:val="-2"/>
        </w:rPr>
        <w:t>某些资产、负债项目的账面价值与其计税基础之间的差额，以及未作为资产和负债确认但按照税法规定可</w:t>
      </w:r>
      <w:r>
        <w:rPr>
          <w:spacing w:val="-42"/>
        </w:rPr>
        <w:t> </w:t>
      </w:r>
      <w:r>
        <w:rPr>
          <w:spacing w:val="-42"/>
        </w:rPr>
      </w:r>
      <w:r>
        <w:rPr>
          <w:spacing w:val="-2"/>
        </w:rPr>
        <w:t>以确定其计税基础的项目的账面价值与计税基础之间的差额产生的暂时性差异，采用资产负债表债务法确</w:t>
      </w:r>
      <w:r>
        <w:rPr>
          <w:spacing w:val="-43"/>
        </w:rPr>
        <w:t> </w:t>
      </w:r>
      <w:r>
        <w:rPr>
          <w:spacing w:val="-43"/>
        </w:rPr>
      </w:r>
      <w:r>
        <w:rPr>
          <w:spacing w:val="-2"/>
        </w:rPr>
        <w:t>认递延所得税资产及递延所得税负债。与既不是企业合并、发生时也不影响会计利润和应纳税所得额（或</w:t>
      </w:r>
      <w:r>
        <w:rPr>
          <w:spacing w:val="-42"/>
        </w:rPr>
        <w:t> </w:t>
      </w:r>
      <w:r>
        <w:rPr>
          <w:spacing w:val="-42"/>
        </w:rPr>
      </w:r>
      <w:r>
        <w:rPr>
          <w:spacing w:val="-2"/>
        </w:rPr>
        <w:t>可抵扣亏损）的交易中产生的资产或负债的初始确认有关的可抵扣暂时性差异，不予确认有关的递延所得</w:t>
      </w:r>
      <w:r>
        <w:rPr>
          <w:spacing w:val="-43"/>
        </w:rPr>
        <w:t> </w:t>
      </w:r>
      <w:r>
        <w:rPr>
          <w:spacing w:val="-43"/>
        </w:rPr>
      </w:r>
      <w:r>
        <w:rPr>
          <w:spacing w:val="-2"/>
        </w:rPr>
        <w:t>税资产。此外，对与子公司、联营企业及合营企业投资相关的可抵扣暂时性差异，如果暂时性差异在可预</w:t>
      </w:r>
      <w:r>
        <w:rPr>
          <w:spacing w:val="-48"/>
        </w:rPr>
        <w:t> </w:t>
      </w:r>
      <w:r>
        <w:rPr>
          <w:spacing w:val="-48"/>
        </w:rPr>
      </w:r>
      <w:r>
        <w:rPr>
          <w:spacing w:val="-2"/>
        </w:rPr>
        <w:t>见的未来不是很可能转回，或者未来不是很可能获得用来抵扣可抵扣暂时性差异的应纳税所得额，不予确</w:t>
      </w:r>
      <w:r>
        <w:rPr>
          <w:spacing w:val="-42"/>
        </w:rPr>
        <w:t> </w:t>
      </w:r>
      <w:r>
        <w:rPr>
          <w:spacing w:val="-42"/>
        </w:rPr>
      </w:r>
      <w:r>
        <w:rPr>
          <w:spacing w:val="-2"/>
        </w:rPr>
        <w:t>认有关的递延所得税资产。除上述例外情况，本公司以很可能取得用来抵扣可抵扣暂时性差异的应纳税所</w:t>
      </w:r>
    </w:p>
    <w:p>
      <w:pPr>
        <w:spacing w:after="0" w:line="273" w:lineRule="auto"/>
        <w:jc w:val="both"/>
        <w:sectPr>
          <w:footerReference w:type="default" r:id="rId24"/>
          <w:pgSz w:w="11910" w:h="16840"/>
          <w:pgMar w:footer="979" w:header="747" w:top="1060" w:bottom="1160" w:left="980" w:right="980"/>
          <w:pgNumType w:start="100"/>
        </w:sectPr>
      </w:pPr>
    </w:p>
    <w:p>
      <w:pPr>
        <w:spacing w:line="240" w:lineRule="auto" w:before="10"/>
        <w:rPr>
          <w:rFonts w:ascii="宋体" w:hAnsi="宋体" w:cs="宋体" w:eastAsia="宋体" w:hint="default"/>
          <w:sz w:val="24"/>
          <w:szCs w:val="24"/>
        </w:rPr>
      </w:pPr>
    </w:p>
    <w:p>
      <w:pPr>
        <w:pStyle w:val="BodyText"/>
        <w:spacing w:line="273" w:lineRule="auto" w:before="36"/>
        <w:ind w:right="145"/>
        <w:jc w:val="both"/>
      </w:pPr>
      <w:r>
        <w:rPr>
          <w:spacing w:val="-2"/>
        </w:rPr>
        <w:t>得额为限，确认其他可抵扣暂时性差异产生的递延所得税资产。对于能够结转以后年度的可抵扣亏损和税</w:t>
      </w:r>
      <w:r>
        <w:rPr>
          <w:spacing w:val="-42"/>
        </w:rPr>
        <w:t> </w:t>
      </w:r>
      <w:r>
        <w:rPr>
          <w:spacing w:val="-42"/>
        </w:rPr>
      </w:r>
      <w:r>
        <w:rPr>
          <w:spacing w:val="-2"/>
        </w:rPr>
        <w:t>款抵减，以很可能获得用来抵扣可抵扣亏损和税款抵减的未来应纳税所得额为限，确认相应的递延所得税</w:t>
      </w:r>
      <w:r>
        <w:rPr>
          <w:spacing w:val="-43"/>
        </w:rPr>
        <w:t> </w:t>
      </w:r>
      <w:r>
        <w:rPr>
          <w:spacing w:val="-43"/>
        </w:rPr>
      </w:r>
      <w:r>
        <w:rPr/>
        <w:t>资产。</w:t>
      </w:r>
    </w:p>
    <w:p>
      <w:pPr>
        <w:spacing w:line="240" w:lineRule="auto" w:before="9"/>
        <w:rPr>
          <w:rFonts w:ascii="宋体" w:hAnsi="宋体" w:cs="宋体" w:eastAsia="宋体" w:hint="default"/>
          <w:sz w:val="23"/>
          <w:szCs w:val="23"/>
        </w:rPr>
      </w:pPr>
    </w:p>
    <w:p>
      <w:pPr>
        <w:pStyle w:val="BodyText"/>
        <w:spacing w:line="240" w:lineRule="auto"/>
        <w:ind w:right="0"/>
        <w:jc w:val="both"/>
      </w:pPr>
      <w:r>
        <w:rPr/>
        <w:t>（2）确认递延所得税负债的依据</w:t>
      </w:r>
    </w:p>
    <w:p>
      <w:pPr>
        <w:spacing w:line="240" w:lineRule="auto" w:before="8"/>
        <w:rPr>
          <w:rFonts w:ascii="宋体" w:hAnsi="宋体" w:cs="宋体" w:eastAsia="宋体" w:hint="default"/>
          <w:sz w:val="25"/>
          <w:szCs w:val="25"/>
        </w:rPr>
      </w:pPr>
    </w:p>
    <w:p>
      <w:pPr>
        <w:pStyle w:val="BodyText"/>
        <w:spacing w:line="273" w:lineRule="auto"/>
        <w:ind w:right="123"/>
        <w:jc w:val="both"/>
      </w:pPr>
      <w:r>
        <w:rPr>
          <w:spacing w:val="-2"/>
        </w:rPr>
        <w:t>与商誉的初始确认有关，以及与既不是企业合并、发生时也不影响会计利润和应纳税所得额（或可抵扣亏</w:t>
      </w:r>
      <w:r>
        <w:rPr>
          <w:spacing w:val="-44"/>
        </w:rPr>
        <w:t> </w:t>
      </w:r>
      <w:r>
        <w:rPr>
          <w:spacing w:val="-44"/>
        </w:rPr>
      </w:r>
      <w:r>
        <w:rPr>
          <w:spacing w:val="-2"/>
        </w:rPr>
        <w:t>损）的交易中产生的资产或负债的初始确认有关的应纳税暂时性差异，不予确认有关的递延所得税负债。</w:t>
      </w:r>
      <w:r>
        <w:rPr>
          <w:spacing w:val="-22"/>
        </w:rPr>
        <w:t> </w:t>
      </w:r>
      <w:r>
        <w:rPr>
          <w:spacing w:val="-22"/>
        </w:rPr>
      </w:r>
      <w:r>
        <w:rPr>
          <w:spacing w:val="-2"/>
        </w:rPr>
        <w:t>此外，对与子公司、联营企业及合营企业投资相关的应纳税暂时性差异，如果本公司能够控制暂时性差异</w:t>
      </w:r>
      <w:r>
        <w:rPr>
          <w:spacing w:val="-45"/>
        </w:rPr>
        <w:t> </w:t>
      </w:r>
      <w:r>
        <w:rPr>
          <w:spacing w:val="-45"/>
        </w:rPr>
      </w:r>
      <w:r>
        <w:rPr>
          <w:spacing w:val="-2"/>
        </w:rPr>
        <w:t>转回的时间，而且该暂时性差异在可预见的未来很可能不会转回，也不予确认有关的递延所得税负债。除</w:t>
      </w:r>
      <w:r>
        <w:rPr>
          <w:spacing w:val="-43"/>
        </w:rPr>
        <w:t> </w:t>
      </w:r>
      <w:r>
        <w:rPr>
          <w:spacing w:val="-43"/>
        </w:rPr>
      </w:r>
      <w:r>
        <w:rPr/>
        <w:t>上述例外情况，本公司确认其他所有应纳税暂时性差异产生的递延所得税负债。</w:t>
      </w:r>
    </w:p>
    <w:p>
      <w:pPr>
        <w:spacing w:line="240" w:lineRule="auto" w:before="7"/>
        <w:rPr>
          <w:rFonts w:ascii="宋体" w:hAnsi="宋体" w:cs="宋体" w:eastAsia="宋体" w:hint="default"/>
          <w:sz w:val="23"/>
          <w:szCs w:val="23"/>
        </w:rPr>
      </w:pPr>
    </w:p>
    <w:p>
      <w:pPr>
        <w:pStyle w:val="BodyText"/>
        <w:spacing w:line="240" w:lineRule="auto"/>
        <w:ind w:right="0"/>
        <w:jc w:val="both"/>
      </w:pPr>
      <w:r>
        <w:rPr/>
        <w:t>31、租赁</w:t>
      </w:r>
    </w:p>
    <w:p>
      <w:pPr>
        <w:spacing w:line="240" w:lineRule="auto" w:before="12"/>
        <w:rPr>
          <w:rFonts w:ascii="宋体" w:hAnsi="宋体" w:cs="宋体" w:eastAsia="宋体" w:hint="default"/>
          <w:sz w:val="25"/>
          <w:szCs w:val="25"/>
        </w:rPr>
      </w:pPr>
    </w:p>
    <w:p>
      <w:pPr>
        <w:pStyle w:val="BodyText"/>
        <w:spacing w:line="240" w:lineRule="auto"/>
        <w:ind w:right="0"/>
        <w:jc w:val="both"/>
      </w:pPr>
      <w:r>
        <w:rPr/>
        <w:t>（1）经营租赁的会计处理方法</w:t>
      </w:r>
    </w:p>
    <w:p>
      <w:pPr>
        <w:spacing w:line="240" w:lineRule="auto" w:before="10"/>
        <w:rPr>
          <w:rFonts w:ascii="宋体" w:hAnsi="宋体" w:cs="宋体" w:eastAsia="宋体" w:hint="default"/>
          <w:sz w:val="25"/>
          <w:szCs w:val="25"/>
        </w:rPr>
      </w:pPr>
    </w:p>
    <w:p>
      <w:pPr>
        <w:pStyle w:val="BodyText"/>
        <w:spacing w:line="273" w:lineRule="auto"/>
        <w:ind w:right="145" w:firstLine="314"/>
        <w:jc w:val="both"/>
      </w:pPr>
      <w:r>
        <w:rPr>
          <w:spacing w:val="-2"/>
        </w:rPr>
        <w:t>（1）本公司作为承租人记录经营租赁业务经营租赁的租金支出在租赁期内的各个期间按直线法计入相</w:t>
      </w:r>
      <w:r>
        <w:rPr>
          <w:w w:val="100"/>
        </w:rPr>
        <w:t> </w:t>
      </w:r>
      <w:r>
        <w:rPr/>
        <w:t>关资产成本或当期损益。初始直接费用计入当期损益。或有租金于实际发生时计入当期损益。</w:t>
      </w:r>
    </w:p>
    <w:p>
      <w:pPr>
        <w:spacing w:line="240" w:lineRule="auto" w:before="1"/>
        <w:rPr>
          <w:rFonts w:ascii="宋体" w:hAnsi="宋体" w:cs="宋体" w:eastAsia="宋体" w:hint="default"/>
          <w:sz w:val="17"/>
          <w:szCs w:val="17"/>
        </w:rPr>
      </w:pPr>
    </w:p>
    <w:p>
      <w:pPr>
        <w:pStyle w:val="BodyText"/>
        <w:spacing w:line="273" w:lineRule="auto"/>
        <w:ind w:right="145" w:firstLine="314"/>
        <w:jc w:val="both"/>
      </w:pPr>
      <w:r>
        <w:rPr/>
        <w:t>（2）本公司作为出租人记录经营租赁业务</w:t>
      </w:r>
      <w:r>
        <w:rPr>
          <w:spacing w:val="71"/>
        </w:rPr>
        <w:t> </w:t>
      </w:r>
      <w:r>
        <w:rPr/>
        <w:t>经营租赁的租金收入在租赁期内的各个期间按直线法确认</w:t>
      </w:r>
      <w:r>
        <w:rPr>
          <w:w w:val="100"/>
        </w:rPr>
        <w:t> </w:t>
      </w:r>
      <w:r>
        <w:rPr>
          <w:spacing w:val="-2"/>
        </w:rPr>
        <w:t>为当期损益。对金额较大的初始直接费用于发生时予以资本化，在整个租赁期间内按照与确认租金收入相</w:t>
      </w:r>
      <w:r>
        <w:rPr>
          <w:spacing w:val="-42"/>
        </w:rPr>
        <w:t> </w:t>
      </w:r>
      <w:r>
        <w:rPr>
          <w:spacing w:val="-42"/>
        </w:rPr>
      </w:r>
      <w:r>
        <w:rPr>
          <w:spacing w:val="-2"/>
        </w:rPr>
        <w:t>同的基础分期计入当期损益；其他金额较小的初始直接费用于发生时计入当期损益。或有租金于实际发生</w:t>
      </w:r>
      <w:r>
        <w:rPr>
          <w:spacing w:val="-43"/>
        </w:rPr>
        <w:t> </w:t>
      </w:r>
      <w:r>
        <w:rPr>
          <w:spacing w:val="-43"/>
        </w:rPr>
      </w:r>
      <w:r>
        <w:rPr/>
        <w:t>时计入当期损益。</w:t>
      </w:r>
    </w:p>
    <w:p>
      <w:pPr>
        <w:spacing w:line="240" w:lineRule="auto" w:before="7"/>
        <w:rPr>
          <w:rFonts w:ascii="宋体" w:hAnsi="宋体" w:cs="宋体" w:eastAsia="宋体" w:hint="default"/>
          <w:sz w:val="23"/>
          <w:szCs w:val="23"/>
        </w:rPr>
      </w:pPr>
    </w:p>
    <w:p>
      <w:pPr>
        <w:pStyle w:val="BodyText"/>
        <w:spacing w:line="535" w:lineRule="auto"/>
        <w:ind w:right="6346"/>
        <w:jc w:val="left"/>
      </w:pPr>
      <w:r>
        <w:rPr/>
        <w:t>（2）融资租赁的会计处理方法</w:t>
      </w:r>
      <w:r>
        <w:rPr>
          <w:spacing w:val="-95"/>
        </w:rPr>
        <w:t> </w:t>
      </w:r>
      <w:r>
        <w:rPr>
          <w:spacing w:val="-95"/>
        </w:rPr>
      </w:r>
      <w:r>
        <w:rPr/>
        <w:t>不适用</w:t>
      </w:r>
      <w:r>
        <w:rPr>
          <w:spacing w:val="-102"/>
        </w:rPr>
        <w:t> </w:t>
      </w:r>
      <w:r>
        <w:rPr/>
        <w:t>32、其他重要的会计政策和会计估计</w:t>
      </w:r>
      <w:r>
        <w:rPr>
          <w:spacing w:val="-89"/>
        </w:rPr>
        <w:t> </w:t>
      </w:r>
      <w:r>
        <w:rPr>
          <w:spacing w:val="-89"/>
        </w:rPr>
      </w:r>
      <w:r>
        <w:rPr/>
        <w:t>不适用</w:t>
      </w:r>
      <w:r>
        <w:rPr>
          <w:spacing w:val="-102"/>
        </w:rPr>
        <w:t> </w:t>
      </w:r>
      <w:r>
        <w:rPr/>
        <w:t>33、重要会计政策和会计估计变更</w:t>
      </w:r>
    </w:p>
    <w:p>
      <w:pPr>
        <w:pStyle w:val="BodyText"/>
        <w:spacing w:line="240" w:lineRule="auto" w:before="81"/>
        <w:ind w:right="0"/>
        <w:jc w:val="both"/>
      </w:pPr>
      <w:r>
        <w:rPr/>
        <w:t>（1）重要会计政策变更</w:t>
      </w:r>
    </w:p>
    <w:p>
      <w:pPr>
        <w:spacing w:line="240" w:lineRule="auto" w:before="10"/>
        <w:rPr>
          <w:rFonts w:ascii="宋体" w:hAnsi="宋体" w:cs="宋体" w:eastAsia="宋体" w:hint="default"/>
          <w:sz w:val="25"/>
          <w:szCs w:val="25"/>
        </w:rPr>
      </w:pPr>
    </w:p>
    <w:p>
      <w:pPr>
        <w:pStyle w:val="BodyText"/>
        <w:spacing w:line="240" w:lineRule="auto"/>
        <w:ind w:right="0"/>
        <w:jc w:val="both"/>
      </w:pP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2"/>
        <w:gridCol w:w="3187"/>
        <w:gridCol w:w="3190"/>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2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9"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号的要求：</w:t>
            </w:r>
          </w:p>
        </w:tc>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pacing w:val="-3"/>
                <w:sz w:val="21"/>
                <w:szCs w:val="21"/>
              </w:rPr>
              <w:t>鸿博股份有限公司（以下简称“公</w:t>
            </w: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A、对被投资单位不具有控制、共</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于</w:t>
            </w:r>
            <w:r>
              <w:rPr>
                <w:rFonts w:ascii="宋体" w:hAnsi="宋体" w:cs="宋体" w:eastAsia="宋体" w:hint="default"/>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15</w:t>
            </w:r>
            <w:r>
              <w:rPr>
                <w:rFonts w:ascii="宋体" w:hAnsi="宋体" w:cs="宋体" w:eastAsia="宋体"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z w:val="21"/>
                <w:szCs w:val="21"/>
              </w:rPr>
              <w:t> </w:t>
            </w:r>
            <w:r>
              <w:rPr>
                <w:rFonts w:ascii="宋体" w:hAnsi="宋体" w:cs="宋体" w:eastAsia="宋体" w:hint="default"/>
                <w:w w:val="100"/>
                <w:sz w:val="21"/>
                <w:szCs w:val="21"/>
              </w:rPr>
              <w:t>3</w:t>
            </w:r>
            <w:r>
              <w:rPr>
                <w:rFonts w:ascii="宋体" w:hAnsi="宋体" w:cs="宋体" w:eastAsia="宋体"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 </w:t>
            </w:r>
            <w:r>
              <w:rPr>
                <w:rFonts w:ascii="宋体" w:hAnsi="宋体" w:cs="宋体" w:eastAsia="宋体" w:hint="default"/>
                <w:w w:val="100"/>
                <w:sz w:val="21"/>
                <w:szCs w:val="21"/>
              </w:rPr>
              <w:t>2</w:t>
            </w:r>
            <w:r>
              <w:rPr>
                <w:rFonts w:ascii="宋体" w:hAnsi="宋体" w:cs="宋体" w:eastAsia="宋体" w:hint="default"/>
                <w:spacing w:val="-5"/>
                <w:sz w:val="21"/>
                <w:szCs w:val="21"/>
              </w:rPr>
              <w:t> </w:t>
            </w:r>
            <w:r>
              <w:rPr>
                <w:rFonts w:ascii="宋体" w:hAnsi="宋体" w:cs="宋体" w:eastAsia="宋体" w:hint="default"/>
                <w:w w:val="100"/>
                <w:sz w:val="21"/>
                <w:szCs w:val="21"/>
              </w:rPr>
              <w:t>日召开</w:t>
            </w: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同控制或重大影响，并且在活跃市</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了第三届董事会 2015</w:t>
            </w:r>
            <w:r>
              <w:rPr>
                <w:rFonts w:ascii="宋体" w:hAnsi="宋体" w:cs="宋体" w:eastAsia="宋体" w:hint="default"/>
                <w:spacing w:val="1"/>
                <w:sz w:val="21"/>
                <w:szCs w:val="21"/>
              </w:rPr>
              <w:t> </w:t>
            </w:r>
            <w:r>
              <w:rPr>
                <w:rFonts w:ascii="宋体" w:hAnsi="宋体" w:cs="宋体" w:eastAsia="宋体" w:hint="default"/>
                <w:sz w:val="21"/>
                <w:szCs w:val="21"/>
              </w:rPr>
              <w:t>年第一次</w:t>
            </w: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场中没有报价、公允价值不能可靠</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临时会议和第三届监事会</w:t>
            </w:r>
            <w:r>
              <w:rPr>
                <w:rFonts w:ascii="宋体" w:hAnsi="宋体" w:cs="宋体" w:eastAsia="宋体" w:hint="default"/>
                <w:spacing w:val="-2"/>
                <w:sz w:val="21"/>
                <w:szCs w:val="21"/>
              </w:rPr>
              <w:t> </w:t>
            </w:r>
            <w:r>
              <w:rPr>
                <w:rFonts w:ascii="宋体" w:hAnsi="宋体" w:cs="宋体" w:eastAsia="宋体" w:hint="default"/>
                <w:sz w:val="21"/>
                <w:szCs w:val="21"/>
              </w:rPr>
              <w:t>2015</w:t>
            </w: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计量的权益性投资，按《企业会计</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年第一次临时会议，审议通过了</w:t>
            </w:r>
          </w:p>
        </w:tc>
        <w:tc>
          <w:tcPr>
            <w:tcW w:w="3190" w:type="dxa"/>
            <w:vMerge/>
            <w:tcBorders>
              <w:left w:val="single" w:sz="4" w:space="0" w:color="000000"/>
              <w:right w:val="single" w:sz="4" w:space="0" w:color="000000"/>
            </w:tcBorders>
          </w:tcPr>
          <w:p>
            <w:pPr/>
          </w:p>
        </w:tc>
      </w:tr>
      <w:tr>
        <w:trPr>
          <w:trHeight w:val="346"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准则第</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号——金融工具确认和</w:t>
            </w:r>
          </w:p>
        </w:tc>
        <w:tc>
          <w:tcPr>
            <w:tcW w:w="3187"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《关于会计政策变更的议案》</w:t>
            </w: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2"/>
        <w:gridCol w:w="247"/>
        <w:gridCol w:w="2011"/>
        <w:gridCol w:w="929"/>
        <w:gridCol w:w="1610"/>
        <w:gridCol w:w="1579"/>
        <w:gridCol w:w="842"/>
      </w:tblGrid>
      <w:tr>
        <w:trPr>
          <w:trHeight w:val="674"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
              <w:jc w:val="left"/>
              <w:rPr>
                <w:rFonts w:ascii="宋体" w:hAnsi="宋体" w:cs="宋体" w:eastAsia="宋体" w:hint="default"/>
                <w:sz w:val="21"/>
                <w:szCs w:val="21"/>
              </w:rPr>
            </w:pPr>
            <w:r>
              <w:rPr>
                <w:rFonts w:ascii="宋体" w:hAnsi="宋体" w:cs="宋体" w:eastAsia="宋体" w:hint="default"/>
                <w:spacing w:val="-3"/>
                <w:sz w:val="21"/>
                <w:szCs w:val="21"/>
              </w:rPr>
              <w:t>计量》进行处理。本公司对上述会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计政策变更采用追溯调整法处理。</w:t>
            </w:r>
          </w:p>
        </w:tc>
        <w:tc>
          <w:tcPr>
            <w:tcW w:w="3187" w:type="dxa"/>
            <w:gridSpan w:val="3"/>
            <w:tcBorders>
              <w:top w:val="single" w:sz="4" w:space="0" w:color="000000"/>
              <w:left w:val="single" w:sz="4" w:space="0" w:color="000000"/>
              <w:bottom w:val="single" w:sz="4" w:space="0" w:color="000000"/>
              <w:right w:val="single" w:sz="4" w:space="0" w:color="000000"/>
            </w:tcBorders>
          </w:tcPr>
          <w:p>
            <w:pPr/>
          </w:p>
        </w:tc>
        <w:tc>
          <w:tcPr>
            <w:tcW w:w="3190" w:type="dxa"/>
            <w:gridSpan w:val="2"/>
            <w:tcBorders>
              <w:top w:val="single" w:sz="4" w:space="0" w:color="000000"/>
              <w:left w:val="single" w:sz="4" w:space="0" w:color="000000"/>
              <w:bottom w:val="single" w:sz="4" w:space="0" w:color="000000"/>
              <w:right w:val="single" w:sz="4" w:space="0" w:color="000000"/>
            </w:tcBorders>
          </w:tcPr>
          <w:p>
            <w:pPr/>
          </w:p>
        </w:tc>
        <w:tc>
          <w:tcPr>
            <w:tcW w:w="842" w:type="dxa"/>
            <w:tcBorders>
              <w:top w:val="nil" w:sz="6" w:space="0" w:color="auto"/>
              <w:left w:val="single" w:sz="4" w:space="0" w:color="000000"/>
              <w:bottom w:val="nil" w:sz="6" w:space="0" w:color="auto"/>
              <w:right w:val="nil" w:sz="6" w:space="0" w:color="auto"/>
            </w:tcBorders>
          </w:tcPr>
          <w:p>
            <w:pPr/>
          </w:p>
        </w:tc>
      </w:tr>
      <w:tr>
        <w:trPr>
          <w:trHeight w:val="334" w:hRule="exact"/>
        </w:trPr>
        <w:tc>
          <w:tcPr>
            <w:tcW w:w="5450" w:type="dxa"/>
            <w:gridSpan w:val="3"/>
            <w:tcBorders>
              <w:top w:val="single" w:sz="4" w:space="0" w:color="000000"/>
              <w:left w:val="nil" w:sz="6" w:space="0" w:color="auto"/>
              <w:bottom w:val="single" w:sz="6" w:space="0" w:color="000000"/>
              <w:right w:val="single" w:sz="6"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合并报表具体调整事项如下：</w:t>
            </w:r>
          </w:p>
        </w:tc>
        <w:tc>
          <w:tcPr>
            <w:tcW w:w="2539" w:type="dxa"/>
            <w:gridSpan w:val="2"/>
            <w:tcBorders>
              <w:top w:val="single" w:sz="4" w:space="0" w:color="000000"/>
              <w:left w:val="single" w:sz="6" w:space="0" w:color="000000"/>
              <w:bottom w:val="single" w:sz="6" w:space="0" w:color="000000"/>
              <w:right w:val="single" w:sz="6" w:space="0" w:color="000000"/>
            </w:tcBorders>
          </w:tcPr>
          <w:p>
            <w:pPr/>
          </w:p>
        </w:tc>
        <w:tc>
          <w:tcPr>
            <w:tcW w:w="2422" w:type="dxa"/>
            <w:gridSpan w:val="2"/>
            <w:tcBorders>
              <w:top w:val="nil" w:sz="6" w:space="0" w:color="auto"/>
              <w:left w:val="single" w:sz="6" w:space="0" w:color="000000"/>
              <w:bottom w:val="single" w:sz="6" w:space="0" w:color="000000"/>
              <w:right w:val="nil" w:sz="6" w:space="0" w:color="auto"/>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单位：元</w:t>
            </w:r>
          </w:p>
        </w:tc>
      </w:tr>
      <w:tr>
        <w:trPr>
          <w:trHeight w:val="338" w:hRule="exact"/>
        </w:trPr>
        <w:tc>
          <w:tcPr>
            <w:tcW w:w="3439" w:type="dxa"/>
            <w:gridSpan w:val="2"/>
            <w:tcBorders>
              <w:top w:val="single" w:sz="6" w:space="0" w:color="000000"/>
              <w:left w:val="nil" w:sz="6" w:space="0" w:color="auto"/>
              <w:bottom w:val="single" w:sz="6" w:space="0" w:color="000000"/>
              <w:right w:val="single" w:sz="6"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2013年12月31日报表项目</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会计政策变更前余额</w:t>
            </w:r>
          </w:p>
        </w:tc>
        <w:tc>
          <w:tcPr>
            <w:tcW w:w="25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因会计政策变更调整金额</w:t>
            </w:r>
          </w:p>
        </w:tc>
        <w:tc>
          <w:tcPr>
            <w:tcW w:w="2422" w:type="dxa"/>
            <w:gridSpan w:val="2"/>
            <w:tcBorders>
              <w:top w:val="single" w:sz="6" w:space="0" w:color="000000"/>
              <w:left w:val="single" w:sz="6" w:space="0" w:color="000000"/>
              <w:bottom w:val="single" w:sz="6"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会计政策变更后余额</w:t>
            </w:r>
          </w:p>
        </w:tc>
      </w:tr>
      <w:tr>
        <w:trPr>
          <w:trHeight w:val="336" w:hRule="exact"/>
        </w:trPr>
        <w:tc>
          <w:tcPr>
            <w:tcW w:w="3439" w:type="dxa"/>
            <w:gridSpan w:val="2"/>
            <w:tcBorders>
              <w:top w:val="single" w:sz="6" w:space="0" w:color="000000"/>
              <w:left w:val="nil" w:sz="6" w:space="0" w:color="auto"/>
              <w:bottom w:val="single" w:sz="6" w:space="0" w:color="000000"/>
              <w:right w:val="single" w:sz="6"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0</w:t>
            </w:r>
          </w:p>
        </w:tc>
        <w:tc>
          <w:tcPr>
            <w:tcW w:w="25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51" w:right="-1"/>
              <w:jc w:val="left"/>
              <w:rPr>
                <w:rFonts w:ascii="宋体" w:hAnsi="宋体" w:cs="宋体" w:eastAsia="宋体" w:hint="default"/>
                <w:sz w:val="21"/>
                <w:szCs w:val="21"/>
              </w:rPr>
            </w:pPr>
            <w:r>
              <w:rPr>
                <w:rFonts w:ascii="宋体"/>
                <w:sz w:val="21"/>
              </w:rPr>
              <w:t>116,060,000.00</w:t>
            </w:r>
          </w:p>
        </w:tc>
        <w:tc>
          <w:tcPr>
            <w:tcW w:w="2422" w:type="dxa"/>
            <w:gridSpan w:val="2"/>
            <w:tcBorders>
              <w:top w:val="single" w:sz="6" w:space="0" w:color="000000"/>
              <w:left w:val="single" w:sz="6" w:space="0" w:color="000000"/>
              <w:bottom w:val="single" w:sz="6" w:space="0" w:color="000000"/>
              <w:right w:val="nil" w:sz="6" w:space="0" w:color="auto"/>
            </w:tcBorders>
          </w:tcPr>
          <w:p>
            <w:pPr>
              <w:pStyle w:val="TableParagraph"/>
              <w:spacing w:line="262" w:lineRule="exact"/>
              <w:ind w:left="1053" w:right="-8"/>
              <w:jc w:val="left"/>
              <w:rPr>
                <w:rFonts w:ascii="宋体" w:hAnsi="宋体" w:cs="宋体" w:eastAsia="宋体" w:hint="default"/>
                <w:sz w:val="21"/>
                <w:szCs w:val="21"/>
              </w:rPr>
            </w:pPr>
            <w:r>
              <w:rPr>
                <w:rFonts w:ascii="宋体"/>
                <w:sz w:val="21"/>
              </w:rPr>
              <w:t>116,060,000.0</w:t>
            </w:r>
          </w:p>
        </w:tc>
      </w:tr>
      <w:tr>
        <w:trPr>
          <w:trHeight w:val="338" w:hRule="exact"/>
        </w:trPr>
        <w:tc>
          <w:tcPr>
            <w:tcW w:w="3439" w:type="dxa"/>
            <w:gridSpan w:val="2"/>
            <w:tcBorders>
              <w:top w:val="single" w:sz="6" w:space="0" w:color="000000"/>
              <w:left w:val="nil" w:sz="6" w:space="0" w:color="auto"/>
              <w:bottom w:val="single" w:sz="6" w:space="0" w:color="000000"/>
              <w:right w:val="single" w:sz="6"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116,060,000.00</w:t>
            </w:r>
          </w:p>
        </w:tc>
        <w:tc>
          <w:tcPr>
            <w:tcW w:w="25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48" w:right="-1"/>
              <w:jc w:val="left"/>
              <w:rPr>
                <w:rFonts w:ascii="宋体" w:hAnsi="宋体" w:cs="宋体" w:eastAsia="宋体" w:hint="default"/>
                <w:sz w:val="21"/>
                <w:szCs w:val="21"/>
              </w:rPr>
            </w:pPr>
            <w:r>
              <w:rPr>
                <w:rFonts w:ascii="宋体"/>
                <w:sz w:val="21"/>
              </w:rPr>
              <w:t>-116,060,000.00</w:t>
            </w:r>
          </w:p>
        </w:tc>
        <w:tc>
          <w:tcPr>
            <w:tcW w:w="2422" w:type="dxa"/>
            <w:gridSpan w:val="2"/>
            <w:tcBorders>
              <w:top w:val="single" w:sz="6" w:space="0" w:color="000000"/>
              <w:left w:val="single" w:sz="6" w:space="0" w:color="000000"/>
              <w:bottom w:val="single" w:sz="6" w:space="0" w:color="000000"/>
              <w:right w:val="nil" w:sz="6" w:space="0" w:color="auto"/>
            </w:tcBorders>
          </w:tcPr>
          <w:p>
            <w:pPr/>
          </w:p>
        </w:tc>
      </w:tr>
    </w:tbl>
    <w:p>
      <w:pPr>
        <w:spacing w:line="240" w:lineRule="auto" w:before="11"/>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3454"/>
        <w:gridCol w:w="2011"/>
        <w:gridCol w:w="2539"/>
        <w:gridCol w:w="2422"/>
      </w:tblGrid>
      <w:tr>
        <w:trPr>
          <w:trHeight w:val="650" w:hRule="exact"/>
        </w:trPr>
        <w:tc>
          <w:tcPr>
            <w:tcW w:w="5465" w:type="dxa"/>
            <w:gridSpan w:val="2"/>
            <w:tcBorders>
              <w:top w:val="nil" w:sz="6" w:space="0" w:color="auto"/>
              <w:left w:val="nil" w:sz="6" w:space="0" w:color="auto"/>
              <w:bottom w:val="single" w:sz="6" w:space="0" w:color="000000"/>
              <w:right w:val="single" w:sz="6" w:space="0" w:color="000000"/>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母公司报表具体调整事项如下：</w:t>
            </w:r>
          </w:p>
        </w:tc>
        <w:tc>
          <w:tcPr>
            <w:tcW w:w="2539" w:type="dxa"/>
            <w:tcBorders>
              <w:top w:val="nil" w:sz="6" w:space="0" w:color="auto"/>
              <w:left w:val="single" w:sz="6" w:space="0" w:color="000000"/>
              <w:bottom w:val="single" w:sz="6" w:space="0" w:color="000000"/>
              <w:right w:val="single" w:sz="6" w:space="0" w:color="000000"/>
            </w:tcBorders>
          </w:tcPr>
          <w:p>
            <w:pPr/>
          </w:p>
        </w:tc>
        <w:tc>
          <w:tcPr>
            <w:tcW w:w="2422" w:type="dxa"/>
            <w:tcBorders>
              <w:top w:val="nil" w:sz="6" w:space="0" w:color="auto"/>
              <w:left w:val="single" w:sz="6" w:space="0" w:color="000000"/>
              <w:bottom w:val="single" w:sz="6" w:space="0" w:color="000000"/>
              <w:right w:val="nil" w:sz="6" w:space="0" w:color="auto"/>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单位：元</w:t>
            </w:r>
          </w:p>
        </w:tc>
      </w:tr>
      <w:tr>
        <w:trPr>
          <w:trHeight w:val="336" w:hRule="exact"/>
        </w:trPr>
        <w:tc>
          <w:tcPr>
            <w:tcW w:w="34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2013年12月31日报表项目</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会计政策变更前余额</w:t>
            </w:r>
          </w:p>
        </w:tc>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因会计政策变更调整金额</w:t>
            </w:r>
          </w:p>
        </w:tc>
        <w:tc>
          <w:tcPr>
            <w:tcW w:w="242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会计政策变更后余额</w:t>
            </w:r>
          </w:p>
        </w:tc>
      </w:tr>
      <w:tr>
        <w:trPr>
          <w:trHeight w:val="338" w:hRule="exact"/>
        </w:trPr>
        <w:tc>
          <w:tcPr>
            <w:tcW w:w="3454"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0</w:t>
            </w:r>
          </w:p>
        </w:tc>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82,560,000.00</w:t>
            </w:r>
          </w:p>
        </w:tc>
        <w:tc>
          <w:tcPr>
            <w:tcW w:w="2422"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82,560,000.0</w:t>
            </w:r>
          </w:p>
        </w:tc>
      </w:tr>
      <w:tr>
        <w:trPr>
          <w:trHeight w:val="336" w:hRule="exact"/>
        </w:trPr>
        <w:tc>
          <w:tcPr>
            <w:tcW w:w="3454"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651,435,567.46</w:t>
            </w:r>
          </w:p>
        </w:tc>
        <w:tc>
          <w:tcPr>
            <w:tcW w:w="25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-82,560,000.00</w:t>
            </w:r>
          </w:p>
        </w:tc>
        <w:tc>
          <w:tcPr>
            <w:tcW w:w="2422"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93"/>
              <w:jc w:val="right"/>
              <w:rPr>
                <w:rFonts w:ascii="宋体" w:hAnsi="宋体" w:cs="宋体" w:eastAsia="宋体" w:hint="default"/>
                <w:sz w:val="21"/>
                <w:szCs w:val="21"/>
              </w:rPr>
            </w:pPr>
            <w:r>
              <w:rPr>
                <w:rFonts w:ascii="宋体"/>
                <w:spacing w:val="-1"/>
                <w:sz w:val="21"/>
              </w:rPr>
              <w:t>568,875,567.46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（2）重要会计估计变更</w:t>
      </w:r>
    </w:p>
    <w:p>
      <w:pPr>
        <w:spacing w:line="240" w:lineRule="auto" w:before="12"/>
        <w:rPr>
          <w:rFonts w:ascii="宋体" w:hAnsi="宋体" w:cs="宋体" w:eastAsia="宋体" w:hint="default"/>
          <w:sz w:val="25"/>
          <w:szCs w:val="25"/>
        </w:rPr>
      </w:pPr>
    </w:p>
    <w:p>
      <w:pPr>
        <w:pStyle w:val="BodyText"/>
        <w:spacing w:line="240" w:lineRule="auto"/>
        <w:ind w:right="0"/>
        <w:jc w:val="left"/>
      </w:pPr>
      <w:r>
        <w:rPr/>
        <w:pict>
          <v:shape style="position:absolute;margin-left:170.018265pt;margin-top:54.383686pt;width:125.8pt;height:392.05pt;mso-position-horizontal-relative:page;mso-position-vertical-relative:paragraph;z-index:-88679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0"/>
                    <w:jc w:val="left"/>
                  </w:pPr>
                  <w:r>
                    <w:rPr>
                      <w:w w:val="100"/>
                    </w:rPr>
                    <w:t>、</w:t>
                  </w:r>
                </w:p>
              </w:txbxContent>
            </v:textbox>
            <w10:wrap type="none"/>
          </v:shape>
        </w:pict>
      </w:r>
      <w:r>
        <w:rPr/>
        <w:pict>
          <v:group style="position:absolute;margin-left:176.858261pt;margin-top:54.383686pt;width:118.95pt;height:392.05pt;mso-position-horizontal-relative:page;mso-position-vertical-relative:paragraph;z-index:-886768" coordorigin="3537,1088" coordsize="2379,7841">
            <v:group style="position:absolute;left:3537;top:1088;width:2379;height:7841" coordorigin="3537,1088" coordsize="2379,7841">
              <v:shape style="position:absolute;left:3537;top:1088;width:2379;height:7841" coordorigin="3537,1088" coordsize="2379,7841" path="m3537,1088l5916,1088,5916,8928,3537,8928,3537,1088xe" filled="true" fillcolor="#ffffff" stroked="false">
                <v:path arrowok="t"/>
                <v:fill type="solid"/>
              </v:shape>
            </v:group>
            <v:group style="position:absolute;left:3559;top:4032;width:2333;height:353" coordorigin="3559,4032" coordsize="2333,353">
              <v:shape style="position:absolute;left:3559;top:4032;width:2333;height:353" coordorigin="3559,4032" coordsize="2333,353" path="m3559,4032l5892,4032,5892,4385,3559,4385,3559,4032xe" filled="true" fillcolor="#ffffff" stroked="false">
                <v:path arrowok="t"/>
                <v:fill type="solid"/>
              </v:shape>
            </v:group>
            <v:group style="position:absolute;left:3559;top:4385;width:2333;height:312" coordorigin="3559,4385" coordsize="2333,312">
              <v:shape style="position:absolute;left:3559;top:4385;width:2333;height:312" coordorigin="3559,4385" coordsize="2333,312" path="m3559,4385l5892,4385,5892,4697,3559,4697,3559,4385xe" filled="true" fillcolor="#ffffff" stroked="false">
                <v:path arrowok="t"/>
                <v:fill type="solid"/>
              </v:shape>
            </v:group>
            <v:group style="position:absolute;left:3559;top:4697;width:2333;height:312" coordorigin="3559,4697" coordsize="2333,312">
              <v:shape style="position:absolute;left:3559;top:4697;width:2333;height:312" coordorigin="3559,4697" coordsize="2333,312" path="m3559,4697l5892,4697,5892,5009,3559,5009,3559,4697xe" filled="true" fillcolor="#ffffff" stroked="false">
                <v:path arrowok="t"/>
                <v:fill type="solid"/>
              </v:shape>
            </v:group>
            <v:group style="position:absolute;left:3559;top:5009;width:2333;height:312" coordorigin="3559,5009" coordsize="2333,312">
              <v:shape style="position:absolute;left:3559;top:5009;width:2333;height:312" coordorigin="3559,5009" coordsize="2333,312" path="m3559,5009l5892,5009,5892,5321,3559,5321,3559,5009xe" filled="true" fillcolor="#ffffff" stroked="false">
                <v:path arrowok="t"/>
                <v:fill type="solid"/>
              </v:shape>
            </v:group>
            <v:group style="position:absolute;left:3559;top:5321;width:2333;height:312" coordorigin="3559,5321" coordsize="2333,312">
              <v:shape style="position:absolute;left:3559;top:5321;width:2333;height:312" coordorigin="3559,5321" coordsize="2333,312" path="m3559,5321l5892,5321,5892,5633,3559,5633,3559,5321xe" filled="true" fillcolor="#ffffff" stroked="false">
                <v:path arrowok="t"/>
                <v:fill type="solid"/>
              </v:shape>
            </v:group>
            <v:group style="position:absolute;left:3559;top:5633;width:2333;height:351" coordorigin="3559,5633" coordsize="2333,351">
              <v:shape style="position:absolute;left:3559;top:5633;width:2333;height:351" coordorigin="3559,5633" coordsize="2333,351" path="m3559,5633l5892,5633,5892,5984,3559,5984,3559,5633xe" filled="true" fillcolor="#ffffff" stroked="false">
                <v:path arrowok="t"/>
                <v:fill type="solid"/>
              </v:shape>
            </v:group>
            <w10:wrap type="none"/>
          </v:group>
        </w:pict>
      </w:r>
      <w:r>
        <w:rPr/>
        <w:t>√ 适用 □ 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5"/>
        <w:gridCol w:w="2388"/>
        <w:gridCol w:w="2393"/>
        <w:gridCol w:w="2393"/>
      </w:tblGrid>
      <w:tr>
        <w:trPr>
          <w:trHeight w:val="708"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87" w:right="31" w:hanging="1049"/>
              <w:jc w:val="left"/>
              <w:rPr>
                <w:rFonts w:ascii="宋体" w:hAnsi="宋体" w:cs="宋体" w:eastAsia="宋体" w:hint="default"/>
                <w:sz w:val="21"/>
                <w:szCs w:val="21"/>
              </w:rPr>
            </w:pPr>
            <w:r>
              <w:rPr>
                <w:rFonts w:ascii="宋体" w:hAnsi="宋体" w:cs="宋体" w:eastAsia="宋体" w:hint="default"/>
                <w:spacing w:val="-2"/>
                <w:sz w:val="21"/>
                <w:szCs w:val="21"/>
              </w:rPr>
              <w:t>会计估计变更的内容和原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因</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开始适用的时点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3" w:hRule="exact"/>
        </w:trPr>
        <w:tc>
          <w:tcPr>
            <w:tcW w:w="2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23"/>
              <w:jc w:val="center"/>
              <w:rPr>
                <w:rFonts w:ascii="宋体" w:hAnsi="宋体" w:cs="宋体" w:eastAsia="宋体" w:hint="default"/>
                <w:sz w:val="21"/>
                <w:szCs w:val="21"/>
              </w:rPr>
            </w:pPr>
            <w:r>
              <w:rPr>
                <w:rFonts w:ascii="宋体" w:hAnsi="宋体" w:cs="宋体" w:eastAsia="宋体" w:hint="default"/>
                <w:sz w:val="21"/>
                <w:szCs w:val="21"/>
              </w:rPr>
              <w:t>关于房屋及建筑物：近年</w:t>
            </w:r>
          </w:p>
        </w:tc>
        <w:tc>
          <w:tcPr>
            <w:tcW w:w="2388"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来，随着国家对建筑物质</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center"/>
              <w:rPr>
                <w:rFonts w:ascii="宋体" w:hAnsi="宋体" w:cs="宋体" w:eastAsia="宋体" w:hint="default"/>
                <w:sz w:val="21"/>
                <w:szCs w:val="21"/>
              </w:rPr>
            </w:pPr>
            <w:r>
              <w:rPr>
                <w:rFonts w:ascii="宋体" w:hAnsi="宋体" w:cs="宋体" w:eastAsia="宋体" w:hint="default"/>
                <w:sz w:val="21"/>
                <w:szCs w:val="21"/>
              </w:rPr>
              <w:t>量标准大幅度提高，公司</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新建房屋及建筑物均用了</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center"/>
              <w:rPr>
                <w:rFonts w:ascii="宋体" w:hAnsi="宋体" w:cs="宋体" w:eastAsia="宋体" w:hint="default"/>
                <w:sz w:val="21"/>
                <w:szCs w:val="21"/>
              </w:rPr>
            </w:pPr>
            <w:r>
              <w:rPr>
                <w:rFonts w:ascii="宋体" w:hAnsi="宋体" w:cs="宋体" w:eastAsia="宋体" w:hint="default"/>
                <w:sz w:val="21"/>
                <w:szCs w:val="21"/>
              </w:rPr>
              <w:t>较高的建筑设计和材料使</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用标准，新建房屋及建筑</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物的质量较以前有了大幅</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度的提高，使用寿命明显</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延长；另外因公司生产发</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2184"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展购买或新建的房屋及建</w:t>
            </w:r>
          </w:p>
          <w:p>
            <w:pPr>
              <w:pStyle w:val="TableParagraph"/>
              <w:spacing w:line="273" w:lineRule="auto" w:before="37"/>
              <w:ind w:left="24" w:right="45"/>
              <w:jc w:val="left"/>
              <w:rPr>
                <w:rFonts w:ascii="宋体" w:hAnsi="宋体" w:cs="宋体" w:eastAsia="宋体" w:hint="default"/>
                <w:sz w:val="21"/>
                <w:szCs w:val="21"/>
              </w:rPr>
            </w:pPr>
            <w:r>
              <w:rPr>
                <w:rFonts w:ascii="宋体" w:hAnsi="宋体" w:cs="宋体" w:eastAsia="宋体" w:hint="default"/>
                <w:sz w:val="21"/>
                <w:szCs w:val="21"/>
              </w:rPr>
              <w:t>筑物产权均为 50</w:t>
            </w:r>
            <w:r>
              <w:rPr>
                <w:rFonts w:ascii="宋体" w:hAnsi="宋体" w:cs="宋体" w:eastAsia="宋体" w:hint="default"/>
                <w:spacing w:val="-1"/>
                <w:sz w:val="21"/>
                <w:szCs w:val="21"/>
              </w:rPr>
              <w:t> </w:t>
            </w:r>
            <w:r>
              <w:rPr>
                <w:rFonts w:ascii="宋体" w:hAnsi="宋体" w:cs="宋体" w:eastAsia="宋体" w:hint="default"/>
                <w:sz w:val="21"/>
                <w:szCs w:val="21"/>
              </w:rPr>
              <w:t>年以</w:t>
            </w:r>
            <w:r>
              <w:rPr>
                <w:rFonts w:ascii="宋体" w:hAnsi="宋体" w:cs="宋体" w:eastAsia="宋体" w:hint="default"/>
                <w:w w:val="100"/>
                <w:sz w:val="21"/>
                <w:szCs w:val="21"/>
              </w:rPr>
              <w:t> </w:t>
            </w:r>
            <w:r>
              <w:rPr>
                <w:rFonts w:ascii="宋体" w:hAnsi="宋体" w:cs="宋体" w:eastAsia="宋体" w:hint="default"/>
                <w:spacing w:val="-2"/>
                <w:sz w:val="21"/>
                <w:szCs w:val="21"/>
              </w:rPr>
              <w:t>上，实际可使用年限也远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超过 20 年。为了使公司</w:t>
            </w:r>
            <w:r>
              <w:rPr>
                <w:rFonts w:ascii="宋体" w:hAnsi="宋体" w:cs="宋体" w:eastAsia="宋体" w:hint="default"/>
                <w:w w:val="100"/>
                <w:sz w:val="21"/>
                <w:szCs w:val="21"/>
              </w:rPr>
              <w:t> </w:t>
            </w:r>
            <w:r>
              <w:rPr>
                <w:rFonts w:ascii="宋体" w:hAnsi="宋体" w:cs="宋体" w:eastAsia="宋体" w:hint="default"/>
                <w:spacing w:val="-2"/>
                <w:sz w:val="21"/>
                <w:szCs w:val="21"/>
              </w:rPr>
              <w:t>会计估计更加符合公司新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增房屋及建筑物实际使用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情况，在遵循会计核算谨</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73" w:lineRule="auto" w:before="123"/>
              <w:ind w:left="24" w:right="38"/>
              <w:jc w:val="both"/>
              <w:rPr>
                <w:rFonts w:ascii="宋体" w:hAnsi="宋体" w:cs="宋体" w:eastAsia="宋体" w:hint="default"/>
                <w:sz w:val="21"/>
                <w:szCs w:val="21"/>
              </w:rPr>
            </w:pPr>
            <w:r>
              <w:rPr>
                <w:rFonts w:ascii="宋体" w:hAnsi="宋体" w:cs="宋体" w:eastAsia="宋体" w:hint="default"/>
                <w:sz w:val="21"/>
                <w:szCs w:val="21"/>
              </w:rPr>
              <w:t>2014 年 8 月 26 日召开</w:t>
            </w:r>
            <w:r>
              <w:rPr>
                <w:rFonts w:ascii="宋体" w:hAnsi="宋体" w:cs="宋体" w:eastAsia="宋体" w:hint="default"/>
                <w:w w:val="100"/>
                <w:sz w:val="21"/>
                <w:szCs w:val="21"/>
              </w:rPr>
              <w:t> </w:t>
            </w:r>
            <w:r>
              <w:rPr>
                <w:rFonts w:ascii="宋体" w:hAnsi="宋体" w:cs="宋体" w:eastAsia="宋体" w:hint="default"/>
                <w:spacing w:val="-2"/>
                <w:sz w:val="21"/>
                <w:szCs w:val="21"/>
              </w:rPr>
              <w:t>了第三届董事会第六次会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议和第三届监事会第六次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会议，审议通过了《关于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调整公司部分固定资产折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旧年限的议案》</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center"/>
              <w:rPr>
                <w:rFonts w:ascii="宋体" w:hAnsi="宋体" w:cs="宋体" w:eastAsia="宋体" w:hint="default"/>
                <w:sz w:val="21"/>
                <w:szCs w:val="21"/>
              </w:rPr>
            </w:pPr>
            <w:r>
              <w:rPr>
                <w:rFonts w:ascii="宋体" w:hAnsi="宋体" w:cs="宋体" w:eastAsia="宋体" w:hint="default"/>
                <w:sz w:val="21"/>
                <w:szCs w:val="21"/>
              </w:rPr>
              <w:t>慎性原则的基础上，公司</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需相应调整该部分房屋及</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建筑物折旧年限。</w:t>
            </w:r>
            <w:r>
              <w:rPr>
                <w:rFonts w:ascii="宋体" w:hAnsi="宋体" w:cs="宋体" w:eastAsia="宋体" w:hint="default"/>
                <w:spacing w:val="-76"/>
                <w:sz w:val="21"/>
                <w:szCs w:val="21"/>
              </w:rPr>
              <w:t> </w:t>
            </w:r>
            <w:r>
              <w:rPr>
                <w:rFonts w:ascii="宋体" w:hAnsi="宋体" w:cs="宋体" w:eastAsia="宋体" w:hint="default"/>
                <w:sz w:val="21"/>
                <w:szCs w:val="21"/>
              </w:rPr>
              <w:t>关于机</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3"/>
              <w:jc w:val="center"/>
              <w:rPr>
                <w:rFonts w:ascii="宋体" w:hAnsi="宋体" w:cs="宋体" w:eastAsia="宋体" w:hint="default"/>
                <w:sz w:val="21"/>
                <w:szCs w:val="21"/>
              </w:rPr>
            </w:pPr>
            <w:r>
              <w:rPr>
                <w:rFonts w:ascii="宋体" w:hAnsi="宋体" w:cs="宋体" w:eastAsia="宋体" w:hint="default"/>
                <w:sz w:val="21"/>
                <w:szCs w:val="21"/>
              </w:rPr>
              <w:t>械设备：公司 2012</w:t>
            </w:r>
            <w:r>
              <w:rPr>
                <w:rFonts w:ascii="宋体" w:hAnsi="宋体" w:cs="宋体" w:eastAsia="宋体" w:hint="default"/>
                <w:spacing w:val="1"/>
                <w:sz w:val="21"/>
                <w:szCs w:val="21"/>
              </w:rPr>
              <w:t> </w:t>
            </w:r>
            <w:r>
              <w:rPr>
                <w:rFonts w:ascii="宋体" w:hAnsi="宋体" w:cs="宋体" w:eastAsia="宋体" w:hint="default"/>
                <w:sz w:val="21"/>
                <w:szCs w:val="21"/>
              </w:rPr>
              <w:t>年以</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后已经投产或正在建设的</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募集资金投资项目主要生</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产设备</w:t>
            </w:r>
            <w:r>
              <w:rPr>
                <w:rFonts w:ascii="宋体" w:hAnsi="宋体" w:cs="宋体" w:eastAsia="宋体" w:hint="default"/>
                <w:spacing w:val="1"/>
                <w:sz w:val="21"/>
                <w:szCs w:val="21"/>
              </w:rPr>
              <w:t> </w:t>
            </w:r>
            <w:r>
              <w:rPr>
                <w:rFonts w:ascii="宋体" w:hAnsi="宋体" w:cs="宋体" w:eastAsia="宋体" w:hint="default"/>
                <w:sz w:val="21"/>
                <w:szCs w:val="21"/>
              </w:rPr>
              <w:t>80%以上是进口设</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备，均为目前国际最为先</w:t>
            </w:r>
          </w:p>
        </w:tc>
        <w:tc>
          <w:tcPr>
            <w:tcW w:w="2388"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c>
          <w:tcPr>
            <w:tcW w:w="2393" w:type="dxa"/>
            <w:vMerge/>
            <w:tcBorders>
              <w:left w:val="single" w:sz="4" w:space="0" w:color="000000"/>
              <w:right w:val="single" w:sz="4" w:space="0" w:color="000000"/>
            </w:tcBorders>
          </w:tcPr>
          <w:p>
            <w:pPr/>
          </w:p>
        </w:tc>
      </w:tr>
      <w:tr>
        <w:trPr>
          <w:trHeight w:val="316" w:hRule="exact"/>
        </w:trPr>
        <w:tc>
          <w:tcPr>
            <w:tcW w:w="239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98"/>
              <w:jc w:val="center"/>
              <w:rPr>
                <w:rFonts w:ascii="宋体" w:hAnsi="宋体" w:cs="宋体" w:eastAsia="宋体" w:hint="default"/>
                <w:sz w:val="21"/>
                <w:szCs w:val="21"/>
              </w:rPr>
            </w:pPr>
            <w:r>
              <w:rPr>
                <w:rFonts w:ascii="宋体" w:hAnsi="宋体" w:cs="宋体" w:eastAsia="宋体" w:hint="default"/>
                <w:spacing w:val="-9"/>
                <w:sz w:val="21"/>
                <w:szCs w:val="21"/>
              </w:rPr>
              <w:t>进的技术装备，性能优异</w:t>
            </w:r>
          </w:p>
        </w:tc>
        <w:tc>
          <w:tcPr>
            <w:tcW w:w="2388"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2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5"/>
        <w:gridCol w:w="2388"/>
        <w:gridCol w:w="2393"/>
        <w:gridCol w:w="2393"/>
      </w:tblGrid>
      <w:tr>
        <w:trPr>
          <w:trHeight w:val="318" w:hRule="exact"/>
        </w:trPr>
        <w:tc>
          <w:tcPr>
            <w:tcW w:w="2395"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具有高度自动化、高效率</w:t>
            </w:r>
          </w:p>
        </w:tc>
        <w:tc>
          <w:tcPr>
            <w:tcW w:w="2388" w:type="dxa"/>
            <w:vMerge w:val="restart"/>
            <w:tcBorders>
              <w:top w:val="single" w:sz="4" w:space="0" w:color="000000"/>
              <w:left w:val="single" w:sz="4" w:space="0" w:color="000000"/>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及低能耗等特点，可使用</w:t>
            </w:r>
          </w:p>
        </w:tc>
        <w:tc>
          <w:tcPr>
            <w:tcW w:w="2388"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年限更长另外，经过对公</w:t>
            </w:r>
          </w:p>
        </w:tc>
        <w:tc>
          <w:tcPr>
            <w:tcW w:w="2388"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司现有机械设备进行复</w:t>
            </w:r>
          </w:p>
        </w:tc>
        <w:tc>
          <w:tcPr>
            <w:tcW w:w="2388"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核，同类设备的实际使用</w:t>
            </w:r>
          </w:p>
        </w:tc>
        <w:tc>
          <w:tcPr>
            <w:tcW w:w="2388"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寿命也超过 10</w:t>
            </w:r>
            <w:r>
              <w:rPr>
                <w:rFonts w:ascii="宋体" w:hAnsi="宋体" w:cs="宋体" w:eastAsia="宋体" w:hint="default"/>
                <w:spacing w:val="2"/>
                <w:sz w:val="21"/>
                <w:szCs w:val="21"/>
              </w:rPr>
              <w:t> </w:t>
            </w:r>
            <w:r>
              <w:rPr>
                <w:rFonts w:ascii="宋体" w:hAnsi="宋体" w:cs="宋体" w:eastAsia="宋体" w:hint="default"/>
                <w:sz w:val="21"/>
                <w:szCs w:val="21"/>
              </w:rPr>
              <w:t>年，因此</w:t>
            </w:r>
          </w:p>
        </w:tc>
        <w:tc>
          <w:tcPr>
            <w:tcW w:w="2388"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12" w:hRule="exact"/>
        </w:trPr>
        <w:tc>
          <w:tcPr>
            <w:tcW w:w="23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公司拟相应调整部分设备</w:t>
            </w:r>
          </w:p>
        </w:tc>
        <w:tc>
          <w:tcPr>
            <w:tcW w:w="2388"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357" w:hRule="exact"/>
        </w:trPr>
        <w:tc>
          <w:tcPr>
            <w:tcW w:w="239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固定资产折旧年限。</w:t>
            </w:r>
          </w:p>
        </w:tc>
        <w:tc>
          <w:tcPr>
            <w:tcW w:w="2388"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pStyle w:val="BodyText"/>
        <w:spacing w:line="262" w:lineRule="exact"/>
        <w:ind w:right="0"/>
        <w:jc w:val="left"/>
      </w:pPr>
      <w:r>
        <w:rPr/>
        <w:t>房屋及建筑物按 35-40 年计提折旧，机械设备按 15</w:t>
      </w:r>
      <w:r>
        <w:rPr>
          <w:spacing w:val="-13"/>
        </w:rPr>
        <w:t> </w:t>
      </w:r>
      <w:r>
        <w:rPr/>
        <w:t>年计提折旧，本次固定资产折旧政策调整后将导致</w:t>
      </w:r>
    </w:p>
    <w:p>
      <w:pPr>
        <w:pStyle w:val="BodyText"/>
        <w:spacing w:line="240" w:lineRule="auto" w:before="37"/>
        <w:ind w:right="0"/>
        <w:jc w:val="left"/>
      </w:pPr>
      <w:r>
        <w:rPr/>
        <w:t>公司在 2014 年 7 月 1 日至 2014 年 12 月 31</w:t>
      </w:r>
      <w:r>
        <w:rPr>
          <w:spacing w:val="-31"/>
        </w:rPr>
        <w:t> </w:t>
      </w:r>
      <w:r>
        <w:rPr/>
        <w:t>日期间，影响房屋及建筑物1,741,366.30元，影响机器</w:t>
      </w:r>
    </w:p>
    <w:p>
      <w:pPr>
        <w:pStyle w:val="BodyText"/>
        <w:spacing w:line="273" w:lineRule="auto" w:before="37"/>
        <w:ind w:right="228"/>
        <w:jc w:val="left"/>
      </w:pPr>
      <w:r>
        <w:rPr/>
        <w:t>设备累计折旧4,068,464.59元，共计影响 2014 年度净利润 580.98万元，不会导致公司 2014</w:t>
      </w:r>
      <w:r>
        <w:rPr>
          <w:spacing w:val="-12"/>
        </w:rPr>
        <w:t> </w:t>
      </w:r>
      <w:r>
        <w:rPr/>
        <w:t>年盈亏性</w:t>
      </w:r>
      <w:r>
        <w:rPr>
          <w:w w:val="100"/>
        </w:rPr>
        <w:t> </w:t>
      </w:r>
      <w:r>
        <w:rPr/>
        <w:t>质发生变化。</w:t>
      </w:r>
    </w:p>
    <w:p>
      <w:pPr>
        <w:spacing w:line="240" w:lineRule="auto" w:before="7"/>
        <w:rPr>
          <w:rFonts w:ascii="宋体" w:hAnsi="宋体" w:cs="宋体" w:eastAsia="宋体" w:hint="default"/>
          <w:sz w:val="23"/>
          <w:szCs w:val="23"/>
        </w:rPr>
      </w:pPr>
    </w:p>
    <w:p>
      <w:pPr>
        <w:pStyle w:val="BodyText"/>
        <w:spacing w:line="535" w:lineRule="auto"/>
        <w:ind w:right="8931"/>
        <w:jc w:val="left"/>
      </w:pPr>
      <w:r>
        <w:rPr/>
        <w:t>34、其他</w:t>
      </w:r>
      <w:r>
        <w:rPr>
          <w:spacing w:val="-101"/>
        </w:rPr>
        <w:t> </w:t>
      </w:r>
      <w:r>
        <w:rPr/>
        <w:t>无</w:t>
      </w:r>
      <w:r>
        <w:rPr>
          <w:w w:val="100"/>
        </w:rPr>
        <w:t> </w:t>
      </w:r>
      <w:r>
        <w:rPr/>
        <w:t>六、税项</w:t>
      </w:r>
    </w:p>
    <w:p>
      <w:pPr>
        <w:pStyle w:val="BodyText"/>
        <w:spacing w:line="240" w:lineRule="auto" w:before="79"/>
        <w:ind w:right="2880"/>
        <w:jc w:val="left"/>
      </w:pPr>
      <w:r>
        <w:rPr/>
        <w:t>1、主要税种及税率</w:t>
      </w:r>
    </w:p>
    <w:p>
      <w:pPr>
        <w:spacing w:line="240" w:lineRule="auto" w:before="1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w:t>
            </w:r>
            <w:r>
              <w:rPr>
                <w:rFonts w:ascii="宋体" w:hAnsi="宋体" w:cs="宋体" w:eastAsia="宋体" w:hint="default"/>
                <w:w w:val="100"/>
                <w:sz w:val="21"/>
                <w:szCs w:val="21"/>
              </w:rPr>
              <w:t> </w:t>
            </w:r>
            <w:r>
              <w:rPr>
                <w:rFonts w:ascii="宋体" w:hAnsi="宋体" w:cs="宋体" w:eastAsia="宋体" w:hint="default"/>
                <w:spacing w:val="-2"/>
                <w:sz w:val="21"/>
                <w:szCs w:val="21"/>
              </w:rPr>
              <w:t>税劳务收入为基础计算销项税额，</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在扣除当期允许抵扣的进项税额</w:t>
            </w:r>
            <w:r>
              <w:rPr>
                <w:rFonts w:ascii="宋体" w:hAnsi="宋体" w:cs="宋体" w:eastAsia="宋体" w:hint="default"/>
                <w:w w:val="100"/>
                <w:sz w:val="21"/>
                <w:szCs w:val="21"/>
              </w:rPr>
              <w:t> </w:t>
            </w:r>
            <w:r>
              <w:rPr>
                <w:rFonts w:ascii="宋体" w:hAnsi="宋体" w:cs="宋体" w:eastAsia="宋体" w:hint="default"/>
                <w:sz w:val="21"/>
                <w:szCs w:val="21"/>
              </w:rPr>
              <w:t>后，差额部分为应交增值税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17%,13%，6%,3%</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tcPr>
          <w:p>
            <w:pPr>
              <w:pStyle w:val="TableParagraph"/>
              <w:tabs>
                <w:tab w:pos="3158"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增值税</w:t>
              <w:tab/>
            </w:r>
            <w:r>
              <w:rPr>
                <w:rFonts w:ascii="宋体" w:hAnsi="宋体" w:cs="宋体" w:eastAsia="宋体" w:hint="default"/>
                <w:sz w:val="21"/>
                <w:szCs w:val="21"/>
              </w:rPr>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15%,25%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2%</w:t>
            </w:r>
          </w:p>
        </w:tc>
      </w:tr>
    </w:tbl>
    <w:p>
      <w:pPr>
        <w:pStyle w:val="BodyText"/>
        <w:spacing w:line="240" w:lineRule="auto" w:before="28"/>
        <w:ind w:right="2880"/>
        <w:jc w:val="left"/>
      </w:pPr>
      <w:r>
        <w:rPr/>
        <w:t>存在不同企业所得税税率纳税主体的，披露情况说明</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重庆市鸿海印务有限公司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四川鸿海印务有限公司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鸿博（福建）数据网络科技股份有限公司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w w:val="100"/>
                <w:sz w:val="21"/>
              </w:rPr>
              <w:t>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2、税收优惠</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1、企业所得税</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（1）本公司所得税税率：</w:t>
      </w:r>
    </w:p>
    <w:p>
      <w:pPr>
        <w:spacing w:line="240" w:lineRule="auto" w:before="5"/>
        <w:rPr>
          <w:rFonts w:ascii="宋体" w:hAnsi="宋体" w:cs="宋体" w:eastAsia="宋体" w:hint="default"/>
          <w:sz w:val="19"/>
          <w:szCs w:val="19"/>
        </w:rPr>
      </w:pPr>
    </w:p>
    <w:p>
      <w:pPr>
        <w:pStyle w:val="BodyText"/>
        <w:spacing w:line="273" w:lineRule="auto"/>
        <w:ind w:right="99"/>
        <w:jc w:val="left"/>
      </w:pPr>
      <w:r>
        <w:rPr>
          <w:spacing w:val="-2"/>
        </w:rPr>
        <w:t>根据《高新技术企业认定管理办法》及《中华人民共和国企业所得税法》等有关规定，本公司被认定为高</w:t>
      </w:r>
      <w:r>
        <w:rPr>
          <w:spacing w:val="-45"/>
        </w:rPr>
        <w:t> </w:t>
      </w:r>
      <w:r>
        <w:rPr>
          <w:spacing w:val="-45"/>
        </w:rPr>
      </w:r>
      <w:r>
        <w:rPr/>
        <w:t>新技术企业，证书编号：GR201435000129，本公司2014年至2016年企业所得税按15%的税率征收。</w:t>
      </w:r>
    </w:p>
    <w:p>
      <w:pPr>
        <w:spacing w:line="240" w:lineRule="auto" w:before="1"/>
        <w:rPr>
          <w:rFonts w:ascii="宋体" w:hAnsi="宋体" w:cs="宋体" w:eastAsia="宋体" w:hint="default"/>
          <w:sz w:val="17"/>
          <w:szCs w:val="17"/>
        </w:rPr>
      </w:pPr>
    </w:p>
    <w:p>
      <w:pPr>
        <w:pStyle w:val="BodyText"/>
        <w:spacing w:line="273" w:lineRule="auto"/>
        <w:ind w:right="99"/>
        <w:jc w:val="left"/>
      </w:pPr>
      <w:r>
        <w:rPr>
          <w:spacing w:val="-9"/>
          <w:w w:val="100"/>
        </w:rPr>
        <w:t>根据财政部和国家税务总局《关于安置残疾人员就业有关企业所得税优惠政策问题的通知》（财税字［2009］</w:t>
      </w:r>
      <w:r>
        <w:rPr>
          <w:spacing w:val="-62"/>
          <w:w w:val="100"/>
        </w:rPr>
        <w:t> </w:t>
      </w:r>
      <w:r>
        <w:rPr>
          <w:spacing w:val="-62"/>
          <w:w w:val="100"/>
        </w:rPr>
      </w:r>
      <w:r>
        <w:rPr/>
        <w:t>70号）的规定，报告期本公司企业所得税的优惠政策为按在税前列支残疾人工资的基础上加计100%扣除。</w:t>
      </w:r>
    </w:p>
    <w:p>
      <w:pPr>
        <w:spacing w:line="240" w:lineRule="auto" w:before="1"/>
        <w:rPr>
          <w:rFonts w:ascii="宋体" w:hAnsi="宋体" w:cs="宋体" w:eastAsia="宋体" w:hint="default"/>
          <w:sz w:val="17"/>
          <w:szCs w:val="17"/>
        </w:rPr>
      </w:pPr>
    </w:p>
    <w:p>
      <w:pPr>
        <w:pStyle w:val="BodyText"/>
        <w:spacing w:line="240" w:lineRule="auto"/>
        <w:ind w:right="0"/>
        <w:jc w:val="both"/>
      </w:pPr>
      <w:r>
        <w:rPr/>
        <w:t>（2）子公司所得税税率：</w:t>
      </w:r>
    </w:p>
    <w:p>
      <w:pPr>
        <w:spacing w:line="240" w:lineRule="auto" w:before="5"/>
        <w:rPr>
          <w:rFonts w:ascii="宋体" w:hAnsi="宋体" w:cs="宋体" w:eastAsia="宋体" w:hint="default"/>
          <w:sz w:val="19"/>
          <w:szCs w:val="19"/>
        </w:rPr>
      </w:pPr>
    </w:p>
    <w:p>
      <w:pPr>
        <w:pStyle w:val="BodyText"/>
        <w:spacing w:line="273" w:lineRule="auto"/>
        <w:ind w:right="205"/>
        <w:jc w:val="both"/>
      </w:pPr>
      <w:r>
        <w:rPr>
          <w:spacing w:val="-2"/>
        </w:rPr>
        <w:t>①根据财政部、国家税务总局及海关总署联合发文的《关于深入实施西部大开发战略有关税收政策问题的</w:t>
      </w:r>
      <w:r>
        <w:rPr>
          <w:spacing w:val="-44"/>
        </w:rPr>
        <w:t> </w:t>
      </w:r>
      <w:r>
        <w:rPr>
          <w:spacing w:val="-44"/>
        </w:rPr>
      </w:r>
      <w:r>
        <w:rPr>
          <w:spacing w:val="-2"/>
        </w:rPr>
        <w:t>通知》（财税［2011］58号）第二条的规定，子公司重庆市鸿海印务有限公司及孙公司四川鸿海印务有限</w:t>
      </w:r>
      <w:r>
        <w:rPr>
          <w:spacing w:val="-37"/>
        </w:rPr>
        <w:t> </w:t>
      </w:r>
      <w:r>
        <w:rPr>
          <w:spacing w:val="-37"/>
        </w:rPr>
      </w:r>
      <w:r>
        <w:rPr/>
        <w:t>公司2011年至2020年期间的企业所得税按15%的税率征收。</w:t>
      </w:r>
    </w:p>
    <w:p>
      <w:pPr>
        <w:spacing w:line="240" w:lineRule="auto" w:before="1"/>
        <w:rPr>
          <w:rFonts w:ascii="宋体" w:hAnsi="宋体" w:cs="宋体" w:eastAsia="宋体" w:hint="default"/>
          <w:sz w:val="17"/>
          <w:szCs w:val="17"/>
        </w:rPr>
      </w:pPr>
    </w:p>
    <w:p>
      <w:pPr>
        <w:pStyle w:val="BodyText"/>
        <w:spacing w:line="273" w:lineRule="auto"/>
        <w:ind w:right="205"/>
        <w:jc w:val="both"/>
      </w:pPr>
      <w:r>
        <w:rPr>
          <w:spacing w:val="-2"/>
        </w:rPr>
        <w:t>②根据《关于进一步鼓励软件产业和集成电路产业发展企业所得税政策的通知》（财税[2012]27号），子</w:t>
      </w:r>
      <w:r>
        <w:rPr>
          <w:spacing w:val="-36"/>
        </w:rPr>
        <w:t> </w:t>
      </w:r>
      <w:r>
        <w:rPr>
          <w:spacing w:val="-36"/>
        </w:rPr>
      </w:r>
      <w:r>
        <w:rPr>
          <w:spacing w:val="-2"/>
        </w:rPr>
        <w:t>公司鸿博（福建）数据网络科技股份有限公司符合《鼓励软件产业和集成电路产业若干政策》和《软件企</w:t>
      </w:r>
      <w:r>
        <w:rPr>
          <w:spacing w:val="-43"/>
        </w:rPr>
        <w:t> </w:t>
      </w:r>
      <w:r>
        <w:rPr>
          <w:spacing w:val="-43"/>
        </w:rPr>
      </w:r>
      <w:r>
        <w:rPr>
          <w:spacing w:val="-2"/>
        </w:rPr>
        <w:t>业认定标准及管理办法》的有关规定，被认定软件企业，证书编号：闽R-2011-0611,，自赢利年度起所得</w:t>
      </w:r>
      <w:r>
        <w:rPr>
          <w:spacing w:val="-36"/>
        </w:rPr>
        <w:t> </w:t>
      </w:r>
      <w:r>
        <w:rPr>
          <w:spacing w:val="-36"/>
        </w:rPr>
      </w:r>
      <w:r>
        <w:rPr/>
        <w:t>税享受两免三减半税收优惠，2013年至2014年免征所得税。</w:t>
      </w:r>
    </w:p>
    <w:p>
      <w:pPr>
        <w:pStyle w:val="BodyText"/>
        <w:spacing w:line="535" w:lineRule="auto" w:before="127"/>
        <w:ind w:right="4875"/>
        <w:jc w:val="left"/>
      </w:pPr>
      <w:r>
        <w:rPr>
          <w:spacing w:val="-2"/>
        </w:rPr>
        <w:t>③报告期其他子公司适用企业所得税税率均为25%。</w:t>
      </w:r>
      <w:r>
        <w:rPr>
          <w:spacing w:val="-60"/>
        </w:rPr>
        <w:t> </w:t>
      </w:r>
      <w:r>
        <w:rPr>
          <w:spacing w:val="-60"/>
        </w:rPr>
      </w:r>
      <w:r>
        <w:rPr/>
        <w:t>3、其他</w:t>
      </w:r>
    </w:p>
    <w:p>
      <w:pPr>
        <w:pStyle w:val="BodyText"/>
        <w:spacing w:line="535" w:lineRule="auto" w:before="81"/>
        <w:ind w:right="7206"/>
        <w:jc w:val="left"/>
      </w:pPr>
      <w:r>
        <w:rPr/>
        <w:t>无</w:t>
      </w:r>
      <w:r>
        <w:rPr>
          <w:w w:val="100"/>
        </w:rPr>
        <w:t> </w:t>
      </w:r>
      <w:r>
        <w:rPr>
          <w:spacing w:val="-1"/>
        </w:rPr>
        <w:t>七、合并财务报表项目注释</w:t>
      </w:r>
      <w:r>
        <w:rPr>
          <w:spacing w:val="-85"/>
        </w:rPr>
        <w:t> </w:t>
      </w:r>
      <w:r>
        <w:rPr>
          <w:spacing w:val="-85"/>
        </w:rPr>
      </w:r>
      <w:r>
        <w:rPr/>
        <w:t>1、货币资金</w:t>
      </w:r>
    </w:p>
    <w:p>
      <w:pPr>
        <w:pStyle w:val="BodyText"/>
        <w:spacing w:line="240" w:lineRule="auto" w:before="81"/>
        <w:ind w:left="0" w:right="20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14,954.40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75,715.62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127,639,639.95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112,387,105.79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29,202,502.60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18,905,951.75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156,857,096.95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131,368,773.16</w:t>
            </w:r>
          </w:p>
        </w:tc>
      </w:tr>
    </w:tbl>
    <w:p>
      <w:pPr>
        <w:pStyle w:val="BodyText"/>
        <w:spacing w:line="240" w:lineRule="auto" w:before="28"/>
        <w:ind w:right="99"/>
        <w:jc w:val="left"/>
      </w:pPr>
      <w:r>
        <w:rPr/>
        <w:t>其他说明</w:t>
      </w:r>
    </w:p>
    <w:p>
      <w:pPr>
        <w:spacing w:line="240" w:lineRule="auto" w:before="7"/>
        <w:rPr>
          <w:rFonts w:ascii="宋体" w:hAnsi="宋体" w:cs="宋体" w:eastAsia="宋体" w:hint="default"/>
          <w:sz w:val="17"/>
          <w:szCs w:val="17"/>
        </w:rPr>
      </w:pPr>
    </w:p>
    <w:p>
      <w:pPr>
        <w:pStyle w:val="BodyText"/>
        <w:spacing w:line="240" w:lineRule="auto"/>
        <w:ind w:right="99"/>
        <w:jc w:val="left"/>
      </w:pPr>
      <w:r>
        <w:rPr/>
        <w:t>（1）年末其他货币资金为银行承兑汇票保证金和银行汇票存款。</w:t>
      </w:r>
    </w:p>
    <w:p>
      <w:pPr>
        <w:spacing w:line="240" w:lineRule="auto" w:before="5"/>
        <w:rPr>
          <w:rFonts w:ascii="宋体" w:hAnsi="宋体" w:cs="宋体" w:eastAsia="宋体" w:hint="default"/>
          <w:sz w:val="19"/>
          <w:szCs w:val="19"/>
        </w:rPr>
      </w:pPr>
    </w:p>
    <w:p>
      <w:pPr>
        <w:pStyle w:val="BodyText"/>
        <w:spacing w:line="273" w:lineRule="auto"/>
        <w:ind w:right="99"/>
        <w:jc w:val="left"/>
      </w:pPr>
      <w:r>
        <w:rPr>
          <w:spacing w:val="-2"/>
        </w:rPr>
        <w:t>（2）截至2014年12月31日止，本集团受限制的货币资金为29,202,502.60元，系银行承兑汇票保证金和银</w:t>
      </w:r>
      <w:r>
        <w:rPr>
          <w:spacing w:val="-24"/>
        </w:rPr>
        <w:t> </w:t>
      </w:r>
      <w:r>
        <w:rPr>
          <w:spacing w:val="-24"/>
        </w:rPr>
      </w:r>
      <w:r>
        <w:rPr/>
        <w:t>行汇票存款，本集团在编制现金流量表时不将其作为现金。</w:t>
      </w:r>
    </w:p>
    <w:p>
      <w:pPr>
        <w:spacing w:line="240" w:lineRule="auto" w:before="7"/>
        <w:rPr>
          <w:rFonts w:ascii="宋体" w:hAnsi="宋体" w:cs="宋体" w:eastAsia="宋体" w:hint="default"/>
          <w:sz w:val="23"/>
          <w:szCs w:val="23"/>
        </w:rPr>
      </w:pPr>
    </w:p>
    <w:p>
      <w:pPr>
        <w:pStyle w:val="BodyText"/>
        <w:spacing w:line="240" w:lineRule="auto"/>
        <w:ind w:right="99"/>
        <w:jc w:val="left"/>
      </w:pPr>
      <w:r>
        <w:rPr/>
        <w:t>2、以公允价值计量且其变动计入当期损益的金融资产</w:t>
      </w:r>
    </w:p>
    <w:p>
      <w:pPr>
        <w:spacing w:line="240" w:lineRule="auto" w:before="10"/>
        <w:rPr>
          <w:rFonts w:ascii="宋体" w:hAnsi="宋体" w:cs="宋体" w:eastAsia="宋体" w:hint="default"/>
          <w:sz w:val="25"/>
          <w:szCs w:val="25"/>
        </w:rPr>
      </w:pPr>
    </w:p>
    <w:p>
      <w:pPr>
        <w:pStyle w:val="BodyText"/>
        <w:spacing w:line="240" w:lineRule="auto"/>
        <w:ind w:left="0" w:right="207"/>
        <w:jc w:val="right"/>
      </w:pPr>
      <w:r>
        <w:rPr/>
        <w:t>单位：</w:t>
      </w:r>
      <w:r>
        <w:rPr>
          <w:spacing w:val="2"/>
        </w:rPr>
        <w:t> </w:t>
      </w:r>
      <w:r>
        <w:rPr/>
        <w:t>元</w:t>
      </w:r>
    </w:p>
    <w:p>
      <w:pPr>
        <w:spacing w:after="0" w:line="240" w:lineRule="auto"/>
        <w:jc w:val="right"/>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3188"/>
        <w:gridCol w:w="3190"/>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2" w:lineRule="auto" w:before="29"/>
        <w:ind w:right="8196"/>
        <w:jc w:val="left"/>
      </w:pPr>
      <w:r>
        <w:rPr/>
        <w:t>其他说明：</w:t>
      </w:r>
      <w:r>
        <w:rPr>
          <w:spacing w:val="-102"/>
        </w:rPr>
        <w:t> </w:t>
      </w:r>
      <w:r>
        <w:rPr>
          <w:spacing w:val="-102"/>
        </w:rPr>
      </w:r>
      <w:r>
        <w:rPr/>
        <w:t>3、衍生金融资产</w:t>
      </w:r>
    </w:p>
    <w:p>
      <w:pPr>
        <w:pStyle w:val="BodyText"/>
        <w:spacing w:line="535" w:lineRule="auto" w:before="83"/>
        <w:ind w:right="7986"/>
        <w:jc w:val="left"/>
      </w:pPr>
      <w:r>
        <w:rPr/>
        <w:t>□ 适用 √ 不适用</w:t>
      </w:r>
      <w:r>
        <w:rPr>
          <w:w w:val="100"/>
        </w:rPr>
        <w:t> </w:t>
      </w:r>
      <w:r>
        <w:rPr/>
        <w:t>4、应收票据</w:t>
      </w:r>
    </w:p>
    <w:p>
      <w:pPr>
        <w:pStyle w:val="BodyText"/>
        <w:spacing w:line="240" w:lineRule="auto" w:before="79"/>
        <w:ind w:right="2880"/>
        <w:jc w:val="left"/>
      </w:pPr>
      <w:r>
        <w:rPr/>
        <w:t>（1）应收票据分类列示</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1,152,954.00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6,298,322.32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1,152,954.00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6,298,322.32</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（2）期末公司已质押的应收票据</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7;width:24;height:392" coordorigin="4762,17" coordsize="24,392">
              <v:shape style="position:absolute;left:4762;top:17;width:24;height:392" coordorigin="4762,17" coordsize="24,392" path="m4762,408l4786,408,4786,17,4762,17,4762,408xe" filled="true" fillcolor="#d3d3d3"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3d3d3" stroked="false">
                <v:path arrowok="t"/>
                <v:fill type="solid"/>
              </v:shape>
            </v:group>
            <v:group style="position:absolute;left:34;top:17;width:4728;height:392" coordorigin="34,17" coordsize="4728,392">
              <v:shape style="position:absolute;left:34;top:17;width:4728;height:392" coordorigin="34,17" coordsize="4728,392" path="m34,17l4762,17,4762,408,34,408,34,17xe" filled="true" fillcolor="#d3d3d3" stroked="false">
                <v:path arrowok="t"/>
                <v:fill type="solid"/>
              </v:shape>
            </v:group>
            <v:group style="position:absolute;left:4795;top:17;width:22;height:392" coordorigin="4795,17" coordsize="22,392">
              <v:shape style="position:absolute;left:4795;top:17;width:22;height:392" coordorigin="4795,17" coordsize="22,392" path="m4795,408l4817,408,4817,17,4795,17,4795,408xe" filled="true" fillcolor="#d3d3d3" stroked="false">
                <v:path arrowok="t"/>
                <v:fill type="solid"/>
              </v:shape>
            </v:group>
            <v:group style="position:absolute;left:9545;top:17;width:24;height:392" coordorigin="9545,17" coordsize="24,392">
              <v:shape style="position:absolute;left:9545;top:17;width:24;height:392" coordorigin="9545,17" coordsize="24,392" path="m9545,408l9569,408,9569,17,9545,17,9545,408xe" filled="true" fillcolor="#d3d3d3" stroked="false">
                <v:path arrowok="t"/>
                <v:fill type="solid"/>
              </v:shape>
            </v:group>
            <v:group style="position:absolute;left:4817;top:17;width:4728;height:392" coordorigin="4817,17" coordsize="4728,392">
              <v:shape style="position:absolute;left:4817;top:17;width:4728;height:392" coordorigin="4817,17" coordsize="4728,392" path="m4817,17l9545,17,9545,408,4817,408,4817,17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7999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7999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7999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2186;top:109;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788;top:11;width:4786;height:402" type="#_x0000_t202" filled="false" stroked="false">
                <v:textbox inset="0,0,0,0">
                  <w:txbxContent>
                    <w:p>
                      <w:pPr>
                        <w:spacing w:before="34"/>
                        <w:ind w:left="0" w:right="0" w:firstLine="0"/>
                        <w:jc w:val="center"/>
                        <w:rPr>
                          <w:rFonts w:ascii="宋体" w:hAnsi="宋体" w:cs="宋体" w:eastAsia="宋体" w:hint="default"/>
                          <w:sz w:val="21"/>
                          <w:szCs w:val="21"/>
                        </w:rPr>
                      </w:pPr>
                      <w:r>
                        <w:rPr>
                          <w:rFonts w:ascii="宋体" w:hAnsi="宋体" w:cs="宋体" w:eastAsia="宋体" w:hint="default"/>
                          <w:sz w:val="21"/>
                          <w:szCs w:val="21"/>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BodyText"/>
        <w:spacing w:line="240" w:lineRule="auto" w:before="36"/>
        <w:ind w:right="2880"/>
        <w:jc w:val="left"/>
      </w:pPr>
      <w:r>
        <w:rPr/>
        <w:t>（3）期末公司已背书或贴现且在资产负债表日尚未到期的应收票据</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751"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645"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23,052,555.86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23,052,555.86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（4）期末公司因出票人未履约而将其转应收账款的票据</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4;width:24;height:394" coordorigin="4762,14" coordsize="24,394">
              <v:shape style="position:absolute;left:4762;top:14;width:24;height:394" coordorigin="4762,14" coordsize="24,394" path="m4762,408l4786,408,4786,14,4762,14,4762,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8;height:394" coordorigin="34,14" coordsize="4728,394">
              <v:shape style="position:absolute;left:34;top:14;width:4728;height:394" coordorigin="34,14" coordsize="4728,394" path="m34,14l4762,14,4762,408,34,408,34,14xe" filled="true" fillcolor="#d3d3d3" stroked="false">
                <v:path arrowok="t"/>
                <v:fill type="solid"/>
              </v:shape>
            </v:group>
            <v:group style="position:absolute;left:4795;top:14;width:22;height:394" coordorigin="4795,14" coordsize="22,394">
              <v:shape style="position:absolute;left:4795;top:14;width:22;height:394" coordorigin="4795,14" coordsize="22,394" path="m4795,408l4817,408,4817,14,4795,14,4795,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7;top:14;width:4728;height:394" coordorigin="4817,14" coordsize="4728,394">
              <v:shape style="position:absolute;left:4817;top:14;width:4728;height:394" coordorigin="4817,14" coordsize="4728,394" path="m4817,14l9545,14,9545,408,4817,408,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7999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7999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7999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2186;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788;top:10;width:4786;height:404" type="#_x0000_t202" filled="false" stroked="false">
                <v:textbox inset="0,0,0,0">
                  <w:txbxContent>
                    <w:p>
                      <w:pPr>
                        <w:spacing w:before="33"/>
                        <w:ind w:left="1447" w:right="0" w:firstLine="0"/>
                        <w:jc w:val="left"/>
                        <w:rPr>
                          <w:rFonts w:ascii="宋体" w:hAnsi="宋体" w:cs="宋体" w:eastAsia="宋体" w:hint="default"/>
                          <w:sz w:val="21"/>
                          <w:szCs w:val="21"/>
                        </w:rPr>
                      </w:pPr>
                      <w:r>
                        <w:rPr>
                          <w:rFonts w:ascii="宋体" w:hAnsi="宋体" w:cs="宋体" w:eastAsia="宋体" w:hint="default"/>
                          <w:sz w:val="21"/>
                          <w:szCs w:val="21"/>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532" w:lineRule="auto" w:before="24"/>
        <w:ind w:right="8616"/>
        <w:jc w:val="left"/>
      </w:pPr>
      <w:r>
        <w:rPr/>
        <w:t>其他说明</w:t>
      </w:r>
      <w:r>
        <w:rPr>
          <w:w w:val="100"/>
        </w:rPr>
        <w:t> </w:t>
      </w:r>
      <w:r>
        <w:rPr/>
        <w:t>5、应收账款</w:t>
      </w:r>
    </w:p>
    <w:p>
      <w:pPr>
        <w:pStyle w:val="BodyText"/>
        <w:spacing w:line="240" w:lineRule="auto" w:before="83"/>
        <w:ind w:right="2880"/>
        <w:jc w:val="left"/>
      </w:pPr>
      <w:r>
        <w:rPr/>
        <w:t>（1）应收账款分类披露</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633"/>
        <w:gridCol w:w="3838"/>
        <w:gridCol w:w="4094"/>
      </w:tblGrid>
      <w:tr>
        <w:trPr>
          <w:trHeight w:val="403"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1"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170,98</w:t>
            </w:r>
          </w:p>
          <w:p>
            <w:pPr>
              <w:pStyle w:val="TableParagraph"/>
              <w:spacing w:line="240" w:lineRule="auto" w:before="37"/>
              <w:ind w:right="17"/>
              <w:jc w:val="right"/>
              <w:rPr>
                <w:rFonts w:ascii="宋体" w:hAnsi="宋体" w:cs="宋体" w:eastAsia="宋体" w:hint="default"/>
                <w:sz w:val="21"/>
                <w:szCs w:val="21"/>
              </w:rPr>
            </w:pPr>
            <w:r>
              <w:rPr>
                <w:rFonts w:ascii="宋体"/>
                <w:sz w:val="21"/>
              </w:rPr>
              <w:t>1,588.</w:t>
            </w:r>
          </w:p>
          <w:p>
            <w:pPr>
              <w:pStyle w:val="TableParagraph"/>
              <w:spacing w:line="240" w:lineRule="auto" w:before="37"/>
              <w:ind w:right="19"/>
              <w:jc w:val="right"/>
              <w:rPr>
                <w:rFonts w:ascii="宋体" w:hAnsi="宋体" w:cs="宋体" w:eastAsia="宋体" w:hint="default"/>
                <w:sz w:val="21"/>
                <w:szCs w:val="21"/>
              </w:rPr>
            </w:pPr>
            <w:r>
              <w:rPr>
                <w:rFonts w:ascii="宋体"/>
                <w:sz w:val="21"/>
              </w:rPr>
              <w:t>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10,578</w:t>
            </w:r>
          </w:p>
          <w:p>
            <w:pPr>
              <w:pStyle w:val="TableParagraph"/>
              <w:spacing w:line="240" w:lineRule="auto" w:before="37"/>
              <w:ind w:right="19"/>
              <w:jc w:val="right"/>
              <w:rPr>
                <w:rFonts w:ascii="宋体" w:hAnsi="宋体" w:cs="宋体" w:eastAsia="宋体" w:hint="default"/>
                <w:sz w:val="21"/>
                <w:szCs w:val="21"/>
              </w:rPr>
            </w:pPr>
            <w:r>
              <w:rPr>
                <w:rFonts w:ascii="宋体"/>
                <w:sz w:val="21"/>
              </w:rPr>
              <w:t>,468.9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6.19%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160,40</w:t>
            </w:r>
          </w:p>
          <w:p>
            <w:pPr>
              <w:pStyle w:val="TableParagraph"/>
              <w:spacing w:line="240" w:lineRule="auto" w:before="37"/>
              <w:ind w:right="17"/>
              <w:jc w:val="right"/>
              <w:rPr>
                <w:rFonts w:ascii="宋体" w:hAnsi="宋体" w:cs="宋体" w:eastAsia="宋体" w:hint="default"/>
                <w:sz w:val="21"/>
                <w:szCs w:val="21"/>
              </w:rPr>
            </w:pPr>
            <w:r>
              <w:rPr>
                <w:rFonts w:ascii="宋体"/>
                <w:sz w:val="21"/>
              </w:rPr>
              <w:t>3,119.</w:t>
            </w:r>
          </w:p>
          <w:p>
            <w:pPr>
              <w:pStyle w:val="TableParagraph"/>
              <w:spacing w:line="240" w:lineRule="auto" w:before="37"/>
              <w:ind w:right="19"/>
              <w:jc w:val="right"/>
              <w:rPr>
                <w:rFonts w:ascii="宋体" w:hAnsi="宋体" w:cs="宋体" w:eastAsia="宋体" w:hint="default"/>
                <w:sz w:val="21"/>
                <w:szCs w:val="21"/>
              </w:rPr>
            </w:pPr>
            <w:r>
              <w:rPr>
                <w:rFonts w:ascii="宋体"/>
                <w:sz w:val="21"/>
              </w:rPr>
              <w:t>91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9" w:right="0"/>
              <w:jc w:val="center"/>
              <w:rPr>
                <w:rFonts w:ascii="宋体" w:hAnsi="宋体" w:cs="宋体" w:eastAsia="宋体" w:hint="default"/>
                <w:sz w:val="21"/>
                <w:szCs w:val="21"/>
              </w:rPr>
            </w:pPr>
            <w:r>
              <w:rPr>
                <w:rFonts w:ascii="宋体"/>
                <w:sz w:val="21"/>
              </w:rPr>
              <w:t>108,7</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04,34</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4.64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5,951,4</w:t>
            </w:r>
          </w:p>
          <w:p>
            <w:pPr>
              <w:pStyle w:val="TableParagraph"/>
              <w:spacing w:line="240" w:lineRule="auto" w:before="37"/>
              <w:ind w:left="256" w:right="0"/>
              <w:jc w:val="left"/>
              <w:rPr>
                <w:rFonts w:ascii="宋体" w:hAnsi="宋体" w:cs="宋体" w:eastAsia="宋体" w:hint="default"/>
                <w:sz w:val="21"/>
                <w:szCs w:val="21"/>
              </w:rPr>
            </w:pPr>
            <w:r>
              <w:rPr>
                <w:rFonts w:ascii="宋体"/>
                <w:sz w:val="21"/>
              </w:rPr>
              <w:t>71.40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5.47%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102,752,</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873.24</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170,98</w:t>
            </w:r>
          </w:p>
          <w:p>
            <w:pPr>
              <w:pStyle w:val="TableParagraph"/>
              <w:spacing w:line="240" w:lineRule="auto" w:before="34"/>
              <w:ind w:right="17"/>
              <w:jc w:val="right"/>
              <w:rPr>
                <w:rFonts w:ascii="宋体" w:hAnsi="宋体" w:cs="宋体" w:eastAsia="宋体" w:hint="default"/>
                <w:sz w:val="21"/>
                <w:szCs w:val="21"/>
              </w:rPr>
            </w:pPr>
            <w:r>
              <w:rPr>
                <w:rFonts w:ascii="宋体"/>
                <w:sz w:val="21"/>
              </w:rPr>
              <w:t>1,588.</w:t>
            </w:r>
          </w:p>
          <w:p>
            <w:pPr>
              <w:pStyle w:val="TableParagraph"/>
              <w:spacing w:line="240" w:lineRule="auto" w:before="37"/>
              <w:ind w:right="19"/>
              <w:jc w:val="right"/>
              <w:rPr>
                <w:rFonts w:ascii="宋体" w:hAnsi="宋体" w:cs="宋体" w:eastAsia="宋体" w:hint="default"/>
                <w:sz w:val="21"/>
                <w:szCs w:val="21"/>
              </w:rPr>
            </w:pPr>
            <w:r>
              <w:rPr>
                <w:rFonts w:ascii="宋体"/>
                <w:sz w:val="21"/>
              </w:rPr>
              <w:t>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10,578</w:t>
            </w:r>
          </w:p>
          <w:p>
            <w:pPr>
              <w:pStyle w:val="TableParagraph"/>
              <w:spacing w:line="240" w:lineRule="auto" w:before="34"/>
              <w:ind w:right="19"/>
              <w:jc w:val="right"/>
              <w:rPr>
                <w:rFonts w:ascii="宋体" w:hAnsi="宋体" w:cs="宋体" w:eastAsia="宋体" w:hint="default"/>
                <w:sz w:val="21"/>
                <w:szCs w:val="21"/>
              </w:rPr>
            </w:pPr>
            <w:r>
              <w:rPr>
                <w:rFonts w:ascii="宋体"/>
                <w:sz w:val="21"/>
              </w:rPr>
              <w:t>,468.9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6.19%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160,40</w:t>
            </w:r>
          </w:p>
          <w:p>
            <w:pPr>
              <w:pStyle w:val="TableParagraph"/>
              <w:spacing w:line="240" w:lineRule="auto" w:before="34"/>
              <w:ind w:right="17"/>
              <w:jc w:val="right"/>
              <w:rPr>
                <w:rFonts w:ascii="宋体" w:hAnsi="宋体" w:cs="宋体" w:eastAsia="宋体" w:hint="default"/>
                <w:sz w:val="21"/>
                <w:szCs w:val="21"/>
              </w:rPr>
            </w:pPr>
            <w:r>
              <w:rPr>
                <w:rFonts w:ascii="宋体"/>
                <w:sz w:val="21"/>
              </w:rPr>
              <w:t>3,119.</w:t>
            </w:r>
          </w:p>
          <w:p>
            <w:pPr>
              <w:pStyle w:val="TableParagraph"/>
              <w:spacing w:line="240" w:lineRule="auto" w:before="37"/>
              <w:ind w:right="19"/>
              <w:jc w:val="right"/>
              <w:rPr>
                <w:rFonts w:ascii="宋体" w:hAnsi="宋体" w:cs="宋体" w:eastAsia="宋体" w:hint="default"/>
                <w:sz w:val="21"/>
                <w:szCs w:val="21"/>
              </w:rPr>
            </w:pPr>
            <w:r>
              <w:rPr>
                <w:rFonts w:ascii="宋体"/>
                <w:sz w:val="21"/>
              </w:rPr>
              <w:t>91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9" w:right="0"/>
              <w:jc w:val="center"/>
              <w:rPr>
                <w:rFonts w:ascii="宋体" w:hAnsi="宋体" w:cs="宋体" w:eastAsia="宋体" w:hint="default"/>
                <w:sz w:val="21"/>
                <w:szCs w:val="21"/>
              </w:rPr>
            </w:pPr>
            <w:r>
              <w:rPr>
                <w:rFonts w:ascii="宋体"/>
                <w:sz w:val="21"/>
              </w:rPr>
              <w:t>108,7</w:t>
            </w:r>
          </w:p>
          <w:p>
            <w:pPr>
              <w:pStyle w:val="TableParagraph"/>
              <w:spacing w:line="240" w:lineRule="auto" w:before="34"/>
              <w:ind w:left="79" w:right="0"/>
              <w:jc w:val="center"/>
              <w:rPr>
                <w:rFonts w:ascii="宋体" w:hAnsi="宋体" w:cs="宋体" w:eastAsia="宋体" w:hint="default"/>
                <w:sz w:val="21"/>
                <w:szCs w:val="21"/>
              </w:rPr>
            </w:pPr>
            <w:r>
              <w:rPr>
                <w:rFonts w:ascii="宋体"/>
                <w:sz w:val="21"/>
              </w:rPr>
              <w:t>04,34</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4.64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5,951,4</w:t>
            </w:r>
          </w:p>
          <w:p>
            <w:pPr>
              <w:pStyle w:val="TableParagraph"/>
              <w:spacing w:line="240" w:lineRule="auto" w:before="34"/>
              <w:ind w:left="256" w:right="0"/>
              <w:jc w:val="left"/>
              <w:rPr>
                <w:rFonts w:ascii="宋体" w:hAnsi="宋体" w:cs="宋体" w:eastAsia="宋体" w:hint="default"/>
                <w:sz w:val="21"/>
                <w:szCs w:val="21"/>
              </w:rPr>
            </w:pPr>
            <w:r>
              <w:rPr>
                <w:rFonts w:ascii="宋体"/>
                <w:sz w:val="21"/>
              </w:rPr>
              <w:t>71.40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5.47%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102,752,</w:t>
            </w:r>
          </w:p>
          <w:p>
            <w:pPr>
              <w:pStyle w:val="TableParagraph"/>
              <w:spacing w:line="240" w:lineRule="auto" w:before="34"/>
              <w:ind w:left="268" w:right="0"/>
              <w:jc w:val="left"/>
              <w:rPr>
                <w:rFonts w:ascii="宋体" w:hAnsi="宋体" w:cs="宋体" w:eastAsia="宋体" w:hint="default"/>
                <w:sz w:val="21"/>
                <w:szCs w:val="21"/>
              </w:rPr>
            </w:pPr>
            <w:r>
              <w:rPr>
                <w:rFonts w:ascii="宋体"/>
                <w:sz w:val="21"/>
              </w:rPr>
              <w:t>873.24</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pStyle w:val="BodyText"/>
        <w:spacing w:line="240" w:lineRule="auto" w:before="28"/>
        <w:ind w:right="0"/>
        <w:jc w:val="left"/>
      </w:pPr>
      <w:r>
        <w:rPr>
          <w:spacing w:val="-2"/>
        </w:rPr>
        <w:t>期末单项金额重大并单项计提坏账准备的应收账款：</w:t>
      </w:r>
    </w:p>
    <w:p>
      <w:pPr>
        <w:pStyle w:val="BodyText"/>
        <w:spacing w:line="307" w:lineRule="auto" w:before="75"/>
        <w:ind w:right="0"/>
        <w:jc w:val="left"/>
      </w:pPr>
      <w:r>
        <w:rPr/>
        <w:t>□ 适用 √</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9"/>
        <w:ind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4989" w:space="3704"/>
            <w:col w:w="1257"/>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139,255,301.83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6,962,765.61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30,921,374.51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3,092,137.44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200,873.78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40,174.76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180,544.37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90,272.19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151,877.10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121,501.68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271,617.28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271,617.28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170,981,588.87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10,578,468.96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6.19%</w:t>
            </w:r>
          </w:p>
        </w:tc>
      </w:tr>
    </w:tbl>
    <w:p>
      <w:pPr>
        <w:pStyle w:val="BodyText"/>
        <w:spacing w:line="307" w:lineRule="auto" w:before="28"/>
        <w:ind w:right="2880"/>
        <w:jc w:val="left"/>
      </w:pPr>
      <w:r>
        <w:rPr/>
        <w:t>确定该组合依据的说明：</w:t>
      </w:r>
      <w:r>
        <w:rPr>
          <w:w w:val="100"/>
        </w:rPr>
        <w:t> </w:t>
      </w:r>
      <w:r>
        <w:rPr>
          <w:spacing w:val="-2"/>
        </w:rPr>
        <w:t>组合中，采用余额百分比法计提坏账准备的应收账款：</w:t>
      </w:r>
    </w:p>
    <w:p>
      <w:pPr>
        <w:pStyle w:val="BodyText"/>
        <w:spacing w:line="307" w:lineRule="auto" w:before="16"/>
        <w:ind w:right="5106"/>
        <w:jc w:val="left"/>
      </w:pPr>
      <w:r>
        <w:rPr/>
        <w:t>□ 适用 √</w:t>
      </w:r>
      <w:r>
        <w:rPr>
          <w:spacing w:val="-2"/>
        </w:rPr>
        <w:t> </w:t>
      </w:r>
      <w:r>
        <w:rPr/>
        <w:t>不适用</w:t>
      </w:r>
      <w:r>
        <w:rPr>
          <w:spacing w:val="-103"/>
        </w:rPr>
        <w:t> </w:t>
      </w:r>
      <w:r>
        <w:rPr>
          <w:spacing w:val="-103"/>
        </w:rPr>
      </w:r>
      <w:r>
        <w:rPr>
          <w:spacing w:val="-2"/>
        </w:rPr>
        <w:t>组合中，采用其他方法计提坏账准备的应收账款：</w:t>
      </w:r>
      <w:r>
        <w:rPr>
          <w:spacing w:val="-63"/>
        </w:rPr>
        <w:t> </w:t>
      </w:r>
      <w:r>
        <w:rPr>
          <w:spacing w:val="-63"/>
        </w:rPr>
      </w:r>
      <w:r>
        <w:rPr/>
        <w:t>不适用</w:t>
      </w:r>
    </w:p>
    <w:p>
      <w:pPr>
        <w:spacing w:line="240" w:lineRule="auto" w:before="4"/>
        <w:rPr>
          <w:rFonts w:ascii="宋体" w:hAnsi="宋体" w:cs="宋体" w:eastAsia="宋体" w:hint="default"/>
          <w:sz w:val="21"/>
          <w:szCs w:val="21"/>
        </w:rPr>
      </w:pPr>
    </w:p>
    <w:p>
      <w:pPr>
        <w:pStyle w:val="BodyText"/>
        <w:spacing w:line="240" w:lineRule="auto"/>
        <w:ind w:right="2880"/>
        <w:jc w:val="left"/>
      </w:pPr>
      <w:r>
        <w:rPr/>
        <w:t>（2）本期计提、收回或转回的坏账准备情况</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07" w:lineRule="auto" w:before="36"/>
        <w:ind w:right="-5"/>
        <w:jc w:val="left"/>
      </w:pPr>
      <w:r>
        <w:rPr/>
        <w:t>本期计提坏账准备金额</w:t>
      </w:r>
      <w:r>
        <w:rPr>
          <w:spacing w:val="-56"/>
        </w:rPr>
        <w:t> </w:t>
      </w:r>
      <w:r>
        <w:rPr/>
        <w:t>4,626,997.56</w:t>
      </w:r>
      <w:r>
        <w:rPr>
          <w:spacing w:val="-56"/>
        </w:rPr>
        <w:t> </w:t>
      </w:r>
      <w:r>
        <w:rPr/>
        <w:t>元；本期收回或转回坏账准备金额</w:t>
      </w:r>
      <w:r>
        <w:rPr>
          <w:spacing w:val="-56"/>
        </w:rPr>
        <w:t> </w:t>
      </w:r>
      <w:r>
        <w:rPr/>
        <w:t>0.00</w:t>
      </w:r>
      <w:r>
        <w:rPr>
          <w:spacing w:val="-57"/>
        </w:rPr>
        <w:t> </w:t>
      </w:r>
      <w:r>
        <w:rPr/>
        <w:t>元。</w:t>
      </w:r>
      <w:r>
        <w:rPr>
          <w:w w:val="100"/>
        </w:rPr>
        <w:t> </w:t>
      </w:r>
      <w:r>
        <w:rPr/>
        <w:t>其中本期坏账准备收回或转回金额重要的：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7715" w:space="978"/>
            <w:col w:w="1257"/>
          </w:cols>
        </w:sectPr>
      </w:pP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（3）本期实际核销的应收账款情况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62;top:14;width:24;height:394" coordorigin="4762,14" coordsize="24,394">
              <v:shape style="position:absolute;left:4762;top:14;width:24;height:394" coordorigin="4762,14" coordsize="24,394" path="m4762,408l4786,408,4786,14,4762,14,4762,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8;height:394" coordorigin="34,14" coordsize="4728,394">
              <v:shape style="position:absolute;left:34;top:14;width:4728;height:394" coordorigin="34,14" coordsize="4728,394" path="m34,14l4762,14,4762,408,34,408,34,14xe" filled="true" fillcolor="#d3d3d3" stroked="false">
                <v:path arrowok="t"/>
                <v:fill type="solid"/>
              </v:shape>
            </v:group>
            <v:group style="position:absolute;left:4795;top:14;width:22;height:394" coordorigin="4795,14" coordsize="22,394">
              <v:shape style="position:absolute;left:4795;top:14;width:22;height:394" coordorigin="4795,14" coordsize="22,394" path="m4795,408l4817,408,4817,14,4795,14,4795,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7;top:14;width:4728;height:394" coordorigin="4817,14" coordsize="4728,394">
              <v:shape style="position:absolute;left:4817;top:14;width:4728;height:394" coordorigin="4817,14" coordsize="4728,394" path="m4817,14l9545,14,9545,408,4817,408,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7999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7999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7999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2186;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788;top:10;width:4786;height:404" type="#_x0000_t202" filled="false" stroked="false">
                <v:textbox inset="0,0,0,0">
                  <w:txbxContent>
                    <w:p>
                      <w:pPr>
                        <w:spacing w:before="33"/>
                        <w:ind w:left="2" w:right="0" w:firstLine="0"/>
                        <w:jc w:val="center"/>
                        <w:rPr>
                          <w:rFonts w:ascii="宋体" w:hAnsi="宋体" w:cs="宋体" w:eastAsia="宋体" w:hint="default"/>
                          <w:sz w:val="21"/>
                          <w:szCs w:val="21"/>
                        </w:rPr>
                      </w:pPr>
                      <w:r>
                        <w:rPr>
                          <w:rFonts w:ascii="宋体" w:hAnsi="宋体" w:cs="宋体" w:eastAsia="宋体" w:hint="default"/>
                          <w:sz w:val="21"/>
                          <w:szCs w:val="21"/>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24"/>
        <w:ind w:right="2880"/>
        <w:jc w:val="left"/>
      </w:pPr>
      <w:r>
        <w:rPr/>
        <w:t>其中重要的应收账款核销情况：</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72" w:right="50" w:hanging="315"/>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bl>
    <w:p>
      <w:pPr>
        <w:pStyle w:val="BodyText"/>
        <w:spacing w:line="240" w:lineRule="auto" w:before="29"/>
        <w:ind w:right="2880"/>
        <w:jc w:val="left"/>
      </w:pPr>
      <w:r>
        <w:rPr/>
        <w:t>应收账款核销说明：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（4）按欠款方归集的期末余额前五名的应收账款情况</w:t>
      </w:r>
    </w:p>
    <w:p>
      <w:pPr>
        <w:spacing w:line="240" w:lineRule="auto" w:before="2"/>
        <w:rPr>
          <w:rFonts w:ascii="宋体" w:hAnsi="宋体" w:cs="宋体" w:eastAsia="宋体" w:hint="default"/>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01"/>
        <w:gridCol w:w="1838"/>
        <w:gridCol w:w="1762"/>
        <w:gridCol w:w="1838"/>
      </w:tblGrid>
      <w:tr>
        <w:trPr>
          <w:trHeight w:val="660"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6" w:right="29" w:hanging="473"/>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78"/>
              <w:jc w:val="right"/>
              <w:rPr>
                <w:rFonts w:ascii="宋体" w:hAnsi="宋体" w:cs="宋体" w:eastAsia="宋体" w:hint="default"/>
                <w:sz w:val="21"/>
                <w:szCs w:val="21"/>
              </w:rPr>
            </w:pPr>
            <w:r>
              <w:rPr>
                <w:rFonts w:ascii="宋体" w:hAnsi="宋体" w:cs="宋体" w:eastAsia="宋体" w:hint="default"/>
                <w:spacing w:val="-1"/>
                <w:sz w:val="21"/>
                <w:szCs w:val="21"/>
              </w:rPr>
              <w:t>计提坏账准备</w:t>
            </w:r>
          </w:p>
        </w:tc>
      </w:tr>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客户A</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57,450,000.00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33.60%</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2,872,500.00</w:t>
            </w:r>
          </w:p>
        </w:tc>
      </w:tr>
      <w:tr>
        <w:trPr>
          <w:trHeight w:val="346"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客户B</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16,908,478.94</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9.89%</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845,423.95</w:t>
            </w:r>
          </w:p>
        </w:tc>
      </w:tr>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客户C</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2"/>
              <w:jc w:val="right"/>
              <w:rPr>
                <w:rFonts w:ascii="宋体" w:hAnsi="宋体" w:cs="宋体" w:eastAsia="宋体" w:hint="default"/>
                <w:sz w:val="21"/>
                <w:szCs w:val="21"/>
              </w:rPr>
            </w:pPr>
            <w:r>
              <w:rPr>
                <w:rFonts w:ascii="宋体"/>
                <w:spacing w:val="-1"/>
                <w:sz w:val="21"/>
              </w:rPr>
              <w:t>10,901,744.86</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6.38%</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2"/>
              <w:jc w:val="right"/>
              <w:rPr>
                <w:rFonts w:ascii="宋体" w:hAnsi="宋体" w:cs="宋体" w:eastAsia="宋体" w:hint="default"/>
                <w:sz w:val="21"/>
                <w:szCs w:val="21"/>
              </w:rPr>
            </w:pPr>
            <w:r>
              <w:rPr>
                <w:rFonts w:ascii="宋体"/>
                <w:spacing w:val="-1"/>
                <w:sz w:val="21"/>
              </w:rPr>
              <w:t>545,087.24</w:t>
            </w:r>
          </w:p>
        </w:tc>
      </w:tr>
      <w:tr>
        <w:trPr>
          <w:trHeight w:val="346"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客户D</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6,003,814.16</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3.51%</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300,190.71</w:t>
            </w:r>
          </w:p>
        </w:tc>
      </w:tr>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客户E</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2"/>
              <w:jc w:val="right"/>
              <w:rPr>
                <w:rFonts w:ascii="宋体" w:hAnsi="宋体" w:cs="宋体" w:eastAsia="宋体" w:hint="default"/>
                <w:sz w:val="21"/>
                <w:szCs w:val="21"/>
              </w:rPr>
            </w:pPr>
            <w:r>
              <w:rPr>
                <w:rFonts w:ascii="宋体"/>
                <w:spacing w:val="-1"/>
                <w:sz w:val="21"/>
              </w:rPr>
              <w:t>2,752,066.47</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1.61%</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42"/>
              <w:jc w:val="right"/>
              <w:rPr>
                <w:rFonts w:ascii="宋体" w:hAnsi="宋体" w:cs="宋体" w:eastAsia="宋体" w:hint="default"/>
                <w:sz w:val="21"/>
                <w:szCs w:val="21"/>
              </w:rPr>
            </w:pPr>
            <w:r>
              <w:rPr>
                <w:rFonts w:ascii="宋体"/>
                <w:spacing w:val="-1"/>
                <w:sz w:val="21"/>
              </w:rPr>
              <w:t>137,603.32</w:t>
            </w:r>
          </w:p>
        </w:tc>
      </w:tr>
      <w:tr>
        <w:trPr>
          <w:trHeight w:val="348" w:hRule="exact"/>
        </w:trPr>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94,016,104.43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54.99%</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42"/>
              <w:jc w:val="right"/>
              <w:rPr>
                <w:rFonts w:ascii="宋体" w:hAnsi="宋体" w:cs="宋体" w:eastAsia="宋体" w:hint="default"/>
                <w:sz w:val="21"/>
                <w:szCs w:val="21"/>
              </w:rPr>
            </w:pPr>
            <w:r>
              <w:rPr>
                <w:rFonts w:ascii="宋体"/>
                <w:spacing w:val="-1"/>
                <w:sz w:val="21"/>
              </w:rPr>
              <w:t>4,700,805.22</w:t>
            </w:r>
          </w:p>
        </w:tc>
      </w:tr>
    </w:tbl>
    <w:p>
      <w:pPr>
        <w:spacing w:line="240" w:lineRule="auto" w:before="3"/>
        <w:rPr>
          <w:rFonts w:ascii="宋体" w:hAnsi="宋体" w:cs="宋体" w:eastAsia="宋体" w:hint="default"/>
          <w:sz w:val="19"/>
          <w:szCs w:val="19"/>
        </w:rPr>
      </w:pPr>
    </w:p>
    <w:p>
      <w:pPr>
        <w:pStyle w:val="BodyText"/>
        <w:spacing w:line="535" w:lineRule="auto" w:before="36"/>
        <w:ind w:right="5106"/>
        <w:jc w:val="left"/>
      </w:pPr>
      <w:r>
        <w:rPr>
          <w:spacing w:val="-1"/>
        </w:rPr>
        <w:t>（5）因金融资产转移而终止确认的应收账款</w:t>
      </w:r>
      <w:r>
        <w:rPr>
          <w:spacing w:val="-68"/>
        </w:rPr>
        <w:t> </w:t>
      </w:r>
      <w:r>
        <w:rPr>
          <w:spacing w:val="-68"/>
        </w:rPr>
      </w:r>
      <w:r>
        <w:rPr/>
        <w:t>不适用</w:t>
      </w:r>
    </w:p>
    <w:p>
      <w:pPr>
        <w:pStyle w:val="BodyText"/>
        <w:spacing w:line="240" w:lineRule="auto" w:before="79"/>
        <w:ind w:right="2880"/>
        <w:jc w:val="left"/>
      </w:pPr>
      <w:r>
        <w:rPr/>
        <w:t>（6）转移应收账款且继续涉入形成的资产、负债金额</w:t>
      </w:r>
    </w:p>
    <w:p>
      <w:pPr>
        <w:spacing w:line="240" w:lineRule="auto" w:before="12"/>
        <w:rPr>
          <w:rFonts w:ascii="宋体" w:hAnsi="宋体" w:cs="宋体" w:eastAsia="宋体" w:hint="default"/>
          <w:sz w:val="25"/>
          <w:szCs w:val="25"/>
        </w:rPr>
      </w:pPr>
    </w:p>
    <w:p>
      <w:pPr>
        <w:pStyle w:val="BodyText"/>
        <w:spacing w:line="307" w:lineRule="auto"/>
        <w:ind w:right="8616"/>
        <w:jc w:val="left"/>
      </w:pPr>
      <w:r>
        <w:rPr/>
        <w:t>不适用</w:t>
      </w:r>
      <w:r>
        <w:rPr>
          <w:spacing w:val="-102"/>
        </w:rPr>
        <w:t> </w:t>
      </w: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6、预付款项</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（1）预付款项按账龄列示</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5,241,665.86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12,930,296.02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79.11%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2,331,708.50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22.30%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994,892.35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6.09%</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3"/>
        <w:gridCol w:w="1915"/>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785,405.10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860,534.31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5.27%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2,095,374.76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1,556,807.00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9.53%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10,454,154.22</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16,342,529.68</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2880"/>
        <w:jc w:val="left"/>
      </w:pPr>
      <w:r>
        <w:rPr/>
        <w:t>账龄超过</w:t>
      </w:r>
      <w:r>
        <w:rPr>
          <w:spacing w:val="-54"/>
        </w:rPr>
        <w:t> </w:t>
      </w:r>
      <w:r>
        <w:rPr/>
        <w:t>1</w:t>
      </w:r>
      <w:r>
        <w:rPr>
          <w:spacing w:val="-56"/>
        </w:rPr>
        <w:t> </w:t>
      </w:r>
      <w:r>
        <w:rPr/>
        <w:t>年且金额重要的预付款项未及时结算原因的说明：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（2）按预付对象归集的期末余额前五名的预付款情况</w:t>
      </w:r>
    </w:p>
    <w:p>
      <w:pPr>
        <w:spacing w:line="240" w:lineRule="auto" w:before="12"/>
        <w:rPr>
          <w:rFonts w:ascii="宋体" w:hAnsi="宋体" w:cs="宋体" w:eastAsia="宋体" w:hint="default"/>
          <w:sz w:val="26"/>
          <w:szCs w:val="26"/>
        </w:rPr>
      </w:pPr>
    </w:p>
    <w:tbl>
      <w:tblPr>
        <w:tblW w:w="0" w:type="auto"/>
        <w:jc w:val="left"/>
        <w:tblInd w:w="147" w:type="dxa"/>
        <w:tblLayout w:type="fixed"/>
        <w:tblCellMar>
          <w:top w:w="0" w:type="dxa"/>
          <w:left w:w="0" w:type="dxa"/>
          <w:bottom w:w="0" w:type="dxa"/>
          <w:right w:w="0" w:type="dxa"/>
        </w:tblCellMar>
        <w:tblLook w:val="01E0"/>
      </w:tblPr>
      <w:tblGrid>
        <w:gridCol w:w="3000"/>
        <w:gridCol w:w="1939"/>
        <w:gridCol w:w="2842"/>
      </w:tblGrid>
      <w:tr>
        <w:trPr>
          <w:trHeight w:val="346"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3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占预付账款期末余额比例</w:t>
            </w:r>
          </w:p>
        </w:tc>
      </w:tr>
      <w:tr>
        <w:trPr>
          <w:trHeight w:val="660"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中联正安消防工程有限公司</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800,000.00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7.65%</w:t>
            </w:r>
          </w:p>
        </w:tc>
      </w:tr>
      <w:tr>
        <w:trPr>
          <w:trHeight w:val="660"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上海宸诺印刷科技有限公司</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558,585.20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5.34%</w:t>
            </w:r>
          </w:p>
        </w:tc>
      </w:tr>
      <w:tr>
        <w:trPr>
          <w:trHeight w:val="65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北京银联金卡科技有限公司</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547,780.00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5.24%</w:t>
            </w:r>
          </w:p>
        </w:tc>
      </w:tr>
      <w:tr>
        <w:trPr>
          <w:trHeight w:val="660"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广州市明森机电设备有限公司</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510,000.00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4.88%</w:t>
            </w:r>
          </w:p>
        </w:tc>
      </w:tr>
      <w:tr>
        <w:trPr>
          <w:trHeight w:val="65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北京东得锅炉安装有限责任公司</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370,400.00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3.54%</w:t>
            </w:r>
          </w:p>
        </w:tc>
      </w:tr>
      <w:tr>
        <w:trPr>
          <w:trHeight w:val="660"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2,786,765.20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sz w:val="21"/>
              </w:rPr>
              <w:t>26.65%</w:t>
            </w:r>
          </w:p>
        </w:tc>
      </w:tr>
    </w:tbl>
    <w:p>
      <w:pPr>
        <w:pStyle w:val="BodyText"/>
        <w:spacing w:line="307" w:lineRule="auto" w:before="28"/>
        <w:ind w:right="8616"/>
        <w:jc w:val="left"/>
      </w:pP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7、应收利息</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（1）应收利息分类</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（2）重要逾期利息</w:t>
      </w:r>
    </w:p>
    <w:p>
      <w:pPr>
        <w:spacing w:line="240" w:lineRule="auto" w:before="12"/>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32" w:right="108" w:hanging="420"/>
              <w:jc w:val="left"/>
              <w:rPr>
                <w:rFonts w:ascii="宋体" w:hAnsi="宋体" w:cs="宋体" w:eastAsia="宋体" w:hint="default"/>
                <w:sz w:val="21"/>
                <w:szCs w:val="21"/>
              </w:rPr>
            </w:pPr>
            <w:r>
              <w:rPr>
                <w:rFonts w:ascii="宋体" w:hAnsi="宋体" w:cs="宋体" w:eastAsia="宋体" w:hint="default"/>
                <w:sz w:val="21"/>
                <w:szCs w:val="21"/>
              </w:rPr>
              <w:t>是否发生减值及其</w:t>
            </w:r>
            <w:r>
              <w:rPr>
                <w:rFonts w:ascii="宋体" w:hAnsi="宋体" w:cs="宋体" w:eastAsia="宋体" w:hint="default"/>
                <w:w w:val="100"/>
                <w:sz w:val="21"/>
                <w:szCs w:val="21"/>
              </w:rPr>
              <w:t> </w:t>
            </w:r>
            <w:r>
              <w:rPr>
                <w:rFonts w:ascii="宋体" w:hAnsi="宋体" w:cs="宋体" w:eastAsia="宋体" w:hint="default"/>
                <w:sz w:val="21"/>
                <w:szCs w:val="21"/>
              </w:rPr>
              <w:t>判断依据</w:t>
            </w:r>
          </w:p>
        </w:tc>
      </w:tr>
    </w:tbl>
    <w:p>
      <w:pPr>
        <w:pStyle w:val="BodyText"/>
        <w:spacing w:line="240" w:lineRule="auto" w:before="29"/>
        <w:ind w:right="2880"/>
        <w:jc w:val="left"/>
      </w:pPr>
      <w:r>
        <w:rPr/>
        <w:t>其他说明：</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8、应收股利</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（1）应收股利</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4" w:right="0"/>
              <w:jc w:val="left"/>
              <w:rPr>
                <w:rFonts w:ascii="宋体" w:hAnsi="宋体" w:cs="宋体" w:eastAsia="宋体" w:hint="default"/>
                <w:sz w:val="21"/>
                <w:szCs w:val="21"/>
              </w:rPr>
            </w:pPr>
            <w:r>
              <w:rPr>
                <w:rFonts w:ascii="宋体" w:hAnsi="宋体" w:cs="宋体" w:eastAsia="宋体" w:hint="default"/>
                <w:sz w:val="21"/>
                <w:szCs w:val="21"/>
              </w:rPr>
              <w:t>项目(或被投资单位)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（2）重要的账龄超过</w:t>
      </w:r>
      <w:r>
        <w:rPr>
          <w:spacing w:val="-45"/>
        </w:rPr>
        <w:t> </w:t>
      </w:r>
      <w:r>
        <w:rPr/>
        <w:t>1</w:t>
      </w:r>
      <w:r>
        <w:rPr>
          <w:spacing w:val="-45"/>
        </w:rPr>
        <w:t> </w:t>
      </w:r>
      <w:r>
        <w:rPr/>
        <w:t>年的应收股利</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793" w:right="161" w:hanging="629"/>
              <w:jc w:val="left"/>
              <w:rPr>
                <w:rFonts w:ascii="宋体" w:hAnsi="宋体" w:cs="宋体" w:eastAsia="宋体" w:hint="default"/>
                <w:sz w:val="21"/>
                <w:szCs w:val="21"/>
              </w:rPr>
            </w:pPr>
            <w:r>
              <w:rPr>
                <w:rFonts w:ascii="宋体" w:hAnsi="宋体" w:cs="宋体" w:eastAsia="宋体" w:hint="default"/>
                <w:sz w:val="21"/>
                <w:szCs w:val="21"/>
              </w:rPr>
              <w:t>项目(或被投资单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532" w:right="108" w:hanging="420"/>
              <w:jc w:val="left"/>
              <w:rPr>
                <w:rFonts w:ascii="宋体" w:hAnsi="宋体" w:cs="宋体" w:eastAsia="宋体" w:hint="default"/>
                <w:sz w:val="21"/>
                <w:szCs w:val="21"/>
              </w:rPr>
            </w:pPr>
            <w:r>
              <w:rPr>
                <w:rFonts w:ascii="宋体" w:hAnsi="宋体" w:cs="宋体" w:eastAsia="宋体" w:hint="default"/>
                <w:sz w:val="21"/>
                <w:szCs w:val="21"/>
              </w:rPr>
              <w:t>是否发生减值及其</w:t>
            </w:r>
            <w:r>
              <w:rPr>
                <w:rFonts w:ascii="宋体" w:hAnsi="宋体" w:cs="宋体" w:eastAsia="宋体" w:hint="default"/>
                <w:w w:val="100"/>
                <w:sz w:val="21"/>
                <w:szCs w:val="21"/>
              </w:rPr>
              <w:t> </w:t>
            </w:r>
            <w:r>
              <w:rPr>
                <w:rFonts w:ascii="宋体" w:hAnsi="宋体" w:cs="宋体" w:eastAsia="宋体" w:hint="default"/>
                <w:sz w:val="21"/>
                <w:szCs w:val="21"/>
              </w:rPr>
              <w:t>判断依据</w:t>
            </w:r>
          </w:p>
        </w:tc>
      </w:tr>
    </w:tbl>
    <w:p>
      <w:pPr>
        <w:pStyle w:val="BodyText"/>
        <w:spacing w:line="535" w:lineRule="auto" w:before="28"/>
        <w:ind w:right="8406"/>
        <w:jc w:val="left"/>
      </w:pPr>
      <w:r>
        <w:rPr/>
        <w:t>其他说明：</w:t>
      </w:r>
      <w:r>
        <w:rPr>
          <w:spacing w:val="-102"/>
        </w:rPr>
        <w:t> </w:t>
      </w:r>
      <w:r>
        <w:rPr>
          <w:spacing w:val="-102"/>
        </w:rPr>
      </w:r>
      <w:r>
        <w:rPr/>
        <w:t>9、其他应收款</w:t>
      </w:r>
    </w:p>
    <w:p>
      <w:pPr>
        <w:pStyle w:val="BodyText"/>
        <w:spacing w:line="240" w:lineRule="auto" w:before="79"/>
        <w:ind w:right="2880"/>
        <w:jc w:val="left"/>
      </w:pPr>
      <w:r>
        <w:rPr/>
        <w:t>（1）其他应收款分类披露</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8"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38,643</w:t>
            </w:r>
          </w:p>
          <w:p>
            <w:pPr>
              <w:pStyle w:val="TableParagraph"/>
              <w:spacing w:line="240" w:lineRule="auto" w:before="37"/>
              <w:ind w:right="17"/>
              <w:jc w:val="right"/>
              <w:rPr>
                <w:rFonts w:ascii="宋体" w:hAnsi="宋体" w:cs="宋体" w:eastAsia="宋体" w:hint="default"/>
                <w:sz w:val="21"/>
                <w:szCs w:val="21"/>
              </w:rPr>
            </w:pPr>
            <w:r>
              <w:rPr>
                <w:rFonts w:ascii="宋体"/>
                <w:sz w:val="21"/>
              </w:rPr>
              <w:t>,384.2</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9" w:right="0"/>
              <w:jc w:val="center"/>
              <w:rPr>
                <w:rFonts w:ascii="宋体" w:hAnsi="宋体" w:cs="宋体" w:eastAsia="宋体" w:hint="default"/>
                <w:sz w:val="21"/>
                <w:szCs w:val="21"/>
              </w:rPr>
            </w:pPr>
            <w:r>
              <w:rPr>
                <w:rFonts w:ascii="宋体"/>
                <w:sz w:val="21"/>
              </w:rPr>
              <w:t>28.77%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14,093</w:t>
            </w:r>
          </w:p>
          <w:p>
            <w:pPr>
              <w:pStyle w:val="TableParagraph"/>
              <w:spacing w:line="240" w:lineRule="auto" w:before="37"/>
              <w:ind w:right="19"/>
              <w:jc w:val="right"/>
              <w:rPr>
                <w:rFonts w:ascii="宋体" w:hAnsi="宋体" w:cs="宋体" w:eastAsia="宋体" w:hint="default"/>
                <w:sz w:val="21"/>
                <w:szCs w:val="21"/>
              </w:rPr>
            </w:pPr>
            <w:r>
              <w:rPr>
                <w:rFonts w:ascii="宋体"/>
                <w:sz w:val="21"/>
              </w:rPr>
              <w:t>,234.7</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36.47%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24,550</w:t>
            </w:r>
          </w:p>
          <w:p>
            <w:pPr>
              <w:pStyle w:val="TableParagraph"/>
              <w:spacing w:line="240" w:lineRule="auto" w:before="37"/>
              <w:ind w:right="17"/>
              <w:jc w:val="right"/>
              <w:rPr>
                <w:rFonts w:ascii="宋体" w:hAnsi="宋体" w:cs="宋体" w:eastAsia="宋体" w:hint="default"/>
                <w:sz w:val="21"/>
                <w:szCs w:val="21"/>
              </w:rPr>
            </w:pPr>
            <w:r>
              <w:rPr>
                <w:rFonts w:ascii="宋体"/>
                <w:sz w:val="21"/>
              </w:rPr>
              <w:t>,149.5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sz w:val="21"/>
              </w:rPr>
              <w:t>51,64</w:t>
            </w:r>
          </w:p>
          <w:p>
            <w:pPr>
              <w:pStyle w:val="TableParagraph"/>
              <w:spacing w:line="240" w:lineRule="auto" w:before="37"/>
              <w:ind w:left="98" w:right="0"/>
              <w:jc w:val="left"/>
              <w:rPr>
                <w:rFonts w:ascii="宋体" w:hAnsi="宋体" w:cs="宋体" w:eastAsia="宋体" w:hint="default"/>
                <w:sz w:val="21"/>
                <w:szCs w:val="21"/>
              </w:rPr>
            </w:pPr>
            <w:r>
              <w:rPr>
                <w:rFonts w:ascii="宋体"/>
                <w:sz w:val="21"/>
              </w:rPr>
              <w:t>3,384</w:t>
            </w:r>
          </w:p>
          <w:p>
            <w:pPr>
              <w:pStyle w:val="TableParagraph"/>
              <w:spacing w:line="240" w:lineRule="auto" w:before="37"/>
              <w:ind w:left="309" w:right="0"/>
              <w:jc w:val="left"/>
              <w:rPr>
                <w:rFonts w:ascii="宋体" w:hAnsi="宋体" w:cs="宋体" w:eastAsia="宋体" w:hint="default"/>
                <w:sz w:val="21"/>
                <w:szCs w:val="21"/>
              </w:rPr>
            </w:pPr>
            <w:r>
              <w:rPr>
                <w:rFonts w:ascii="宋体"/>
                <w:sz w:val="21"/>
              </w:rPr>
              <w:t>.24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sz w:val="21"/>
              </w:rPr>
              <w:t>51.21%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21"/>
                <w:szCs w:val="21"/>
              </w:rPr>
            </w:pPr>
            <w:r>
              <w:rPr>
                <w:rFonts w:ascii="宋体"/>
                <w:sz w:val="21"/>
              </w:rPr>
              <w:t>11,292,</w:t>
            </w:r>
          </w:p>
          <w:p>
            <w:pPr>
              <w:pStyle w:val="TableParagraph"/>
              <w:spacing w:line="240" w:lineRule="auto" w:before="37"/>
              <w:ind w:left="132" w:right="0"/>
              <w:jc w:val="center"/>
              <w:rPr>
                <w:rFonts w:ascii="宋体" w:hAnsi="宋体" w:cs="宋体" w:eastAsia="宋体" w:hint="default"/>
                <w:sz w:val="21"/>
                <w:szCs w:val="21"/>
              </w:rPr>
            </w:pPr>
            <w:r>
              <w:rPr>
                <w:rFonts w:ascii="宋体"/>
                <w:sz w:val="21"/>
              </w:rPr>
              <w:t>978.00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21.87%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40,350,4</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06.24</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95,671</w:t>
            </w:r>
          </w:p>
          <w:p>
            <w:pPr>
              <w:pStyle w:val="TableParagraph"/>
              <w:spacing w:line="240" w:lineRule="auto" w:before="37"/>
              <w:ind w:right="17"/>
              <w:jc w:val="right"/>
              <w:rPr>
                <w:rFonts w:ascii="宋体" w:hAnsi="宋体" w:cs="宋体" w:eastAsia="宋体" w:hint="default"/>
                <w:sz w:val="21"/>
                <w:szCs w:val="21"/>
              </w:rPr>
            </w:pPr>
            <w:r>
              <w:rPr>
                <w:rFonts w:ascii="宋体"/>
                <w:sz w:val="21"/>
              </w:rPr>
              <w:t>,838.3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9" w:right="0"/>
              <w:jc w:val="center"/>
              <w:rPr>
                <w:rFonts w:ascii="宋体" w:hAnsi="宋体" w:cs="宋体" w:eastAsia="宋体" w:hint="default"/>
                <w:sz w:val="21"/>
                <w:szCs w:val="21"/>
              </w:rPr>
            </w:pPr>
            <w:r>
              <w:rPr>
                <w:rFonts w:ascii="宋体"/>
                <w:sz w:val="21"/>
              </w:rPr>
              <w:t>71.23%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sz w:val="21"/>
              </w:rPr>
              <w:t>3,723,</w:t>
            </w:r>
          </w:p>
          <w:p>
            <w:pPr>
              <w:pStyle w:val="TableParagraph"/>
              <w:spacing w:line="240" w:lineRule="auto" w:before="37"/>
              <w:ind w:left="98" w:right="0"/>
              <w:jc w:val="left"/>
              <w:rPr>
                <w:rFonts w:ascii="宋体" w:hAnsi="宋体" w:cs="宋体" w:eastAsia="宋体" w:hint="default"/>
                <w:sz w:val="21"/>
                <w:szCs w:val="21"/>
              </w:rPr>
            </w:pPr>
            <w:r>
              <w:rPr>
                <w:rFonts w:ascii="宋体"/>
                <w:sz w:val="21"/>
              </w:rPr>
              <w:t>126.34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91,948</w:t>
            </w:r>
          </w:p>
          <w:p>
            <w:pPr>
              <w:pStyle w:val="TableParagraph"/>
              <w:spacing w:line="240" w:lineRule="auto" w:before="37"/>
              <w:ind w:right="17"/>
              <w:jc w:val="right"/>
              <w:rPr>
                <w:rFonts w:ascii="宋体" w:hAnsi="宋体" w:cs="宋体" w:eastAsia="宋体" w:hint="default"/>
                <w:sz w:val="21"/>
                <w:szCs w:val="21"/>
              </w:rPr>
            </w:pPr>
            <w:r>
              <w:rPr>
                <w:rFonts w:ascii="宋体"/>
                <w:sz w:val="21"/>
              </w:rPr>
              <w:t>,712.0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sz w:val="21"/>
              </w:rPr>
              <w:t>49,19</w:t>
            </w:r>
          </w:p>
          <w:p>
            <w:pPr>
              <w:pStyle w:val="TableParagraph"/>
              <w:spacing w:line="240" w:lineRule="auto" w:before="37"/>
              <w:ind w:left="98" w:right="0"/>
              <w:jc w:val="left"/>
              <w:rPr>
                <w:rFonts w:ascii="宋体" w:hAnsi="宋体" w:cs="宋体" w:eastAsia="宋体" w:hint="default"/>
                <w:sz w:val="21"/>
                <w:szCs w:val="21"/>
              </w:rPr>
            </w:pPr>
            <w:r>
              <w:rPr>
                <w:rFonts w:ascii="宋体"/>
                <w:sz w:val="21"/>
              </w:rPr>
              <w:t>5,989</w:t>
            </w:r>
          </w:p>
          <w:p>
            <w:pPr>
              <w:pStyle w:val="TableParagraph"/>
              <w:spacing w:line="240" w:lineRule="auto" w:before="37"/>
              <w:ind w:left="309" w:right="0"/>
              <w:jc w:val="left"/>
              <w:rPr>
                <w:rFonts w:ascii="宋体" w:hAnsi="宋体" w:cs="宋体" w:eastAsia="宋体" w:hint="default"/>
                <w:sz w:val="21"/>
                <w:szCs w:val="21"/>
              </w:rPr>
            </w:pPr>
            <w:r>
              <w:rPr>
                <w:rFonts w:ascii="宋体"/>
                <w:sz w:val="21"/>
              </w:rPr>
              <w:t>.45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8" w:right="0"/>
              <w:jc w:val="left"/>
              <w:rPr>
                <w:rFonts w:ascii="宋体" w:hAnsi="宋体" w:cs="宋体" w:eastAsia="宋体" w:hint="default"/>
                <w:sz w:val="21"/>
                <w:szCs w:val="21"/>
              </w:rPr>
            </w:pPr>
            <w:r>
              <w:rPr>
                <w:rFonts w:ascii="宋体"/>
                <w:sz w:val="21"/>
              </w:rPr>
              <w:t>48.79%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1,443,3</w:t>
            </w:r>
          </w:p>
          <w:p>
            <w:pPr>
              <w:pStyle w:val="TableParagraph"/>
              <w:spacing w:line="240" w:lineRule="auto" w:before="37"/>
              <w:ind w:left="256" w:right="0"/>
              <w:jc w:val="left"/>
              <w:rPr>
                <w:rFonts w:ascii="宋体" w:hAnsi="宋体" w:cs="宋体" w:eastAsia="宋体" w:hint="default"/>
                <w:sz w:val="21"/>
                <w:szCs w:val="21"/>
              </w:rPr>
            </w:pPr>
            <w:r>
              <w:rPr>
                <w:rFonts w:ascii="宋体"/>
                <w:sz w:val="21"/>
              </w:rPr>
              <w:t>25.01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2.93%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47,752,6</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64.44</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134,31</w:t>
            </w:r>
          </w:p>
          <w:p>
            <w:pPr>
              <w:pStyle w:val="TableParagraph"/>
              <w:spacing w:line="240" w:lineRule="auto" w:before="37"/>
              <w:ind w:right="17"/>
              <w:jc w:val="right"/>
              <w:rPr>
                <w:rFonts w:ascii="宋体" w:hAnsi="宋体" w:cs="宋体" w:eastAsia="宋体" w:hint="default"/>
                <w:sz w:val="21"/>
                <w:szCs w:val="21"/>
              </w:rPr>
            </w:pPr>
            <w:r>
              <w:rPr>
                <w:rFonts w:ascii="宋体"/>
                <w:sz w:val="21"/>
              </w:rPr>
              <w:t>5,222.</w:t>
            </w:r>
          </w:p>
          <w:p>
            <w:pPr>
              <w:pStyle w:val="TableParagraph"/>
              <w:spacing w:line="240" w:lineRule="auto" w:before="37"/>
              <w:ind w:right="19"/>
              <w:jc w:val="right"/>
              <w:rPr>
                <w:rFonts w:ascii="宋体" w:hAnsi="宋体" w:cs="宋体" w:eastAsia="宋体" w:hint="default"/>
                <w:sz w:val="21"/>
                <w:szCs w:val="21"/>
              </w:rPr>
            </w:pPr>
            <w:r>
              <w:rPr>
                <w:rFonts w:ascii="宋体"/>
                <w:sz w:val="21"/>
              </w:rPr>
              <w:t>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17,816</w:t>
            </w:r>
          </w:p>
          <w:p>
            <w:pPr>
              <w:pStyle w:val="TableParagraph"/>
              <w:spacing w:line="240" w:lineRule="auto" w:before="37"/>
              <w:ind w:right="19"/>
              <w:jc w:val="right"/>
              <w:rPr>
                <w:rFonts w:ascii="宋体" w:hAnsi="宋体" w:cs="宋体" w:eastAsia="宋体" w:hint="default"/>
                <w:sz w:val="21"/>
                <w:szCs w:val="21"/>
              </w:rPr>
            </w:pPr>
            <w:r>
              <w:rPr>
                <w:rFonts w:ascii="宋体"/>
                <w:sz w:val="21"/>
              </w:rPr>
              <w:t>,361.0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13.26%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116,49</w:t>
            </w:r>
          </w:p>
          <w:p>
            <w:pPr>
              <w:pStyle w:val="TableParagraph"/>
              <w:spacing w:line="240" w:lineRule="auto" w:before="37"/>
              <w:ind w:right="17"/>
              <w:jc w:val="right"/>
              <w:rPr>
                <w:rFonts w:ascii="宋体" w:hAnsi="宋体" w:cs="宋体" w:eastAsia="宋体" w:hint="default"/>
                <w:sz w:val="21"/>
                <w:szCs w:val="21"/>
              </w:rPr>
            </w:pPr>
            <w:r>
              <w:rPr>
                <w:rFonts w:ascii="宋体"/>
                <w:sz w:val="21"/>
              </w:rPr>
              <w:t>8,861.</w:t>
            </w:r>
          </w:p>
          <w:p>
            <w:pPr>
              <w:pStyle w:val="TableParagraph"/>
              <w:spacing w:line="240" w:lineRule="auto" w:before="37"/>
              <w:ind w:right="19"/>
              <w:jc w:val="right"/>
              <w:rPr>
                <w:rFonts w:ascii="宋体" w:hAnsi="宋体" w:cs="宋体" w:eastAsia="宋体" w:hint="default"/>
                <w:sz w:val="21"/>
                <w:szCs w:val="21"/>
              </w:rPr>
            </w:pPr>
            <w:r>
              <w:rPr>
                <w:rFonts w:ascii="宋体"/>
                <w:sz w:val="21"/>
              </w:rPr>
              <w:t>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9" w:right="0"/>
              <w:jc w:val="center"/>
              <w:rPr>
                <w:rFonts w:ascii="宋体" w:hAnsi="宋体" w:cs="宋体" w:eastAsia="宋体" w:hint="default"/>
                <w:sz w:val="21"/>
                <w:szCs w:val="21"/>
              </w:rPr>
            </w:pPr>
            <w:r>
              <w:rPr>
                <w:rFonts w:ascii="宋体"/>
                <w:sz w:val="21"/>
              </w:rPr>
              <w:t>100,8</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39,37</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3.69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21"/>
                <w:szCs w:val="21"/>
              </w:rPr>
            </w:pPr>
            <w:r>
              <w:rPr>
                <w:rFonts w:ascii="宋体"/>
                <w:sz w:val="21"/>
              </w:rPr>
              <w:t>12,736,</w:t>
            </w:r>
          </w:p>
          <w:p>
            <w:pPr>
              <w:pStyle w:val="TableParagraph"/>
              <w:spacing w:line="240" w:lineRule="auto" w:before="37"/>
              <w:ind w:left="132" w:right="0"/>
              <w:jc w:val="center"/>
              <w:rPr>
                <w:rFonts w:ascii="宋体" w:hAnsi="宋体" w:cs="宋体" w:eastAsia="宋体" w:hint="default"/>
                <w:sz w:val="21"/>
                <w:szCs w:val="21"/>
              </w:rPr>
            </w:pPr>
            <w:r>
              <w:rPr>
                <w:rFonts w:ascii="宋体"/>
                <w:sz w:val="21"/>
              </w:rPr>
              <w:t>303.01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12.63%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88,103,0</w:t>
            </w:r>
          </w:p>
          <w:p>
            <w:pPr>
              <w:pStyle w:val="TableParagraph"/>
              <w:spacing w:line="240" w:lineRule="auto" w:before="37"/>
              <w:ind w:left="374" w:right="0"/>
              <w:jc w:val="left"/>
              <w:rPr>
                <w:rFonts w:ascii="宋体" w:hAnsi="宋体" w:cs="宋体" w:eastAsia="宋体" w:hint="default"/>
                <w:sz w:val="21"/>
                <w:szCs w:val="21"/>
              </w:rPr>
            </w:pPr>
            <w:r>
              <w:rPr>
                <w:rFonts w:ascii="宋体"/>
                <w:sz w:val="21"/>
              </w:rPr>
              <w:t>70.68</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pStyle w:val="BodyText"/>
        <w:spacing w:line="240" w:lineRule="auto" w:before="28"/>
        <w:ind w:right="0"/>
        <w:jc w:val="left"/>
      </w:pPr>
      <w:r>
        <w:rPr>
          <w:spacing w:val="-2"/>
        </w:rPr>
        <w:t>期末单项金额重大并单项计提坏账准备的其他应收款：</w:t>
      </w:r>
    </w:p>
    <w:p>
      <w:pPr>
        <w:pStyle w:val="BodyText"/>
        <w:spacing w:line="240" w:lineRule="auto" w:before="75"/>
        <w:ind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5200" w:space="3493"/>
            <w:col w:w="1257"/>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741" w:right="108" w:hanging="632"/>
              <w:jc w:val="left"/>
              <w:rPr>
                <w:rFonts w:ascii="宋体" w:hAnsi="宋体" w:cs="宋体" w:eastAsia="宋体" w:hint="default"/>
                <w:sz w:val="21"/>
                <w:szCs w:val="21"/>
              </w:rPr>
            </w:pPr>
            <w:r>
              <w:rPr>
                <w:rFonts w:ascii="宋体" w:hAnsi="宋体" w:cs="宋体" w:eastAsia="宋体" w:hint="default"/>
                <w:sz w:val="21"/>
                <w:szCs w:val="21"/>
              </w:rPr>
              <w:t>其他应收款（按单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98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62"/>
              <w:ind w:left="24" w:right="194"/>
              <w:jc w:val="left"/>
              <w:rPr>
                <w:rFonts w:ascii="宋体" w:hAnsi="宋体" w:cs="宋体" w:eastAsia="宋体" w:hint="default"/>
                <w:sz w:val="21"/>
                <w:szCs w:val="21"/>
              </w:rPr>
            </w:pPr>
            <w:r>
              <w:rPr>
                <w:rFonts w:ascii="宋体" w:hAnsi="宋体" w:cs="宋体" w:eastAsia="宋体" w:hint="default"/>
                <w:sz w:val="21"/>
                <w:szCs w:val="21"/>
              </w:rPr>
              <w:t>北京国彩印刷有限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18" w:right="0"/>
              <w:jc w:val="left"/>
              <w:rPr>
                <w:rFonts w:ascii="宋体" w:hAnsi="宋体" w:cs="宋体" w:eastAsia="宋体" w:hint="default"/>
                <w:sz w:val="21"/>
                <w:szCs w:val="21"/>
              </w:rPr>
            </w:pPr>
            <w:r>
              <w:rPr>
                <w:rFonts w:ascii="宋体"/>
                <w:sz w:val="21"/>
              </w:rPr>
              <w:t>38,643,384.24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16" w:right="0"/>
              <w:jc w:val="left"/>
              <w:rPr>
                <w:rFonts w:ascii="宋体" w:hAnsi="宋体" w:cs="宋体" w:eastAsia="宋体" w:hint="default"/>
                <w:sz w:val="21"/>
                <w:szCs w:val="21"/>
              </w:rPr>
            </w:pPr>
            <w:r>
              <w:rPr>
                <w:rFonts w:ascii="宋体"/>
                <w:sz w:val="21"/>
              </w:rPr>
              <w:t>14,093,234.72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50" w:right="0"/>
              <w:jc w:val="left"/>
              <w:rPr>
                <w:rFonts w:ascii="宋体" w:hAnsi="宋体" w:cs="宋体" w:eastAsia="宋体" w:hint="default"/>
                <w:sz w:val="21"/>
                <w:szCs w:val="21"/>
              </w:rPr>
            </w:pPr>
            <w:r>
              <w:rPr>
                <w:rFonts w:ascii="宋体"/>
                <w:sz w:val="21"/>
              </w:rPr>
              <w:t>36.47%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4"/>
              <w:ind w:left="24" w:right="17"/>
              <w:jc w:val="both"/>
              <w:rPr>
                <w:rFonts w:ascii="宋体" w:hAnsi="宋体" w:cs="宋体" w:eastAsia="宋体" w:hint="default"/>
                <w:sz w:val="21"/>
                <w:szCs w:val="21"/>
              </w:rPr>
            </w:pPr>
            <w:r>
              <w:rPr>
                <w:rFonts w:ascii="宋体" w:hAnsi="宋体" w:cs="宋体" w:eastAsia="宋体" w:hint="default"/>
                <w:spacing w:val="15"/>
                <w:sz w:val="21"/>
                <w:szCs w:val="21"/>
              </w:rPr>
              <w:t>本公司</w:t>
            </w:r>
            <w:r>
              <w:rPr>
                <w:rFonts w:ascii="宋体" w:hAnsi="宋体" w:cs="宋体" w:eastAsia="宋体" w:hint="default"/>
                <w:spacing w:val="-73"/>
                <w:sz w:val="21"/>
                <w:szCs w:val="21"/>
              </w:rPr>
              <w:t> </w:t>
            </w:r>
            <w:r>
              <w:rPr>
                <w:rFonts w:ascii="宋体" w:hAnsi="宋体" w:cs="宋体" w:eastAsia="宋体" w:hint="default"/>
                <w:spacing w:val="17"/>
                <w:sz w:val="21"/>
                <w:szCs w:val="21"/>
              </w:rPr>
              <w:t>全资子公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鸿博昊</w:t>
            </w:r>
            <w:r>
              <w:rPr>
                <w:rFonts w:ascii="宋体" w:hAnsi="宋体" w:cs="宋体" w:eastAsia="宋体" w:hint="default"/>
                <w:spacing w:val="-73"/>
                <w:sz w:val="21"/>
                <w:szCs w:val="21"/>
              </w:rPr>
              <w:t> </w:t>
            </w:r>
            <w:r>
              <w:rPr>
                <w:rFonts w:ascii="宋体" w:hAnsi="宋体" w:cs="宋体" w:eastAsia="宋体" w:hint="default"/>
                <w:spacing w:val="17"/>
                <w:sz w:val="21"/>
                <w:szCs w:val="21"/>
              </w:rPr>
              <w:t>天科技有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公司（以下简称“鸿</w:t>
            </w:r>
          </w:p>
        </w:tc>
      </w:tr>
    </w:tbl>
    <w:p>
      <w:pPr>
        <w:spacing w:after="0" w:line="237" w:lineRule="auto"/>
        <w:jc w:val="both"/>
        <w:rPr>
          <w:rFonts w:ascii="宋体" w:hAnsi="宋体" w:cs="宋体" w:eastAsia="宋体" w:hint="default"/>
          <w:sz w:val="21"/>
          <w:szCs w:val="21"/>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36"/>
        <w:ind w:left="0" w:right="135"/>
        <w:jc w:val="right"/>
      </w:pPr>
      <w:r>
        <w:rPr/>
        <w:pict>
          <v:shape style="position:absolute;margin-left:56.49826pt;margin-top:-255.69632pt;width:479.3pt;height:307.4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5"/>
                    <w:gridCol w:w="1913"/>
                    <w:gridCol w:w="1915"/>
                    <w:gridCol w:w="1915"/>
                  </w:tblGrid>
                  <w:tr>
                    <w:trPr>
                      <w:trHeight w:val="277" w:hRule="exact"/>
                    </w:trPr>
                    <w:tc>
                      <w:tcPr>
                        <w:tcW w:w="1913" w:type="dxa"/>
                        <w:vMerge w:val="restart"/>
                        <w:tcBorders>
                          <w:top w:val="single" w:sz="4" w:space="0" w:color="000000"/>
                          <w:left w:val="single" w:sz="4" w:space="0" w:color="000000"/>
                          <w:right w:val="single" w:sz="4" w:space="0" w:color="000000"/>
                        </w:tcBorders>
                      </w:tcPr>
                      <w:p>
                        <w:pPr/>
                      </w:p>
                    </w:tc>
                    <w:tc>
                      <w:tcPr>
                        <w:tcW w:w="1915"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5" w:type="dxa"/>
                        <w:vMerge w:val="restart"/>
                        <w:tcBorders>
                          <w:top w:val="single" w:sz="4" w:space="0" w:color="000000"/>
                          <w:left w:val="single" w:sz="4" w:space="0" w:color="000000"/>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博昊天”）、全资孙</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公司北</w:t>
                        </w:r>
                        <w:r>
                          <w:rPr>
                            <w:rFonts w:ascii="宋体" w:hAnsi="宋体" w:cs="宋体" w:eastAsia="宋体" w:hint="default"/>
                            <w:spacing w:val="-71"/>
                            <w:sz w:val="21"/>
                            <w:szCs w:val="21"/>
                          </w:rPr>
                          <w:t> </w:t>
                        </w:r>
                        <w:r>
                          <w:rPr>
                            <w:rFonts w:ascii="宋体" w:hAnsi="宋体" w:cs="宋体" w:eastAsia="宋体" w:hint="default"/>
                            <w:spacing w:val="17"/>
                            <w:sz w:val="21"/>
                            <w:szCs w:val="21"/>
                          </w:rPr>
                          <w:t>京昊天国</w:t>
                        </w:r>
                        <w:r>
                          <w:rPr>
                            <w:rFonts w:ascii="宋体" w:hAnsi="宋体" w:cs="宋体" w:eastAsia="宋体" w:hint="default"/>
                            <w:spacing w:val="-71"/>
                            <w:sz w:val="21"/>
                            <w:szCs w:val="21"/>
                          </w:rPr>
                          <w:t> </w:t>
                        </w:r>
                        <w:r>
                          <w:rPr>
                            <w:rFonts w:ascii="宋体" w:hAnsi="宋体" w:cs="宋体" w:eastAsia="宋体" w:hint="default"/>
                            <w:sz w:val="21"/>
                            <w:szCs w:val="21"/>
                          </w:rPr>
                          <w:t>彩</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印刷有限公司（以下</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13"/>
                          <w:jc w:val="left"/>
                          <w:rPr>
                            <w:rFonts w:ascii="宋体" w:hAnsi="宋体" w:cs="宋体" w:eastAsia="宋体" w:hint="default"/>
                            <w:sz w:val="21"/>
                            <w:szCs w:val="21"/>
                          </w:rPr>
                        </w:pPr>
                        <w:r>
                          <w:rPr>
                            <w:rFonts w:ascii="宋体" w:hAnsi="宋体" w:cs="宋体" w:eastAsia="宋体" w:hint="default"/>
                            <w:spacing w:val="-1"/>
                            <w:sz w:val="21"/>
                            <w:szCs w:val="21"/>
                          </w:rPr>
                          <w:t>简称“昊天国彩“）</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起诉北</w:t>
                        </w:r>
                        <w:r>
                          <w:rPr>
                            <w:rFonts w:ascii="宋体" w:hAnsi="宋体" w:cs="宋体" w:eastAsia="宋体" w:hint="default"/>
                            <w:spacing w:val="-71"/>
                            <w:sz w:val="21"/>
                            <w:szCs w:val="21"/>
                          </w:rPr>
                          <w:t> </w:t>
                        </w:r>
                        <w:r>
                          <w:rPr>
                            <w:rFonts w:ascii="宋体" w:hAnsi="宋体" w:cs="宋体" w:eastAsia="宋体" w:hint="default"/>
                            <w:spacing w:val="17"/>
                            <w:sz w:val="21"/>
                            <w:szCs w:val="21"/>
                          </w:rPr>
                          <w:t>京国彩印</w:t>
                        </w:r>
                        <w:r>
                          <w:rPr>
                            <w:rFonts w:ascii="宋体" w:hAnsi="宋体" w:cs="宋体" w:eastAsia="宋体" w:hint="default"/>
                            <w:spacing w:val="-71"/>
                            <w:sz w:val="21"/>
                            <w:szCs w:val="21"/>
                          </w:rPr>
                          <w:t> </w:t>
                        </w:r>
                        <w:r>
                          <w:rPr>
                            <w:rFonts w:ascii="宋体" w:hAnsi="宋体" w:cs="宋体" w:eastAsia="宋体" w:hint="default"/>
                            <w:sz w:val="21"/>
                            <w:szCs w:val="21"/>
                          </w:rPr>
                          <w:t>刷</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有限公司（以下简称</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“北京国彩“）租赁</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合同纠纷一案，案件</w:t>
                        </w:r>
                      </w:p>
                    </w:tc>
                  </w:tr>
                  <w:tr>
                    <w:trPr>
                      <w:trHeight w:val="271"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日一审判决生效。根</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据一审判决结果，本</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公司共</w:t>
                        </w:r>
                        <w:r>
                          <w:rPr>
                            <w:rFonts w:ascii="宋体" w:hAnsi="宋体" w:cs="宋体" w:eastAsia="宋体" w:hint="default"/>
                            <w:spacing w:val="-71"/>
                            <w:sz w:val="21"/>
                            <w:szCs w:val="21"/>
                          </w:rPr>
                          <w:t> </w:t>
                        </w:r>
                        <w:r>
                          <w:rPr>
                            <w:rFonts w:ascii="宋体" w:hAnsi="宋体" w:cs="宋体" w:eastAsia="宋体" w:hint="default"/>
                            <w:spacing w:val="17"/>
                            <w:sz w:val="21"/>
                            <w:szCs w:val="21"/>
                          </w:rPr>
                          <w:t>可收回款</w:t>
                        </w:r>
                        <w:r>
                          <w:rPr>
                            <w:rFonts w:ascii="宋体" w:hAnsi="宋体" w:cs="宋体" w:eastAsia="宋体" w:hint="default"/>
                            <w:spacing w:val="-71"/>
                            <w:sz w:val="21"/>
                            <w:szCs w:val="21"/>
                          </w:rPr>
                          <w:t> </w:t>
                        </w:r>
                        <w:r>
                          <w:rPr>
                            <w:rFonts w:ascii="宋体" w:hAnsi="宋体" w:cs="宋体" w:eastAsia="宋体" w:hint="default"/>
                            <w:sz w:val="21"/>
                            <w:szCs w:val="21"/>
                          </w:rPr>
                          <w:t>项</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29,675,754.85</w:t>
                        </w:r>
                        <w:r>
                          <w:rPr>
                            <w:rFonts w:ascii="宋体" w:hAnsi="宋体" w:cs="宋体" w:eastAsia="宋体" w:hint="default"/>
                            <w:spacing w:val="-30"/>
                            <w:sz w:val="21"/>
                            <w:szCs w:val="21"/>
                          </w:rPr>
                          <w:t> </w:t>
                        </w:r>
                        <w:r>
                          <w:rPr>
                            <w:rFonts w:ascii="宋体" w:hAnsi="宋体" w:cs="宋体" w:eastAsia="宋体" w:hint="default"/>
                            <w:sz w:val="21"/>
                            <w:szCs w:val="21"/>
                          </w:rPr>
                          <w:t>元，</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其余款</w:t>
                        </w:r>
                        <w:r>
                          <w:rPr>
                            <w:rFonts w:ascii="宋体" w:hAnsi="宋体" w:cs="宋体" w:eastAsia="宋体" w:hint="default"/>
                            <w:spacing w:val="-71"/>
                            <w:sz w:val="21"/>
                            <w:szCs w:val="21"/>
                          </w:rPr>
                          <w:t> </w:t>
                        </w:r>
                        <w:r>
                          <w:rPr>
                            <w:rFonts w:ascii="宋体" w:hAnsi="宋体" w:cs="宋体" w:eastAsia="宋体" w:hint="default"/>
                            <w:spacing w:val="17"/>
                            <w:sz w:val="21"/>
                            <w:szCs w:val="21"/>
                          </w:rPr>
                          <w:t>项全额计</w:t>
                        </w:r>
                        <w:r>
                          <w:rPr>
                            <w:rFonts w:ascii="宋体" w:hAnsi="宋体" w:cs="宋体" w:eastAsia="宋体" w:hint="default"/>
                            <w:spacing w:val="-71"/>
                            <w:sz w:val="21"/>
                            <w:szCs w:val="21"/>
                          </w:rPr>
                          <w:t> </w:t>
                        </w:r>
                        <w:r>
                          <w:rPr>
                            <w:rFonts w:ascii="宋体" w:hAnsi="宋体" w:cs="宋体" w:eastAsia="宋体" w:hint="default"/>
                            <w:sz w:val="21"/>
                            <w:szCs w:val="21"/>
                          </w:rPr>
                          <w:t>提</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坏账准备，并对可收</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回款项按账龄</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年</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30"/>
                            <w:sz w:val="21"/>
                            <w:szCs w:val="21"/>
                          </w:rPr>
                          <w:t> </w:t>
                        </w:r>
                        <w:r>
                          <w:rPr>
                            <w:rFonts w:ascii="宋体" w:hAnsi="宋体" w:cs="宋体" w:eastAsia="宋体" w:hint="default"/>
                            <w:sz w:val="21"/>
                            <w:szCs w:val="21"/>
                          </w:rPr>
                          <w:t>10%的坏账准备</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金额。案件诉讼情况</w:t>
                        </w:r>
                      </w:p>
                    </w:tc>
                  </w:tr>
                  <w:tr>
                    <w:trPr>
                      <w:trHeight w:val="272" w:hRule="exact"/>
                    </w:trPr>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5" w:type="dxa"/>
                        <w:vMerge/>
                        <w:tcBorders>
                          <w:left w:val="single" w:sz="4" w:space="0" w:color="000000"/>
                          <w:right w:val="single" w:sz="4" w:space="0" w:color="000000"/>
                        </w:tcBorders>
                      </w:tcPr>
                      <w:p>
                        <w:pP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详见“十一、承诺及</w:t>
                        </w:r>
                      </w:p>
                    </w:tc>
                  </w:tr>
                  <w:tr>
                    <w:trPr>
                      <w:trHeight w:val="557" w:hRule="exact"/>
                    </w:trPr>
                    <w:tc>
                      <w:tcPr>
                        <w:tcW w:w="1913" w:type="dxa"/>
                        <w:vMerge/>
                        <w:tcBorders>
                          <w:left w:val="single" w:sz="4" w:space="0" w:color="000000"/>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或有</w:t>
                        </w:r>
                        <w:r>
                          <w:rPr>
                            <w:rFonts w:ascii="宋体" w:hAnsi="宋体" w:cs="宋体" w:eastAsia="宋体" w:hint="default"/>
                            <w:spacing w:val="-3"/>
                            <w:w w:val="100"/>
                            <w:sz w:val="21"/>
                            <w:szCs w:val="21"/>
                          </w:rPr>
                          <w:t>事项</w:t>
                        </w:r>
                        <w:r>
                          <w:rPr>
                            <w:rFonts w:ascii="宋体" w:hAnsi="宋体" w:cs="宋体" w:eastAsia="宋体" w:hint="default"/>
                            <w:spacing w:val="-41"/>
                            <w:w w:val="100"/>
                            <w:sz w:val="21"/>
                            <w:szCs w:val="21"/>
                          </w:rPr>
                          <w:t>”</w:t>
                        </w:r>
                        <w:r>
                          <w:rPr>
                            <w:rFonts w:ascii="宋体" w:hAnsi="宋体" w:cs="宋体" w:eastAsia="宋体" w:hint="default"/>
                            <w:w w:val="100"/>
                            <w:sz w:val="21"/>
                            <w:szCs w:val="21"/>
                          </w:rPr>
                          <w:t>之</w:t>
                        </w:r>
                        <w:r>
                          <w:rPr>
                            <w:rFonts w:ascii="宋体" w:hAnsi="宋体" w:cs="宋体" w:eastAsia="宋体" w:hint="default"/>
                            <w:spacing w:val="-55"/>
                            <w:sz w:val="21"/>
                            <w:szCs w:val="21"/>
                          </w:rPr>
                          <w:t> </w:t>
                        </w:r>
                        <w:r>
                          <w:rPr>
                            <w:rFonts w:ascii="宋体" w:hAnsi="宋体" w:cs="宋体" w:eastAsia="宋体" w:hint="default"/>
                            <w:spacing w:val="-44"/>
                            <w:w w:val="100"/>
                            <w:sz w:val="21"/>
                            <w:szCs w:val="21"/>
                          </w:rPr>
                          <w:t>2</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18" w:right="0"/>
                          <w:jc w:val="left"/>
                          <w:rPr>
                            <w:rFonts w:ascii="宋体" w:hAnsi="宋体" w:cs="宋体" w:eastAsia="宋体" w:hint="default"/>
                            <w:sz w:val="21"/>
                            <w:szCs w:val="21"/>
                          </w:rPr>
                        </w:pPr>
                        <w:r>
                          <w:rPr>
                            <w:rFonts w:ascii="宋体"/>
                            <w:sz w:val="21"/>
                          </w:rPr>
                          <w:t>38,643,384.24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16" w:right="0"/>
                          <w:jc w:val="left"/>
                          <w:rPr>
                            <w:rFonts w:ascii="宋体" w:hAnsi="宋体" w:cs="宋体" w:eastAsia="宋体" w:hint="default"/>
                            <w:sz w:val="21"/>
                            <w:szCs w:val="21"/>
                          </w:rPr>
                        </w:pPr>
                        <w:r>
                          <w:rPr>
                            <w:rFonts w:ascii="宋体"/>
                            <w:sz w:val="21"/>
                          </w:rPr>
                          <w:t>14,093,234.72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25"/>
          <w:pgSz w:w="11910" w:h="16840"/>
          <w:pgMar w:footer="979" w:header="747" w:top="1060" w:bottom="1160" w:left="980" w:right="980"/>
          <w:pgNumType w:start="110"/>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75"/>
        <w:ind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4989" w:space="3704"/>
            <w:col w:w="1257"/>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6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53,332,366.06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2,666,618.31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3,483,937.82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348,393.79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3,353,292.72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646,658.54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45,318.20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45,318.20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60,235,189.80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3,723,126.34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6.18%</w:t>
            </w:r>
          </w:p>
        </w:tc>
      </w:tr>
    </w:tbl>
    <w:p>
      <w:pPr>
        <w:pStyle w:val="BodyText"/>
        <w:spacing w:line="307" w:lineRule="auto" w:before="28"/>
        <w:ind w:right="2880"/>
        <w:jc w:val="left"/>
      </w:pPr>
      <w:r>
        <w:rPr/>
        <w:t>确定该组合依据的说明：</w:t>
      </w:r>
      <w:r>
        <w:rPr>
          <w:w w:val="100"/>
        </w:rPr>
        <w:t> </w:t>
      </w:r>
      <w:r>
        <w:rPr>
          <w:spacing w:val="-2"/>
        </w:rPr>
        <w:t>组合中，采用余额百分比法计提坏账准备的其他应收款：</w:t>
      </w:r>
    </w:p>
    <w:p>
      <w:pPr>
        <w:pStyle w:val="BodyText"/>
        <w:spacing w:line="307" w:lineRule="auto" w:before="19"/>
        <w:ind w:right="4492"/>
        <w:jc w:val="left"/>
      </w:pPr>
      <w:r>
        <w:rPr/>
        <w:t>□ 适用 √</w:t>
      </w:r>
      <w:r>
        <w:rPr>
          <w:spacing w:val="-2"/>
        </w:rPr>
        <w:t> </w:t>
      </w:r>
      <w:r>
        <w:rPr/>
        <w:t>不适用</w:t>
      </w:r>
      <w:r>
        <w:rPr>
          <w:spacing w:val="-103"/>
        </w:rPr>
        <w:t> </w:t>
      </w:r>
      <w:r>
        <w:rPr>
          <w:spacing w:val="-103"/>
        </w:rPr>
      </w:r>
      <w:r>
        <w:rPr>
          <w:spacing w:val="-2"/>
        </w:rPr>
        <w:t>组合中，采用其他方法计提坏账准备的其他应收款：</w:t>
      </w:r>
    </w:p>
    <w:p>
      <w:pPr>
        <w:pStyle w:val="BodyText"/>
        <w:spacing w:line="240" w:lineRule="auto" w:before="16"/>
        <w:ind w:right="2880"/>
        <w:jc w:val="left"/>
      </w:pPr>
      <w:r>
        <w:rPr/>
        <w:t>□ 适用 √ 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（2）本期计提、收回或转回的坏账准备情况</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pStyle w:val="BodyText"/>
        <w:spacing w:line="307" w:lineRule="auto" w:before="36"/>
        <w:ind w:right="-5"/>
        <w:jc w:val="left"/>
      </w:pPr>
      <w:r>
        <w:rPr/>
        <w:t>本期计提坏账准备金额</w:t>
      </w:r>
      <w:r>
        <w:rPr>
          <w:spacing w:val="-56"/>
        </w:rPr>
        <w:t> </w:t>
      </w:r>
      <w:r>
        <w:rPr/>
        <w:t>5,232,784.20</w:t>
      </w:r>
      <w:r>
        <w:rPr>
          <w:spacing w:val="-56"/>
        </w:rPr>
        <w:t> </w:t>
      </w:r>
      <w:r>
        <w:rPr/>
        <w:t>元；本期收回或转回坏账准备金额</w:t>
      </w:r>
      <w:r>
        <w:rPr>
          <w:spacing w:val="-56"/>
        </w:rPr>
        <w:t> </w:t>
      </w:r>
      <w:r>
        <w:rPr/>
        <w:t>0.00</w:t>
      </w:r>
      <w:r>
        <w:rPr>
          <w:spacing w:val="-57"/>
        </w:rPr>
        <w:t> </w:t>
      </w:r>
      <w:r>
        <w:rPr/>
        <w:t>元。</w:t>
      </w:r>
      <w:r>
        <w:rPr>
          <w:w w:val="100"/>
        </w:rPr>
        <w:t> </w:t>
      </w:r>
      <w:r>
        <w:rPr/>
        <w:t>其中本期坏账准备转回或收回金额重要的：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7715" w:space="978"/>
            <w:col w:w="1257"/>
          </w:cols>
        </w:sectPr>
      </w:pP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（3）本期实际核销的其他应收款情况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北京金冠方舟纸业物流有限公司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48,784.40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中国妇女出版社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8,000.00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22,200.00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17,600.00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56,141.75</w:t>
            </w:r>
          </w:p>
        </w:tc>
      </w:tr>
    </w:tbl>
    <w:p>
      <w:pPr>
        <w:pStyle w:val="BodyText"/>
        <w:spacing w:line="240" w:lineRule="auto" w:before="28"/>
        <w:ind w:right="2880"/>
        <w:jc w:val="left"/>
      </w:pPr>
      <w:r>
        <w:rPr/>
        <w:t>其中重要的其他应收款核销情况：</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372" w:right="53" w:hanging="315"/>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bl>
    <w:p>
      <w:pPr>
        <w:pStyle w:val="BodyText"/>
        <w:spacing w:line="240" w:lineRule="auto" w:before="28"/>
        <w:ind w:right="2880"/>
        <w:jc w:val="left"/>
      </w:pPr>
      <w:r>
        <w:rPr/>
        <w:t>其他应收款核销说明：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（4）其他应收款按款项性质分类情况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往来款及额度款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99,937,482.12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63,604,378.79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2,423,036.85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914,079.55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18,079,713.51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18,810,900.65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13,874,990.14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17,510,014.70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134,315,222.62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100,839,373.69</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（5）按欠款方归集的期末余额前五名的其他应收款情况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1026"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57" w:right="50"/>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bl>
    <w:p>
      <w:pPr>
        <w:spacing w:after="0" w:line="271"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北京国彩印刷有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涉及诉讼款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38,643,384.24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28.77%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14,093,234.72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84"/>
              <w:jc w:val="left"/>
              <w:rPr>
                <w:rFonts w:ascii="宋体" w:hAnsi="宋体" w:cs="宋体" w:eastAsia="宋体" w:hint="default"/>
                <w:sz w:val="21"/>
                <w:szCs w:val="21"/>
              </w:rPr>
            </w:pPr>
            <w:r>
              <w:rPr>
                <w:rFonts w:ascii="宋体" w:hAnsi="宋体" w:cs="宋体" w:eastAsia="宋体" w:hint="default"/>
                <w:sz w:val="21"/>
                <w:szCs w:val="21"/>
              </w:rPr>
              <w:t>北京启思睿德文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11,049,554.41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552,477.72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湖北省福利彩票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8,228,157.11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411,407.86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6"/>
                <w:sz w:val="21"/>
                <w:szCs w:val="21"/>
              </w:rPr>
              <w:t>支付宝(中国）网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络技术有限公司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5,986,560.47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无锡市国土资源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局滨湖分局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67,917,656.23</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50.58%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15,057,120.30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（6）涉及政府补助的应收款项</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532" w:right="19" w:hanging="509"/>
              <w:jc w:val="left"/>
              <w:rPr>
                <w:rFonts w:ascii="宋体" w:hAnsi="宋体" w:cs="宋体" w:eastAsia="宋体" w:hint="default"/>
                <w:sz w:val="21"/>
                <w:szCs w:val="21"/>
              </w:rPr>
            </w:pPr>
            <w:r>
              <w:rPr>
                <w:rFonts w:ascii="宋体" w:hAnsi="宋体" w:cs="宋体" w:eastAsia="宋体" w:hint="default"/>
                <w:spacing w:val="-5"/>
                <w:sz w:val="21"/>
                <w:szCs w:val="21"/>
              </w:rPr>
              <w:t>预计收取的时间、金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额及依据</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（7）因金融资产转移而终止确认的其他应收款</w:t>
      </w:r>
    </w:p>
    <w:p>
      <w:pPr>
        <w:spacing w:line="240" w:lineRule="auto" w:before="12"/>
        <w:rPr>
          <w:rFonts w:ascii="宋体" w:hAnsi="宋体" w:cs="宋体" w:eastAsia="宋体" w:hint="default"/>
          <w:sz w:val="25"/>
          <w:szCs w:val="25"/>
        </w:rPr>
      </w:pPr>
    </w:p>
    <w:p>
      <w:pPr>
        <w:pStyle w:val="BodyText"/>
        <w:spacing w:line="535" w:lineRule="auto"/>
        <w:ind w:right="4492"/>
        <w:jc w:val="left"/>
      </w:pPr>
      <w:r>
        <w:rPr>
          <w:spacing w:val="-1"/>
        </w:rPr>
        <w:t>（8）转移其他应收款且继续涉入形成的资产、负债金额</w:t>
      </w:r>
      <w:r>
        <w:rPr>
          <w:spacing w:val="-64"/>
        </w:rPr>
        <w:t> </w:t>
      </w:r>
      <w:r>
        <w:rPr>
          <w:spacing w:val="-64"/>
        </w:rPr>
      </w:r>
      <w:r>
        <w:rPr/>
        <w:t>其他说明：</w:t>
      </w:r>
    </w:p>
    <w:p>
      <w:pPr>
        <w:pStyle w:val="BodyText"/>
        <w:spacing w:line="240" w:lineRule="auto" w:before="79"/>
        <w:ind w:right="2880"/>
        <w:jc w:val="left"/>
      </w:pPr>
      <w:r>
        <w:rPr/>
        <w:t>10、存货</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（1）存货分类</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37,004,769.4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37,004,769.4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52,074,364.8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52,074,364.8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11,419,705.9</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11,419,705.9</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4,705,307.26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4,705,307.26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71,457,736.3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5,275,813.84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66,181,922.4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52,098,246.1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52,098,246.1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5" w:right="0"/>
              <w:jc w:val="left"/>
              <w:rPr>
                <w:rFonts w:ascii="宋体" w:hAnsi="宋体" w:cs="宋体" w:eastAsia="宋体" w:hint="default"/>
                <w:sz w:val="21"/>
                <w:szCs w:val="21"/>
              </w:rPr>
            </w:pPr>
            <w:r>
              <w:rPr>
                <w:rFonts w:ascii="宋体"/>
                <w:sz w:val="21"/>
              </w:rPr>
              <w:t>925,795.44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3" w:right="0"/>
              <w:jc w:val="left"/>
              <w:rPr>
                <w:rFonts w:ascii="宋体" w:hAnsi="宋体" w:cs="宋体" w:eastAsia="宋体" w:hint="default"/>
                <w:sz w:val="21"/>
                <w:szCs w:val="21"/>
              </w:rPr>
            </w:pPr>
            <w:r>
              <w:rPr>
                <w:rFonts w:ascii="宋体"/>
                <w:sz w:val="21"/>
              </w:rPr>
              <w:t>925,795.44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center"/>
              <w:rPr>
                <w:rFonts w:ascii="宋体" w:hAnsi="宋体" w:cs="宋体" w:eastAsia="宋体" w:hint="default"/>
                <w:sz w:val="21"/>
                <w:szCs w:val="21"/>
              </w:rPr>
            </w:pPr>
            <w:r>
              <w:rPr>
                <w:rFonts w:ascii="宋体"/>
                <w:sz w:val="21"/>
              </w:rPr>
              <w:t>1,122,581.75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center"/>
              <w:rPr>
                <w:rFonts w:ascii="宋体" w:hAnsi="宋体" w:cs="宋体" w:eastAsia="宋体" w:hint="default"/>
                <w:sz w:val="21"/>
                <w:szCs w:val="21"/>
              </w:rPr>
            </w:pPr>
            <w:r>
              <w:rPr>
                <w:rFonts w:ascii="宋体"/>
                <w:sz w:val="21"/>
              </w:rPr>
              <w:t>1,122,581.75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14,587,162.7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14,587,162.7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5,004,390.04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5,004,390.04</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135,395,169.</w:t>
            </w:r>
          </w:p>
          <w:p>
            <w:pPr>
              <w:pStyle w:val="TableParagraph"/>
              <w:spacing w:line="240" w:lineRule="auto" w:before="37"/>
              <w:ind w:right="19"/>
              <w:jc w:val="right"/>
              <w:rPr>
                <w:rFonts w:ascii="宋体" w:hAnsi="宋体" w:cs="宋体" w:eastAsia="宋体" w:hint="default"/>
                <w:sz w:val="21"/>
                <w:szCs w:val="21"/>
              </w:rPr>
            </w:pPr>
            <w:r>
              <w:rPr>
                <w:rFonts w:ascii="宋体"/>
                <w:sz w:val="21"/>
              </w:rPr>
              <w:t>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sz w:val="21"/>
              </w:rPr>
              <w:t>5,275,813.84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130,119,356.</w:t>
            </w:r>
          </w:p>
          <w:p>
            <w:pPr>
              <w:pStyle w:val="TableParagraph"/>
              <w:spacing w:line="240" w:lineRule="auto" w:before="37"/>
              <w:ind w:right="19"/>
              <w:jc w:val="right"/>
              <w:rPr>
                <w:rFonts w:ascii="宋体" w:hAnsi="宋体" w:cs="宋体" w:eastAsia="宋体" w:hint="default"/>
                <w:sz w:val="21"/>
                <w:szCs w:val="21"/>
              </w:rPr>
            </w:pPr>
            <w:r>
              <w:rPr>
                <w:rFonts w:ascii="宋体"/>
                <w:sz w:val="21"/>
              </w:rPr>
              <w:t>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115,004,890.</w:t>
            </w:r>
          </w:p>
          <w:p>
            <w:pPr>
              <w:pStyle w:val="TableParagraph"/>
              <w:spacing w:line="240" w:lineRule="auto" w:before="37"/>
              <w:ind w:right="23"/>
              <w:jc w:val="right"/>
              <w:rPr>
                <w:rFonts w:ascii="宋体" w:hAnsi="宋体" w:cs="宋体" w:eastAsia="宋体" w:hint="default"/>
                <w:sz w:val="21"/>
                <w:szCs w:val="21"/>
              </w:rPr>
            </w:pPr>
            <w:r>
              <w:rPr>
                <w:rFonts w:ascii="宋体"/>
                <w:sz w:val="21"/>
              </w:rPr>
              <w:t>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115,004,890.</w:t>
            </w:r>
          </w:p>
          <w:p>
            <w:pPr>
              <w:pStyle w:val="TableParagraph"/>
              <w:spacing w:line="240" w:lineRule="auto" w:before="37"/>
              <w:ind w:right="23"/>
              <w:jc w:val="right"/>
              <w:rPr>
                <w:rFonts w:ascii="宋体" w:hAnsi="宋体" w:cs="宋体" w:eastAsia="宋体" w:hint="default"/>
                <w:sz w:val="21"/>
                <w:szCs w:val="21"/>
              </w:rPr>
            </w:pPr>
            <w:r>
              <w:rPr>
                <w:rFonts w:ascii="宋体"/>
                <w:sz w:val="21"/>
              </w:rPr>
              <w:t>06</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（2）存货跌价准备</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53"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center"/>
              <w:rPr>
                <w:rFonts w:ascii="宋体" w:hAnsi="宋体" w:cs="宋体" w:eastAsia="宋体" w:hint="default"/>
                <w:sz w:val="21"/>
                <w:szCs w:val="21"/>
              </w:rPr>
            </w:pPr>
            <w:r>
              <w:rPr>
                <w:rFonts w:ascii="宋体"/>
                <w:sz w:val="21"/>
              </w:rPr>
              <w:t>5,275,813.84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 w:right="0"/>
              <w:jc w:val="center"/>
              <w:rPr>
                <w:rFonts w:ascii="宋体" w:hAnsi="宋体" w:cs="宋体" w:eastAsia="宋体" w:hint="default"/>
                <w:sz w:val="21"/>
                <w:szCs w:val="21"/>
              </w:rPr>
            </w:pPr>
            <w:r>
              <w:rPr>
                <w:rFonts w:ascii="宋体"/>
                <w:sz w:val="21"/>
              </w:rPr>
              <w:t>5,275,813.84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center"/>
              <w:rPr>
                <w:rFonts w:ascii="宋体" w:hAnsi="宋体" w:cs="宋体" w:eastAsia="宋体" w:hint="default"/>
                <w:sz w:val="21"/>
                <w:szCs w:val="21"/>
              </w:rPr>
            </w:pPr>
            <w:r>
              <w:rPr>
                <w:rFonts w:ascii="宋体"/>
                <w:sz w:val="21"/>
              </w:rPr>
              <w:t>5,275,813.84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center"/>
              <w:rPr>
                <w:rFonts w:ascii="宋体" w:hAnsi="宋体" w:cs="宋体" w:eastAsia="宋体" w:hint="default"/>
                <w:sz w:val="21"/>
                <w:szCs w:val="21"/>
              </w:rPr>
            </w:pPr>
            <w:r>
              <w:rPr>
                <w:rFonts w:ascii="宋体"/>
                <w:sz w:val="21"/>
              </w:rPr>
              <w:t>5,275,813.84</w:t>
            </w:r>
          </w:p>
        </w:tc>
      </w:tr>
    </w:tbl>
    <w:p>
      <w:pPr>
        <w:pStyle w:val="BodyText"/>
        <w:spacing w:line="262" w:lineRule="exact"/>
        <w:ind w:right="2880"/>
        <w:jc w:val="left"/>
      </w:pPr>
      <w:r>
        <w:rPr>
          <w:w w:val="100"/>
        </w:rPr>
        <w:t>无</w:t>
      </w:r>
    </w:p>
    <w:p>
      <w:pPr>
        <w:spacing w:line="240" w:lineRule="auto" w:before="10"/>
        <w:rPr>
          <w:rFonts w:ascii="宋体" w:hAnsi="宋体" w:cs="宋体" w:eastAsia="宋体" w:hint="default"/>
          <w:sz w:val="25"/>
          <w:szCs w:val="25"/>
        </w:rPr>
      </w:pPr>
    </w:p>
    <w:p>
      <w:pPr>
        <w:pStyle w:val="BodyText"/>
        <w:spacing w:line="240" w:lineRule="auto"/>
        <w:ind w:right="2880"/>
        <w:jc w:val="left"/>
      </w:pPr>
      <w:r>
        <w:rPr/>
        <w:t>（3）存货期末余额含有借款费用资本化金额的说明</w:t>
      </w:r>
    </w:p>
    <w:p>
      <w:pPr>
        <w:spacing w:line="240" w:lineRule="auto" w:before="12"/>
        <w:rPr>
          <w:rFonts w:ascii="宋体" w:hAnsi="宋体" w:cs="宋体" w:eastAsia="宋体" w:hint="default"/>
          <w:sz w:val="25"/>
          <w:szCs w:val="25"/>
        </w:rPr>
      </w:pPr>
    </w:p>
    <w:p>
      <w:pPr>
        <w:pStyle w:val="BodyText"/>
        <w:spacing w:line="240" w:lineRule="auto"/>
        <w:ind w:right="2880"/>
        <w:jc w:val="left"/>
      </w:pPr>
      <w:r>
        <w:rPr/>
        <w:t>（4）期末建造合同形成的已完工未结算资产情况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7"/>
        <w:rPr>
          <w:rFonts w:ascii="宋体" w:hAnsi="宋体" w:cs="宋体" w:eastAsia="宋体" w:hint="default"/>
          <w:sz w:val="6"/>
          <w:szCs w:val="6"/>
        </w:rPr>
      </w:pPr>
    </w:p>
    <w:p>
      <w:pPr>
        <w:spacing w:line="420"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62;top:14;width:22;height:392" coordorigin="4762,14" coordsize="22,392">
              <v:shape style="position:absolute;left:4762;top:14;width:22;height:392" coordorigin="4762,14" coordsize="22,392" path="m4762,406l4783,406,4783,14,4762,14,4762,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793;top:14;width:24;height:392" coordorigin="4793,14" coordsize="24,392">
              <v:shape style="position:absolute;left:4793;top:14;width:24;height:392" coordorigin="4793,14" coordsize="24,392" path="m4793,406l4817,406,4817,14,4793,14,4793,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7;top:14;width:4728;height:392" coordorigin="4817,14" coordsize="4728,392">
              <v:shape style="position:absolute;left:4817;top:14;width:4728;height:392" coordorigin="4817,14" coordsize="4728,392" path="m4817,14l9545,14,9545,406,4817,406,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7999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7999pt" strokecolor="#000000">
                <v:path arrowok="t"/>
              </v:shape>
            </v:group>
            <v:group style="position:absolute;left:5;top:5;width:2;height:411" coordorigin="5,5" coordsize="2,411">
              <v:shape style="position:absolute;left:5;top:5;width:2;height:411" coordorigin="5,5" coordsize="0,411" path="m5,5l5,415e" filled="false" stroked="true" strokeweight=".47999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7999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7999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7999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7999pt" strokecolor="#000000">
                <v:path arrowok="t"/>
              </v:shape>
              <v:shape style="position:absolute;left:2186;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6970;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7"/>
          <w:sz w:val="20"/>
          <w:szCs w:val="20"/>
        </w:rPr>
      </w:r>
    </w:p>
    <w:p>
      <w:pPr>
        <w:pStyle w:val="BodyText"/>
        <w:spacing w:line="535" w:lineRule="auto" w:before="23"/>
        <w:ind w:right="7251"/>
        <w:jc w:val="left"/>
      </w:pPr>
      <w:r>
        <w:rPr/>
        <w:t>其他说明：</w:t>
      </w:r>
      <w:r>
        <w:rPr>
          <w:spacing w:val="-102"/>
        </w:rPr>
        <w:t> </w:t>
      </w:r>
      <w:r>
        <w:rPr>
          <w:spacing w:val="-102"/>
        </w:rPr>
      </w:r>
      <w:r>
        <w:rPr/>
        <w:t>11、划分为持有待售的资产</w:t>
      </w:r>
    </w:p>
    <w:p>
      <w:pPr>
        <w:pStyle w:val="BodyText"/>
        <w:spacing w:line="240" w:lineRule="auto" w:before="81"/>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24"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bl>
    <w:p>
      <w:pPr>
        <w:pStyle w:val="BodyText"/>
        <w:spacing w:line="532" w:lineRule="auto" w:before="28"/>
        <w:ind w:right="7041"/>
        <w:jc w:val="left"/>
      </w:pPr>
      <w:r>
        <w:rPr/>
        <w:t>其他说明：</w:t>
      </w:r>
      <w:r>
        <w:rPr>
          <w:spacing w:val="-102"/>
        </w:rPr>
        <w:t> </w:t>
      </w:r>
      <w:r>
        <w:rPr>
          <w:spacing w:val="-102"/>
        </w:rPr>
      </w:r>
      <w:r>
        <w:rPr/>
        <w:t>12、一年内到期的非流动资产</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307" w:lineRule="auto" w:before="29"/>
        <w:ind w:right="8721"/>
        <w:jc w:val="left"/>
      </w:pP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13、其他流动资产</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7,283,961.26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9,160,419.27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7,283,961.26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9,160,419.27</w:t>
            </w:r>
          </w:p>
        </w:tc>
      </w:tr>
    </w:tbl>
    <w:p>
      <w:pPr>
        <w:pStyle w:val="BodyText"/>
        <w:spacing w:line="240" w:lineRule="auto" w:before="28"/>
        <w:ind w:right="2880"/>
        <w:jc w:val="left"/>
      </w:pPr>
      <w:r>
        <w:rPr/>
        <w:t>其他说明：</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5" w:lineRule="auto" w:before="36"/>
        <w:ind w:right="7671"/>
        <w:jc w:val="left"/>
      </w:pPr>
      <w:r>
        <w:rPr/>
        <w:t>无</w:t>
      </w:r>
      <w:r>
        <w:rPr>
          <w:w w:val="100"/>
        </w:rPr>
        <w:t> </w:t>
      </w:r>
      <w:r>
        <w:rPr/>
        <w:t>14、可供出售金融资产</w:t>
      </w:r>
    </w:p>
    <w:p>
      <w:pPr>
        <w:pStyle w:val="BodyText"/>
        <w:spacing w:line="240" w:lineRule="auto" w:before="81"/>
        <w:ind w:right="2880"/>
        <w:jc w:val="left"/>
      </w:pPr>
      <w:r>
        <w:rPr/>
        <w:t>（1）可供出售金融资产情况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116,060,00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116,060,00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116,060,00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116,060,00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116,060,00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116,060,00</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w:t>
            </w:r>
          </w:p>
          <w:p>
            <w:pPr>
              <w:pStyle w:val="TableParagraph"/>
              <w:spacing w:line="240" w:lineRule="auto" w:before="37"/>
              <w:ind w:right="17"/>
              <w:jc w:val="right"/>
              <w:rPr>
                <w:rFonts w:ascii="宋体" w:hAnsi="宋体" w:cs="宋体" w:eastAsia="宋体" w:hint="default"/>
                <w:sz w:val="21"/>
                <w:szCs w:val="21"/>
              </w:rPr>
            </w:pPr>
            <w:r>
              <w:rPr>
                <w:rFonts w:ascii="宋体"/>
                <w:sz w:val="21"/>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（2）期末按公允价值计量的可供出售金融资产</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07"/>
        <w:gridCol w:w="1915"/>
        <w:gridCol w:w="1915"/>
        <w:gridCol w:w="1915"/>
        <w:gridCol w:w="1915"/>
      </w:tblGrid>
      <w:tr>
        <w:trPr>
          <w:trHeight w:val="1025" w:hRule="exact"/>
        </w:trPr>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38" w:right="103" w:hanging="629"/>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z w:val="21"/>
                <w:szCs w:val="21"/>
              </w:rPr>
              <w:t>分类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15" w:right="53" w:hanging="53"/>
              <w:jc w:val="left"/>
              <w:rPr>
                <w:rFonts w:ascii="宋体" w:hAnsi="宋体" w:cs="宋体" w:eastAsia="宋体" w:hint="default"/>
                <w:sz w:val="21"/>
                <w:szCs w:val="21"/>
              </w:rPr>
            </w:pPr>
            <w:r>
              <w:rPr>
                <w:rFonts w:ascii="宋体" w:hAnsi="宋体" w:cs="宋体" w:eastAsia="宋体" w:hint="default"/>
                <w:sz w:val="21"/>
                <w:szCs w:val="21"/>
              </w:rPr>
              <w:t>权益工具的成本/债</w:t>
            </w:r>
            <w:r>
              <w:rPr>
                <w:rFonts w:ascii="宋体" w:hAnsi="宋体" w:cs="宋体" w:eastAsia="宋体" w:hint="default"/>
                <w:w w:val="100"/>
                <w:sz w:val="21"/>
                <w:szCs w:val="21"/>
              </w:rPr>
              <w:t> </w:t>
            </w:r>
            <w:r>
              <w:rPr>
                <w:rFonts w:ascii="宋体" w:hAnsi="宋体" w:cs="宋体" w:eastAsia="宋体" w:hint="default"/>
                <w:sz w:val="21"/>
                <w:szCs w:val="21"/>
              </w:rPr>
              <w:t>务工具的摊余成本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累计计入其他综合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收益的公允价值变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（3）期末按成本计量的可供出售金融资产</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tcBorders>
              <w:top w:val="single" w:sz="4" w:space="0" w:color="000000"/>
              <w:left w:val="single" w:sz="4" w:space="0" w:color="000000"/>
              <w:bottom w:val="nil" w:sz="6" w:space="0" w:color="auto"/>
              <w:right w:val="single" w:sz="4" w:space="0" w:color="000000"/>
            </w:tcBorders>
            <w:shd w:val="clear" w:color="auto" w:fill="D3D3D3"/>
          </w:tcPr>
          <w:p>
            <w:pP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left="115" w:right="0"/>
              <w:jc w:val="left"/>
              <w:rPr>
                <w:rFonts w:ascii="宋体" w:hAnsi="宋体" w:cs="宋体" w:eastAsia="宋体" w:hint="default"/>
                <w:sz w:val="21"/>
                <w:szCs w:val="21"/>
              </w:rPr>
            </w:pPr>
            <w:r>
              <w:rPr>
                <w:rFonts w:ascii="宋体" w:hAnsi="宋体" w:cs="宋体" w:eastAsia="宋体" w:hint="default"/>
                <w:sz w:val="21"/>
                <w:szCs w:val="21"/>
              </w:rPr>
              <w:t>在被投</w:t>
            </w: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6" w:hRule="exact"/>
        </w:trPr>
        <w:tc>
          <w:tcPr>
            <w:tcW w:w="8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9" w:lineRule="exact"/>
              <w:ind w:right="0"/>
              <w:jc w:val="center"/>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324" w:right="110" w:hanging="209"/>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324" w:right="108"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324" w:right="110" w:hanging="209"/>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38"/>
              <w:ind w:left="324" w:right="108" w:hanging="209"/>
              <w:jc w:val="left"/>
              <w:rPr>
                <w:rFonts w:ascii="宋体" w:hAnsi="宋体" w:cs="宋体" w:eastAsia="宋体" w:hint="default"/>
                <w:sz w:val="21"/>
                <w:szCs w:val="21"/>
              </w:rPr>
            </w:pPr>
            <w:r>
              <w:rPr>
                <w:rFonts w:ascii="宋体" w:hAnsi="宋体" w:cs="宋体" w:eastAsia="宋体" w:hint="default"/>
                <w:sz w:val="21"/>
                <w:szCs w:val="21"/>
              </w:rPr>
              <w:t>本期减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7" w:lineRule="exact"/>
              <w:ind w:left="115" w:right="0"/>
              <w:jc w:val="left"/>
              <w:rPr>
                <w:rFonts w:ascii="宋体" w:hAnsi="宋体" w:cs="宋体" w:eastAsia="宋体" w:hint="default"/>
                <w:sz w:val="21"/>
                <w:szCs w:val="21"/>
              </w:rPr>
            </w:pPr>
            <w:r>
              <w:rPr>
                <w:rFonts w:ascii="宋体" w:hAnsi="宋体" w:cs="宋体" w:eastAsia="宋体" w:hint="default"/>
                <w:sz w:val="21"/>
                <w:szCs w:val="21"/>
              </w:rPr>
              <w:t>资单位</w:t>
            </w:r>
          </w:p>
          <w:p>
            <w:pPr>
              <w:pStyle w:val="TableParagraph"/>
              <w:spacing w:line="273" w:lineRule="auto" w:before="37"/>
              <w:ind w:left="324" w:right="108" w:hanging="209"/>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9"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本期现</w:t>
            </w:r>
          </w:p>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金红利</w:t>
            </w:r>
          </w:p>
        </w:tc>
      </w:tr>
      <w:tr>
        <w:trPr>
          <w:trHeight w:val="359"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成都农</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624"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村商业</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银行股</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84" w:right="0"/>
              <w:jc w:val="center"/>
              <w:rPr>
                <w:rFonts w:ascii="宋体" w:hAnsi="宋体" w:cs="宋体" w:eastAsia="宋体" w:hint="default"/>
                <w:sz w:val="21"/>
                <w:szCs w:val="21"/>
              </w:rPr>
            </w:pPr>
            <w:r>
              <w:rPr>
                <w:rFonts w:ascii="宋体"/>
                <w:sz w:val="21"/>
              </w:rPr>
              <w:t>82,560,</w:t>
            </w:r>
          </w:p>
          <w:p>
            <w:pPr>
              <w:pStyle w:val="TableParagraph"/>
              <w:spacing w:line="240" w:lineRule="auto" w:before="37"/>
              <w:ind w:left="187" w:right="0"/>
              <w:jc w:val="center"/>
              <w:rPr>
                <w:rFonts w:ascii="宋体" w:hAnsi="宋体" w:cs="宋体" w:eastAsia="宋体" w:hint="default"/>
                <w:sz w:val="21"/>
                <w:szCs w:val="21"/>
              </w:rPr>
            </w:pPr>
            <w:r>
              <w:rPr>
                <w:rFonts w:ascii="宋体"/>
                <w:sz w:val="21"/>
              </w:rPr>
              <w:t>000.00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81" w:right="0"/>
              <w:jc w:val="center"/>
              <w:rPr>
                <w:rFonts w:ascii="宋体" w:hAnsi="宋体" w:cs="宋体" w:eastAsia="宋体" w:hint="default"/>
                <w:sz w:val="21"/>
                <w:szCs w:val="21"/>
              </w:rPr>
            </w:pPr>
            <w:r>
              <w:rPr>
                <w:rFonts w:ascii="宋体"/>
                <w:sz w:val="21"/>
              </w:rPr>
              <w:t>82,560,</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000.00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0.58%</w:t>
            </w:r>
          </w:p>
        </w:tc>
        <w:tc>
          <w:tcPr>
            <w:tcW w:w="871" w:type="dxa"/>
            <w:vMerge/>
            <w:tcBorders>
              <w:left w:val="single" w:sz="4" w:space="0" w:color="000000"/>
              <w:right w:val="single" w:sz="4" w:space="0" w:color="000000"/>
            </w:tcBorders>
          </w:tcPr>
          <w:p>
            <w:pPr/>
          </w:p>
        </w:tc>
      </w:tr>
      <w:tr>
        <w:trPr>
          <w:trHeight w:val="354"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份</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360"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厦门翔</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r>
      <w:tr>
        <w:trPr>
          <w:trHeight w:val="311"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安民生</w:t>
            </w: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r>
      <w:tr>
        <w:trPr>
          <w:trHeight w:val="624"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村镇银</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行股份</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sz w:val="21"/>
              </w:rPr>
              <w:t>3,500,0</w:t>
            </w:r>
          </w:p>
          <w:p>
            <w:pPr>
              <w:pStyle w:val="TableParagraph"/>
              <w:spacing w:line="240" w:lineRule="auto" w:before="34"/>
              <w:ind w:left="312" w:right="0"/>
              <w:jc w:val="left"/>
              <w:rPr>
                <w:rFonts w:ascii="宋体" w:hAnsi="宋体" w:cs="宋体" w:eastAsia="宋体" w:hint="default"/>
                <w:sz w:val="21"/>
                <w:szCs w:val="21"/>
              </w:rPr>
            </w:pPr>
            <w:r>
              <w:rPr>
                <w:rFonts w:ascii="宋体"/>
                <w:sz w:val="21"/>
              </w:rPr>
              <w:t>00.00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sz w:val="21"/>
              </w:rPr>
              <w:t>3,500,0</w:t>
            </w:r>
          </w:p>
          <w:p>
            <w:pPr>
              <w:pStyle w:val="TableParagraph"/>
              <w:spacing w:line="240" w:lineRule="auto" w:before="34"/>
              <w:ind w:left="312" w:right="0"/>
              <w:jc w:val="left"/>
              <w:rPr>
                <w:rFonts w:ascii="宋体" w:hAnsi="宋体" w:cs="宋体" w:eastAsia="宋体" w:hint="default"/>
                <w:sz w:val="21"/>
                <w:szCs w:val="21"/>
              </w:rPr>
            </w:pPr>
            <w:r>
              <w:rPr>
                <w:rFonts w:ascii="宋体"/>
                <w:sz w:val="21"/>
              </w:rPr>
              <w:t>00.00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7"/>
              <w:jc w:val="right"/>
              <w:rPr>
                <w:rFonts w:ascii="宋体" w:hAnsi="宋体" w:cs="宋体" w:eastAsia="宋体" w:hint="default"/>
                <w:sz w:val="21"/>
                <w:szCs w:val="21"/>
              </w:rPr>
            </w:pPr>
            <w:r>
              <w:rPr>
                <w:rFonts w:ascii="宋体"/>
                <w:sz w:val="21"/>
              </w:rPr>
              <w:t>5.00%</w:t>
            </w:r>
          </w:p>
        </w:tc>
        <w:tc>
          <w:tcPr>
            <w:tcW w:w="871" w:type="dxa"/>
            <w:vMerge/>
            <w:tcBorders>
              <w:left w:val="single" w:sz="4" w:space="0" w:color="000000"/>
              <w:right w:val="single" w:sz="4" w:space="0" w:color="000000"/>
            </w:tcBorders>
          </w:tcPr>
          <w:p>
            <w:pPr/>
          </w:p>
        </w:tc>
      </w:tr>
      <w:tr>
        <w:trPr>
          <w:trHeight w:val="312"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r>
      <w:tr>
        <w:trPr>
          <w:trHeight w:val="357"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四川融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4" w:right="0"/>
              <w:jc w:val="center"/>
              <w:rPr>
                <w:rFonts w:ascii="宋体" w:hAnsi="宋体" w:cs="宋体" w:eastAsia="宋体" w:hint="default"/>
                <w:sz w:val="21"/>
                <w:szCs w:val="21"/>
              </w:rPr>
            </w:pPr>
            <w:r>
              <w:rPr>
                <w:rFonts w:ascii="宋体"/>
                <w:sz w:val="21"/>
              </w:rPr>
              <w:t>30,000,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1" w:right="0"/>
              <w:jc w:val="center"/>
              <w:rPr>
                <w:rFonts w:ascii="宋体" w:hAnsi="宋体" w:cs="宋体" w:eastAsia="宋体" w:hint="default"/>
                <w:sz w:val="21"/>
                <w:szCs w:val="21"/>
              </w:rPr>
            </w:pPr>
            <w:r>
              <w:rPr>
                <w:rFonts w:ascii="宋体"/>
                <w:sz w:val="21"/>
              </w:rPr>
              <w:t>30,000,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10.71%</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12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4"/>
              <w:jc w:val="both"/>
              <w:rPr>
                <w:rFonts w:ascii="宋体" w:hAnsi="宋体" w:cs="宋体" w:eastAsia="宋体" w:hint="default"/>
                <w:sz w:val="21"/>
                <w:szCs w:val="21"/>
              </w:rPr>
            </w:pPr>
            <w:r>
              <w:rPr>
                <w:rFonts w:ascii="宋体" w:hAnsi="宋体" w:cs="宋体" w:eastAsia="宋体" w:hint="default"/>
                <w:sz w:val="21"/>
                <w:szCs w:val="21"/>
              </w:rPr>
              <w:t>圣投资</w:t>
            </w:r>
            <w:r>
              <w:rPr>
                <w:rFonts w:ascii="宋体" w:hAnsi="宋体" w:cs="宋体" w:eastAsia="宋体" w:hint="default"/>
                <w:spacing w:val="-102"/>
                <w:sz w:val="21"/>
                <w:szCs w:val="21"/>
              </w:rPr>
              <w:t> </w:t>
            </w:r>
            <w:r>
              <w:rPr>
                <w:rFonts w:ascii="宋体" w:hAnsi="宋体" w:cs="宋体" w:eastAsia="宋体" w:hint="default"/>
                <w:sz w:val="21"/>
                <w:szCs w:val="21"/>
              </w:rPr>
              <w:t>管理股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116,060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116,060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（4）报告期内可供出售金融资产减值的变动情况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3"/>
        <w:gridCol w:w="1325"/>
        <w:gridCol w:w="1330"/>
        <w:gridCol w:w="1327"/>
        <w:gridCol w:w="1327"/>
        <w:gridCol w:w="1327"/>
        <w:gridCol w:w="1330"/>
      </w:tblGrid>
      <w:tr>
        <w:trPr>
          <w:trHeight w:val="1025"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0" w:right="57" w:hanging="420"/>
              <w:jc w:val="left"/>
              <w:rPr>
                <w:rFonts w:ascii="宋体" w:hAnsi="宋体" w:cs="宋体" w:eastAsia="宋体"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产分类</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43" w:right="21" w:hanging="315"/>
              <w:jc w:val="left"/>
              <w:rPr>
                <w:rFonts w:ascii="宋体" w:hAnsi="宋体" w:cs="宋体" w:eastAsia="宋体" w:hint="default"/>
                <w:sz w:val="21"/>
                <w:szCs w:val="21"/>
              </w:rPr>
            </w:pPr>
            <w:r>
              <w:rPr>
                <w:rFonts w:ascii="宋体" w:hAnsi="宋体" w:cs="宋体" w:eastAsia="宋体" w:hint="default"/>
                <w:sz w:val="21"/>
                <w:szCs w:val="21"/>
              </w:rPr>
              <w:t>期初已计提减</w:t>
            </w:r>
            <w:r>
              <w:rPr>
                <w:rFonts w:ascii="宋体" w:hAnsi="宋体" w:cs="宋体" w:eastAsia="宋体" w:hint="default"/>
                <w:w w:val="100"/>
                <w:sz w:val="21"/>
                <w:szCs w:val="21"/>
              </w:rPr>
              <w:t> </w:t>
            </w:r>
            <w:r>
              <w:rPr>
                <w:rFonts w:ascii="宋体" w:hAnsi="宋体" w:cs="宋体" w:eastAsia="宋体" w:hint="default"/>
                <w:sz w:val="21"/>
                <w:szCs w:val="21"/>
              </w:rPr>
              <w:t>值余额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 w:right="24"/>
              <w:jc w:val="left"/>
              <w:rPr>
                <w:rFonts w:ascii="宋体" w:hAnsi="宋体" w:cs="宋体" w:eastAsia="宋体" w:hint="default"/>
                <w:sz w:val="21"/>
                <w:szCs w:val="21"/>
              </w:rPr>
            </w:pPr>
            <w:r>
              <w:rPr>
                <w:rFonts w:ascii="宋体" w:hAnsi="宋体" w:cs="宋体" w:eastAsia="宋体" w:hint="default"/>
                <w:sz w:val="21"/>
                <w:szCs w:val="21"/>
              </w:rPr>
              <w:t>其中：从其他</w:t>
            </w:r>
            <w:r>
              <w:rPr>
                <w:rFonts w:ascii="宋体" w:hAnsi="宋体" w:cs="宋体" w:eastAsia="宋体" w:hint="default"/>
                <w:w w:val="100"/>
                <w:sz w:val="21"/>
                <w:szCs w:val="21"/>
              </w:rPr>
              <w:t> </w:t>
            </w:r>
            <w:r>
              <w:rPr>
                <w:rFonts w:ascii="宋体" w:hAnsi="宋体" w:cs="宋体" w:eastAsia="宋体" w:hint="default"/>
                <w:sz w:val="21"/>
                <w:szCs w:val="21"/>
              </w:rPr>
              <w:t>综合收益转入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8" w:right="24"/>
              <w:jc w:val="center"/>
              <w:rPr>
                <w:rFonts w:ascii="宋体" w:hAnsi="宋体" w:cs="宋体" w:eastAsia="宋体" w:hint="default"/>
                <w:sz w:val="21"/>
                <w:szCs w:val="21"/>
              </w:rPr>
            </w:pPr>
            <w:r>
              <w:rPr>
                <w:rFonts w:ascii="宋体" w:hAnsi="宋体" w:cs="宋体" w:eastAsia="宋体" w:hint="default"/>
                <w:spacing w:val="-1"/>
                <w:sz w:val="21"/>
                <w:szCs w:val="21"/>
              </w:rPr>
              <w:t>其中：期后公</w:t>
            </w:r>
            <w:r>
              <w:rPr>
                <w:rFonts w:ascii="宋体" w:hAnsi="宋体" w:cs="宋体" w:eastAsia="宋体" w:hint="default"/>
                <w:w w:val="100"/>
                <w:sz w:val="21"/>
                <w:szCs w:val="21"/>
              </w:rPr>
              <w:t> </w:t>
            </w:r>
            <w:r>
              <w:rPr>
                <w:rFonts w:ascii="宋体" w:hAnsi="宋体" w:cs="宋体" w:eastAsia="宋体" w:hint="default"/>
                <w:spacing w:val="-1"/>
                <w:sz w:val="21"/>
                <w:szCs w:val="21"/>
              </w:rPr>
              <w:t>允价值回升转</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43" w:right="26" w:hanging="315"/>
              <w:jc w:val="left"/>
              <w:rPr>
                <w:rFonts w:ascii="宋体" w:hAnsi="宋体" w:cs="宋体" w:eastAsia="宋体" w:hint="default"/>
                <w:sz w:val="21"/>
                <w:szCs w:val="21"/>
              </w:rPr>
            </w:pPr>
            <w:r>
              <w:rPr>
                <w:rFonts w:ascii="宋体" w:hAnsi="宋体" w:cs="宋体" w:eastAsia="宋体" w:hint="default"/>
                <w:sz w:val="21"/>
                <w:szCs w:val="21"/>
              </w:rPr>
              <w:t>期末已计提减</w:t>
            </w:r>
            <w:r>
              <w:rPr>
                <w:rFonts w:ascii="宋体" w:hAnsi="宋体" w:cs="宋体" w:eastAsia="宋体" w:hint="default"/>
                <w:w w:val="100"/>
                <w:sz w:val="21"/>
                <w:szCs w:val="21"/>
              </w:rPr>
              <w:t> </w:t>
            </w:r>
            <w:r>
              <w:rPr>
                <w:rFonts w:ascii="宋体" w:hAnsi="宋体" w:cs="宋体" w:eastAsia="宋体" w:hint="default"/>
                <w:sz w:val="21"/>
                <w:szCs w:val="21"/>
              </w:rPr>
              <w:t>值余额</w:t>
            </w:r>
          </w:p>
        </w:tc>
      </w:tr>
      <w:tr>
        <w:trPr>
          <w:trHeight w:val="715"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93"/>
              <w:jc w:val="left"/>
              <w:rPr>
                <w:rFonts w:ascii="宋体" w:hAnsi="宋体" w:cs="宋体" w:eastAsia="宋体" w:hint="default"/>
                <w:sz w:val="21"/>
                <w:szCs w:val="21"/>
              </w:rPr>
            </w:pPr>
            <w:r>
              <w:rPr>
                <w:rFonts w:ascii="宋体" w:hAnsi="宋体" w:cs="宋体" w:eastAsia="宋体" w:hint="default"/>
                <w:sz w:val="21"/>
                <w:szCs w:val="21"/>
              </w:rPr>
              <w:t>可供出售权益工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76" w:right="0"/>
              <w:jc w:val="lef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（5）可供出售权益工具期末公允价值严重下跌或非暂时性下跌但未计提减值准备的相关说明</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58" w:right="43" w:hanging="209"/>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 w:right="43"/>
              <w:jc w:val="center"/>
              <w:rPr>
                <w:rFonts w:ascii="宋体" w:hAnsi="宋体" w:cs="宋体" w:eastAsia="宋体" w:hint="default"/>
                <w:sz w:val="21"/>
                <w:szCs w:val="21"/>
              </w:rPr>
            </w:pPr>
            <w:r>
              <w:rPr>
                <w:rFonts w:ascii="宋体" w:hAnsi="宋体" w:cs="宋体" w:eastAsia="宋体" w:hint="default"/>
                <w:spacing w:val="-1"/>
                <w:sz w:val="21"/>
                <w:szCs w:val="21"/>
              </w:rPr>
              <w:t>公允价值相对</w:t>
            </w:r>
            <w:r>
              <w:rPr>
                <w:rFonts w:ascii="宋体" w:hAnsi="宋体" w:cs="宋体" w:eastAsia="宋体" w:hint="default"/>
                <w:w w:val="100"/>
                <w:sz w:val="21"/>
                <w:szCs w:val="21"/>
              </w:rPr>
              <w:t> </w:t>
            </w:r>
            <w:r>
              <w:rPr>
                <w:rFonts w:ascii="宋体" w:hAnsi="宋体" w:cs="宋体" w:eastAsia="宋体" w:hint="default"/>
                <w:spacing w:val="-1"/>
                <w:sz w:val="21"/>
                <w:szCs w:val="21"/>
              </w:rPr>
              <w:t>于成本的下跌</w:t>
            </w:r>
            <w:r>
              <w:rPr>
                <w:rFonts w:ascii="宋体" w:hAnsi="宋体" w:cs="宋体" w:eastAsia="宋体" w:hint="default"/>
                <w:w w:val="100"/>
                <w:sz w:val="21"/>
                <w:szCs w:val="21"/>
              </w:rPr>
              <w:t> </w:t>
            </w:r>
            <w:r>
              <w:rPr>
                <w:rFonts w:ascii="宋体" w:hAnsi="宋体" w:cs="宋体" w:eastAsia="宋体" w:hint="default"/>
                <w:sz w:val="21"/>
                <w:szCs w:val="21"/>
              </w:rPr>
              <w:t>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持续下跌时间</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73" w:right="43" w:hanging="526"/>
              <w:jc w:val="left"/>
              <w:rPr>
                <w:rFonts w:ascii="宋体" w:hAnsi="宋体" w:cs="宋体" w:eastAsia="宋体" w:hint="default"/>
                <w:sz w:val="21"/>
                <w:szCs w:val="21"/>
              </w:rPr>
            </w:pPr>
            <w:r>
              <w:rPr>
                <w:rFonts w:ascii="宋体" w:hAnsi="宋体" w:cs="宋体" w:eastAsia="宋体" w:hint="default"/>
                <w:sz w:val="21"/>
                <w:szCs w:val="21"/>
              </w:rPr>
              <w:t>已计提减值金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73" w:right="45" w:hanging="526"/>
              <w:jc w:val="left"/>
              <w:rPr>
                <w:rFonts w:ascii="宋体" w:hAnsi="宋体" w:cs="宋体" w:eastAsia="宋体" w:hint="default"/>
                <w:sz w:val="21"/>
                <w:szCs w:val="21"/>
              </w:rPr>
            </w:pPr>
            <w:r>
              <w:rPr>
                <w:rFonts w:ascii="宋体" w:hAnsi="宋体" w:cs="宋体" w:eastAsia="宋体" w:hint="default"/>
                <w:sz w:val="21"/>
                <w:szCs w:val="21"/>
              </w:rPr>
              <w:t>未计提减值原</w:t>
            </w:r>
            <w:r>
              <w:rPr>
                <w:rFonts w:ascii="宋体" w:hAnsi="宋体" w:cs="宋体" w:eastAsia="宋体" w:hint="default"/>
                <w:w w:val="100"/>
                <w:sz w:val="21"/>
                <w:szCs w:val="21"/>
              </w:rPr>
              <w:t> </w:t>
            </w:r>
            <w:r>
              <w:rPr>
                <w:rFonts w:ascii="宋体" w:hAnsi="宋体" w:cs="宋体" w:eastAsia="宋体" w:hint="default"/>
                <w:sz w:val="21"/>
                <w:szCs w:val="21"/>
              </w:rPr>
              <w:t>因</w:t>
            </w:r>
          </w:p>
        </w:tc>
      </w:tr>
    </w:tbl>
    <w:p>
      <w:pPr>
        <w:pStyle w:val="BodyText"/>
        <w:spacing w:line="307" w:lineRule="auto" w:before="28"/>
        <w:ind w:right="0"/>
        <w:jc w:val="left"/>
      </w:pPr>
      <w:r>
        <w:rPr/>
        <w:t>其他说明</w:t>
      </w:r>
      <w:r>
        <w:rPr>
          <w:w w:val="100"/>
        </w:rPr>
        <w:t> </w:t>
      </w:r>
      <w:r>
        <w:rPr>
          <w:spacing w:val="-2"/>
        </w:rPr>
        <w:t>上述可供出售的权益工具因在相关市场信息无公开报价且公允价值无法可靠计量，故采用成本计量模式。</w:t>
      </w:r>
    </w:p>
    <w:p>
      <w:pPr>
        <w:spacing w:line="240" w:lineRule="auto" w:before="4"/>
        <w:rPr>
          <w:rFonts w:ascii="宋体" w:hAnsi="宋体" w:cs="宋体" w:eastAsia="宋体" w:hint="default"/>
          <w:sz w:val="21"/>
          <w:szCs w:val="21"/>
        </w:rPr>
      </w:pPr>
    </w:p>
    <w:p>
      <w:pPr>
        <w:pStyle w:val="BodyText"/>
        <w:spacing w:line="240" w:lineRule="auto"/>
        <w:ind w:right="2880"/>
        <w:jc w:val="left"/>
      </w:pPr>
      <w:r>
        <w:rPr/>
        <w:t>15、持有至到期投资</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（1）持有至到期投资情况</w:t>
      </w:r>
    </w:p>
    <w:p>
      <w:pPr>
        <w:spacing w:line="240" w:lineRule="auto" w:before="10"/>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（2）期末重要的持有至到期投资</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9" w:right="0"/>
              <w:jc w:val="left"/>
              <w:rPr>
                <w:rFonts w:ascii="宋体" w:hAnsi="宋体" w:cs="宋体" w:eastAsia="宋体" w:hint="default"/>
                <w:sz w:val="21"/>
                <w:szCs w:val="21"/>
              </w:rPr>
            </w:pPr>
            <w:r>
              <w:rPr>
                <w:rFonts w:ascii="宋体" w:hAnsi="宋体" w:cs="宋体" w:eastAsia="宋体" w:hint="default"/>
                <w:sz w:val="21"/>
                <w:szCs w:val="21"/>
              </w:rPr>
              <w:t>债券项目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到期日</w:t>
            </w:r>
          </w:p>
        </w:tc>
      </w:tr>
    </w:tbl>
    <w:p>
      <w:pPr>
        <w:spacing w:line="240" w:lineRule="auto" w:before="3"/>
        <w:rPr>
          <w:rFonts w:ascii="宋体" w:hAnsi="宋体" w:cs="宋体" w:eastAsia="宋体" w:hint="default"/>
          <w:sz w:val="19"/>
          <w:szCs w:val="19"/>
        </w:rPr>
      </w:pPr>
    </w:p>
    <w:p>
      <w:pPr>
        <w:pStyle w:val="BodyText"/>
        <w:spacing w:line="535" w:lineRule="auto" w:before="36"/>
        <w:ind w:right="6516"/>
        <w:jc w:val="left"/>
      </w:pPr>
      <w:r>
        <w:rPr/>
        <w:t>（3）本期重分类的持有至到期投资</w:t>
      </w:r>
      <w:r>
        <w:rPr>
          <w:spacing w:val="-93"/>
        </w:rPr>
        <w:t> </w:t>
      </w:r>
      <w:r>
        <w:rPr>
          <w:spacing w:val="-93"/>
        </w:rPr>
      </w:r>
      <w:r>
        <w:rPr/>
        <w:t>其他说明</w:t>
      </w:r>
    </w:p>
    <w:p>
      <w:pPr>
        <w:spacing w:after="0" w:line="535"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16、长期应收款</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（1）长期应收款情况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403"/>
        <w:gridCol w:w="1166"/>
        <w:gridCol w:w="1166"/>
        <w:gridCol w:w="1166"/>
        <w:gridCol w:w="1169"/>
        <w:gridCol w:w="1166"/>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（2）因金融资产转移而终止确认的长期应收款</w:t>
      </w:r>
    </w:p>
    <w:p>
      <w:pPr>
        <w:spacing w:line="240" w:lineRule="auto" w:before="10"/>
        <w:rPr>
          <w:rFonts w:ascii="宋体" w:hAnsi="宋体" w:cs="宋体" w:eastAsia="宋体" w:hint="default"/>
          <w:sz w:val="25"/>
          <w:szCs w:val="25"/>
        </w:rPr>
      </w:pPr>
    </w:p>
    <w:p>
      <w:pPr>
        <w:pStyle w:val="BodyText"/>
        <w:spacing w:line="537" w:lineRule="auto"/>
        <w:ind w:right="4492"/>
        <w:jc w:val="left"/>
      </w:pPr>
      <w:r>
        <w:rPr>
          <w:spacing w:val="-1"/>
        </w:rPr>
        <w:t>（3）转移长期应收款且继续涉入形成的资产、负债金额</w:t>
      </w:r>
      <w:r>
        <w:rPr>
          <w:spacing w:val="-64"/>
        </w:rPr>
        <w:t> </w:t>
      </w:r>
      <w:r>
        <w:rPr>
          <w:spacing w:val="-64"/>
        </w:rPr>
      </w:r>
      <w:r>
        <w:rPr/>
        <w:t>其他说明</w:t>
      </w:r>
    </w:p>
    <w:p>
      <w:pPr>
        <w:pStyle w:val="BodyText"/>
        <w:spacing w:line="240" w:lineRule="auto" w:before="76"/>
        <w:ind w:right="2880"/>
        <w:jc w:val="left"/>
      </w:pPr>
      <w:r>
        <w:rPr/>
        <w:t>17、长期股权投资</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181" w:right="74"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pStyle w:val="BodyText"/>
        <w:spacing w:line="535" w:lineRule="auto" w:before="28"/>
        <w:ind w:right="8091"/>
        <w:jc w:val="left"/>
      </w:pPr>
      <w:r>
        <w:rPr/>
        <w:t>其他说明</w:t>
      </w:r>
      <w:r>
        <w:rPr>
          <w:w w:val="100"/>
        </w:rPr>
        <w:t> </w:t>
      </w:r>
      <w:r>
        <w:rPr/>
        <w:t>18、投资性房地产</w:t>
      </w:r>
    </w:p>
    <w:p>
      <w:pPr>
        <w:pStyle w:val="BodyText"/>
        <w:spacing w:line="240" w:lineRule="auto" w:before="81"/>
        <w:ind w:right="2880"/>
        <w:jc w:val="left"/>
      </w:pPr>
      <w:r>
        <w:rPr/>
        <w:t>（1）采用成本计量模式的投资性房地产</w:t>
      </w:r>
    </w:p>
    <w:p>
      <w:pPr>
        <w:spacing w:line="240" w:lineRule="auto" w:before="13"/>
        <w:rPr>
          <w:rFonts w:ascii="宋体" w:hAnsi="宋体" w:cs="宋体" w:eastAsia="宋体" w:hint="default"/>
          <w:sz w:val="22"/>
          <w:szCs w:val="22"/>
        </w:rPr>
      </w:pPr>
    </w:p>
    <w:p>
      <w:pPr>
        <w:pStyle w:val="BodyText"/>
        <w:spacing w:line="240" w:lineRule="auto" w:before="36"/>
        <w:ind w:right="2880"/>
        <w:jc w:val="left"/>
      </w:pPr>
      <w:r>
        <w:rPr/>
        <w:t>√ 适用 □ 不适用</w:t>
      </w:r>
    </w:p>
    <w:p>
      <w:pPr>
        <w:pStyle w:val="BodyText"/>
        <w:spacing w:line="240" w:lineRule="auto" w:before="78"/>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2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0" w:right="0"/>
              <w:jc w:val="center"/>
              <w:rPr>
                <w:rFonts w:ascii="宋体" w:hAnsi="宋体" w:cs="宋体" w:eastAsia="宋体" w:hint="default"/>
                <w:sz w:val="21"/>
                <w:szCs w:val="21"/>
              </w:rPr>
            </w:pPr>
            <w:r>
              <w:rPr>
                <w:rFonts w:ascii="宋体" w:hAnsi="宋体" w:cs="宋体" w:eastAsia="宋体" w:hint="default"/>
                <w:sz w:val="21"/>
                <w:szCs w:val="21"/>
              </w:rPr>
              <w:t>1.期初余额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4,511,223.39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4,511,223.39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0" w:right="0"/>
              <w:jc w:val="center"/>
              <w:rPr>
                <w:rFonts w:ascii="宋体" w:hAnsi="宋体" w:cs="宋体" w:eastAsia="宋体" w:hint="default"/>
                <w:sz w:val="21"/>
                <w:szCs w:val="21"/>
              </w:rPr>
            </w:pPr>
            <w:r>
              <w:rPr>
                <w:rFonts w:ascii="宋体" w:hAnsi="宋体" w:cs="宋体" w:eastAsia="宋体" w:hint="default"/>
                <w:sz w:val="21"/>
                <w:szCs w:val="21"/>
              </w:rPr>
              <w:t>4.期末余额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4,511,223.39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4,511,223.39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0" w:right="0"/>
              <w:jc w:val="center"/>
              <w:rPr>
                <w:rFonts w:ascii="宋体" w:hAnsi="宋体" w:cs="宋体" w:eastAsia="宋体" w:hint="default"/>
                <w:sz w:val="21"/>
                <w:szCs w:val="21"/>
              </w:rPr>
            </w:pPr>
            <w:r>
              <w:rPr>
                <w:rFonts w:ascii="宋体" w:hAnsi="宋体" w:cs="宋体" w:eastAsia="宋体" w:hint="default"/>
                <w:sz w:val="21"/>
                <w:szCs w:val="21"/>
              </w:rPr>
              <w:t>1.期初余额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474,663.05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474,663.05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2.本期增加金</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296,046.57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296,046.57</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（1）计提或摊</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296,046.57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296,046.57</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（3）其他增加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770,709.62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770,709.62</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1.期末账面价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3,740,513.77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3,740,513.77</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2.期初账面价</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4,036,560.34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4,036,560.34</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（2）采用公允价值计量模式的投资性房地产</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8"/>
        <w:rPr>
          <w:rFonts w:ascii="宋体" w:hAnsi="宋体" w:cs="宋体" w:eastAsia="宋体" w:hint="default"/>
          <w:sz w:val="25"/>
          <w:szCs w:val="25"/>
        </w:rPr>
      </w:pPr>
    </w:p>
    <w:p>
      <w:pPr>
        <w:pStyle w:val="BodyText"/>
        <w:spacing w:line="240" w:lineRule="auto"/>
        <w:ind w:right="2880"/>
        <w:jc w:val="left"/>
      </w:pPr>
      <w:r>
        <w:rPr/>
        <w:t>（3）未办妥产权证书的投资性房地产情况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bl>
    <w:p>
      <w:pPr>
        <w:pStyle w:val="BodyText"/>
        <w:spacing w:line="532" w:lineRule="auto" w:before="29"/>
        <w:ind w:right="8511"/>
        <w:jc w:val="left"/>
      </w:pPr>
      <w:r>
        <w:rPr/>
        <w:t>其他说明</w:t>
      </w:r>
      <w:r>
        <w:rPr>
          <w:w w:val="100"/>
        </w:rPr>
        <w:t> </w:t>
      </w:r>
      <w:r>
        <w:rPr/>
        <w:t>19、固定资产</w:t>
      </w:r>
    </w:p>
    <w:p>
      <w:pPr>
        <w:pStyle w:val="BodyText"/>
        <w:spacing w:line="240" w:lineRule="auto" w:before="83"/>
        <w:ind w:right="2880"/>
        <w:jc w:val="left"/>
      </w:pPr>
      <w:r>
        <w:rPr/>
        <w:t>（1）固定资产情况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1"/>
        <w:gridCol w:w="1198"/>
        <w:gridCol w:w="1195"/>
        <w:gridCol w:w="1195"/>
        <w:gridCol w:w="1195"/>
        <w:gridCol w:w="1286"/>
        <w:gridCol w:w="1368"/>
      </w:tblGrid>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7" w:right="65" w:hanging="420"/>
              <w:jc w:val="left"/>
              <w:rPr>
                <w:rFonts w:ascii="宋体" w:hAnsi="宋体" w:cs="宋体" w:eastAsia="宋体" w:hint="default"/>
                <w:sz w:val="21"/>
                <w:szCs w:val="21"/>
              </w:rPr>
            </w:pPr>
            <w:r>
              <w:rPr>
                <w:rFonts w:ascii="宋体" w:hAnsi="宋体" w:cs="宋体" w:eastAsia="宋体" w:hint="default"/>
                <w:sz w:val="21"/>
                <w:szCs w:val="21"/>
              </w:rPr>
              <w:t>房屋及建筑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243,575,14</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8.60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387,038,69</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1.90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14,702,666</w:t>
            </w:r>
          </w:p>
          <w:p>
            <w:pPr>
              <w:pStyle w:val="TableParagraph"/>
              <w:spacing w:line="240" w:lineRule="auto" w:before="34"/>
              <w:ind w:right="17"/>
              <w:jc w:val="right"/>
              <w:rPr>
                <w:rFonts w:ascii="宋体" w:hAnsi="宋体" w:cs="宋体" w:eastAsia="宋体" w:hint="default"/>
                <w:sz w:val="21"/>
                <w:szCs w:val="21"/>
              </w:rPr>
            </w:pPr>
            <w:r>
              <w:rPr>
                <w:rFonts w:ascii="宋体"/>
                <w:sz w:val="21"/>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15,052,689</w:t>
            </w:r>
          </w:p>
          <w:p>
            <w:pPr>
              <w:pStyle w:val="TableParagraph"/>
              <w:spacing w:line="240" w:lineRule="auto" w:before="34"/>
              <w:ind w:right="17"/>
              <w:jc w:val="right"/>
              <w:rPr>
                <w:rFonts w:ascii="宋体" w:hAnsi="宋体" w:cs="宋体" w:eastAsia="宋体" w:hint="default"/>
                <w:sz w:val="21"/>
                <w:szCs w:val="21"/>
              </w:rPr>
            </w:pPr>
            <w:r>
              <w:rPr>
                <w:rFonts w:ascii="宋体"/>
                <w:sz w:val="21"/>
              </w:rPr>
              <w:t>.59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660,369,196.</w:t>
            </w:r>
          </w:p>
          <w:p>
            <w:pPr>
              <w:pStyle w:val="TableParagraph"/>
              <w:spacing w:line="240" w:lineRule="auto" w:before="34"/>
              <w:ind w:right="23"/>
              <w:jc w:val="right"/>
              <w:rPr>
                <w:rFonts w:ascii="宋体" w:hAnsi="宋体" w:cs="宋体" w:eastAsia="宋体" w:hint="default"/>
                <w:sz w:val="21"/>
                <w:szCs w:val="21"/>
              </w:rPr>
            </w:pPr>
            <w:r>
              <w:rPr>
                <w:rFonts w:ascii="宋体"/>
                <w:sz w:val="21"/>
              </w:rPr>
              <w:t>38</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14,580,357</w:t>
            </w:r>
          </w:p>
          <w:p>
            <w:pPr>
              <w:pStyle w:val="TableParagraph"/>
              <w:spacing w:line="240" w:lineRule="auto" w:before="37"/>
              <w:ind w:right="19"/>
              <w:jc w:val="right"/>
              <w:rPr>
                <w:rFonts w:ascii="宋体" w:hAnsi="宋体" w:cs="宋体" w:eastAsia="宋体" w:hint="default"/>
                <w:sz w:val="21"/>
                <w:szCs w:val="21"/>
              </w:rPr>
            </w:pPr>
            <w:r>
              <w:rPr>
                <w:rFonts w:ascii="宋体"/>
                <w:sz w:val="21"/>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36,183,924</w:t>
            </w:r>
          </w:p>
          <w:p>
            <w:pPr>
              <w:pStyle w:val="TableParagraph"/>
              <w:spacing w:line="240" w:lineRule="auto" w:before="37"/>
              <w:ind w:right="17"/>
              <w:jc w:val="right"/>
              <w:rPr>
                <w:rFonts w:ascii="宋体" w:hAnsi="宋体" w:cs="宋体" w:eastAsia="宋体" w:hint="default"/>
                <w:sz w:val="21"/>
                <w:szCs w:val="21"/>
              </w:rPr>
            </w:pPr>
            <w:r>
              <w:rPr>
                <w:rFonts w:ascii="宋体"/>
                <w:sz w:val="21"/>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3,701,732.</w:t>
            </w:r>
          </w:p>
          <w:p>
            <w:pPr>
              <w:pStyle w:val="TableParagraph"/>
              <w:spacing w:line="240" w:lineRule="auto" w:before="37"/>
              <w:ind w:right="19"/>
              <w:jc w:val="right"/>
              <w:rPr>
                <w:rFonts w:ascii="宋体" w:hAnsi="宋体" w:cs="宋体" w:eastAsia="宋体" w:hint="default"/>
                <w:sz w:val="21"/>
                <w:szCs w:val="21"/>
              </w:rPr>
            </w:pPr>
            <w:r>
              <w:rPr>
                <w:rFonts w:ascii="宋体"/>
                <w:sz w:val="21"/>
              </w:rPr>
              <w:t>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505,110.88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54,971,126.1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（1）购置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1,526,997.</w:t>
            </w:r>
          </w:p>
          <w:p>
            <w:pPr>
              <w:pStyle w:val="TableParagraph"/>
              <w:spacing w:line="240" w:lineRule="auto" w:before="34"/>
              <w:ind w:right="23"/>
              <w:jc w:val="right"/>
              <w:rPr>
                <w:rFonts w:ascii="宋体" w:hAnsi="宋体" w:cs="宋体" w:eastAsia="宋体" w:hint="default"/>
                <w:sz w:val="21"/>
                <w:szCs w:val="21"/>
              </w:rPr>
            </w:pPr>
            <w:r>
              <w:rPr>
                <w:rFonts w:ascii="宋体"/>
                <w:sz w:val="21"/>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11,817,503</w:t>
            </w:r>
          </w:p>
          <w:p>
            <w:pPr>
              <w:pStyle w:val="TableParagraph"/>
              <w:spacing w:line="240" w:lineRule="auto" w:before="34"/>
              <w:ind w:right="17"/>
              <w:jc w:val="right"/>
              <w:rPr>
                <w:rFonts w:ascii="宋体" w:hAnsi="宋体" w:cs="宋体" w:eastAsia="宋体" w:hint="default"/>
                <w:sz w:val="21"/>
                <w:szCs w:val="21"/>
              </w:rPr>
            </w:pPr>
            <w:r>
              <w:rPr>
                <w:rFonts w:ascii="宋体"/>
                <w:sz w:val="21"/>
              </w:rPr>
              <w:t>.73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3,701,732.</w:t>
            </w:r>
          </w:p>
          <w:p>
            <w:pPr>
              <w:pStyle w:val="TableParagraph"/>
              <w:spacing w:line="240" w:lineRule="auto" w:before="34"/>
              <w:ind w:right="19"/>
              <w:jc w:val="right"/>
              <w:rPr>
                <w:rFonts w:ascii="宋体" w:hAnsi="宋体" w:cs="宋体" w:eastAsia="宋体" w:hint="default"/>
                <w:sz w:val="21"/>
                <w:szCs w:val="21"/>
              </w:rPr>
            </w:pPr>
            <w:r>
              <w:rPr>
                <w:rFonts w:ascii="宋体"/>
                <w:sz w:val="21"/>
              </w:rPr>
              <w:t>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505,110.88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17,551,344.9</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6</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（2）在建工程</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13,053,360</w:t>
            </w:r>
          </w:p>
          <w:p>
            <w:pPr>
              <w:pStyle w:val="TableParagraph"/>
              <w:spacing w:line="240" w:lineRule="auto" w:before="37"/>
              <w:ind w:right="19"/>
              <w:jc w:val="right"/>
              <w:rPr>
                <w:rFonts w:ascii="宋体" w:hAnsi="宋体" w:cs="宋体" w:eastAsia="宋体" w:hint="default"/>
                <w:sz w:val="21"/>
                <w:szCs w:val="21"/>
              </w:rPr>
            </w:pPr>
            <w:r>
              <w:rPr>
                <w:rFonts w:ascii="宋体"/>
                <w:sz w:val="21"/>
              </w:rPr>
              <w:t>.22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24,366,420</w:t>
            </w:r>
          </w:p>
          <w:p>
            <w:pPr>
              <w:pStyle w:val="TableParagraph"/>
              <w:spacing w:line="240" w:lineRule="auto" w:before="37"/>
              <w:ind w:right="17"/>
              <w:jc w:val="right"/>
              <w:rPr>
                <w:rFonts w:ascii="宋体" w:hAnsi="宋体" w:cs="宋体" w:eastAsia="宋体" w:hint="default"/>
                <w:sz w:val="21"/>
                <w:szCs w:val="21"/>
              </w:rPr>
            </w:pPr>
            <w:r>
              <w:rPr>
                <w:rFonts w:ascii="宋体"/>
                <w:sz w:val="21"/>
              </w:rPr>
              <w:t>.96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37,419,781.1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3.本期减少金额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6,561,335.</w:t>
            </w:r>
          </w:p>
          <w:p>
            <w:pPr>
              <w:pStyle w:val="TableParagraph"/>
              <w:spacing w:line="240" w:lineRule="auto" w:before="34"/>
              <w:ind w:right="19"/>
              <w:jc w:val="right"/>
              <w:rPr>
                <w:rFonts w:ascii="宋体" w:hAnsi="宋体" w:cs="宋体" w:eastAsia="宋体" w:hint="default"/>
                <w:sz w:val="21"/>
                <w:szCs w:val="21"/>
              </w:rPr>
            </w:pPr>
            <w:r>
              <w:rPr>
                <w:rFonts w:ascii="宋体"/>
                <w:sz w:val="21"/>
              </w:rPr>
              <w:t>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560,889.68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423,528.30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7,545,753.90</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（1）处置或报</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6,561,335.</w:t>
            </w:r>
          </w:p>
          <w:p>
            <w:pPr>
              <w:pStyle w:val="TableParagraph"/>
              <w:spacing w:line="240" w:lineRule="auto" w:before="37"/>
              <w:ind w:right="19"/>
              <w:jc w:val="right"/>
              <w:rPr>
                <w:rFonts w:ascii="宋体" w:hAnsi="宋体" w:cs="宋体" w:eastAsia="宋体" w:hint="default"/>
                <w:sz w:val="21"/>
                <w:szCs w:val="21"/>
              </w:rPr>
            </w:pPr>
            <w:r>
              <w:rPr>
                <w:rFonts w:ascii="宋体"/>
                <w:sz w:val="21"/>
              </w:rPr>
              <w:t>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560,889.68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423,528.30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7,545,753.90</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258,155,50</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6.22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416,661,28</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17,843,509</w:t>
            </w:r>
          </w:p>
          <w:p>
            <w:pPr>
              <w:pStyle w:val="TableParagraph"/>
              <w:spacing w:line="240" w:lineRule="auto" w:before="34"/>
              <w:ind w:right="17"/>
              <w:jc w:val="right"/>
              <w:rPr>
                <w:rFonts w:ascii="宋体" w:hAnsi="宋体" w:cs="宋体" w:eastAsia="宋体" w:hint="default"/>
                <w:sz w:val="21"/>
                <w:szCs w:val="21"/>
              </w:rPr>
            </w:pPr>
            <w:r>
              <w:rPr>
                <w:rFonts w:ascii="宋体"/>
                <w:sz w:val="21"/>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15,134,272</w:t>
            </w:r>
          </w:p>
          <w:p>
            <w:pPr>
              <w:pStyle w:val="TableParagraph"/>
              <w:spacing w:line="240" w:lineRule="auto" w:before="34"/>
              <w:ind w:right="17"/>
              <w:jc w:val="right"/>
              <w:rPr>
                <w:rFonts w:ascii="宋体" w:hAnsi="宋体" w:cs="宋体" w:eastAsia="宋体" w:hint="default"/>
                <w:sz w:val="21"/>
                <w:szCs w:val="21"/>
              </w:rPr>
            </w:pPr>
            <w:r>
              <w:rPr>
                <w:rFonts w:ascii="宋体"/>
                <w:sz w:val="21"/>
              </w:rPr>
              <w:t>.17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707,794,568.</w:t>
            </w:r>
          </w:p>
          <w:p>
            <w:pPr>
              <w:pStyle w:val="TableParagraph"/>
              <w:spacing w:line="240" w:lineRule="auto" w:before="34"/>
              <w:ind w:right="23"/>
              <w:jc w:val="right"/>
              <w:rPr>
                <w:rFonts w:ascii="宋体" w:hAnsi="宋体" w:cs="宋体" w:eastAsia="宋体" w:hint="default"/>
                <w:sz w:val="21"/>
                <w:szCs w:val="21"/>
              </w:rPr>
            </w:pPr>
            <w:r>
              <w:rPr>
                <w:rFonts w:ascii="宋体"/>
                <w:sz w:val="21"/>
              </w:rPr>
              <w:t>62</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32,418,124</w:t>
            </w:r>
          </w:p>
          <w:p>
            <w:pPr>
              <w:pStyle w:val="TableParagraph"/>
              <w:spacing w:line="240" w:lineRule="auto" w:before="37"/>
              <w:ind w:right="19"/>
              <w:jc w:val="right"/>
              <w:rPr>
                <w:rFonts w:ascii="宋体" w:hAnsi="宋体" w:cs="宋体" w:eastAsia="宋体" w:hint="default"/>
                <w:sz w:val="21"/>
                <w:szCs w:val="21"/>
              </w:rPr>
            </w:pPr>
            <w:r>
              <w:rPr>
                <w:rFonts w:ascii="宋体"/>
                <w:sz w:val="21"/>
              </w:rPr>
              <w:t>.80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117,889,21</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9.09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7,001,252.</w:t>
            </w:r>
          </w:p>
          <w:p>
            <w:pPr>
              <w:pStyle w:val="TableParagraph"/>
              <w:spacing w:line="240" w:lineRule="auto" w:before="37"/>
              <w:ind w:right="19"/>
              <w:jc w:val="right"/>
              <w:rPr>
                <w:rFonts w:ascii="宋体" w:hAnsi="宋体" w:cs="宋体" w:eastAsia="宋体" w:hint="default"/>
                <w:sz w:val="21"/>
                <w:szCs w:val="21"/>
              </w:rPr>
            </w:pPr>
            <w:r>
              <w:rPr>
                <w:rFonts w:ascii="宋体"/>
                <w:sz w:val="21"/>
              </w:rPr>
              <w:t>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9,409,718.</w:t>
            </w:r>
          </w:p>
          <w:p>
            <w:pPr>
              <w:pStyle w:val="TableParagraph"/>
              <w:spacing w:line="240" w:lineRule="auto" w:before="37"/>
              <w:ind w:right="19"/>
              <w:jc w:val="right"/>
              <w:rPr>
                <w:rFonts w:ascii="宋体" w:hAnsi="宋体" w:cs="宋体" w:eastAsia="宋体" w:hint="default"/>
                <w:sz w:val="21"/>
                <w:szCs w:val="21"/>
              </w:rPr>
            </w:pPr>
            <w:r>
              <w:rPr>
                <w:rFonts w:ascii="宋体"/>
                <w:sz w:val="21"/>
              </w:rPr>
              <w:t>84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166,718,314.</w:t>
            </w:r>
          </w:p>
          <w:p>
            <w:pPr>
              <w:pStyle w:val="TableParagraph"/>
              <w:spacing w:line="240" w:lineRule="auto" w:before="37"/>
              <w:ind w:right="23"/>
              <w:jc w:val="right"/>
              <w:rPr>
                <w:rFonts w:ascii="宋体" w:hAnsi="宋体" w:cs="宋体" w:eastAsia="宋体" w:hint="default"/>
                <w:sz w:val="21"/>
                <w:szCs w:val="21"/>
              </w:rPr>
            </w:pPr>
            <w:r>
              <w:rPr>
                <w:rFonts w:ascii="宋体"/>
                <w:sz w:val="21"/>
              </w:rPr>
              <w:t>81</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1"/>
        <w:gridCol w:w="1198"/>
        <w:gridCol w:w="1195"/>
        <w:gridCol w:w="1195"/>
        <w:gridCol w:w="1195"/>
        <w:gridCol w:w="1286"/>
        <w:gridCol w:w="1368"/>
      </w:tblGrid>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pacing w:val="-2"/>
                <w:sz w:val="21"/>
                <w:szCs w:val="21"/>
              </w:rPr>
              <w:t>2.本期增加金额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9,830,291.</w:t>
            </w:r>
          </w:p>
          <w:p>
            <w:pPr>
              <w:pStyle w:val="TableParagraph"/>
              <w:spacing w:line="240" w:lineRule="auto" w:before="37"/>
              <w:ind w:right="23"/>
              <w:jc w:val="right"/>
              <w:rPr>
                <w:rFonts w:ascii="宋体" w:hAnsi="宋体" w:cs="宋体" w:eastAsia="宋体" w:hint="default"/>
                <w:sz w:val="21"/>
                <w:szCs w:val="21"/>
              </w:rPr>
            </w:pPr>
            <w:r>
              <w:rPr>
                <w:rFonts w:ascii="宋体"/>
                <w:sz w:val="21"/>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28,883,633</w:t>
            </w:r>
          </w:p>
          <w:p>
            <w:pPr>
              <w:pStyle w:val="TableParagraph"/>
              <w:spacing w:line="240" w:lineRule="auto" w:before="37"/>
              <w:ind w:right="17"/>
              <w:jc w:val="right"/>
              <w:rPr>
                <w:rFonts w:ascii="宋体" w:hAnsi="宋体" w:cs="宋体" w:eastAsia="宋体" w:hint="default"/>
                <w:sz w:val="21"/>
                <w:szCs w:val="21"/>
              </w:rPr>
            </w:pPr>
            <w:r>
              <w:rPr>
                <w:rFonts w:ascii="宋体"/>
                <w:sz w:val="21"/>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1,712,813.</w:t>
            </w:r>
          </w:p>
          <w:p>
            <w:pPr>
              <w:pStyle w:val="TableParagraph"/>
              <w:spacing w:line="240" w:lineRule="auto" w:before="37"/>
              <w:ind w:right="19"/>
              <w:jc w:val="right"/>
              <w:rPr>
                <w:rFonts w:ascii="宋体" w:hAnsi="宋体" w:cs="宋体" w:eastAsia="宋体" w:hint="default"/>
                <w:sz w:val="21"/>
                <w:szCs w:val="21"/>
              </w:rPr>
            </w:pPr>
            <w:r>
              <w:rPr>
                <w:rFonts w:ascii="宋体"/>
                <w:sz w:val="21"/>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2,032,515.</w:t>
            </w:r>
          </w:p>
          <w:p>
            <w:pPr>
              <w:pStyle w:val="TableParagraph"/>
              <w:spacing w:line="240" w:lineRule="auto" w:before="37"/>
              <w:ind w:right="19"/>
              <w:jc w:val="right"/>
              <w:rPr>
                <w:rFonts w:ascii="宋体" w:hAnsi="宋体" w:cs="宋体" w:eastAsia="宋体" w:hint="default"/>
                <w:sz w:val="21"/>
                <w:szCs w:val="21"/>
              </w:rPr>
            </w:pPr>
            <w:r>
              <w:rPr>
                <w:rFonts w:ascii="宋体"/>
                <w:sz w:val="21"/>
              </w:rPr>
              <w:t>71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42,459,254.1</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9,830,291.</w:t>
            </w:r>
          </w:p>
          <w:p>
            <w:pPr>
              <w:pStyle w:val="TableParagraph"/>
              <w:spacing w:line="240" w:lineRule="auto" w:before="34"/>
              <w:ind w:right="23"/>
              <w:jc w:val="right"/>
              <w:rPr>
                <w:rFonts w:ascii="宋体" w:hAnsi="宋体" w:cs="宋体" w:eastAsia="宋体" w:hint="default"/>
                <w:sz w:val="21"/>
                <w:szCs w:val="21"/>
              </w:rPr>
            </w:pPr>
            <w:r>
              <w:rPr>
                <w:rFonts w:ascii="宋体"/>
                <w:sz w:val="21"/>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28,883,633</w:t>
            </w:r>
          </w:p>
          <w:p>
            <w:pPr>
              <w:pStyle w:val="TableParagraph"/>
              <w:spacing w:line="240" w:lineRule="auto" w:before="34"/>
              <w:ind w:right="17"/>
              <w:jc w:val="right"/>
              <w:rPr>
                <w:rFonts w:ascii="宋体" w:hAnsi="宋体" w:cs="宋体" w:eastAsia="宋体" w:hint="default"/>
                <w:sz w:val="21"/>
                <w:szCs w:val="21"/>
              </w:rPr>
            </w:pPr>
            <w:r>
              <w:rPr>
                <w:rFonts w:ascii="宋体"/>
                <w:sz w:val="21"/>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1,712,813.</w:t>
            </w:r>
          </w:p>
          <w:p>
            <w:pPr>
              <w:pStyle w:val="TableParagraph"/>
              <w:spacing w:line="240" w:lineRule="auto" w:before="34"/>
              <w:ind w:right="19"/>
              <w:jc w:val="right"/>
              <w:rPr>
                <w:rFonts w:ascii="宋体" w:hAnsi="宋体" w:cs="宋体" w:eastAsia="宋体" w:hint="default"/>
                <w:sz w:val="21"/>
                <w:szCs w:val="21"/>
              </w:rPr>
            </w:pPr>
            <w:r>
              <w:rPr>
                <w:rFonts w:ascii="宋体"/>
                <w:sz w:val="21"/>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2,032,515.</w:t>
            </w:r>
          </w:p>
          <w:p>
            <w:pPr>
              <w:pStyle w:val="TableParagraph"/>
              <w:spacing w:line="240" w:lineRule="auto" w:before="34"/>
              <w:ind w:right="19"/>
              <w:jc w:val="right"/>
              <w:rPr>
                <w:rFonts w:ascii="宋体" w:hAnsi="宋体" w:cs="宋体" w:eastAsia="宋体" w:hint="default"/>
                <w:sz w:val="21"/>
                <w:szCs w:val="21"/>
              </w:rPr>
            </w:pPr>
            <w:r>
              <w:rPr>
                <w:rFonts w:ascii="宋体"/>
                <w:sz w:val="21"/>
              </w:rPr>
              <w:t>71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42,459,254.1</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5</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（2）其他增加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pacing w:val="-2"/>
                <w:sz w:val="21"/>
                <w:szCs w:val="21"/>
              </w:rPr>
              <w:t>3.本期减少金额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5,728,311.</w:t>
            </w:r>
          </w:p>
          <w:p>
            <w:pPr>
              <w:pStyle w:val="TableParagraph"/>
              <w:spacing w:line="240" w:lineRule="auto" w:before="34"/>
              <w:ind w:right="19"/>
              <w:jc w:val="right"/>
              <w:rPr>
                <w:rFonts w:ascii="宋体" w:hAnsi="宋体" w:cs="宋体" w:eastAsia="宋体" w:hint="default"/>
                <w:sz w:val="21"/>
                <w:szCs w:val="21"/>
              </w:rPr>
            </w:pPr>
            <w:r>
              <w:rPr>
                <w:rFonts w:ascii="宋体"/>
                <w:sz w:val="21"/>
              </w:rPr>
              <w:t>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513,331.34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349,539.91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6,591,182.36</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（1）处置或报</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5,728,311.</w:t>
            </w:r>
          </w:p>
          <w:p>
            <w:pPr>
              <w:pStyle w:val="TableParagraph"/>
              <w:spacing w:line="240" w:lineRule="auto" w:before="37"/>
              <w:ind w:right="19"/>
              <w:jc w:val="right"/>
              <w:rPr>
                <w:rFonts w:ascii="宋体" w:hAnsi="宋体" w:cs="宋体" w:eastAsia="宋体" w:hint="default"/>
                <w:sz w:val="21"/>
                <w:szCs w:val="21"/>
              </w:rPr>
            </w:pPr>
            <w:r>
              <w:rPr>
                <w:rFonts w:ascii="宋体"/>
                <w:sz w:val="21"/>
              </w:rPr>
              <w:t>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513,331.34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21"/>
                <w:szCs w:val="21"/>
              </w:rPr>
            </w:pPr>
            <w:r>
              <w:rPr>
                <w:rFonts w:ascii="宋体"/>
                <w:sz w:val="21"/>
              </w:rPr>
              <w:t>349,539.91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6,591,182.36</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（2）其他减少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42,248,416</w:t>
            </w:r>
          </w:p>
          <w:p>
            <w:pPr>
              <w:pStyle w:val="TableParagraph"/>
              <w:spacing w:line="240" w:lineRule="auto" w:before="37"/>
              <w:ind w:right="19"/>
              <w:jc w:val="right"/>
              <w:rPr>
                <w:rFonts w:ascii="宋体" w:hAnsi="宋体" w:cs="宋体" w:eastAsia="宋体" w:hint="default"/>
                <w:sz w:val="21"/>
                <w:szCs w:val="21"/>
              </w:rPr>
            </w:pPr>
            <w:r>
              <w:rPr>
                <w:rFonts w:ascii="宋体"/>
                <w:sz w:val="21"/>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141,044,54</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8,200,734.</w:t>
            </w:r>
          </w:p>
          <w:p>
            <w:pPr>
              <w:pStyle w:val="TableParagraph"/>
              <w:spacing w:line="240" w:lineRule="auto" w:before="37"/>
              <w:ind w:right="19"/>
              <w:jc w:val="right"/>
              <w:rPr>
                <w:rFonts w:ascii="宋体" w:hAnsi="宋体" w:cs="宋体" w:eastAsia="宋体" w:hint="default"/>
                <w:sz w:val="21"/>
                <w:szCs w:val="21"/>
              </w:rPr>
            </w:pPr>
            <w:r>
              <w:rPr>
                <w:rFonts w:ascii="宋体"/>
                <w:sz w:val="21"/>
              </w:rPr>
              <w:t>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11,092,694</w:t>
            </w:r>
          </w:p>
          <w:p>
            <w:pPr>
              <w:pStyle w:val="TableParagraph"/>
              <w:spacing w:line="240" w:lineRule="auto" w:before="37"/>
              <w:ind w:right="17"/>
              <w:jc w:val="right"/>
              <w:rPr>
                <w:rFonts w:ascii="宋体" w:hAnsi="宋体" w:cs="宋体" w:eastAsia="宋体" w:hint="default"/>
                <w:sz w:val="21"/>
                <w:szCs w:val="21"/>
              </w:rPr>
            </w:pPr>
            <w:r>
              <w:rPr>
                <w:rFonts w:ascii="宋体"/>
                <w:sz w:val="21"/>
              </w:rPr>
              <w:t>.64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202,586,386.</w:t>
            </w:r>
          </w:p>
          <w:p>
            <w:pPr>
              <w:pStyle w:val="TableParagraph"/>
              <w:spacing w:line="240" w:lineRule="auto" w:before="37"/>
              <w:ind w:right="23"/>
              <w:jc w:val="right"/>
              <w:rPr>
                <w:rFonts w:ascii="宋体" w:hAnsi="宋体" w:cs="宋体" w:eastAsia="宋体" w:hint="default"/>
                <w:sz w:val="21"/>
                <w:szCs w:val="21"/>
              </w:rPr>
            </w:pPr>
            <w:r>
              <w:rPr>
                <w:rFonts w:ascii="宋体"/>
                <w:sz w:val="21"/>
              </w:rPr>
              <w:t>60</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pacing w:val="-2"/>
                <w:sz w:val="21"/>
                <w:szCs w:val="21"/>
              </w:rPr>
              <w:t>1.期末账面价值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215,907,08</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9.73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275,616,73</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9,642,775.</w:t>
            </w:r>
          </w:p>
          <w:p>
            <w:pPr>
              <w:pStyle w:val="TableParagraph"/>
              <w:spacing w:line="240" w:lineRule="auto" w:before="34"/>
              <w:ind w:right="19"/>
              <w:jc w:val="right"/>
              <w:rPr>
                <w:rFonts w:ascii="宋体" w:hAnsi="宋体" w:cs="宋体" w:eastAsia="宋体" w:hint="default"/>
                <w:sz w:val="21"/>
                <w:szCs w:val="21"/>
              </w:rPr>
            </w:pPr>
            <w:r>
              <w:rPr>
                <w:rFonts w:ascii="宋体"/>
                <w:sz w:val="21"/>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4,041,577.</w:t>
            </w:r>
          </w:p>
          <w:p>
            <w:pPr>
              <w:pStyle w:val="TableParagraph"/>
              <w:spacing w:line="240" w:lineRule="auto" w:before="34"/>
              <w:ind w:right="19"/>
              <w:jc w:val="right"/>
              <w:rPr>
                <w:rFonts w:ascii="宋体" w:hAnsi="宋体" w:cs="宋体" w:eastAsia="宋体" w:hint="default"/>
                <w:sz w:val="21"/>
                <w:szCs w:val="21"/>
              </w:rPr>
            </w:pPr>
            <w:r>
              <w:rPr>
                <w:rFonts w:ascii="宋体"/>
                <w:sz w:val="21"/>
              </w:rPr>
              <w:t>53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505,208,182.</w:t>
            </w:r>
          </w:p>
          <w:p>
            <w:pPr>
              <w:pStyle w:val="TableParagraph"/>
              <w:spacing w:line="240" w:lineRule="auto" w:before="34"/>
              <w:ind w:right="23"/>
              <w:jc w:val="right"/>
              <w:rPr>
                <w:rFonts w:ascii="宋体" w:hAnsi="宋体" w:cs="宋体" w:eastAsia="宋体" w:hint="default"/>
                <w:sz w:val="21"/>
                <w:szCs w:val="21"/>
              </w:rPr>
            </w:pPr>
            <w:r>
              <w:rPr>
                <w:rFonts w:ascii="宋体"/>
                <w:sz w:val="21"/>
              </w:rPr>
              <w:t>02</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pacing w:val="-2"/>
                <w:sz w:val="21"/>
                <w:szCs w:val="21"/>
              </w:rPr>
              <w:t>2.期初账面价值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211,157,02</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3.80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269,149,47</w:t>
            </w:r>
          </w:p>
          <w:p>
            <w:pPr>
              <w:pStyle w:val="TableParagraph"/>
              <w:spacing w:line="240" w:lineRule="auto" w:before="37"/>
              <w:ind w:left="744" w:right="0"/>
              <w:jc w:val="left"/>
              <w:rPr>
                <w:rFonts w:ascii="宋体" w:hAnsi="宋体" w:cs="宋体" w:eastAsia="宋体" w:hint="default"/>
                <w:sz w:val="21"/>
                <w:szCs w:val="21"/>
              </w:rPr>
            </w:pPr>
            <w:r>
              <w:rPr>
                <w:rFonts w:ascii="宋体"/>
                <w:sz w:val="21"/>
              </w:rPr>
              <w:t>2.81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7,701,414.</w:t>
            </w:r>
          </w:p>
          <w:p>
            <w:pPr>
              <w:pStyle w:val="TableParagraph"/>
              <w:spacing w:line="240" w:lineRule="auto" w:before="37"/>
              <w:ind w:right="19"/>
              <w:jc w:val="right"/>
              <w:rPr>
                <w:rFonts w:ascii="宋体" w:hAnsi="宋体" w:cs="宋体" w:eastAsia="宋体" w:hint="default"/>
                <w:sz w:val="21"/>
                <w:szCs w:val="21"/>
              </w:rPr>
            </w:pPr>
            <w:r>
              <w:rPr>
                <w:rFonts w:ascii="宋体"/>
                <w:sz w:val="21"/>
              </w:rPr>
              <w:t>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5,642,970.</w:t>
            </w:r>
          </w:p>
          <w:p>
            <w:pPr>
              <w:pStyle w:val="TableParagraph"/>
              <w:spacing w:line="240" w:lineRule="auto" w:before="37"/>
              <w:ind w:right="19"/>
              <w:jc w:val="right"/>
              <w:rPr>
                <w:rFonts w:ascii="宋体" w:hAnsi="宋体" w:cs="宋体" w:eastAsia="宋体" w:hint="default"/>
                <w:sz w:val="21"/>
                <w:szCs w:val="21"/>
              </w:rPr>
            </w:pPr>
            <w:r>
              <w:rPr>
                <w:rFonts w:ascii="宋体"/>
                <w:sz w:val="21"/>
              </w:rPr>
              <w:t>75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493,650,881.</w:t>
            </w:r>
          </w:p>
          <w:p>
            <w:pPr>
              <w:pStyle w:val="TableParagraph"/>
              <w:spacing w:line="240" w:lineRule="auto" w:before="37"/>
              <w:ind w:right="23"/>
              <w:jc w:val="right"/>
              <w:rPr>
                <w:rFonts w:ascii="宋体" w:hAnsi="宋体" w:cs="宋体" w:eastAsia="宋体" w:hint="default"/>
                <w:sz w:val="21"/>
                <w:szCs w:val="21"/>
              </w:rPr>
            </w:pPr>
            <w:r>
              <w:rPr>
                <w:rFonts w:ascii="宋体"/>
                <w:sz w:val="21"/>
              </w:rPr>
              <w:t>57</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（2）暂时闲置的固定资产情况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4"/>
        <w:rPr>
          <w:rFonts w:ascii="宋体" w:hAnsi="宋体" w:cs="宋体" w:eastAsia="宋体" w:hint="default"/>
          <w:sz w:val="19"/>
          <w:szCs w:val="19"/>
        </w:rPr>
      </w:pPr>
    </w:p>
    <w:p>
      <w:pPr>
        <w:pStyle w:val="BodyText"/>
        <w:spacing w:line="240" w:lineRule="auto" w:before="36"/>
        <w:ind w:right="2880"/>
        <w:jc w:val="left"/>
      </w:pPr>
      <w:r>
        <w:rPr/>
        <w:t>（3）通过融资租赁租入的固定资产情况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（4）通过经营租赁租出的固定资产</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7"/>
        <w:rPr>
          <w:rFonts w:ascii="宋体" w:hAnsi="宋体" w:cs="宋体" w:eastAsia="宋体" w:hint="default"/>
          <w:sz w:val="6"/>
          <w:szCs w:val="6"/>
        </w:rPr>
      </w:pPr>
    </w:p>
    <w:p>
      <w:pPr>
        <w:spacing w:line="420"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4757;top:14;width:24;height:392" coordorigin="4757,14" coordsize="24,392">
              <v:shape style="position:absolute;left:4757;top:14;width:24;height:392" coordorigin="4757,14" coordsize="24,392" path="m4757,406l4781,406,4781,14,4757,14,4757,406xe" filled="true" fillcolor="#d3d3d3"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3d3d3" stroked="false">
                <v:path arrowok="t"/>
                <v:fill type="solid"/>
              </v:shape>
            </v:group>
            <v:group style="position:absolute;left:34;top:14;width:4724;height:392" coordorigin="34,14" coordsize="4724,392">
              <v:shape style="position:absolute;left:34;top:14;width:4724;height:392" coordorigin="34,14" coordsize="4724,392" path="m34,14l4757,14,4757,406,34,406,34,14xe" filled="true" fillcolor="#d3d3d3" stroked="false">
                <v:path arrowok="t"/>
                <v:fill type="solid"/>
              </v:shape>
            </v:group>
            <v:group style="position:absolute;left:4790;top:14;width:24;height:392" coordorigin="4790,14" coordsize="24,392">
              <v:shape style="position:absolute;left:4790;top:14;width:24;height:392" coordorigin="4790,14" coordsize="24,392" path="m4790,406l4814,406,4814,14,4790,14,4790,406xe" filled="true" fillcolor="#d3d3d3" stroked="false">
                <v:path arrowok="t"/>
                <v:fill type="solid"/>
              </v:shape>
            </v:group>
            <v:group style="position:absolute;left:9545;top:14;width:24;height:392" coordorigin="9545,14" coordsize="24,392">
              <v:shape style="position:absolute;left:9545;top:14;width:24;height:392" coordorigin="9545,14" coordsize="24,392" path="m9545,406l9569,406,9569,14,9545,14,9545,406xe" filled="true" fillcolor="#d3d3d3" stroked="false">
                <v:path arrowok="t"/>
                <v:fill type="solid"/>
              </v:shape>
            </v:group>
            <v:group style="position:absolute;left:4814;top:14;width:4731;height:392" coordorigin="4814,14" coordsize="4731,392">
              <v:shape style="position:absolute;left:4814;top:14;width:4731;height:392" coordorigin="4814,14" coordsize="4731,392" path="m4814,14l9545,14,9545,406,4814,406,4814,14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7999pt" strokecolor="#000000">
                <v:path arrowok="t"/>
              </v:shape>
            </v:group>
            <v:group style="position:absolute;left:4790;top:10;width:4779;height:2" coordorigin="4790,10" coordsize="4779,2">
              <v:shape style="position:absolute;left:4790;top:10;width:4779;height:2" coordorigin="4790,10" coordsize="4779,0" path="m4790,10l9569,10e" filled="false" stroked="true" strokeweight=".47999pt" strokecolor="#000000">
                <v:path arrowok="t"/>
              </v:shape>
            </v:group>
            <v:group style="position:absolute;left:5;top:5;width:2;height:411" coordorigin="5,5" coordsize="2,411">
              <v:shape style="position:absolute;left:5;top:5;width:2;height:411" coordorigin="5,5" coordsize="0,411" path="m5,5l5,415e" filled="false" stroked="true" strokeweight=".47999pt" strokecolor="#000000">
                <v:path arrowok="t"/>
              </v:shape>
            </v:group>
            <v:group style="position:absolute;left:10;top:410;width:4772;height:2" coordorigin="10,410" coordsize="4772,2">
              <v:shape style="position:absolute;left:10;top:410;width:4772;height:2" coordorigin="10,410" coordsize="4772,0" path="m10,410l4781,410e" filled="false" stroked="true" strokeweight=".47999pt" strokecolor="#000000">
                <v:path arrowok="t"/>
              </v:shape>
            </v:group>
            <v:group style="position:absolute;left:4786;top:5;width:2;height:411" coordorigin="4786,5" coordsize="2,411">
              <v:shape style="position:absolute;left:4786;top:5;width:2;height:411" coordorigin="4786,5" coordsize="0,411" path="m4786,5l4786,415e" filled="false" stroked="true" strokeweight=".47999pt" strokecolor="#000000">
                <v:path arrowok="t"/>
              </v:shape>
            </v:group>
            <v:group style="position:absolute;left:4790;top:410;width:4779;height:2" coordorigin="4790,410" coordsize="4779,2">
              <v:shape style="position:absolute;left:4790;top:410;width:4779;height:2" coordorigin="4790,410" coordsize="4779,0" path="m4790,410l9569,410e" filled="false" stroked="true" strokeweight=".47999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7999pt" strokecolor="#000000">
                <v:path arrowok="t"/>
              </v:shape>
              <v:shape style="position:absolute;left:2184;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786;top:10;width:4788;height:401" type="#_x0000_t202" filled="false" stroked="false">
                <v:textbox inset="0,0,0,0">
                  <w:txbxContent>
                    <w:p>
                      <w:pPr>
                        <w:spacing w:before="33"/>
                        <w:ind w:left="2" w:right="0" w:firstLine="0"/>
                        <w:jc w:val="center"/>
                        <w:rPr>
                          <w:rFonts w:ascii="宋体" w:hAnsi="宋体" w:cs="宋体" w:eastAsia="宋体" w:hint="default"/>
                          <w:sz w:val="21"/>
                          <w:szCs w:val="21"/>
                        </w:rPr>
                      </w:pPr>
                      <w:r>
                        <w:rPr>
                          <w:rFonts w:ascii="宋体" w:hAnsi="宋体" w:cs="宋体" w:eastAsia="宋体" w:hint="default"/>
                          <w:sz w:val="21"/>
                          <w:szCs w:val="21"/>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BodyText"/>
        <w:spacing w:line="240" w:lineRule="auto" w:before="36"/>
        <w:ind w:right="2880"/>
        <w:jc w:val="left"/>
      </w:pPr>
      <w:r>
        <w:rPr/>
        <w:t>（5）未办妥产权证书的固定资产情况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40"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9"/>
              <w:jc w:val="center"/>
              <w:rPr>
                <w:rFonts w:ascii="宋体" w:hAnsi="宋体" w:cs="宋体" w:eastAsia="宋体" w:hint="default"/>
                <w:sz w:val="21"/>
                <w:szCs w:val="21"/>
              </w:rPr>
            </w:pPr>
            <w:r>
              <w:rPr>
                <w:rFonts w:ascii="宋体" w:hAnsi="宋体" w:cs="宋体" w:eastAsia="宋体" w:hint="default"/>
                <w:sz w:val="21"/>
                <w:szCs w:val="21"/>
              </w:rPr>
              <w:t>房屋及建筑物-电子标签生产中心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31,627,329.07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办理中</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3"/>
              <w:jc w:val="left"/>
              <w:rPr>
                <w:rFonts w:ascii="宋体" w:hAnsi="宋体" w:cs="宋体" w:eastAsia="宋体" w:hint="default"/>
                <w:sz w:val="21"/>
                <w:szCs w:val="21"/>
              </w:rPr>
            </w:pPr>
            <w:r>
              <w:rPr>
                <w:rFonts w:ascii="宋体" w:hAnsi="宋体" w:cs="宋体" w:eastAsia="宋体" w:hint="default"/>
                <w:spacing w:val="-2"/>
                <w:sz w:val="21"/>
                <w:szCs w:val="21"/>
              </w:rPr>
              <w:t>房屋及建筑物-数字化精品印刷中</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48,279,646.29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办理中</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房屋及建筑物-实验楼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95" w:right="0"/>
              <w:jc w:val="left"/>
              <w:rPr>
                <w:rFonts w:ascii="宋体" w:hAnsi="宋体" w:cs="宋体" w:eastAsia="宋体" w:hint="default"/>
                <w:sz w:val="21"/>
                <w:szCs w:val="21"/>
              </w:rPr>
            </w:pPr>
            <w:r>
              <w:rPr>
                <w:rFonts w:ascii="宋体"/>
                <w:sz w:val="21"/>
              </w:rPr>
              <w:t>19,550,917.62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办理中</w:t>
            </w:r>
          </w:p>
        </w:tc>
      </w:tr>
    </w:tbl>
    <w:p>
      <w:pPr>
        <w:pStyle w:val="BodyText"/>
        <w:spacing w:line="271" w:lineRule="auto" w:before="28"/>
        <w:ind w:right="173"/>
        <w:jc w:val="left"/>
      </w:pPr>
      <w:r>
        <w:rPr>
          <w:spacing w:val="-2"/>
        </w:rPr>
        <w:t>其他说明：鸿博昊天公司两套高斯牌八色卷筒纸商业胶印机年末账面净值（不含税）合计</w:t>
      </w:r>
      <w:r>
        <w:rPr/>
        <w:t> </w:t>
      </w:r>
      <w:r>
        <w:rPr>
          <w:spacing w:val="-1"/>
        </w:rPr>
        <w:t>51,918,076.90</w:t>
      </w:r>
      <w:r>
        <w:rPr>
          <w:spacing w:val="-77"/>
        </w:rPr>
        <w:t> </w:t>
      </w:r>
      <w:r>
        <w:rPr>
          <w:spacing w:val="-77"/>
        </w:rPr>
      </w:r>
      <w:r>
        <w:rPr>
          <w:spacing w:val="-2"/>
          <w:w w:val="100"/>
        </w:rPr>
        <w:t>元系作为与北京国彩公司的诉讼的保全担保物，案件诉讼情况详见“十一、承诺及或有事项”之</w:t>
      </w:r>
      <w:r>
        <w:rPr>
          <w:spacing w:val="-24"/>
          <w:w w:val="100"/>
        </w:rPr>
        <w:t> </w:t>
      </w:r>
      <w:r>
        <w:rPr>
          <w:spacing w:val="-23"/>
          <w:w w:val="100"/>
        </w:rPr>
        <w:t>2（2）。</w:t>
      </w:r>
    </w:p>
    <w:p>
      <w:pPr>
        <w:spacing w:line="240" w:lineRule="auto" w:before="9"/>
        <w:rPr>
          <w:rFonts w:ascii="宋体" w:hAnsi="宋体" w:cs="宋体" w:eastAsia="宋体" w:hint="default"/>
          <w:sz w:val="23"/>
          <w:szCs w:val="23"/>
        </w:rPr>
      </w:pPr>
    </w:p>
    <w:p>
      <w:pPr>
        <w:pStyle w:val="BodyText"/>
        <w:spacing w:line="240" w:lineRule="auto"/>
        <w:ind w:right="2880"/>
        <w:jc w:val="left"/>
      </w:pPr>
      <w:r>
        <w:rPr/>
        <w:t>20、在建工程</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（1）在建工程情况</w:t>
      </w:r>
    </w:p>
    <w:p>
      <w:pPr>
        <w:spacing w:line="240" w:lineRule="auto" w:before="10"/>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全自动智能标</w:t>
            </w:r>
            <w:r>
              <w:rPr>
                <w:rFonts w:ascii="宋体" w:hAnsi="宋体" w:cs="宋体" w:eastAsia="宋体" w:hint="default"/>
                <w:w w:val="100"/>
                <w:sz w:val="21"/>
                <w:szCs w:val="21"/>
              </w:rPr>
              <w:t> </w:t>
            </w:r>
            <w:r>
              <w:rPr>
                <w:rFonts w:ascii="宋体" w:hAnsi="宋体" w:cs="宋体" w:eastAsia="宋体" w:hint="default"/>
                <w:sz w:val="21"/>
                <w:szCs w:val="21"/>
              </w:rPr>
              <w:t>签生产线项目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6,452,991.52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6,452,991.52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1,415,901.16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center"/>
              <w:rPr>
                <w:rFonts w:ascii="宋体" w:hAnsi="宋体" w:cs="宋体" w:eastAsia="宋体" w:hint="default"/>
                <w:sz w:val="21"/>
                <w:szCs w:val="21"/>
              </w:rPr>
            </w:pPr>
            <w:r>
              <w:rPr>
                <w:rFonts w:ascii="宋体"/>
                <w:sz w:val="21"/>
              </w:rPr>
              <w:t>1,415,901.16</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高档商业票据</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印刷生产线及</w:t>
            </w:r>
          </w:p>
          <w:p>
            <w:pPr>
              <w:pStyle w:val="TableParagraph"/>
              <w:spacing w:line="273" w:lineRule="auto" w:before="37"/>
              <w:ind w:left="24" w:right="69"/>
              <w:jc w:val="left"/>
              <w:rPr>
                <w:rFonts w:ascii="宋体" w:hAnsi="宋体" w:cs="宋体" w:eastAsia="宋体" w:hint="default"/>
                <w:sz w:val="21"/>
                <w:szCs w:val="21"/>
              </w:rPr>
            </w:pPr>
            <w:r>
              <w:rPr>
                <w:rFonts w:ascii="宋体" w:hAnsi="宋体" w:cs="宋体" w:eastAsia="宋体" w:hint="default"/>
                <w:sz w:val="21"/>
                <w:szCs w:val="21"/>
              </w:rPr>
              <w:t>北京数字化印</w:t>
            </w:r>
            <w:r>
              <w:rPr>
                <w:rFonts w:ascii="宋体" w:hAnsi="宋体" w:cs="宋体" w:eastAsia="宋体" w:hint="default"/>
                <w:w w:val="100"/>
                <w:sz w:val="21"/>
                <w:szCs w:val="21"/>
              </w:rPr>
              <w:t> </w:t>
            </w:r>
            <w:r>
              <w:rPr>
                <w:rFonts w:ascii="宋体" w:hAnsi="宋体" w:cs="宋体" w:eastAsia="宋体" w:hint="default"/>
                <w:sz w:val="21"/>
                <w:szCs w:val="21"/>
              </w:rPr>
              <w:t>刷基地建设项</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37,815,015.3</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9</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7"/>
              <w:jc w:val="right"/>
              <w:rPr>
                <w:rFonts w:ascii="宋体" w:hAnsi="宋体" w:cs="宋体" w:eastAsia="宋体" w:hint="default"/>
                <w:sz w:val="21"/>
                <w:szCs w:val="21"/>
              </w:rPr>
            </w:pPr>
            <w:r>
              <w:rPr>
                <w:rFonts w:ascii="宋体"/>
                <w:spacing w:val="-1"/>
                <w:sz w:val="21"/>
              </w:rPr>
              <w:t>37,815,015.3</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9</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66,072,249.1</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6</w:t>
            </w: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9"/>
              <w:jc w:val="right"/>
              <w:rPr>
                <w:rFonts w:ascii="宋体" w:hAnsi="宋体" w:cs="宋体" w:eastAsia="宋体" w:hint="default"/>
                <w:sz w:val="21"/>
                <w:szCs w:val="21"/>
              </w:rPr>
            </w:pPr>
            <w:r>
              <w:rPr>
                <w:rFonts w:ascii="宋体"/>
                <w:spacing w:val="-1"/>
                <w:sz w:val="21"/>
              </w:rPr>
              <w:t>66,072,249.1</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6</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无锡双龙厂房</w:t>
            </w:r>
            <w:r>
              <w:rPr>
                <w:rFonts w:ascii="宋体" w:hAnsi="宋体" w:cs="宋体" w:eastAsia="宋体" w:hint="default"/>
                <w:w w:val="100"/>
                <w:sz w:val="21"/>
                <w:szCs w:val="21"/>
              </w:rPr>
              <w:t> </w:t>
            </w:r>
            <w:r>
              <w:rPr>
                <w:rFonts w:ascii="宋体" w:hAnsi="宋体" w:cs="宋体" w:eastAsia="宋体" w:hint="default"/>
                <w:sz w:val="21"/>
                <w:szCs w:val="21"/>
              </w:rPr>
              <w:t>及办公楼建设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36,330.10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36,330.10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宫腰机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4,410,256.44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4,410,256.44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48,714,593.4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48,714,593.4</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67,488,150.3</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67,488,150.3</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（2）重要在建工程项目本期变动情况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12"/>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 w:right="43"/>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 w:right="43"/>
              <w:jc w:val="center"/>
              <w:rPr>
                <w:rFonts w:ascii="宋体" w:hAnsi="宋体" w:cs="宋体" w:eastAsia="宋体" w:hint="default"/>
                <w:sz w:val="21"/>
                <w:szCs w:val="21"/>
              </w:rPr>
            </w:pPr>
            <w:r>
              <w:rPr>
                <w:rFonts w:ascii="宋体" w:hAnsi="宋体" w:cs="宋体" w:eastAsia="宋体" w:hint="default"/>
                <w:sz w:val="21"/>
                <w:szCs w:val="21"/>
              </w:rPr>
              <w:t>本期转</w:t>
            </w:r>
            <w:r>
              <w:rPr>
                <w:rFonts w:ascii="宋体" w:hAnsi="宋体" w:cs="宋体" w:eastAsia="宋体" w:hint="default"/>
                <w:w w:val="100"/>
                <w:sz w:val="21"/>
                <w:szCs w:val="21"/>
              </w:rPr>
              <w:t> </w:t>
            </w:r>
            <w:r>
              <w:rPr>
                <w:rFonts w:ascii="宋体" w:hAnsi="宋体" w:cs="宋体" w:eastAsia="宋体" w:hint="default"/>
                <w:sz w:val="21"/>
                <w:szCs w:val="21"/>
              </w:rPr>
              <w:t>入固定</w:t>
            </w:r>
            <w:r>
              <w:rPr>
                <w:rFonts w:ascii="宋体" w:hAnsi="宋体" w:cs="宋体" w:eastAsia="宋体" w:hint="default"/>
                <w:w w:val="100"/>
                <w:sz w:val="21"/>
                <w:szCs w:val="21"/>
              </w:rPr>
              <w:t> </w:t>
            </w:r>
            <w:r>
              <w:rPr>
                <w:rFonts w:ascii="宋体" w:hAnsi="宋体" w:cs="宋体" w:eastAsia="宋体" w:hint="default"/>
                <w:sz w:val="21"/>
                <w:szCs w:val="21"/>
              </w:rPr>
              <w:t>资产金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1"/>
              <w:jc w:val="both"/>
              <w:rPr>
                <w:rFonts w:ascii="宋体" w:hAnsi="宋体" w:cs="宋体" w:eastAsia="宋体" w:hint="default"/>
                <w:sz w:val="21"/>
                <w:szCs w:val="21"/>
              </w:rPr>
            </w:pPr>
            <w:r>
              <w:rPr>
                <w:rFonts w:ascii="宋体" w:hAnsi="宋体" w:cs="宋体" w:eastAsia="宋体" w:hint="default"/>
                <w:sz w:val="21"/>
                <w:szCs w:val="21"/>
              </w:rPr>
              <w:t>本期其</w:t>
            </w:r>
            <w:r>
              <w:rPr>
                <w:rFonts w:ascii="宋体" w:hAnsi="宋体" w:cs="宋体" w:eastAsia="宋体" w:hint="default"/>
                <w:spacing w:val="-102"/>
                <w:sz w:val="21"/>
                <w:szCs w:val="21"/>
              </w:rPr>
              <w:t> </w:t>
            </w:r>
            <w:r>
              <w:rPr>
                <w:rFonts w:ascii="宋体" w:hAnsi="宋体" w:cs="宋体" w:eastAsia="宋体" w:hint="default"/>
                <w:sz w:val="21"/>
                <w:szCs w:val="21"/>
              </w:rPr>
              <w:t>他减少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 w:right="43"/>
              <w:jc w:val="both"/>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spacing w:val="-102"/>
                <w:sz w:val="21"/>
                <w:szCs w:val="21"/>
              </w:rPr>
              <w:t> </w:t>
            </w:r>
            <w:r>
              <w:rPr>
                <w:rFonts w:ascii="宋体" w:hAnsi="宋体" w:cs="宋体" w:eastAsia="宋体" w:hint="default"/>
                <w:sz w:val="21"/>
                <w:szCs w:val="21"/>
              </w:rPr>
              <w:t>计投入</w:t>
            </w:r>
            <w:r>
              <w:rPr>
                <w:rFonts w:ascii="宋体" w:hAnsi="宋体" w:cs="宋体" w:eastAsia="宋体" w:hint="default"/>
                <w:spacing w:val="-102"/>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3"/>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 w:right="43"/>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1"/>
              <w:jc w:val="both"/>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2"/>
              <w:jc w:val="both"/>
              <w:rPr>
                <w:rFonts w:ascii="宋体" w:hAnsi="宋体" w:cs="宋体" w:eastAsia="宋体" w:hint="default"/>
                <w:sz w:val="21"/>
                <w:szCs w:val="21"/>
              </w:rPr>
            </w:pPr>
            <w:r>
              <w:rPr>
                <w:rFonts w:ascii="宋体" w:hAnsi="宋体" w:cs="宋体" w:eastAsia="宋体" w:hint="default"/>
                <w:sz w:val="21"/>
                <w:szCs w:val="21"/>
              </w:rPr>
              <w:t>全自动</w:t>
            </w:r>
            <w:r>
              <w:rPr>
                <w:rFonts w:ascii="宋体" w:hAnsi="宋体" w:cs="宋体" w:eastAsia="宋体" w:hint="default"/>
                <w:spacing w:val="-102"/>
                <w:sz w:val="21"/>
                <w:szCs w:val="21"/>
              </w:rPr>
              <w:t> </w:t>
            </w:r>
            <w:r>
              <w:rPr>
                <w:rFonts w:ascii="宋体" w:hAnsi="宋体" w:cs="宋体" w:eastAsia="宋体" w:hint="default"/>
                <w:sz w:val="21"/>
                <w:szCs w:val="21"/>
              </w:rPr>
              <w:t>智能标</w:t>
            </w:r>
            <w:r>
              <w:rPr>
                <w:rFonts w:ascii="宋体" w:hAnsi="宋体" w:cs="宋体" w:eastAsia="宋体" w:hint="default"/>
                <w:spacing w:val="-102"/>
                <w:sz w:val="21"/>
                <w:szCs w:val="21"/>
              </w:rPr>
              <w:t> </w:t>
            </w:r>
            <w:r>
              <w:rPr>
                <w:rFonts w:ascii="宋体" w:hAnsi="宋体" w:cs="宋体" w:eastAsia="宋体" w:hint="default"/>
                <w:sz w:val="21"/>
                <w:szCs w:val="21"/>
              </w:rPr>
              <w:t>签生产</w:t>
            </w:r>
            <w:r>
              <w:rPr>
                <w:rFonts w:ascii="宋体" w:hAnsi="宋体" w:cs="宋体" w:eastAsia="宋体" w:hint="default"/>
                <w:spacing w:val="-102"/>
                <w:sz w:val="21"/>
                <w:szCs w:val="21"/>
              </w:rPr>
              <w:t> </w:t>
            </w:r>
            <w:r>
              <w:rPr>
                <w:rFonts w:ascii="宋体" w:hAnsi="宋体" w:cs="宋体" w:eastAsia="宋体" w:hint="default"/>
                <w:sz w:val="21"/>
                <w:szCs w:val="21"/>
              </w:rPr>
              <w:t>线项目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49,800</w:t>
            </w:r>
          </w:p>
          <w:p>
            <w:pPr>
              <w:pStyle w:val="TableParagraph"/>
              <w:spacing w:line="240" w:lineRule="auto" w:before="34"/>
              <w:ind w:right="19"/>
              <w:jc w:val="right"/>
              <w:rPr>
                <w:rFonts w:ascii="宋体" w:hAnsi="宋体" w:cs="宋体" w:eastAsia="宋体" w:hint="default"/>
                <w:sz w:val="21"/>
                <w:szCs w:val="21"/>
              </w:rPr>
            </w:pPr>
            <w:r>
              <w:rPr>
                <w:rFonts w:ascii="宋体"/>
                <w:sz w:val="21"/>
              </w:rPr>
              <w:t>,000.0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1,415,</w:t>
            </w:r>
          </w:p>
          <w:p>
            <w:pPr>
              <w:pStyle w:val="TableParagraph"/>
              <w:spacing w:line="240" w:lineRule="auto" w:before="34"/>
              <w:ind w:left="72" w:right="0"/>
              <w:jc w:val="left"/>
              <w:rPr>
                <w:rFonts w:ascii="宋体" w:hAnsi="宋体" w:cs="宋体" w:eastAsia="宋体" w:hint="default"/>
                <w:sz w:val="21"/>
                <w:szCs w:val="21"/>
              </w:rPr>
            </w:pPr>
            <w:r>
              <w:rPr>
                <w:rFonts w:ascii="宋体"/>
                <w:sz w:val="21"/>
              </w:rPr>
              <w:t>901.16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6,409,</w:t>
            </w:r>
          </w:p>
          <w:p>
            <w:pPr>
              <w:pStyle w:val="TableParagraph"/>
              <w:spacing w:line="240" w:lineRule="auto" w:before="34"/>
              <w:ind w:left="72" w:right="0"/>
              <w:jc w:val="left"/>
              <w:rPr>
                <w:rFonts w:ascii="宋体" w:hAnsi="宋体" w:cs="宋体" w:eastAsia="宋体" w:hint="default"/>
                <w:sz w:val="21"/>
                <w:szCs w:val="21"/>
              </w:rPr>
            </w:pPr>
            <w:r>
              <w:rPr>
                <w:rFonts w:ascii="宋体"/>
                <w:sz w:val="21"/>
              </w:rPr>
              <w:t>072.85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1,371,</w:t>
            </w:r>
          </w:p>
          <w:p>
            <w:pPr>
              <w:pStyle w:val="TableParagraph"/>
              <w:spacing w:line="240" w:lineRule="auto" w:before="34"/>
              <w:ind w:left="72" w:right="0"/>
              <w:jc w:val="left"/>
              <w:rPr>
                <w:rFonts w:ascii="宋体" w:hAnsi="宋体" w:cs="宋体" w:eastAsia="宋体" w:hint="default"/>
                <w:sz w:val="21"/>
                <w:szCs w:val="21"/>
              </w:rPr>
            </w:pPr>
            <w:r>
              <w:rPr>
                <w:rFonts w:ascii="宋体"/>
                <w:sz w:val="21"/>
              </w:rPr>
              <w:t>982.49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6,452,</w:t>
            </w:r>
          </w:p>
          <w:p>
            <w:pPr>
              <w:pStyle w:val="TableParagraph"/>
              <w:spacing w:line="240" w:lineRule="auto" w:before="34"/>
              <w:ind w:left="72" w:right="0"/>
              <w:jc w:val="left"/>
              <w:rPr>
                <w:rFonts w:ascii="宋体" w:hAnsi="宋体" w:cs="宋体" w:eastAsia="宋体" w:hint="default"/>
                <w:sz w:val="21"/>
                <w:szCs w:val="21"/>
              </w:rPr>
            </w:pPr>
            <w:r>
              <w:rPr>
                <w:rFonts w:ascii="宋体"/>
                <w:sz w:val="21"/>
              </w:rPr>
              <w:t>991.52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2" w:right="0"/>
              <w:jc w:val="left"/>
              <w:rPr>
                <w:rFonts w:ascii="宋体" w:hAnsi="宋体" w:cs="宋体" w:eastAsia="宋体" w:hint="default"/>
                <w:sz w:val="21"/>
                <w:szCs w:val="21"/>
              </w:rPr>
            </w:pPr>
            <w:r>
              <w:rPr>
                <w:rFonts w:ascii="宋体"/>
                <w:sz w:val="21"/>
              </w:rPr>
              <w:t>87.56%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99.20%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4" w:right="67"/>
              <w:jc w:val="left"/>
              <w:rPr>
                <w:rFonts w:ascii="宋体" w:hAnsi="宋体" w:cs="宋体" w:eastAsia="宋体" w:hint="default"/>
                <w:sz w:val="21"/>
                <w:szCs w:val="21"/>
              </w:rPr>
            </w:pPr>
            <w:r>
              <w:rPr>
                <w:rFonts w:ascii="宋体" w:hAnsi="宋体" w:cs="宋体" w:eastAsia="宋体" w:hint="default"/>
                <w:sz w:val="21"/>
                <w:szCs w:val="21"/>
              </w:rPr>
              <w:t>募股资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38"/>
              <w:jc w:val="center"/>
              <w:rPr>
                <w:rFonts w:ascii="宋体" w:hAnsi="宋体" w:cs="宋体" w:eastAsia="宋体" w:hint="default"/>
                <w:sz w:val="21"/>
                <w:szCs w:val="21"/>
              </w:rPr>
            </w:pPr>
            <w:r>
              <w:rPr>
                <w:rFonts w:ascii="宋体" w:hAnsi="宋体" w:cs="宋体" w:eastAsia="宋体" w:hint="default"/>
                <w:sz w:val="21"/>
                <w:szCs w:val="21"/>
              </w:rPr>
              <w:t>高档商</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both"/>
              <w:rPr>
                <w:rFonts w:ascii="宋体" w:hAnsi="宋体" w:cs="宋体" w:eastAsia="宋体" w:hint="default"/>
                <w:sz w:val="21"/>
                <w:szCs w:val="21"/>
              </w:rPr>
            </w:pPr>
            <w:r>
              <w:rPr>
                <w:rFonts w:ascii="宋体" w:hAnsi="宋体" w:cs="宋体" w:eastAsia="宋体" w:hint="default"/>
                <w:sz w:val="21"/>
                <w:szCs w:val="21"/>
              </w:rPr>
              <w:t>业票据</w:t>
            </w:r>
          </w:p>
          <w:p>
            <w:pPr>
              <w:pStyle w:val="TableParagraph"/>
              <w:spacing w:line="273" w:lineRule="auto" w:before="37"/>
              <w:ind w:left="24" w:right="62"/>
              <w:jc w:val="both"/>
              <w:rPr>
                <w:rFonts w:ascii="宋体" w:hAnsi="宋体" w:cs="宋体" w:eastAsia="宋体" w:hint="default"/>
                <w:sz w:val="21"/>
                <w:szCs w:val="21"/>
              </w:rPr>
            </w:pPr>
            <w:r>
              <w:rPr>
                <w:rFonts w:ascii="宋体" w:hAnsi="宋体" w:cs="宋体" w:eastAsia="宋体" w:hint="default"/>
                <w:sz w:val="21"/>
                <w:szCs w:val="21"/>
              </w:rPr>
              <w:t>印刷生</w:t>
            </w:r>
            <w:r>
              <w:rPr>
                <w:rFonts w:ascii="宋体" w:hAnsi="宋体" w:cs="宋体" w:eastAsia="宋体" w:hint="default"/>
                <w:spacing w:val="-102"/>
                <w:sz w:val="21"/>
                <w:szCs w:val="21"/>
              </w:rPr>
              <w:t> </w:t>
            </w:r>
            <w:r>
              <w:rPr>
                <w:rFonts w:ascii="宋体" w:hAnsi="宋体" w:cs="宋体" w:eastAsia="宋体" w:hint="default"/>
                <w:sz w:val="21"/>
                <w:szCs w:val="21"/>
              </w:rPr>
              <w:t>产线及</w:t>
            </w:r>
            <w:r>
              <w:rPr>
                <w:rFonts w:ascii="宋体" w:hAnsi="宋体" w:cs="宋体" w:eastAsia="宋体" w:hint="default"/>
                <w:spacing w:val="-102"/>
                <w:sz w:val="21"/>
                <w:szCs w:val="21"/>
              </w:rPr>
              <w:t> </w:t>
            </w:r>
            <w:r>
              <w:rPr>
                <w:rFonts w:ascii="宋体" w:hAnsi="宋体" w:cs="宋体" w:eastAsia="宋体" w:hint="default"/>
                <w:sz w:val="21"/>
                <w:szCs w:val="21"/>
              </w:rPr>
              <w:t>北京数</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9"/>
              <w:jc w:val="right"/>
              <w:rPr>
                <w:rFonts w:ascii="宋体" w:hAnsi="宋体" w:cs="宋体" w:eastAsia="宋体" w:hint="default"/>
                <w:sz w:val="21"/>
                <w:szCs w:val="21"/>
              </w:rPr>
            </w:pPr>
            <w:r>
              <w:rPr>
                <w:rFonts w:ascii="宋体"/>
                <w:sz w:val="21"/>
              </w:rPr>
              <w:t>375,00</w:t>
            </w:r>
          </w:p>
          <w:p>
            <w:pPr>
              <w:pStyle w:val="TableParagraph"/>
              <w:spacing w:line="240" w:lineRule="auto" w:before="34"/>
              <w:ind w:right="19"/>
              <w:jc w:val="right"/>
              <w:rPr>
                <w:rFonts w:ascii="宋体" w:hAnsi="宋体" w:cs="宋体" w:eastAsia="宋体" w:hint="default"/>
                <w:sz w:val="21"/>
                <w:szCs w:val="21"/>
              </w:rPr>
            </w:pPr>
            <w:r>
              <w:rPr>
                <w:rFonts w:ascii="宋体"/>
                <w:sz w:val="21"/>
              </w:rPr>
              <w:t>0,000.</w:t>
            </w:r>
          </w:p>
          <w:p>
            <w:pPr>
              <w:pStyle w:val="TableParagraph"/>
              <w:spacing w:line="240" w:lineRule="auto" w:before="37"/>
              <w:ind w:right="23"/>
              <w:jc w:val="right"/>
              <w:rPr>
                <w:rFonts w:ascii="宋体" w:hAnsi="宋体" w:cs="宋体" w:eastAsia="宋体" w:hint="default"/>
                <w:sz w:val="21"/>
                <w:szCs w:val="21"/>
              </w:rPr>
            </w:pPr>
            <w:r>
              <w:rPr>
                <w:rFonts w:ascii="宋体"/>
                <w:sz w:val="21"/>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7"/>
              <w:jc w:val="right"/>
              <w:rPr>
                <w:rFonts w:ascii="宋体" w:hAnsi="宋体" w:cs="宋体" w:eastAsia="宋体" w:hint="default"/>
                <w:sz w:val="21"/>
                <w:szCs w:val="21"/>
              </w:rPr>
            </w:pPr>
            <w:r>
              <w:rPr>
                <w:rFonts w:ascii="宋体"/>
                <w:sz w:val="21"/>
              </w:rPr>
              <w:t>66,072</w:t>
            </w:r>
          </w:p>
          <w:p>
            <w:pPr>
              <w:pStyle w:val="TableParagraph"/>
              <w:spacing w:line="240" w:lineRule="auto" w:before="34"/>
              <w:ind w:right="17"/>
              <w:jc w:val="right"/>
              <w:rPr>
                <w:rFonts w:ascii="宋体" w:hAnsi="宋体" w:cs="宋体" w:eastAsia="宋体" w:hint="default"/>
                <w:sz w:val="21"/>
                <w:szCs w:val="21"/>
              </w:rPr>
            </w:pPr>
            <w:r>
              <w:rPr>
                <w:rFonts w:ascii="宋体"/>
                <w:sz w:val="21"/>
              </w:rPr>
              <w:t>,249.1</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21"/>
                <w:szCs w:val="21"/>
              </w:rPr>
            </w:pPr>
            <w:r>
              <w:rPr>
                <w:rFonts w:ascii="宋体"/>
                <w:sz w:val="21"/>
              </w:rPr>
              <w:t>7,790,</w:t>
            </w:r>
          </w:p>
          <w:p>
            <w:pPr>
              <w:pStyle w:val="TableParagraph"/>
              <w:spacing w:line="240" w:lineRule="auto" w:before="34"/>
              <w:ind w:left="72" w:right="0"/>
              <w:jc w:val="left"/>
              <w:rPr>
                <w:rFonts w:ascii="宋体" w:hAnsi="宋体" w:cs="宋体" w:eastAsia="宋体" w:hint="default"/>
                <w:sz w:val="21"/>
                <w:szCs w:val="21"/>
              </w:rPr>
            </w:pPr>
            <w:r>
              <w:rPr>
                <w:rFonts w:ascii="宋体"/>
                <w:sz w:val="21"/>
              </w:rPr>
              <w:t>564.92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9"/>
              <w:jc w:val="right"/>
              <w:rPr>
                <w:rFonts w:ascii="宋体" w:hAnsi="宋体" w:cs="宋体" w:eastAsia="宋体" w:hint="default"/>
                <w:sz w:val="21"/>
                <w:szCs w:val="21"/>
              </w:rPr>
            </w:pPr>
            <w:r>
              <w:rPr>
                <w:rFonts w:ascii="宋体"/>
                <w:sz w:val="21"/>
              </w:rPr>
              <w:t>36,047</w:t>
            </w:r>
          </w:p>
          <w:p>
            <w:pPr>
              <w:pStyle w:val="TableParagraph"/>
              <w:spacing w:line="240" w:lineRule="auto" w:before="34"/>
              <w:ind w:right="19"/>
              <w:jc w:val="right"/>
              <w:rPr>
                <w:rFonts w:ascii="宋体" w:hAnsi="宋体" w:cs="宋体" w:eastAsia="宋体" w:hint="default"/>
                <w:sz w:val="21"/>
                <w:szCs w:val="21"/>
              </w:rPr>
            </w:pPr>
            <w:r>
              <w:rPr>
                <w:rFonts w:ascii="宋体"/>
                <w:sz w:val="21"/>
              </w:rPr>
              <w:t>,798.6</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9</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9"/>
              <w:jc w:val="right"/>
              <w:rPr>
                <w:rFonts w:ascii="宋体" w:hAnsi="宋体" w:cs="宋体" w:eastAsia="宋体" w:hint="default"/>
                <w:sz w:val="21"/>
                <w:szCs w:val="21"/>
              </w:rPr>
            </w:pPr>
            <w:r>
              <w:rPr>
                <w:rFonts w:ascii="宋体"/>
                <w:sz w:val="21"/>
              </w:rPr>
              <w:t>37,815</w:t>
            </w:r>
          </w:p>
          <w:p>
            <w:pPr>
              <w:pStyle w:val="TableParagraph"/>
              <w:spacing w:line="240" w:lineRule="auto" w:before="34"/>
              <w:ind w:right="19"/>
              <w:jc w:val="right"/>
              <w:rPr>
                <w:rFonts w:ascii="宋体" w:hAnsi="宋体" w:cs="宋体" w:eastAsia="宋体" w:hint="default"/>
                <w:sz w:val="21"/>
                <w:szCs w:val="21"/>
              </w:rPr>
            </w:pPr>
            <w:r>
              <w:rPr>
                <w:rFonts w:ascii="宋体"/>
                <w:sz w:val="21"/>
              </w:rPr>
              <w:t>,015.3</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72" w:right="0"/>
              <w:jc w:val="left"/>
              <w:rPr>
                <w:rFonts w:ascii="宋体" w:hAnsi="宋体" w:cs="宋体" w:eastAsia="宋体" w:hint="default"/>
                <w:sz w:val="21"/>
                <w:szCs w:val="21"/>
              </w:rPr>
            </w:pPr>
            <w:r>
              <w:rPr>
                <w:rFonts w:ascii="宋体"/>
                <w:sz w:val="21"/>
              </w:rPr>
              <w:t>82.08%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24" w:right="0"/>
              <w:jc w:val="left"/>
              <w:rPr>
                <w:rFonts w:ascii="宋体" w:hAnsi="宋体" w:cs="宋体" w:eastAsia="宋体" w:hint="default"/>
                <w:sz w:val="21"/>
                <w:szCs w:val="21"/>
              </w:rPr>
            </w:pPr>
            <w:r>
              <w:rPr>
                <w:rFonts w:ascii="宋体"/>
                <w:sz w:val="21"/>
              </w:rPr>
              <w:t>89.92%</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71" w:lineRule="auto"/>
              <w:ind w:left="24" w:right="67"/>
              <w:jc w:val="left"/>
              <w:rPr>
                <w:rFonts w:ascii="宋体" w:hAnsi="宋体" w:cs="宋体" w:eastAsia="宋体" w:hint="default"/>
                <w:sz w:val="21"/>
                <w:szCs w:val="21"/>
              </w:rPr>
            </w:pPr>
            <w:r>
              <w:rPr>
                <w:rFonts w:ascii="宋体" w:hAnsi="宋体" w:cs="宋体" w:eastAsia="宋体" w:hint="default"/>
                <w:sz w:val="21"/>
                <w:szCs w:val="21"/>
              </w:rPr>
              <w:t>募股资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31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38"/>
              <w:jc w:val="center"/>
              <w:rPr>
                <w:rFonts w:ascii="宋体" w:hAnsi="宋体" w:cs="宋体" w:eastAsia="宋体" w:hint="default"/>
                <w:sz w:val="21"/>
                <w:szCs w:val="21"/>
              </w:rPr>
            </w:pPr>
            <w:r>
              <w:rPr>
                <w:rFonts w:ascii="宋体" w:hAnsi="宋体" w:cs="宋体" w:eastAsia="宋体" w:hint="default"/>
                <w:sz w:val="21"/>
                <w:szCs w:val="21"/>
              </w:rPr>
              <w:t>字化印</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62"/>
              <w:jc w:val="both"/>
              <w:rPr>
                <w:rFonts w:ascii="宋体" w:hAnsi="宋体" w:cs="宋体" w:eastAsia="宋体" w:hint="default"/>
                <w:sz w:val="21"/>
                <w:szCs w:val="21"/>
              </w:rPr>
            </w:pPr>
            <w:r>
              <w:rPr>
                <w:rFonts w:ascii="宋体" w:hAnsi="宋体" w:cs="宋体" w:eastAsia="宋体" w:hint="default"/>
                <w:sz w:val="21"/>
                <w:szCs w:val="21"/>
              </w:rPr>
              <w:t>刷基地</w:t>
            </w:r>
            <w:r>
              <w:rPr>
                <w:rFonts w:ascii="宋体" w:hAnsi="宋体" w:cs="宋体" w:eastAsia="宋体" w:hint="default"/>
                <w:spacing w:val="-102"/>
                <w:sz w:val="21"/>
                <w:szCs w:val="21"/>
              </w:rPr>
              <w:t> </w:t>
            </w:r>
            <w:r>
              <w:rPr>
                <w:rFonts w:ascii="宋体" w:hAnsi="宋体" w:cs="宋体" w:eastAsia="宋体" w:hint="default"/>
                <w:sz w:val="21"/>
                <w:szCs w:val="21"/>
              </w:rPr>
              <w:t>建设项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2"/>
              <w:jc w:val="both"/>
              <w:rPr>
                <w:rFonts w:ascii="宋体" w:hAnsi="宋体" w:cs="宋体" w:eastAsia="宋体" w:hint="default"/>
                <w:sz w:val="21"/>
                <w:szCs w:val="21"/>
              </w:rPr>
            </w:pPr>
            <w:r>
              <w:rPr>
                <w:rFonts w:ascii="宋体" w:hAnsi="宋体" w:cs="宋体" w:eastAsia="宋体" w:hint="default"/>
                <w:sz w:val="21"/>
                <w:szCs w:val="21"/>
              </w:rPr>
              <w:t>无锡双</w:t>
            </w:r>
            <w:r>
              <w:rPr>
                <w:rFonts w:ascii="宋体" w:hAnsi="宋体" w:cs="宋体" w:eastAsia="宋体" w:hint="default"/>
                <w:spacing w:val="-102"/>
                <w:sz w:val="21"/>
                <w:szCs w:val="21"/>
              </w:rPr>
              <w:t> </w:t>
            </w:r>
            <w:r>
              <w:rPr>
                <w:rFonts w:ascii="宋体" w:hAnsi="宋体" w:cs="宋体" w:eastAsia="宋体" w:hint="default"/>
                <w:sz w:val="21"/>
                <w:szCs w:val="21"/>
              </w:rPr>
              <w:t>龙厂房</w:t>
            </w:r>
            <w:r>
              <w:rPr>
                <w:rFonts w:ascii="宋体" w:hAnsi="宋体" w:cs="宋体" w:eastAsia="宋体" w:hint="default"/>
                <w:spacing w:val="-102"/>
                <w:sz w:val="21"/>
                <w:szCs w:val="21"/>
              </w:rPr>
              <w:t> </w:t>
            </w:r>
            <w:r>
              <w:rPr>
                <w:rFonts w:ascii="宋体" w:hAnsi="宋体" w:cs="宋体" w:eastAsia="宋体" w:hint="default"/>
                <w:sz w:val="21"/>
                <w:szCs w:val="21"/>
              </w:rPr>
              <w:t>及办公</w:t>
            </w:r>
            <w:r>
              <w:rPr>
                <w:rFonts w:ascii="宋体" w:hAnsi="宋体" w:cs="宋体" w:eastAsia="宋体" w:hint="default"/>
                <w:spacing w:val="-102"/>
                <w:sz w:val="21"/>
                <w:szCs w:val="21"/>
              </w:rPr>
              <w:t> </w:t>
            </w:r>
            <w:r>
              <w:rPr>
                <w:rFonts w:ascii="宋体" w:hAnsi="宋体" w:cs="宋体" w:eastAsia="宋体" w:hint="default"/>
                <w:sz w:val="21"/>
                <w:szCs w:val="21"/>
              </w:rPr>
              <w:t>楼建设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25,000</w:t>
            </w:r>
          </w:p>
          <w:p>
            <w:pPr>
              <w:pStyle w:val="TableParagraph"/>
              <w:spacing w:line="240" w:lineRule="auto" w:before="37"/>
              <w:ind w:right="19"/>
              <w:jc w:val="right"/>
              <w:rPr>
                <w:rFonts w:ascii="宋体" w:hAnsi="宋体" w:cs="宋体" w:eastAsia="宋体" w:hint="default"/>
                <w:sz w:val="21"/>
                <w:szCs w:val="21"/>
              </w:rPr>
            </w:pPr>
            <w:r>
              <w:rPr>
                <w:rFonts w:ascii="宋体"/>
                <w:sz w:val="21"/>
              </w:rPr>
              <w:t>,000.0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36,330</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36,330</w:t>
            </w:r>
          </w:p>
          <w:p>
            <w:pPr>
              <w:pStyle w:val="TableParagraph"/>
              <w:spacing w:line="240" w:lineRule="auto" w:before="37"/>
              <w:ind w:left="388" w:right="0"/>
              <w:jc w:val="left"/>
              <w:rPr>
                <w:rFonts w:ascii="宋体" w:hAnsi="宋体" w:cs="宋体" w:eastAsia="宋体" w:hint="default"/>
                <w:sz w:val="21"/>
                <w:szCs w:val="21"/>
              </w:rPr>
            </w:pPr>
            <w:r>
              <w:rPr>
                <w:rFonts w:ascii="宋体"/>
                <w:sz w:val="21"/>
              </w:rPr>
              <w:t>.10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0.15%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sz w:val="21"/>
              </w:rPr>
              <w:t>0.15%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宫腰机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5,512,</w:t>
            </w:r>
          </w:p>
          <w:p>
            <w:pPr>
              <w:pStyle w:val="TableParagraph"/>
              <w:spacing w:line="240" w:lineRule="auto" w:before="37"/>
              <w:ind w:left="72" w:right="0"/>
              <w:jc w:val="left"/>
              <w:rPr>
                <w:rFonts w:ascii="宋体" w:hAnsi="宋体" w:cs="宋体" w:eastAsia="宋体" w:hint="default"/>
                <w:sz w:val="21"/>
                <w:szCs w:val="21"/>
              </w:rPr>
            </w:pPr>
            <w:r>
              <w:rPr>
                <w:rFonts w:ascii="宋体"/>
                <w:sz w:val="21"/>
              </w:rPr>
              <w:t>820.55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4,410,</w:t>
            </w:r>
          </w:p>
          <w:p>
            <w:pPr>
              <w:pStyle w:val="TableParagraph"/>
              <w:spacing w:line="240" w:lineRule="auto" w:before="37"/>
              <w:ind w:left="72" w:right="0"/>
              <w:jc w:val="left"/>
              <w:rPr>
                <w:rFonts w:ascii="宋体" w:hAnsi="宋体" w:cs="宋体" w:eastAsia="宋体" w:hint="default"/>
                <w:sz w:val="21"/>
                <w:szCs w:val="21"/>
              </w:rPr>
            </w:pPr>
            <w:r>
              <w:rPr>
                <w:rFonts w:ascii="宋体"/>
                <w:sz w:val="21"/>
              </w:rPr>
              <w:t>256.44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4,410,</w:t>
            </w:r>
          </w:p>
          <w:p>
            <w:pPr>
              <w:pStyle w:val="TableParagraph"/>
              <w:spacing w:line="240" w:lineRule="auto" w:before="37"/>
              <w:ind w:left="72" w:right="0"/>
              <w:jc w:val="left"/>
              <w:rPr>
                <w:rFonts w:ascii="宋体" w:hAnsi="宋体" w:cs="宋体" w:eastAsia="宋体" w:hint="default"/>
                <w:sz w:val="21"/>
                <w:szCs w:val="21"/>
              </w:rPr>
            </w:pPr>
            <w:r>
              <w:rPr>
                <w:rFonts w:ascii="宋体"/>
                <w:sz w:val="21"/>
              </w:rPr>
              <w:t>256.44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455,31</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67,488</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18,646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37,419</w:t>
            </w: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48,714</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2,820.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z w:val="21"/>
              </w:rPr>
              <w:t>,150.3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,224.3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,781.1</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,593.4</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sz w:val="21"/>
              </w:rPr>
              <w:t>--</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257"/>
              <w:jc w:val="right"/>
              <w:rPr>
                <w:rFonts w:ascii="宋体" w:hAnsi="宋体" w:cs="宋体" w:eastAsia="宋体" w:hint="default"/>
                <w:sz w:val="21"/>
                <w:szCs w:val="21"/>
              </w:rPr>
            </w:pPr>
            <w:r>
              <w:rPr>
                <w:rFonts w:ascii="宋体"/>
                <w:sz w:val="21"/>
              </w:rPr>
              <w:t>--</w:t>
            </w:r>
          </w:p>
        </w:tc>
      </w:tr>
      <w:tr>
        <w:trPr>
          <w:trHeight w:val="354" w:hRule="exact"/>
        </w:trPr>
        <w:tc>
          <w:tcPr>
            <w:tcW w:w="732"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55</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w w:val="100"/>
                <w:sz w:val="21"/>
              </w:rPr>
              <w:t>2</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1</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8</w:t>
            </w: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5</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（3）本期计提在建工程减值准备情况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计提原因</w:t>
            </w:r>
          </w:p>
        </w:tc>
      </w:tr>
    </w:tbl>
    <w:p>
      <w:pPr>
        <w:pStyle w:val="BodyText"/>
        <w:spacing w:line="535" w:lineRule="auto" w:before="28"/>
        <w:ind w:right="8511"/>
        <w:jc w:val="left"/>
      </w:pPr>
      <w:r>
        <w:rPr/>
        <w:t>其他说明</w:t>
      </w:r>
      <w:r>
        <w:rPr>
          <w:w w:val="100"/>
        </w:rPr>
        <w:t> </w:t>
      </w:r>
      <w:r>
        <w:rPr/>
        <w:t>21、工程物资</w:t>
      </w:r>
    </w:p>
    <w:p>
      <w:pPr>
        <w:pStyle w:val="BodyText"/>
        <w:spacing w:line="240" w:lineRule="auto" w:before="81"/>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2" w:lineRule="auto" w:before="28"/>
        <w:ind w:right="8091"/>
        <w:jc w:val="left"/>
      </w:pPr>
      <w:r>
        <w:rPr/>
        <w:t>其他说明：</w:t>
      </w:r>
      <w:r>
        <w:rPr>
          <w:spacing w:val="-102"/>
        </w:rPr>
        <w:t> </w:t>
      </w:r>
      <w:r>
        <w:rPr>
          <w:spacing w:val="-102"/>
        </w:rPr>
      </w:r>
      <w:r>
        <w:rPr/>
        <w:t>22、固定资产清理</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5" w:lineRule="auto" w:before="28"/>
        <w:ind w:right="7881"/>
        <w:jc w:val="left"/>
      </w:pPr>
      <w:r>
        <w:rPr/>
        <w:t>其他说明：</w:t>
      </w:r>
      <w:r>
        <w:rPr>
          <w:spacing w:val="-102"/>
        </w:rPr>
        <w:t> </w:t>
      </w:r>
      <w:r>
        <w:rPr>
          <w:spacing w:val="-102"/>
        </w:rPr>
      </w:r>
      <w:r>
        <w:rPr/>
        <w:t>23、生产性生物资产</w:t>
      </w:r>
    </w:p>
    <w:p>
      <w:pPr>
        <w:pStyle w:val="BodyText"/>
        <w:spacing w:line="240" w:lineRule="auto" w:before="81"/>
        <w:ind w:right="2880"/>
        <w:jc w:val="left"/>
      </w:pPr>
      <w:r>
        <w:rPr/>
        <w:t>（1）采用成本计量模式的生产性生物资产</w:t>
      </w:r>
    </w:p>
    <w:p>
      <w:pPr>
        <w:spacing w:line="240" w:lineRule="auto" w:before="10"/>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10"/>
        <w:rPr>
          <w:rFonts w:ascii="宋体" w:hAnsi="宋体" w:cs="宋体" w:eastAsia="宋体" w:hint="default"/>
          <w:sz w:val="25"/>
          <w:szCs w:val="25"/>
        </w:rPr>
      </w:pPr>
    </w:p>
    <w:p>
      <w:pPr>
        <w:pStyle w:val="BodyText"/>
        <w:spacing w:line="240" w:lineRule="auto"/>
        <w:ind w:right="2880"/>
        <w:jc w:val="left"/>
      </w:pPr>
      <w:r>
        <w:rPr/>
        <w:t>（2）采用公允价值计量模式的生产性生物资产</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after="0" w:line="240" w:lineRule="auto"/>
        <w:jc w:val="left"/>
        <w:sectPr>
          <w:footerReference w:type="default" r:id="rId26"/>
          <w:pgSz w:w="11910" w:h="16840"/>
          <w:pgMar w:footer="979" w:header="747" w:top="1060" w:bottom="1160" w:left="980" w:right="980"/>
          <w:pgNumType w:start="12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24、油气资产</w:t>
      </w:r>
    </w:p>
    <w:p>
      <w:pPr>
        <w:spacing w:line="240" w:lineRule="auto" w:before="12"/>
        <w:rPr>
          <w:rFonts w:ascii="宋体" w:hAnsi="宋体" w:cs="宋体" w:eastAsia="宋体" w:hint="default"/>
          <w:sz w:val="25"/>
          <w:szCs w:val="25"/>
        </w:rPr>
      </w:pPr>
    </w:p>
    <w:p>
      <w:pPr>
        <w:pStyle w:val="BodyText"/>
        <w:spacing w:line="532" w:lineRule="auto"/>
        <w:ind w:right="7986"/>
        <w:jc w:val="left"/>
      </w:pPr>
      <w:r>
        <w:rPr/>
        <w:t>□ 适用 √ 不适用</w:t>
      </w:r>
      <w:r>
        <w:rPr>
          <w:w w:val="100"/>
        </w:rPr>
        <w:t> </w:t>
      </w:r>
      <w:r>
        <w:rPr/>
        <w:t>25、无形资产</w:t>
      </w:r>
    </w:p>
    <w:p>
      <w:pPr>
        <w:pStyle w:val="BodyText"/>
        <w:spacing w:line="240" w:lineRule="auto" w:before="83"/>
        <w:ind w:right="2880"/>
        <w:jc w:val="left"/>
      </w:pPr>
      <w:r>
        <w:rPr/>
        <w:t>（1）无形资产情况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62"/>
        <w:gridCol w:w="1397"/>
        <w:gridCol w:w="1368"/>
        <w:gridCol w:w="1382"/>
        <w:gridCol w:w="1380"/>
        <w:gridCol w:w="1579"/>
      </w:tblGrid>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1" w:hRule="exact"/>
        </w:trPr>
        <w:tc>
          <w:tcPr>
            <w:tcW w:w="2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24,941,269.2</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1368"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2,472,587.17</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sz w:val="21"/>
              </w:rPr>
              <w:t>326,079.49</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27,739,935.91</w:t>
            </w:r>
          </w:p>
        </w:tc>
      </w:tr>
      <w:tr>
        <w:trPr>
          <w:trHeight w:val="391" w:hRule="exact"/>
        </w:trPr>
        <w:tc>
          <w:tcPr>
            <w:tcW w:w="2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61" w:hRule="exact"/>
        </w:trPr>
        <w:tc>
          <w:tcPr>
            <w:tcW w:w="2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36,474,486.0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368"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2,229,823.42</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21"/>
                <w:szCs w:val="21"/>
              </w:rPr>
            </w:pPr>
            <w:r>
              <w:rPr>
                <w:rFonts w:ascii="宋体"/>
                <w:sz w:val="21"/>
              </w:rPr>
              <w:t>90,555.56</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38,794,864.98</w:t>
            </w:r>
          </w:p>
        </w:tc>
      </w:tr>
      <w:tr>
        <w:trPr>
          <w:trHeight w:val="394" w:hRule="exact"/>
        </w:trPr>
        <w:tc>
          <w:tcPr>
            <w:tcW w:w="2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61" w:hRule="exact"/>
        </w:trPr>
        <w:tc>
          <w:tcPr>
            <w:tcW w:w="2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36,474,486.0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368"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2,229,823.42</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21"/>
                <w:szCs w:val="21"/>
              </w:rPr>
            </w:pPr>
            <w:r>
              <w:rPr>
                <w:rFonts w:ascii="宋体"/>
                <w:sz w:val="21"/>
              </w:rPr>
              <w:t>90,555.56</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38,794,864.98</w:t>
            </w:r>
          </w:p>
        </w:tc>
      </w:tr>
      <w:tr>
        <w:trPr>
          <w:trHeight w:val="391" w:hRule="exact"/>
        </w:trPr>
        <w:tc>
          <w:tcPr>
            <w:tcW w:w="2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（1）购置</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61" w:hRule="exact"/>
        </w:trPr>
        <w:tc>
          <w:tcPr>
            <w:tcW w:w="2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61,415,755.2</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5</w:t>
            </w:r>
          </w:p>
        </w:tc>
        <w:tc>
          <w:tcPr>
            <w:tcW w:w="1368"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4,702,410.59</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sz w:val="21"/>
              </w:rPr>
              <w:t>416,635.05</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66,534,800.89</w:t>
            </w:r>
          </w:p>
        </w:tc>
      </w:tr>
      <w:tr>
        <w:trPr>
          <w:trHeight w:val="394" w:hRule="exact"/>
        </w:trPr>
        <w:tc>
          <w:tcPr>
            <w:tcW w:w="2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1.期初余额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2,252,750.43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700,499.82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190,002.73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3,143,252.98</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2.本期增加金额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794,145.24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665,860.10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52,733.47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1,512,738.81</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（1）计提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794,145.24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665,860.10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52,733.47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1,512,738.81</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4.期末余额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3,046,895.67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1,366,359.92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242,736.20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4,655,991.79</w:t>
            </w:r>
          </w:p>
        </w:tc>
      </w:tr>
      <w:tr>
        <w:trPr>
          <w:trHeight w:val="161" w:hRule="exact"/>
        </w:trPr>
        <w:tc>
          <w:tcPr>
            <w:tcW w:w="2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58,368,859.5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c>
          <w:tcPr>
            <w:tcW w:w="1368"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3,336,050.67</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sz w:val="21"/>
              </w:rPr>
              <w:t>173,898.85</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61,878,809.10</w:t>
            </w:r>
          </w:p>
        </w:tc>
      </w:tr>
      <w:tr>
        <w:trPr>
          <w:trHeight w:val="391" w:hRule="exact"/>
        </w:trPr>
        <w:tc>
          <w:tcPr>
            <w:tcW w:w="2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1.期末账面价值</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61" w:hRule="exact"/>
        </w:trPr>
        <w:tc>
          <w:tcPr>
            <w:tcW w:w="2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22,688,518.8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1368"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sz w:val="21"/>
              </w:rPr>
              <w:t>1,772,087.35</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sz w:val="21"/>
              </w:rPr>
              <w:t>136,076.76</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21"/>
                <w:szCs w:val="21"/>
              </w:rPr>
            </w:pPr>
            <w:r>
              <w:rPr>
                <w:rFonts w:ascii="宋体"/>
                <w:sz w:val="21"/>
              </w:rPr>
              <w:t>24,596,682.93</w:t>
            </w:r>
          </w:p>
        </w:tc>
      </w:tr>
      <w:tr>
        <w:trPr>
          <w:trHeight w:val="394" w:hRule="exact"/>
        </w:trPr>
        <w:tc>
          <w:tcPr>
            <w:tcW w:w="2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2.期初账面价值</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bl>
    <w:p>
      <w:pPr>
        <w:pStyle w:val="BodyText"/>
        <w:spacing w:line="240" w:lineRule="auto" w:before="28"/>
        <w:ind w:right="2880"/>
        <w:jc w:val="left"/>
      </w:pPr>
      <w:r>
        <w:rPr/>
        <w:t>本期末通过公司内部研发形成的无形资产占无形资产余额的比例。</w:t>
      </w:r>
    </w:p>
    <w:p>
      <w:pPr>
        <w:spacing w:line="240" w:lineRule="auto" w:before="8"/>
        <w:rPr>
          <w:rFonts w:ascii="宋体" w:hAnsi="宋体" w:cs="宋体" w:eastAsia="宋体" w:hint="default"/>
          <w:sz w:val="25"/>
          <w:szCs w:val="25"/>
        </w:rPr>
      </w:pPr>
    </w:p>
    <w:p>
      <w:pPr>
        <w:pStyle w:val="BodyText"/>
        <w:spacing w:line="240" w:lineRule="auto"/>
        <w:ind w:right="2880"/>
        <w:jc w:val="left"/>
      </w:pPr>
      <w:r>
        <w:rPr/>
        <w:t>（2）未办妥产权证书的土地使用权情况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40"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土地使用权（四川鸿海公司）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95" w:right="0"/>
              <w:jc w:val="left"/>
              <w:rPr>
                <w:rFonts w:ascii="宋体" w:hAnsi="宋体" w:cs="宋体" w:eastAsia="宋体" w:hint="default"/>
                <w:sz w:val="21"/>
                <w:szCs w:val="21"/>
              </w:rPr>
            </w:pPr>
            <w:r>
              <w:rPr>
                <w:rFonts w:ascii="宋体"/>
                <w:sz w:val="21"/>
              </w:rPr>
              <w:t>15,707,466.60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办理中</w:t>
            </w:r>
          </w:p>
        </w:tc>
      </w:tr>
    </w:tbl>
    <w:p>
      <w:pPr>
        <w:pStyle w:val="BodyText"/>
        <w:spacing w:line="532" w:lineRule="auto" w:before="28"/>
        <w:ind w:right="8511"/>
        <w:jc w:val="left"/>
      </w:pPr>
      <w:r>
        <w:rPr/>
        <w:t>其他说明：</w:t>
      </w:r>
      <w:r>
        <w:rPr>
          <w:spacing w:val="-102"/>
        </w:rPr>
        <w:t> </w:t>
      </w:r>
      <w:r>
        <w:rPr>
          <w:spacing w:val="-102"/>
        </w:rPr>
      </w:r>
      <w:r>
        <w:rPr/>
        <w:t>26、开发支出</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194"/>
        <w:gridCol w:w="1198"/>
        <w:gridCol w:w="2390"/>
        <w:gridCol w:w="3588"/>
        <w:gridCol w:w="1198"/>
      </w:tblGrid>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8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5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194"/>
        <w:gridCol w:w="1198"/>
        <w:gridCol w:w="1195"/>
        <w:gridCol w:w="1195"/>
        <w:gridCol w:w="1198"/>
        <w:gridCol w:w="1195"/>
        <w:gridCol w:w="1195"/>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7" w:right="62" w:hanging="420"/>
              <w:jc w:val="left"/>
              <w:rPr>
                <w:rFonts w:ascii="宋体" w:hAnsi="宋体" w:cs="宋体" w:eastAsia="宋体" w:hint="default"/>
                <w:sz w:val="21"/>
                <w:szCs w:val="21"/>
              </w:rPr>
            </w:pPr>
            <w:r>
              <w:rPr>
                <w:rFonts w:ascii="宋体" w:hAnsi="宋体" w:cs="宋体" w:eastAsia="宋体" w:hint="default"/>
                <w:sz w:val="21"/>
                <w:szCs w:val="21"/>
              </w:rPr>
              <w:t>内部开发支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84" w:right="65" w:hanging="317"/>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7" w:right="62" w:hanging="420"/>
              <w:jc w:val="left"/>
              <w:rPr>
                <w:rFonts w:ascii="宋体" w:hAnsi="宋体" w:cs="宋体" w:eastAsia="宋体" w:hint="default"/>
                <w:sz w:val="21"/>
                <w:szCs w:val="21"/>
              </w:rPr>
            </w:pPr>
            <w:r>
              <w:rPr>
                <w:rFonts w:ascii="宋体" w:hAnsi="宋体" w:cs="宋体" w:eastAsia="宋体" w:hint="default"/>
                <w:sz w:val="21"/>
                <w:szCs w:val="21"/>
              </w:rPr>
              <w:t>转入当期损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4" w:right="0"/>
              <w:jc w:val="lef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44" w:right="0"/>
              <w:jc w:val="lef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532" w:lineRule="auto" w:before="28"/>
        <w:ind w:right="8931"/>
        <w:jc w:val="left"/>
      </w:pPr>
      <w:r>
        <w:rPr/>
        <w:t>其他说明</w:t>
      </w:r>
      <w:r>
        <w:rPr>
          <w:w w:val="100"/>
        </w:rPr>
        <w:t> </w:t>
      </w:r>
      <w:r>
        <w:rPr/>
        <w:t>27、商誉</w:t>
      </w:r>
    </w:p>
    <w:p>
      <w:pPr>
        <w:pStyle w:val="BodyText"/>
        <w:spacing w:line="240" w:lineRule="auto" w:before="83"/>
        <w:ind w:right="2880"/>
        <w:jc w:val="left"/>
      </w:pPr>
      <w:r>
        <w:rPr/>
        <w:t>（1）商誉账面原值</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48" w:right="45"/>
              <w:jc w:val="center"/>
              <w:rPr>
                <w:rFonts w:ascii="宋体" w:hAnsi="宋体" w:cs="宋体" w:eastAsia="宋体" w:hint="default"/>
                <w:sz w:val="21"/>
                <w:szCs w:val="21"/>
              </w:rPr>
            </w:pPr>
            <w:r>
              <w:rPr>
                <w:rFonts w:ascii="宋体" w:hAnsi="宋体" w:cs="宋体" w:eastAsia="宋体" w:hint="default"/>
                <w:spacing w:val="-1"/>
                <w:sz w:val="21"/>
                <w:szCs w:val="21"/>
              </w:rPr>
              <w:t>被投资单位名</w:t>
            </w:r>
            <w:r>
              <w:rPr>
                <w:rFonts w:ascii="宋体" w:hAnsi="宋体" w:cs="宋体" w:eastAsia="宋体" w:hint="default"/>
                <w:w w:val="100"/>
                <w:sz w:val="21"/>
                <w:szCs w:val="21"/>
              </w:rPr>
              <w:t> </w:t>
            </w:r>
            <w:r>
              <w:rPr>
                <w:rFonts w:ascii="宋体" w:hAnsi="宋体" w:cs="宋体" w:eastAsia="宋体" w:hint="default"/>
                <w:spacing w:val="-1"/>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73" w:right="45" w:hanging="526"/>
              <w:jc w:val="left"/>
              <w:rPr>
                <w:rFonts w:ascii="宋体" w:hAnsi="宋体" w:cs="宋体" w:eastAsia="宋体" w:hint="default"/>
                <w:sz w:val="21"/>
                <w:szCs w:val="21"/>
              </w:rPr>
            </w:pPr>
            <w:r>
              <w:rPr>
                <w:rFonts w:ascii="宋体" w:hAnsi="宋体" w:cs="宋体" w:eastAsia="宋体" w:hint="default"/>
                <w:sz w:val="21"/>
                <w:szCs w:val="21"/>
              </w:rPr>
              <w:t>企业合并形成</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无锡双龙信息</w:t>
            </w:r>
            <w:r>
              <w:rPr>
                <w:rFonts w:ascii="宋体" w:hAnsi="宋体" w:cs="宋体" w:eastAsia="宋体" w:hint="default"/>
                <w:w w:val="100"/>
                <w:sz w:val="21"/>
                <w:szCs w:val="21"/>
              </w:rPr>
              <w:t> </w:t>
            </w:r>
            <w:r>
              <w:rPr>
                <w:rFonts w:ascii="宋体" w:hAnsi="宋体" w:cs="宋体" w:eastAsia="宋体" w:hint="default"/>
                <w:sz w:val="21"/>
                <w:szCs w:val="21"/>
              </w:rPr>
              <w:t>纸有限公司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17,790,965.0</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17,790,965.0</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广州彩创网络</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1,937,437.40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sz w:val="21"/>
              </w:rPr>
              <w:t>1,937,437.40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19,728,402.4</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19,728,402.4</w:t>
            </w:r>
          </w:p>
          <w:p>
            <w:pPr>
              <w:pStyle w:val="TableParagraph"/>
              <w:spacing w:line="240" w:lineRule="auto" w:before="34"/>
              <w:ind w:right="23"/>
              <w:jc w:val="right"/>
              <w:rPr>
                <w:rFonts w:ascii="宋体" w:hAnsi="宋体" w:cs="宋体" w:eastAsia="宋体" w:hint="default"/>
                <w:sz w:val="21"/>
                <w:szCs w:val="21"/>
              </w:rPr>
            </w:pPr>
            <w:r>
              <w:rPr>
                <w:rFonts w:ascii="宋体"/>
                <w:w w:val="100"/>
                <w:sz w:val="21"/>
              </w:rPr>
              <w:t>8</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（2）商誉减值准备</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2"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被投资单位名</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9"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right="1"/>
              <w:jc w:val="center"/>
              <w:rPr>
                <w:rFonts w:ascii="宋体" w:hAnsi="宋体" w:cs="宋体" w:eastAsia="宋体" w:hint="default"/>
                <w:sz w:val="21"/>
                <w:szCs w:val="21"/>
              </w:rPr>
            </w:pPr>
            <w:r>
              <w:rPr>
                <w:rFonts w:ascii="宋体" w:hAnsi="宋体" w:cs="宋体" w:eastAsia="宋体" w:hint="default"/>
                <w:sz w:val="21"/>
                <w:szCs w:val="21"/>
              </w:rPr>
              <w:t>称或形成商誉</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9" w:lineRule="exact"/>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9" w:lineRule="exact"/>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的事项</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07" w:lineRule="auto" w:before="28"/>
        <w:ind w:right="3686"/>
        <w:jc w:val="left"/>
      </w:pPr>
      <w:r>
        <w:rPr>
          <w:spacing w:val="-2"/>
        </w:rPr>
        <w:t>说明商誉减值测试过程、参数及商誉减值损失的确认方法：</w:t>
      </w:r>
      <w:r>
        <w:rPr>
          <w:spacing w:val="-56"/>
        </w:rPr>
        <w:t> </w:t>
      </w:r>
      <w:r>
        <w:rPr>
          <w:spacing w:val="-56"/>
        </w:rPr>
      </w:r>
      <w:r>
        <w:rPr/>
        <w:t>其他说明</w:t>
      </w:r>
    </w:p>
    <w:p>
      <w:pPr>
        <w:spacing w:line="240" w:lineRule="auto" w:before="4"/>
        <w:rPr>
          <w:rFonts w:ascii="宋体" w:hAnsi="宋体" w:cs="宋体" w:eastAsia="宋体" w:hint="default"/>
          <w:sz w:val="21"/>
          <w:szCs w:val="21"/>
        </w:rPr>
      </w:pPr>
    </w:p>
    <w:p>
      <w:pPr>
        <w:pStyle w:val="BodyText"/>
        <w:spacing w:line="240" w:lineRule="auto"/>
        <w:ind w:right="2880"/>
        <w:jc w:val="left"/>
      </w:pPr>
      <w:r>
        <w:rPr/>
        <w:t>28、长期待摊费用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固定资产改良费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1,326,333.50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589,415.16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736,918.34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服务器托管服务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37,166.71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37,166.71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车间装修费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1,214,321.05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508,908.69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705,412.36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78,576.40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435,791.00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61,182.80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453,184.60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车间地坪漆工程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14,388.88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244,611.12</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土地营运费摊销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2,475,000.00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61,875.00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2,413,125.00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4" w:right="0"/>
              <w:jc w:val="left"/>
              <w:rPr>
                <w:rFonts w:ascii="宋体" w:hAnsi="宋体" w:cs="宋体" w:eastAsia="宋体" w:hint="default"/>
                <w:sz w:val="21"/>
                <w:szCs w:val="21"/>
              </w:rPr>
            </w:pPr>
            <w:r>
              <w:rPr>
                <w:rFonts w:ascii="宋体"/>
                <w:sz w:val="21"/>
              </w:rPr>
              <w:t>2,656,397.66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3,169,791.00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1,272,937.24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4,553,251.42</w:t>
            </w:r>
          </w:p>
        </w:tc>
      </w:tr>
    </w:tbl>
    <w:p>
      <w:pPr>
        <w:pStyle w:val="BodyText"/>
        <w:spacing w:line="532" w:lineRule="auto" w:before="28"/>
        <w:ind w:right="5526"/>
        <w:jc w:val="left"/>
      </w:pPr>
      <w:r>
        <w:rPr/>
        <w:t>其他说明</w:t>
      </w:r>
      <w:r>
        <w:rPr>
          <w:w w:val="100"/>
        </w:rPr>
        <w:t> </w:t>
      </w:r>
      <w:r>
        <w:rPr/>
        <w:t>29、递延所得税资产/递延所得税负债</w:t>
      </w:r>
    </w:p>
    <w:p>
      <w:pPr>
        <w:pStyle w:val="BodyText"/>
        <w:spacing w:line="240" w:lineRule="auto" w:before="83"/>
        <w:ind w:right="2880"/>
        <w:jc w:val="left"/>
      </w:pPr>
      <w:r>
        <w:rPr/>
        <w:t>（1）未经抵销的递延所得税资产</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33,480,304.74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7,365,945.12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7,186,482.84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1,432,905.17</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内部交易未实现利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2,805,707.23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701,426.81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60,927,345.69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14,242,904.16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10,519,414.32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2,629,853.58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3,166,272.98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791,568.25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3,538,775.66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884,693.92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100,379,630.64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23,101,844.34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21,244,672.82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4,947,452.67</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（2）未经抵销的递延所得税负债</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spacing w:line="240" w:lineRule="auto" w:before="4"/>
        <w:rPr>
          <w:rFonts w:ascii="宋体" w:hAnsi="宋体" w:cs="宋体" w:eastAsia="宋体" w:hint="default"/>
          <w:sz w:val="19"/>
          <w:szCs w:val="19"/>
        </w:rPr>
      </w:pPr>
    </w:p>
    <w:p>
      <w:pPr>
        <w:pStyle w:val="BodyText"/>
        <w:spacing w:line="240" w:lineRule="auto" w:before="36"/>
        <w:ind w:right="2880"/>
        <w:jc w:val="left"/>
      </w:pPr>
      <w:r>
        <w:rPr/>
        <w:t>（3）以抵销后净额列示的递延所得税资产或负债</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1025"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2" w:right="108"/>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负债期末互抵金额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2" w:right="105"/>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资产或负债期初余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6" w:right="0"/>
              <w:jc w:val="left"/>
              <w:rPr>
                <w:rFonts w:ascii="宋体" w:hAnsi="宋体" w:cs="宋体" w:eastAsia="宋体" w:hint="default"/>
                <w:sz w:val="21"/>
                <w:szCs w:val="21"/>
              </w:rPr>
            </w:pPr>
            <w:r>
              <w:rPr>
                <w:rFonts w:ascii="宋体"/>
                <w:sz w:val="21"/>
              </w:rPr>
              <w:t>23,101,844.34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1" w:right="0"/>
              <w:jc w:val="left"/>
              <w:rPr>
                <w:rFonts w:ascii="宋体" w:hAnsi="宋体" w:cs="宋体" w:eastAsia="宋体" w:hint="default"/>
                <w:sz w:val="21"/>
                <w:szCs w:val="21"/>
              </w:rPr>
            </w:pPr>
            <w:r>
              <w:rPr>
                <w:rFonts w:ascii="宋体"/>
                <w:sz w:val="21"/>
              </w:rPr>
              <w:t>4,947,452.67</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（4）未确认递延所得税资产明细</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（5）未确认递延所得税资产的可抵扣亏损将于以下年度到期</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532" w:lineRule="auto" w:before="29"/>
        <w:ind w:right="7881"/>
        <w:jc w:val="left"/>
      </w:pPr>
      <w:r>
        <w:rPr/>
        <w:t>其他说明：</w:t>
      </w:r>
      <w:r>
        <w:rPr>
          <w:spacing w:val="-102"/>
        </w:rPr>
        <w:t> </w:t>
      </w:r>
      <w:r>
        <w:rPr>
          <w:spacing w:val="-102"/>
        </w:rPr>
      </w:r>
      <w:r>
        <w:rPr/>
        <w:t>30、其他非流动资产</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5" w:lineRule="auto" w:before="28"/>
        <w:ind w:right="8511"/>
        <w:jc w:val="left"/>
      </w:pPr>
      <w:r>
        <w:rPr/>
        <w:t>其他说明：</w:t>
      </w:r>
      <w:r>
        <w:rPr>
          <w:spacing w:val="-102"/>
        </w:rPr>
        <w:t> </w:t>
      </w:r>
      <w:r>
        <w:rPr>
          <w:spacing w:val="-102"/>
        </w:rPr>
      </w:r>
      <w:r>
        <w:rPr/>
        <w:t>31、短期借款</w:t>
      </w:r>
    </w:p>
    <w:p>
      <w:pPr>
        <w:pStyle w:val="BodyText"/>
        <w:spacing w:line="240" w:lineRule="auto" w:before="79"/>
        <w:ind w:right="2880"/>
        <w:jc w:val="left"/>
      </w:pPr>
      <w:r>
        <w:rPr/>
        <w:t>（1）短期借款分类</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82,500,000.00</w:t>
            </w:r>
          </w:p>
        </w:tc>
      </w:tr>
    </w:tbl>
    <w:p>
      <w:pPr>
        <w:pStyle w:val="BodyText"/>
        <w:spacing w:line="240" w:lineRule="auto" w:before="28"/>
        <w:ind w:right="2880"/>
        <w:jc w:val="left"/>
      </w:pPr>
      <w:r>
        <w:rPr/>
        <w:t>短期借款分类的说明：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（2）已逾期未偿还的短期借款情况</w:t>
      </w:r>
    </w:p>
    <w:p>
      <w:pPr>
        <w:spacing w:line="240" w:lineRule="auto" w:before="2"/>
        <w:rPr>
          <w:rFonts w:ascii="宋体" w:hAnsi="宋体" w:cs="宋体" w:eastAsia="宋体" w:hint="default"/>
          <w:sz w:val="23"/>
          <w:szCs w:val="23"/>
        </w:rPr>
      </w:pPr>
    </w:p>
    <w:p>
      <w:pPr>
        <w:pStyle w:val="BodyText"/>
        <w:spacing w:line="240" w:lineRule="auto" w:before="36"/>
        <w:ind w:right="0"/>
        <w:jc w:val="left"/>
      </w:pPr>
      <w:r>
        <w:rPr/>
        <w:t>本期末已逾期未偿还的短期借款总额为元，其中重要的已逾期未偿还的短期借款情况如下：</w:t>
      </w:r>
    </w:p>
    <w:p>
      <w:pPr>
        <w:pStyle w:val="BodyText"/>
        <w:spacing w:line="240" w:lineRule="auto" w:before="78"/>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29"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逾期利率</w:t>
            </w:r>
          </w:p>
        </w:tc>
      </w:tr>
    </w:tbl>
    <w:p>
      <w:pPr>
        <w:pStyle w:val="BodyText"/>
        <w:spacing w:line="532" w:lineRule="auto" w:before="28"/>
        <w:ind w:right="4492"/>
        <w:jc w:val="left"/>
      </w:pPr>
      <w:r>
        <w:rPr/>
        <w:t>其他说明：</w:t>
      </w:r>
      <w:r>
        <w:rPr>
          <w:spacing w:val="-102"/>
        </w:rPr>
        <w:t> </w:t>
      </w:r>
      <w:r>
        <w:rPr>
          <w:spacing w:val="-102"/>
        </w:rPr>
      </w:r>
      <w:r>
        <w:rPr>
          <w:spacing w:val="-1"/>
        </w:rPr>
        <w:t>32、以公允价值计量且其变动计入当期损益的金融负债</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2" w:lineRule="auto" w:before="29"/>
        <w:ind w:right="8091"/>
        <w:jc w:val="left"/>
      </w:pPr>
      <w:r>
        <w:rPr/>
        <w:t>其他说明：</w:t>
      </w:r>
      <w:r>
        <w:rPr>
          <w:spacing w:val="-102"/>
        </w:rPr>
        <w:t> </w:t>
      </w:r>
      <w:r>
        <w:rPr>
          <w:spacing w:val="-102"/>
        </w:rPr>
      </w:r>
      <w:r>
        <w:rPr/>
        <w:t>33、衍生金融负债</w:t>
      </w:r>
    </w:p>
    <w:p>
      <w:pPr>
        <w:pStyle w:val="BodyText"/>
        <w:spacing w:line="532" w:lineRule="auto" w:before="83"/>
        <w:ind w:right="7986"/>
        <w:jc w:val="left"/>
      </w:pPr>
      <w:r>
        <w:rPr/>
        <w:t>□ 适用 √ 不适用</w:t>
      </w:r>
      <w:r>
        <w:rPr>
          <w:w w:val="100"/>
        </w:rPr>
        <w:t> </w:t>
      </w:r>
      <w:r>
        <w:rPr/>
        <w:t>34、应付票据</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35,143,038.38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41,039,968.14</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35,143,038.38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41,039,968.14</w:t>
            </w:r>
          </w:p>
        </w:tc>
      </w:tr>
    </w:tbl>
    <w:p>
      <w:pPr>
        <w:pStyle w:val="BodyText"/>
        <w:spacing w:line="532" w:lineRule="auto" w:before="28"/>
        <w:ind w:right="5106"/>
        <w:jc w:val="left"/>
      </w:pPr>
      <w:r>
        <w:rPr>
          <w:spacing w:val="-2"/>
        </w:rPr>
        <w:t>本期末已到期未支付的应付票据总额为元。</w:t>
      </w:r>
      <w:r>
        <w:rPr>
          <w:spacing w:val="-70"/>
        </w:rPr>
        <w:t> </w:t>
      </w:r>
      <w:r>
        <w:rPr>
          <w:spacing w:val="-70"/>
        </w:rPr>
      </w:r>
      <w:r>
        <w:rPr/>
        <w:t>35、应付账款</w:t>
      </w:r>
    </w:p>
    <w:p>
      <w:pPr>
        <w:pStyle w:val="BodyText"/>
        <w:spacing w:line="240" w:lineRule="auto" w:before="83"/>
        <w:ind w:right="2880"/>
        <w:jc w:val="left"/>
      </w:pPr>
      <w:r>
        <w:rPr/>
        <w:t>（1）应付账款列示</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116,777,513.73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98,551,546.10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31,426,081.88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37,085,804.26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994,117.95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14,235,000.00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163,432,713.56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135,637,350.36</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（2）账龄超过</w:t>
      </w:r>
      <w:r>
        <w:rPr>
          <w:spacing w:val="-46"/>
        </w:rPr>
        <w:t> </w:t>
      </w:r>
      <w:r>
        <w:rPr/>
        <w:t>1</w:t>
      </w:r>
      <w:r>
        <w:rPr>
          <w:spacing w:val="-46"/>
        </w:rPr>
        <w:t> </w:t>
      </w:r>
      <w:r>
        <w:rPr/>
        <w:t>年的重要应付账款</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A</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工程未完工结算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1,869,685.30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货款未结算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宋体" w:hAnsi="宋体" w:cs="宋体" w:eastAsia="宋体" w:hint="default"/>
                <w:sz w:val="21"/>
                <w:szCs w:val="21"/>
              </w:rPr>
              <w:t>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货款未结算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24,449,685.30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532" w:lineRule="auto" w:before="28"/>
        <w:ind w:right="8511"/>
        <w:jc w:val="left"/>
      </w:pPr>
      <w:r>
        <w:rPr/>
        <w:t>其他说明：</w:t>
      </w:r>
      <w:r>
        <w:rPr>
          <w:spacing w:val="-102"/>
        </w:rPr>
        <w:t> </w:t>
      </w:r>
      <w:r>
        <w:rPr>
          <w:spacing w:val="-102"/>
        </w:rPr>
      </w:r>
      <w:r>
        <w:rPr/>
        <w:t>36、预收款项</w:t>
      </w:r>
    </w:p>
    <w:p>
      <w:pPr>
        <w:pStyle w:val="BodyText"/>
        <w:spacing w:line="240" w:lineRule="auto" w:before="83"/>
        <w:ind w:right="2880"/>
        <w:jc w:val="left"/>
      </w:pPr>
      <w:r>
        <w:rPr/>
        <w:t>（1）预收款项列示</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29,469,772.60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2,732,394.23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29,469,772.60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2,732,394.23</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（2）账龄超过</w:t>
      </w:r>
      <w:r>
        <w:rPr>
          <w:spacing w:val="-46"/>
        </w:rPr>
        <w:t> </w:t>
      </w:r>
      <w:r>
        <w:rPr/>
        <w:t>1</w:t>
      </w:r>
      <w:r>
        <w:rPr>
          <w:spacing w:val="-46"/>
        </w:rPr>
        <w:t> </w:t>
      </w:r>
      <w:r>
        <w:rPr/>
        <w:t>年的重要预收款项</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（3）期末建造合同形成的已结算未完工项目情况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57;top:14;width:24;height:394" coordorigin="4757,14" coordsize="24,394">
              <v:shape style="position:absolute;left:4757;top:14;width:24;height:394" coordorigin="4757,14" coordsize="24,394" path="m4757,408l4781,408,4781,14,4757,14,4757,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4;height:394" coordorigin="34,14" coordsize="4724,394">
              <v:shape style="position:absolute;left:34;top:14;width:4724;height:394" coordorigin="34,14" coordsize="4724,394" path="m34,14l4757,14,4757,408,34,408,34,14xe" filled="true" fillcolor="#d3d3d3" stroked="false">
                <v:path arrowok="t"/>
                <v:fill type="solid"/>
              </v:shape>
            </v:group>
            <v:group style="position:absolute;left:4790;top:14;width:22;height:394" coordorigin="4790,14" coordsize="22,394">
              <v:shape style="position:absolute;left:4790;top:14;width:22;height:394" coordorigin="4790,14" coordsize="22,394" path="m4790,408l4812,408,4812,14,4790,14,4790,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2;top:14;width:4733;height:394" coordorigin="4812,14" coordsize="4733,394">
              <v:shape style="position:absolute;left:4812;top:14;width:4733;height:394" coordorigin="4812,14" coordsize="4733,394" path="m4812,14l9545,14,9545,408,4812,408,4812,14xe" filled="true" fillcolor="#d3d3d3" stroked="false">
                <v:path arrowok="t"/>
                <v:fill type="solid"/>
              </v:shape>
            </v:group>
            <v:group style="position:absolute;left:10;top:10;width:4769;height:2" coordorigin="10,10" coordsize="4769,2">
              <v:shape style="position:absolute;left:10;top:10;width:4769;height:2" coordorigin="10,10" coordsize="4769,0" path="m10,10l4778,10e" filled="false" stroked="true" strokeweight=".47999pt" strokecolor="#000000">
                <v:path arrowok="t"/>
              </v:shape>
            </v:group>
            <v:group style="position:absolute;left:4788;top:10;width:4781;height:2" coordorigin="4788,10" coordsize="4781,2">
              <v:shape style="position:absolute;left:4788;top:10;width:4781;height:2" coordorigin="4788,10" coordsize="4781,0" path="m4788,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769;height:2" coordorigin="10,413" coordsize="4769,2">
              <v:shape style="position:absolute;left:10;top:413;width:4769;height:2" coordorigin="10,413" coordsize="4769,0" path="m10,413l4778,413e" filled="false" stroked="true" strokeweight=".47999pt" strokecolor="#000000">
                <v:path arrowok="t"/>
              </v:shape>
            </v:group>
            <v:group style="position:absolute;left:4783;top:5;width:2;height:413" coordorigin="4783,5" coordsize="2,413">
              <v:shape style="position:absolute;left:4783;top:5;width:2;height:413" coordorigin="4783,5" coordsize="0,413" path="m4783,5l4783,418e" filled="false" stroked="true" strokeweight=".47999pt" strokecolor="#000000">
                <v:path arrowok="t"/>
              </v:shape>
            </v:group>
            <v:group style="position:absolute;left:4788;top:413;width:4781;height:2" coordorigin="4788,413" coordsize="4781,2">
              <v:shape style="position:absolute;left:4788;top:413;width:4781;height:2" coordorigin="4788,413" coordsize="4781,0" path="m4788,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2184;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6967;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7"/>
          <w:sz w:val="20"/>
          <w:szCs w:val="20"/>
        </w:rPr>
      </w:r>
    </w:p>
    <w:p>
      <w:pPr>
        <w:pStyle w:val="BodyText"/>
        <w:spacing w:line="532" w:lineRule="auto" w:before="24"/>
        <w:ind w:right="8091"/>
        <w:jc w:val="left"/>
      </w:pPr>
      <w:r>
        <w:rPr/>
        <w:t>其他说明：</w:t>
      </w:r>
      <w:r>
        <w:rPr>
          <w:spacing w:val="-102"/>
        </w:rPr>
        <w:t> </w:t>
      </w:r>
      <w:r>
        <w:rPr>
          <w:spacing w:val="-102"/>
        </w:rPr>
      </w:r>
      <w:r>
        <w:rPr/>
        <w:t>37、应付职工薪酬</w:t>
      </w:r>
    </w:p>
    <w:p>
      <w:pPr>
        <w:pStyle w:val="BodyText"/>
        <w:spacing w:line="240" w:lineRule="auto" w:before="83"/>
        <w:ind w:right="2880"/>
        <w:jc w:val="left"/>
      </w:pPr>
      <w:r>
        <w:rPr/>
        <w:t>（1）应付职工薪酬列示</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sz w:val="21"/>
              </w:rPr>
              <w:t>10,190,530.17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127,623,059.00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127,845,863.06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9,967,726.11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二、离职后福利-设</w:t>
            </w:r>
            <w:r>
              <w:rPr>
                <w:rFonts w:ascii="宋体" w:hAnsi="宋体" w:cs="宋体" w:eastAsia="宋体" w:hint="default"/>
                <w:w w:val="100"/>
                <w:sz w:val="21"/>
                <w:szCs w:val="21"/>
              </w:rPr>
              <w:t> </w:t>
            </w:r>
            <w:r>
              <w:rPr>
                <w:rFonts w:ascii="宋体" w:hAnsi="宋体" w:cs="宋体" w:eastAsia="宋体" w:hint="default"/>
                <w:sz w:val="21"/>
                <w:szCs w:val="21"/>
              </w:rPr>
              <w:t>定提存计划</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9,429,070.48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9,429,070.48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sz w:val="21"/>
              </w:rPr>
              <w:t>10,190,530.17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137,052,129.48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137,274,933.54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9,967,726.11</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（2）短期薪酬列示</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1、工资、奖金、津</w:t>
            </w:r>
            <w:r>
              <w:rPr>
                <w:rFonts w:ascii="宋体" w:hAnsi="宋体" w:cs="宋体" w:eastAsia="宋体" w:hint="default"/>
                <w:w w:val="100"/>
                <w:sz w:val="21"/>
                <w:szCs w:val="21"/>
              </w:rPr>
              <w:t> </w:t>
            </w:r>
            <w:r>
              <w:rPr>
                <w:rFonts w:ascii="宋体" w:hAnsi="宋体" w:cs="宋体" w:eastAsia="宋体" w:hint="default"/>
                <w:sz w:val="21"/>
                <w:szCs w:val="21"/>
              </w:rPr>
              <w:t>贴和补贴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10,056,578.59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112,858,389.61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113,095,473.47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9,819,494.73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2、职工福利费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6,347,850.48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6,347,850.48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3、社会保险费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6,138,333.49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6,138,333.49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pacing w:val="-7"/>
                <w:sz w:val="21"/>
                <w:szCs w:val="21"/>
              </w:rPr>
              <w:t>其中：医疗保险</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5,247,861.51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5,247,861.51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5"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510,590.20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510,590.20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75"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379,881.78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379,881.78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4、住房公积金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1,654,575.20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1,654,575.20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89"/>
              <w:jc w:val="left"/>
              <w:rPr>
                <w:rFonts w:ascii="宋体" w:hAnsi="宋体" w:cs="宋体" w:eastAsia="宋体" w:hint="default"/>
                <w:sz w:val="21"/>
                <w:szCs w:val="21"/>
              </w:rPr>
            </w:pPr>
            <w:r>
              <w:rPr>
                <w:rFonts w:ascii="宋体" w:hAnsi="宋体" w:cs="宋体" w:eastAsia="宋体" w:hint="default"/>
                <w:sz w:val="21"/>
                <w:szCs w:val="21"/>
              </w:rPr>
              <w:t>5、工会经费和职工</w:t>
            </w:r>
            <w:r>
              <w:rPr>
                <w:rFonts w:ascii="宋体" w:hAnsi="宋体" w:cs="宋体" w:eastAsia="宋体" w:hint="default"/>
                <w:w w:val="100"/>
                <w:sz w:val="21"/>
                <w:szCs w:val="21"/>
              </w:rPr>
              <w:t> </w:t>
            </w:r>
            <w:r>
              <w:rPr>
                <w:rFonts w:ascii="宋体" w:hAnsi="宋体" w:cs="宋体" w:eastAsia="宋体" w:hint="default"/>
                <w:sz w:val="21"/>
                <w:szCs w:val="21"/>
              </w:rPr>
              <w:t>教育经费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133,951.58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609,699.76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595,419.96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148,231.38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8、其他短期薪酬</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14,210.46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14,210.46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10,190,530.17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127,623,059.00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127,845,863.06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9,967,726.11</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（3）设定提存计划列示</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1、基本养老保险</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8,795,539.11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8,795,539.11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2、失业保险费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633,531.37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633,531.37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9,429,070.48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9,429,070.48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pStyle w:val="BodyText"/>
        <w:spacing w:line="535" w:lineRule="auto" w:before="28"/>
        <w:ind w:right="8511"/>
        <w:jc w:val="left"/>
      </w:pPr>
      <w:r>
        <w:rPr/>
        <w:t>其他说明：</w:t>
      </w:r>
      <w:r>
        <w:rPr>
          <w:spacing w:val="-102"/>
        </w:rPr>
        <w:t> </w:t>
      </w:r>
      <w:r>
        <w:rPr>
          <w:spacing w:val="-102"/>
        </w:rPr>
      </w:r>
      <w:r>
        <w:rPr/>
        <w:t>38、应交税费</w:t>
      </w:r>
    </w:p>
    <w:p>
      <w:pPr>
        <w:pStyle w:val="BodyText"/>
        <w:spacing w:line="240" w:lineRule="auto" w:before="81"/>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55,878.35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4,410,926.01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5,306,778.81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274,476.68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1,077,764.24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678,407.90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460,177.67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教育费附加及地方教育费附加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490,040.03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328,617.15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32,321.10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353,882.44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136,135.74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6,207,733.06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7,397,673.06</w:t>
            </w:r>
          </w:p>
        </w:tc>
      </w:tr>
    </w:tbl>
    <w:p>
      <w:pPr>
        <w:pStyle w:val="BodyText"/>
        <w:spacing w:line="532" w:lineRule="auto" w:before="28"/>
        <w:ind w:right="8511"/>
        <w:jc w:val="left"/>
      </w:pPr>
      <w:r>
        <w:rPr/>
        <w:t>其他说明：</w:t>
      </w:r>
      <w:r>
        <w:rPr>
          <w:spacing w:val="-102"/>
        </w:rPr>
        <w:t> </w:t>
      </w:r>
      <w:r>
        <w:rPr>
          <w:spacing w:val="-102"/>
        </w:rPr>
      </w:r>
      <w:r>
        <w:rPr/>
        <w:t>39、应付利息</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2880"/>
        <w:jc w:val="left"/>
      </w:pPr>
      <w:r>
        <w:rPr/>
        <w:t>重要的已逾期未支付的利息情况：</w:t>
      </w:r>
    </w:p>
    <w:p>
      <w:pPr>
        <w:pStyle w:val="BodyText"/>
        <w:spacing w:line="240" w:lineRule="auto" w:before="78"/>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逾期原因</w:t>
            </w:r>
          </w:p>
        </w:tc>
      </w:tr>
    </w:tbl>
    <w:p>
      <w:pPr>
        <w:pStyle w:val="BodyText"/>
        <w:spacing w:line="532" w:lineRule="auto" w:before="28"/>
        <w:ind w:right="8511"/>
        <w:jc w:val="left"/>
      </w:pPr>
      <w:r>
        <w:rPr/>
        <w:t>其他说明：</w:t>
      </w:r>
      <w:r>
        <w:rPr>
          <w:spacing w:val="-102"/>
        </w:rPr>
        <w:t> </w:t>
      </w:r>
      <w:r>
        <w:rPr>
          <w:spacing w:val="-102"/>
        </w:rPr>
      </w:r>
      <w:r>
        <w:rPr/>
        <w:t>40、应付股利</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5" w:lineRule="auto" w:before="36"/>
        <w:ind w:right="3056"/>
        <w:jc w:val="left"/>
      </w:pPr>
      <w:r>
        <w:rPr/>
        <w:t>其他说明，包括重要的超过</w:t>
      </w:r>
      <w:r>
        <w:rPr>
          <w:spacing w:val="-55"/>
        </w:rPr>
        <w:t> </w:t>
      </w:r>
      <w:r>
        <w:rPr/>
        <w:t>1</w:t>
      </w:r>
      <w:r>
        <w:rPr>
          <w:spacing w:val="-55"/>
        </w:rPr>
        <w:t> </w:t>
      </w:r>
      <w:r>
        <w:rPr/>
        <w:t>年未支付的应付股利，应披露未支付原因：</w:t>
      </w:r>
      <w:r>
        <w:rPr>
          <w:w w:val="100"/>
        </w:rPr>
        <w:t> </w:t>
      </w:r>
      <w:r>
        <w:rPr/>
        <w:t>41、其他应付款</w:t>
      </w:r>
    </w:p>
    <w:p>
      <w:pPr>
        <w:pStyle w:val="BodyText"/>
        <w:spacing w:line="240" w:lineRule="auto" w:before="81"/>
        <w:ind w:right="2880"/>
        <w:jc w:val="left"/>
      </w:pPr>
      <w:r>
        <w:rPr/>
        <w:t>（1）按款项性质列示其他应付款</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445,810.00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1,790,715.68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667,786.24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15,665,746.74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18,295,082.01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代扣的员工薪酬性质款项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181,943.22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143,681.95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预提租金及物业费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695,591.66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额度款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24,189,867.73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5,712,673.35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42,643,865.03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25,805,033.55</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（2）账龄超过</w:t>
      </w:r>
      <w:r>
        <w:rPr>
          <w:spacing w:val="-45"/>
        </w:rPr>
        <w:t> </w:t>
      </w:r>
      <w:r>
        <w:rPr/>
        <w:t>1</w:t>
      </w:r>
      <w:r>
        <w:rPr>
          <w:spacing w:val="-45"/>
        </w:rPr>
        <w:t> </w:t>
      </w:r>
      <w:r>
        <w:rPr/>
        <w:t>年的重要其他应付款</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pStyle w:val="BodyText"/>
        <w:spacing w:line="535" w:lineRule="auto" w:before="28"/>
        <w:ind w:right="7251"/>
        <w:jc w:val="left"/>
      </w:pPr>
      <w:r>
        <w:rPr/>
        <w:t>其他说明</w:t>
      </w:r>
      <w:r>
        <w:rPr>
          <w:w w:val="100"/>
        </w:rPr>
        <w:t> </w:t>
      </w:r>
      <w:r>
        <w:rPr/>
        <w:t>42、划分为持有待售的负债</w:t>
      </w:r>
    </w:p>
    <w:p>
      <w:pPr>
        <w:pStyle w:val="BodyText"/>
        <w:spacing w:line="240" w:lineRule="auto" w:before="79"/>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2" w:lineRule="auto" w:before="28"/>
        <w:ind w:right="7041"/>
        <w:jc w:val="left"/>
      </w:pPr>
      <w:r>
        <w:rPr/>
        <w:t>其他说明：</w:t>
      </w:r>
      <w:r>
        <w:rPr>
          <w:spacing w:val="-102"/>
        </w:rPr>
        <w:t> </w:t>
      </w:r>
      <w:r>
        <w:rPr>
          <w:spacing w:val="-102"/>
        </w:rPr>
      </w:r>
      <w:r>
        <w:rPr/>
        <w:t>43、一年内到期的非流动负债</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5" w:lineRule="auto" w:before="28"/>
        <w:ind w:right="8091"/>
        <w:jc w:val="left"/>
      </w:pPr>
      <w:r>
        <w:rPr/>
        <w:t>其他说明：</w:t>
      </w:r>
      <w:r>
        <w:rPr>
          <w:spacing w:val="-102"/>
        </w:rPr>
        <w:t> </w:t>
      </w:r>
      <w:r>
        <w:rPr>
          <w:spacing w:val="-102"/>
        </w:rPr>
      </w:r>
      <w:r>
        <w:rPr/>
        <w:t>44、其他流动负债</w:t>
      </w:r>
    </w:p>
    <w:p>
      <w:pPr>
        <w:pStyle w:val="BodyText"/>
        <w:spacing w:line="240" w:lineRule="auto" w:before="81"/>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3,514,485.57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3,514,485.57</w:t>
            </w:r>
          </w:p>
        </w:tc>
      </w:tr>
    </w:tbl>
    <w:p>
      <w:pPr>
        <w:pStyle w:val="BodyText"/>
        <w:spacing w:line="240" w:lineRule="auto" w:before="28"/>
        <w:ind w:right="2880"/>
        <w:jc w:val="left"/>
      </w:pPr>
      <w:r>
        <w:rPr/>
        <w:t>短期应付债券的增减变动：</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7"/>
        <w:gridCol w:w="797"/>
        <w:gridCol w:w="797"/>
        <w:gridCol w:w="797"/>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9" w:right="74" w:hanging="212"/>
              <w:jc w:val="left"/>
              <w:rPr>
                <w:rFonts w:ascii="宋体" w:hAnsi="宋体" w:cs="宋体" w:eastAsia="宋体" w:hint="default"/>
                <w:sz w:val="21"/>
                <w:szCs w:val="21"/>
              </w:rPr>
            </w:pPr>
            <w:r>
              <w:rPr>
                <w:rFonts w:ascii="宋体" w:hAnsi="宋体" w:cs="宋体" w:eastAsia="宋体" w:hint="default"/>
                <w:sz w:val="21"/>
                <w:szCs w:val="21"/>
              </w:rPr>
              <w:t>债券名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90" w:right="74" w:hanging="212"/>
              <w:jc w:val="left"/>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债券期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发行金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本期发</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9" w:right="72"/>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84" w:right="72"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本期偿</w:t>
            </w:r>
            <w:r>
              <w:rPr>
                <w:rFonts w:ascii="宋体" w:hAnsi="宋体" w:cs="宋体" w:eastAsia="宋体" w:hint="default"/>
                <w:spacing w:val="-102"/>
                <w:sz w:val="21"/>
                <w:szCs w:val="21"/>
              </w:rPr>
              <w:t> </w:t>
            </w:r>
            <w:r>
              <w:rPr>
                <w:rFonts w:ascii="宋体" w:hAnsi="宋体" w:cs="宋体" w:eastAsia="宋体" w:hint="default"/>
                <w:sz w:val="21"/>
                <w:szCs w:val="21"/>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r>
    </w:tbl>
    <w:p>
      <w:pPr>
        <w:pStyle w:val="BodyText"/>
        <w:spacing w:line="240" w:lineRule="auto" w:before="28"/>
        <w:ind w:right="0"/>
        <w:jc w:val="both"/>
      </w:pPr>
      <w:r>
        <w:rPr/>
        <w:t>其他说明：</w:t>
      </w:r>
    </w:p>
    <w:p>
      <w:pPr>
        <w:spacing w:line="240" w:lineRule="auto" w:before="8"/>
        <w:rPr>
          <w:rFonts w:ascii="宋体" w:hAnsi="宋体" w:cs="宋体" w:eastAsia="宋体" w:hint="default"/>
          <w:sz w:val="25"/>
          <w:szCs w:val="25"/>
        </w:rPr>
      </w:pPr>
    </w:p>
    <w:p>
      <w:pPr>
        <w:pStyle w:val="BodyText"/>
        <w:spacing w:line="273" w:lineRule="auto"/>
        <w:ind w:right="147"/>
        <w:jc w:val="both"/>
      </w:pPr>
      <w:r>
        <w:rPr/>
        <w:t>根据中华人民共和国科学技术部下发的国科发财【2012】1064</w:t>
      </w:r>
      <w:r>
        <w:rPr>
          <w:spacing w:val="-46"/>
        </w:rPr>
        <w:t> </w:t>
      </w:r>
      <w:r>
        <w:rPr/>
        <w:t>号文件《科技部关于下达</w:t>
      </w:r>
      <w:r>
        <w:rPr>
          <w:spacing w:val="-47"/>
        </w:rPr>
        <w:t> </w:t>
      </w:r>
      <w:r>
        <w:rPr/>
        <w:t>2012</w:t>
      </w:r>
      <w:r>
        <w:rPr>
          <w:spacing w:val="-46"/>
        </w:rPr>
        <w:t> </w:t>
      </w:r>
      <w:r>
        <w:rPr/>
        <w:t>年国家科技</w:t>
      </w:r>
      <w:r>
        <w:rPr>
          <w:w w:val="100"/>
        </w:rPr>
        <w:t> </w:t>
      </w:r>
      <w:r>
        <w:rPr>
          <w:spacing w:val="-2"/>
        </w:rPr>
        <w:t>支撑计划项目课题专项经费预算的通知》，给予本公司“跨媒体数字出版技术集成应用模式、技术集成研</w:t>
      </w:r>
      <w:r>
        <w:rPr>
          <w:spacing w:val="-47"/>
        </w:rPr>
        <w:t> </w:t>
      </w:r>
      <w:r>
        <w:rPr>
          <w:spacing w:val="-47"/>
        </w:rPr>
      </w:r>
      <w:r>
        <w:rPr/>
        <w:t>发及试点应用”课题</w:t>
      </w:r>
      <w:r>
        <w:rPr>
          <w:spacing w:val="-53"/>
        </w:rPr>
        <w:t> </w:t>
      </w:r>
      <w:r>
        <w:rPr/>
        <w:t>448</w:t>
      </w:r>
      <w:r>
        <w:rPr>
          <w:spacing w:val="-55"/>
        </w:rPr>
        <w:t> </w:t>
      </w:r>
      <w:r>
        <w:rPr/>
        <w:t>万元专项经费预算，期初未支出结余部分</w:t>
      </w:r>
      <w:r>
        <w:rPr>
          <w:spacing w:val="-2"/>
        </w:rPr>
        <w:t> </w:t>
      </w:r>
      <w:r>
        <w:rPr/>
        <w:t>351.45</w:t>
      </w:r>
      <w:r>
        <w:rPr>
          <w:spacing w:val="-55"/>
        </w:rPr>
        <w:t> </w:t>
      </w:r>
      <w:r>
        <w:rPr/>
        <w:t>万元，期末无余额。</w:t>
      </w:r>
    </w:p>
    <w:p>
      <w:pPr>
        <w:spacing w:line="240" w:lineRule="auto" w:before="7"/>
        <w:rPr>
          <w:rFonts w:ascii="宋体" w:hAnsi="宋体" w:cs="宋体" w:eastAsia="宋体" w:hint="default"/>
          <w:sz w:val="23"/>
          <w:szCs w:val="23"/>
        </w:rPr>
      </w:pPr>
    </w:p>
    <w:p>
      <w:pPr>
        <w:pStyle w:val="BodyText"/>
        <w:spacing w:line="240" w:lineRule="auto"/>
        <w:ind w:right="0"/>
        <w:jc w:val="both"/>
      </w:pPr>
      <w:r>
        <w:rPr/>
        <w:t>45、长期借款</w:t>
      </w:r>
    </w:p>
    <w:p>
      <w:pPr>
        <w:spacing w:line="240" w:lineRule="auto" w:before="12"/>
        <w:rPr>
          <w:rFonts w:ascii="宋体" w:hAnsi="宋体" w:cs="宋体" w:eastAsia="宋体" w:hint="default"/>
          <w:sz w:val="25"/>
          <w:szCs w:val="25"/>
        </w:rPr>
      </w:pPr>
    </w:p>
    <w:p>
      <w:pPr>
        <w:pStyle w:val="BodyText"/>
        <w:spacing w:line="240" w:lineRule="auto"/>
        <w:ind w:right="0"/>
        <w:jc w:val="both"/>
      </w:pPr>
      <w:r>
        <w:rPr/>
        <w:t>（1）长期借款分类</w:t>
      </w:r>
    </w:p>
    <w:p>
      <w:pPr>
        <w:spacing w:line="240" w:lineRule="auto" w:before="10"/>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307" w:lineRule="auto" w:before="29"/>
        <w:ind w:right="6516"/>
        <w:jc w:val="left"/>
      </w:pPr>
      <w:r>
        <w:rPr/>
        <w:t>长期借款分类的说明：</w:t>
      </w:r>
      <w:r>
        <w:rPr>
          <w:w w:val="100"/>
        </w:rPr>
        <w:t> </w:t>
      </w:r>
      <w:r>
        <w:rPr>
          <w:spacing w:val="-2"/>
        </w:rPr>
        <w:t>其他说明，包括利率区间：</w:t>
      </w:r>
    </w:p>
    <w:p>
      <w:pPr>
        <w:spacing w:line="240" w:lineRule="auto" w:before="4"/>
        <w:rPr>
          <w:rFonts w:ascii="宋体" w:hAnsi="宋体" w:cs="宋体" w:eastAsia="宋体" w:hint="default"/>
          <w:sz w:val="21"/>
          <w:szCs w:val="21"/>
        </w:rPr>
      </w:pPr>
    </w:p>
    <w:p>
      <w:pPr>
        <w:pStyle w:val="BodyText"/>
        <w:spacing w:line="240" w:lineRule="auto"/>
        <w:ind w:right="2880"/>
        <w:jc w:val="left"/>
      </w:pPr>
      <w:r>
        <w:rPr/>
        <w:t>46、应付债券</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（1）应付债券</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（2）应付债券的增减变动（不包括划分为金融负债的优先股、永续债等其他金融工具）</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98"/>
        <w:gridCol w:w="799"/>
        <w:gridCol w:w="799"/>
        <w:gridCol w:w="797"/>
        <w:gridCol w:w="799"/>
        <w:gridCol w:w="797"/>
        <w:gridCol w:w="797"/>
        <w:gridCol w:w="797"/>
        <w:gridCol w:w="797"/>
        <w:gridCol w:w="797"/>
        <w:gridCol w:w="797"/>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9" w:right="74" w:hanging="212"/>
              <w:jc w:val="left"/>
              <w:rPr>
                <w:rFonts w:ascii="宋体" w:hAnsi="宋体" w:cs="宋体" w:eastAsia="宋体" w:hint="default"/>
                <w:sz w:val="21"/>
                <w:szCs w:val="21"/>
              </w:rPr>
            </w:pPr>
            <w:r>
              <w:rPr>
                <w:rFonts w:ascii="宋体" w:hAnsi="宋体" w:cs="宋体" w:eastAsia="宋体" w:hint="default"/>
                <w:sz w:val="21"/>
                <w:szCs w:val="21"/>
              </w:rPr>
              <w:t>债券名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90" w:right="74" w:hanging="212"/>
              <w:jc w:val="left"/>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债券期</w:t>
            </w:r>
            <w:r>
              <w:rPr>
                <w:rFonts w:ascii="宋体" w:hAnsi="宋体" w:cs="宋体" w:eastAsia="宋体" w:hint="default"/>
                <w:spacing w:val="-102"/>
                <w:sz w:val="21"/>
                <w:szCs w:val="21"/>
              </w:rPr>
              <w:t> </w:t>
            </w:r>
            <w:r>
              <w:rPr>
                <w:rFonts w:ascii="宋体" w:hAnsi="宋体" w:cs="宋体" w:eastAsia="宋体" w:hint="default"/>
                <w:sz w:val="21"/>
                <w:szCs w:val="21"/>
              </w:rPr>
              <w:t>限</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发行金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本期发</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79" w:right="72"/>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184" w:right="72"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本期偿</w:t>
            </w:r>
            <w:r>
              <w:rPr>
                <w:rFonts w:ascii="宋体" w:hAnsi="宋体" w:cs="宋体" w:eastAsia="宋体" w:hint="default"/>
                <w:spacing w:val="-102"/>
                <w:sz w:val="21"/>
                <w:szCs w:val="21"/>
              </w:rPr>
              <w:t> </w:t>
            </w:r>
            <w:r>
              <w:rPr>
                <w:rFonts w:ascii="宋体" w:hAnsi="宋体" w:cs="宋体" w:eastAsia="宋体" w:hint="default"/>
                <w:sz w:val="21"/>
                <w:szCs w:val="21"/>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（3）可转换公司债券的转股条件、转股时间说明</w:t>
      </w:r>
    </w:p>
    <w:p>
      <w:pPr>
        <w:spacing w:line="240" w:lineRule="auto" w:before="12"/>
        <w:rPr>
          <w:rFonts w:ascii="宋体" w:hAnsi="宋体" w:cs="宋体" w:eastAsia="宋体" w:hint="default"/>
          <w:sz w:val="25"/>
          <w:szCs w:val="25"/>
        </w:rPr>
      </w:pPr>
    </w:p>
    <w:p>
      <w:pPr>
        <w:pStyle w:val="BodyText"/>
        <w:spacing w:line="240" w:lineRule="auto"/>
        <w:ind w:right="2880"/>
        <w:jc w:val="left"/>
      </w:pPr>
      <w:r>
        <w:rPr/>
        <w:t>（4）划分为金融负债的其他金融工具说明</w:t>
      </w:r>
    </w:p>
    <w:p>
      <w:pPr>
        <w:spacing w:line="240" w:lineRule="auto" w:before="10"/>
        <w:rPr>
          <w:rFonts w:ascii="宋体" w:hAnsi="宋体" w:cs="宋体" w:eastAsia="宋体" w:hint="default"/>
          <w:sz w:val="25"/>
          <w:szCs w:val="25"/>
        </w:rPr>
      </w:pPr>
    </w:p>
    <w:p>
      <w:pPr>
        <w:pStyle w:val="BodyText"/>
        <w:spacing w:line="307" w:lineRule="auto"/>
        <w:ind w:right="2880"/>
        <w:jc w:val="left"/>
      </w:pPr>
      <w:r>
        <w:rPr>
          <w:spacing w:val="-2"/>
        </w:rPr>
        <w:t>期末发行在外的优先股、永续债等其他金融工具基本情况</w:t>
      </w:r>
      <w:r>
        <w:rPr>
          <w:spacing w:val="-56"/>
        </w:rPr>
        <w:t> </w:t>
      </w:r>
      <w:r>
        <w:rPr>
          <w:spacing w:val="-56"/>
        </w:rPr>
      </w:r>
      <w:r>
        <w:rPr/>
        <w:t>期末发行在外的优先股、永续债等金融工具变动情况表</w:t>
      </w:r>
    </w:p>
    <w:p>
      <w:pPr>
        <w:spacing w:after="0" w:line="307"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106" w:right="103"/>
              <w:jc w:val="center"/>
              <w:rPr>
                <w:rFonts w:ascii="宋体" w:hAnsi="宋体" w:cs="宋体" w:eastAsia="宋体" w:hint="default"/>
                <w:sz w:val="21"/>
                <w:szCs w:val="21"/>
              </w:rPr>
            </w:pPr>
            <w:r>
              <w:rPr>
                <w:rFonts w:ascii="宋体" w:hAnsi="宋体" w:cs="宋体" w:eastAsia="宋体" w:hint="default"/>
                <w:sz w:val="21"/>
                <w:szCs w:val="21"/>
              </w:rPr>
              <w:t>发行在外</w:t>
            </w:r>
            <w:r>
              <w:rPr>
                <w:rFonts w:ascii="宋体" w:hAnsi="宋体" w:cs="宋体" w:eastAsia="宋体" w:hint="default"/>
                <w:w w:val="100"/>
                <w:sz w:val="21"/>
                <w:szCs w:val="21"/>
              </w:rPr>
              <w:t> </w:t>
            </w:r>
            <w:r>
              <w:rPr>
                <w:rFonts w:ascii="宋体" w:hAnsi="宋体" w:cs="宋体" w:eastAsia="宋体" w:hint="default"/>
                <w:sz w:val="21"/>
                <w:szCs w:val="21"/>
              </w:rPr>
              <w:t>的金融工</w:t>
            </w:r>
            <w:r>
              <w:rPr>
                <w:rFonts w:ascii="宋体" w:hAnsi="宋体" w:cs="宋体" w:eastAsia="宋体" w:hint="default"/>
                <w:w w:val="100"/>
                <w:sz w:val="21"/>
                <w:szCs w:val="21"/>
              </w:rPr>
              <w:t> </w:t>
            </w:r>
            <w:r>
              <w:rPr>
                <w:rFonts w:ascii="宋体" w:hAnsi="宋体" w:cs="宋体" w:eastAsia="宋体" w:hint="default"/>
                <w:sz w:val="21"/>
                <w:szCs w:val="21"/>
              </w:rPr>
              <w:t>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24"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1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Style w:val="BodyText"/>
        <w:spacing w:line="307" w:lineRule="auto" w:before="28"/>
        <w:ind w:right="5526"/>
        <w:jc w:val="left"/>
      </w:pPr>
      <w:r>
        <w:rPr>
          <w:spacing w:val="-2"/>
        </w:rPr>
        <w:t>其他金融工具划分为金融负债的依据说明</w:t>
      </w:r>
      <w:r>
        <w:rPr>
          <w:spacing w:val="-69"/>
        </w:rPr>
        <w:t> </w:t>
      </w:r>
      <w:r>
        <w:rPr>
          <w:spacing w:val="-69"/>
        </w:rPr>
      </w:r>
      <w:r>
        <w:rPr/>
        <w:t>其他说明</w:t>
      </w:r>
    </w:p>
    <w:p>
      <w:pPr>
        <w:spacing w:line="240" w:lineRule="auto" w:before="1"/>
        <w:rPr>
          <w:rFonts w:ascii="宋体" w:hAnsi="宋体" w:cs="宋体" w:eastAsia="宋体" w:hint="default"/>
          <w:sz w:val="21"/>
          <w:szCs w:val="21"/>
        </w:rPr>
      </w:pPr>
    </w:p>
    <w:p>
      <w:pPr>
        <w:pStyle w:val="BodyText"/>
        <w:spacing w:line="240" w:lineRule="auto"/>
        <w:ind w:right="2880"/>
        <w:jc w:val="left"/>
      </w:pPr>
      <w:r>
        <w:rPr/>
        <w:t>47、长期应付款</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（1）按款项性质列示长期应付款</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532" w:lineRule="auto" w:before="28"/>
        <w:ind w:right="7671"/>
        <w:jc w:val="left"/>
      </w:pPr>
      <w:r>
        <w:rPr/>
        <w:t>其他说明：</w:t>
      </w:r>
      <w:r>
        <w:rPr>
          <w:spacing w:val="-102"/>
        </w:rPr>
        <w:t> </w:t>
      </w:r>
      <w:r>
        <w:rPr>
          <w:spacing w:val="-102"/>
        </w:rPr>
      </w:r>
      <w:r>
        <w:rPr/>
        <w:t>48、长期应付职工薪酬</w:t>
      </w:r>
    </w:p>
    <w:p>
      <w:pPr>
        <w:pStyle w:val="BodyText"/>
        <w:spacing w:line="240" w:lineRule="auto" w:before="83"/>
        <w:ind w:right="2880"/>
        <w:jc w:val="left"/>
      </w:pPr>
      <w:r>
        <w:rPr/>
        <w:t>（1）长期应付职工薪酬表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（2）设定受益计划变动情况</w:t>
      </w:r>
    </w:p>
    <w:p>
      <w:pPr>
        <w:spacing w:line="240" w:lineRule="auto" w:before="2"/>
        <w:rPr>
          <w:rFonts w:ascii="宋体" w:hAnsi="宋体" w:cs="宋体" w:eastAsia="宋体" w:hint="default"/>
          <w:sz w:val="23"/>
          <w:szCs w:val="23"/>
        </w:rPr>
      </w:pPr>
    </w:p>
    <w:p>
      <w:pPr>
        <w:pStyle w:val="BodyText"/>
        <w:spacing w:line="240" w:lineRule="auto" w:before="36"/>
        <w:ind w:right="2880"/>
        <w:jc w:val="left"/>
      </w:pPr>
      <w:r>
        <w:rPr/>
        <w:t>设定受益计划义务现值：</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right="2880"/>
        <w:jc w:val="left"/>
      </w:pPr>
      <w:r>
        <w:rPr/>
        <w:t>计划资产：</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right="2880"/>
        <w:jc w:val="left"/>
      </w:pPr>
      <w:r>
        <w:rPr/>
        <w:t>设定受益计划净负债（净资产）</w:t>
      </w:r>
    </w:p>
    <w:p>
      <w:pPr>
        <w:pStyle w:val="BodyText"/>
        <w:spacing w:line="240" w:lineRule="auto" w:before="78"/>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307" w:lineRule="auto" w:before="28"/>
        <w:ind w:right="0"/>
        <w:jc w:val="left"/>
      </w:pPr>
      <w:r>
        <w:rPr>
          <w:spacing w:val="-2"/>
        </w:rPr>
        <w:t>设定受益计划的内容及与之相关风险、对公司未来现金流量、时间和不确定性的影响说明：</w:t>
      </w:r>
      <w:r>
        <w:rPr>
          <w:spacing w:val="-30"/>
        </w:rPr>
        <w:t> </w:t>
      </w:r>
      <w:r>
        <w:rPr>
          <w:spacing w:val="-30"/>
        </w:rPr>
      </w:r>
      <w:r>
        <w:rPr/>
        <w:t>设定受益计划重大精算假设及敏感性分析结果说明：</w:t>
      </w:r>
    </w:p>
    <w:p>
      <w:pPr>
        <w:pStyle w:val="BodyText"/>
        <w:spacing w:line="535" w:lineRule="auto" w:before="19"/>
        <w:ind w:right="8301"/>
        <w:jc w:val="left"/>
      </w:pPr>
      <w:r>
        <w:rPr/>
        <w:t>其他说明：</w:t>
      </w:r>
      <w:r>
        <w:rPr>
          <w:spacing w:val="-102"/>
        </w:rPr>
        <w:t> </w:t>
      </w:r>
      <w:r>
        <w:rPr>
          <w:spacing w:val="-102"/>
        </w:rPr>
      </w:r>
      <w:r>
        <w:rPr/>
        <w:t>49、专项应付款</w:t>
      </w:r>
    </w:p>
    <w:p>
      <w:pPr>
        <w:pStyle w:val="BodyText"/>
        <w:spacing w:line="240" w:lineRule="auto" w:before="81"/>
        <w:ind w:left="0" w:right="147"/>
        <w:jc w:val="right"/>
      </w:pPr>
      <w:r>
        <w:rPr/>
        <w:t>单位：</w:t>
      </w:r>
      <w:r>
        <w:rPr>
          <w:spacing w:val="2"/>
        </w:rPr>
        <w:t> </w:t>
      </w:r>
      <w:r>
        <w:rPr/>
        <w:t>元</w:t>
      </w:r>
    </w:p>
    <w:p>
      <w:pPr>
        <w:spacing w:after="0" w:line="240" w:lineRule="auto"/>
        <w:jc w:val="right"/>
        <w:sectPr>
          <w:footerReference w:type="default" r:id="rId27"/>
          <w:pgSz w:w="11910" w:h="16840"/>
          <w:pgMar w:footer="979" w:header="747" w:top="1060" w:bottom="1160" w:left="980" w:right="980"/>
          <w:pgNumType w:start="13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592"/>
        <w:gridCol w:w="1596"/>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pStyle w:val="BodyText"/>
        <w:spacing w:line="532" w:lineRule="auto" w:before="29"/>
        <w:ind w:right="8511"/>
        <w:jc w:val="left"/>
      </w:pPr>
      <w:r>
        <w:rPr/>
        <w:t>其他说明：</w:t>
      </w:r>
      <w:r>
        <w:rPr>
          <w:spacing w:val="-102"/>
        </w:rPr>
        <w:t> </w:t>
      </w:r>
      <w:r>
        <w:rPr>
          <w:spacing w:val="-102"/>
        </w:rPr>
      </w:r>
      <w:r>
        <w:rPr/>
        <w:t>50、预计负债</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387"/>
        <w:gridCol w:w="2395"/>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pStyle w:val="BodyText"/>
        <w:spacing w:line="535" w:lineRule="auto" w:before="28"/>
        <w:ind w:right="3686"/>
        <w:jc w:val="left"/>
      </w:pPr>
      <w:r>
        <w:rPr>
          <w:spacing w:val="-2"/>
        </w:rPr>
        <w:t>其他说明，包括重要预计负债的相关重要假设、估计说明：</w:t>
      </w:r>
      <w:r>
        <w:rPr>
          <w:spacing w:val="-55"/>
        </w:rPr>
        <w:t> </w:t>
      </w:r>
      <w:r>
        <w:rPr>
          <w:spacing w:val="-55"/>
        </w:rPr>
      </w:r>
      <w:r>
        <w:rPr/>
        <w:t>51、递延收益</w:t>
      </w:r>
    </w:p>
    <w:p>
      <w:pPr>
        <w:pStyle w:val="BodyText"/>
        <w:spacing w:line="240" w:lineRule="auto" w:before="79"/>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3,538,775.66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372,502.68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3,166,272.98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3,538,775.66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372,502.68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3,166,272.98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2880"/>
        <w:jc w:val="left"/>
      </w:pPr>
      <w:r>
        <w:rPr/>
        <w:t>涉及政府补助的项目：</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68" w:right="45"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3" w:right="43" w:hanging="106"/>
              <w:jc w:val="left"/>
              <w:rPr>
                <w:rFonts w:ascii="宋体" w:hAnsi="宋体" w:cs="宋体" w:eastAsia="宋体" w:hint="default"/>
                <w:sz w:val="21"/>
                <w:szCs w:val="21"/>
              </w:rPr>
            </w:pPr>
            <w:r>
              <w:rPr>
                <w:rFonts w:ascii="宋体" w:hAnsi="宋体" w:cs="宋体" w:eastAsia="宋体" w:hint="default"/>
                <w:sz w:val="21"/>
                <w:szCs w:val="21"/>
              </w:rPr>
              <w:t>本期计入营业</w:t>
            </w:r>
            <w:r>
              <w:rPr>
                <w:rFonts w:ascii="宋体" w:hAnsi="宋体" w:cs="宋体" w:eastAsia="宋体" w:hint="default"/>
                <w:w w:val="100"/>
                <w:sz w:val="21"/>
                <w:szCs w:val="21"/>
              </w:rPr>
              <w:t> </w:t>
            </w:r>
            <w:r>
              <w:rPr>
                <w:rFonts w:ascii="宋体" w:hAnsi="宋体" w:cs="宋体" w:eastAsia="宋体" w:hint="default"/>
                <w:sz w:val="21"/>
                <w:szCs w:val="21"/>
              </w:rPr>
              <w:t>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3" w:right="98" w:hanging="53"/>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w w:val="100"/>
                <w:sz w:val="21"/>
                <w:szCs w:val="21"/>
              </w:rPr>
              <w:t> </w:t>
            </w:r>
            <w:r>
              <w:rPr>
                <w:rFonts w:ascii="宋体" w:hAnsi="宋体" w:cs="宋体" w:eastAsia="宋体" w:hint="default"/>
                <w:sz w:val="21"/>
                <w:szCs w:val="21"/>
              </w:rPr>
              <w:t>与收益相关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进口设备贴息</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sz w:val="21"/>
              </w:rPr>
              <w:t>3,538,775.66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372,502.68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 w:right="0"/>
              <w:jc w:val="center"/>
              <w:rPr>
                <w:rFonts w:ascii="宋体" w:hAnsi="宋体" w:cs="宋体" w:eastAsia="宋体" w:hint="default"/>
                <w:sz w:val="21"/>
                <w:szCs w:val="21"/>
              </w:rPr>
            </w:pPr>
            <w:r>
              <w:rPr>
                <w:rFonts w:ascii="宋体"/>
                <w:sz w:val="21"/>
              </w:rPr>
              <w:t>3,166,272.98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 w:right="0"/>
              <w:jc w:val="center"/>
              <w:rPr>
                <w:rFonts w:ascii="宋体" w:hAnsi="宋体" w:cs="宋体" w:eastAsia="宋体" w:hint="default"/>
                <w:sz w:val="21"/>
                <w:szCs w:val="21"/>
              </w:rPr>
            </w:pPr>
            <w:r>
              <w:rPr>
                <w:rFonts w:ascii="宋体"/>
                <w:sz w:val="21"/>
              </w:rPr>
              <w:t>3,538,775.66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372,502.68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 w:right="0"/>
              <w:jc w:val="center"/>
              <w:rPr>
                <w:rFonts w:ascii="宋体" w:hAnsi="宋体" w:cs="宋体" w:eastAsia="宋体" w:hint="default"/>
                <w:sz w:val="21"/>
                <w:szCs w:val="21"/>
              </w:rPr>
            </w:pPr>
            <w:r>
              <w:rPr>
                <w:rFonts w:ascii="宋体"/>
                <w:sz w:val="21"/>
              </w:rPr>
              <w:t>3,166,272.98</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both"/>
      </w:pPr>
      <w:r>
        <w:rPr/>
        <w:t>其他说明：</w:t>
      </w:r>
    </w:p>
    <w:p>
      <w:pPr>
        <w:pStyle w:val="BodyText"/>
        <w:spacing w:line="271" w:lineRule="auto" w:before="159"/>
        <w:ind w:right="150"/>
        <w:jc w:val="both"/>
      </w:pPr>
      <w:r>
        <w:rPr/>
        <w:t>根据“财政部、商务部以财企【2012】142号印发《进口贴息资金管理办法》”，以贴息的方式作为设备</w:t>
      </w:r>
      <w:r>
        <w:rPr>
          <w:spacing w:val="-31"/>
        </w:rPr>
        <w:t> </w:t>
      </w:r>
      <w:r>
        <w:rPr>
          <w:spacing w:val="-31"/>
        </w:rPr>
      </w:r>
      <w:r>
        <w:rPr/>
        <w:t>的补助资金，发放进口设备贴息3,725,027.00元，对应设备2013年6月份开始使用，本期摊销372,502.68</w:t>
      </w:r>
      <w:r>
        <w:rPr>
          <w:spacing w:val="-34"/>
        </w:rPr>
        <w:t> </w:t>
      </w:r>
      <w:r>
        <w:rPr>
          <w:spacing w:val="-34"/>
        </w:rPr>
      </w:r>
      <w:r>
        <w:rPr/>
        <w:t>元，期末结余3,166,272.98元。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ind w:right="0"/>
        <w:jc w:val="both"/>
      </w:pPr>
      <w:r>
        <w:rPr/>
        <w:t>52、其他非流动负债</w:t>
      </w:r>
    </w:p>
    <w:p>
      <w:pPr>
        <w:spacing w:line="240" w:lineRule="auto" w:before="12"/>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pStyle w:val="BodyText"/>
        <w:spacing w:line="535" w:lineRule="auto" w:before="28"/>
        <w:ind w:right="8721"/>
        <w:jc w:val="left"/>
      </w:pPr>
      <w:r>
        <w:rPr/>
        <w:t>其他说明：</w:t>
      </w:r>
      <w:r>
        <w:rPr>
          <w:spacing w:val="-102"/>
        </w:rPr>
        <w:t> </w:t>
      </w:r>
      <w:r>
        <w:rPr>
          <w:spacing w:val="-102"/>
        </w:rPr>
      </w:r>
      <w:r>
        <w:rPr/>
        <w:t>53、股本</w:t>
      </w:r>
    </w:p>
    <w:p>
      <w:pPr>
        <w:pStyle w:val="BodyText"/>
        <w:spacing w:line="240" w:lineRule="auto" w:before="81"/>
        <w:ind w:left="0" w:right="147"/>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194"/>
        <w:gridCol w:w="1198"/>
        <w:gridCol w:w="5978"/>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88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194"/>
        <w:gridCol w:w="1198"/>
        <w:gridCol w:w="1195"/>
        <w:gridCol w:w="1195"/>
        <w:gridCol w:w="1198"/>
        <w:gridCol w:w="1195"/>
        <w:gridCol w:w="1195"/>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298,186,00</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2" w:right="0"/>
              <w:jc w:val="left"/>
              <w:rPr>
                <w:rFonts w:ascii="宋体" w:hAnsi="宋体" w:cs="宋体" w:eastAsia="宋体" w:hint="default"/>
                <w:sz w:val="21"/>
                <w:szCs w:val="21"/>
              </w:rPr>
            </w:pPr>
            <w:r>
              <w:rPr>
                <w:rFonts w:ascii="宋体"/>
                <w:sz w:val="21"/>
              </w:rPr>
              <w:t>298,186,00</w:t>
            </w:r>
          </w:p>
          <w:p>
            <w:pPr>
              <w:pStyle w:val="TableParagraph"/>
              <w:spacing w:line="240" w:lineRule="auto" w:before="34"/>
              <w:ind w:left="744" w:right="0"/>
              <w:jc w:val="left"/>
              <w:rPr>
                <w:rFonts w:ascii="宋体" w:hAnsi="宋体" w:cs="宋体" w:eastAsia="宋体" w:hint="default"/>
                <w:sz w:val="21"/>
                <w:szCs w:val="21"/>
              </w:rPr>
            </w:pPr>
            <w:r>
              <w:rPr>
                <w:rFonts w:ascii="宋体"/>
                <w:sz w:val="21"/>
              </w:rPr>
              <w:t>0.00</w:t>
            </w:r>
          </w:p>
        </w:tc>
      </w:tr>
    </w:tbl>
    <w:p>
      <w:pPr>
        <w:pStyle w:val="BodyText"/>
        <w:spacing w:line="532" w:lineRule="auto" w:before="28"/>
        <w:ind w:right="8091"/>
        <w:jc w:val="left"/>
      </w:pPr>
      <w:r>
        <w:rPr/>
        <w:t>其他说明：</w:t>
      </w:r>
      <w:r>
        <w:rPr>
          <w:spacing w:val="-102"/>
        </w:rPr>
        <w:t> </w:t>
      </w:r>
      <w:r>
        <w:rPr>
          <w:spacing w:val="-102"/>
        </w:rPr>
      </w:r>
      <w:r>
        <w:rPr/>
        <w:t>54、其他权益工具</w:t>
      </w:r>
    </w:p>
    <w:p>
      <w:pPr>
        <w:pStyle w:val="BodyText"/>
        <w:spacing w:line="240" w:lineRule="auto" w:before="83"/>
        <w:ind w:right="2880"/>
        <w:jc w:val="left"/>
      </w:pPr>
      <w:r>
        <w:rPr/>
        <w:t>（1）期末发行在外的优先股、永续债等其他金融工具基本情况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（2）期末发行在外的优先股、永续债等金融工具变动情况表</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064"/>
        <w:gridCol w:w="1066"/>
        <w:gridCol w:w="1063"/>
        <w:gridCol w:w="1063"/>
        <w:gridCol w:w="1063"/>
        <w:gridCol w:w="1063"/>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106" w:right="103"/>
              <w:jc w:val="center"/>
              <w:rPr>
                <w:rFonts w:ascii="宋体" w:hAnsi="宋体" w:cs="宋体" w:eastAsia="宋体" w:hint="default"/>
                <w:sz w:val="21"/>
                <w:szCs w:val="21"/>
              </w:rPr>
            </w:pPr>
            <w:r>
              <w:rPr>
                <w:rFonts w:ascii="宋体" w:hAnsi="宋体" w:cs="宋体" w:eastAsia="宋体" w:hint="default"/>
                <w:sz w:val="21"/>
                <w:szCs w:val="21"/>
              </w:rPr>
              <w:t>发行在外</w:t>
            </w:r>
            <w:r>
              <w:rPr>
                <w:rFonts w:ascii="宋体" w:hAnsi="宋体" w:cs="宋体" w:eastAsia="宋体" w:hint="default"/>
                <w:w w:val="100"/>
                <w:sz w:val="21"/>
                <w:szCs w:val="21"/>
              </w:rPr>
              <w:t> </w:t>
            </w:r>
            <w:r>
              <w:rPr>
                <w:rFonts w:ascii="宋体" w:hAnsi="宋体" w:cs="宋体" w:eastAsia="宋体" w:hint="default"/>
                <w:sz w:val="21"/>
                <w:szCs w:val="21"/>
              </w:rPr>
              <w:t>的金融工</w:t>
            </w:r>
            <w:r>
              <w:rPr>
                <w:rFonts w:ascii="宋体" w:hAnsi="宋体" w:cs="宋体" w:eastAsia="宋体" w:hint="default"/>
                <w:w w:val="100"/>
                <w:sz w:val="21"/>
                <w:szCs w:val="21"/>
              </w:rPr>
              <w:t> </w:t>
            </w:r>
            <w:r>
              <w:rPr>
                <w:rFonts w:ascii="宋体" w:hAnsi="宋体" w:cs="宋体" w:eastAsia="宋体" w:hint="default"/>
                <w:sz w:val="21"/>
                <w:szCs w:val="21"/>
              </w:rPr>
              <w:t>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24"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31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Style w:val="BodyText"/>
        <w:spacing w:line="307" w:lineRule="auto" w:before="28"/>
        <w:ind w:right="1899"/>
        <w:jc w:val="left"/>
      </w:pPr>
      <w:r>
        <w:rPr>
          <w:spacing w:val="-2"/>
        </w:rPr>
        <w:t>其他权益工具本期增减变动情况、变动原因说明，以及相关会计处理的依据：</w:t>
      </w:r>
      <w:r>
        <w:rPr>
          <w:spacing w:val="-43"/>
        </w:rPr>
        <w:t> </w:t>
      </w:r>
      <w:r>
        <w:rPr>
          <w:spacing w:val="-43"/>
        </w:rPr>
      </w:r>
      <w:r>
        <w:rPr/>
        <w:t>其他说明：</w:t>
      </w:r>
    </w:p>
    <w:p>
      <w:pPr>
        <w:spacing w:line="240" w:lineRule="auto" w:before="4"/>
        <w:rPr>
          <w:rFonts w:ascii="宋体" w:hAnsi="宋体" w:cs="宋体" w:eastAsia="宋体" w:hint="default"/>
          <w:sz w:val="21"/>
          <w:szCs w:val="21"/>
        </w:rPr>
      </w:pPr>
    </w:p>
    <w:p>
      <w:pPr>
        <w:pStyle w:val="BodyText"/>
        <w:spacing w:line="240" w:lineRule="auto"/>
        <w:ind w:right="2880"/>
        <w:jc w:val="left"/>
      </w:pPr>
      <w:r>
        <w:rPr/>
        <w:t>55、资本公积</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资本溢价（股本溢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334,340,738.20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334,340,738.20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334,340,738.20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334,340,738.20</w:t>
            </w:r>
          </w:p>
        </w:tc>
      </w:tr>
    </w:tbl>
    <w:p>
      <w:pPr>
        <w:pStyle w:val="BodyText"/>
        <w:spacing w:line="532" w:lineRule="auto" w:before="28"/>
        <w:ind w:right="4492"/>
        <w:jc w:val="left"/>
      </w:pPr>
      <w:r>
        <w:rPr>
          <w:spacing w:val="-2"/>
        </w:rPr>
        <w:t>其他说明，包括本期增减变动情况、变动原因说明：</w:t>
      </w:r>
      <w:r>
        <w:rPr>
          <w:spacing w:val="-63"/>
        </w:rPr>
        <w:t> </w:t>
      </w:r>
      <w:r>
        <w:rPr>
          <w:spacing w:val="-63"/>
        </w:rPr>
      </w:r>
      <w:r>
        <w:rPr/>
        <w:t>56、库存股</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Style w:val="BodyText"/>
        <w:spacing w:line="532" w:lineRule="auto" w:before="29"/>
        <w:ind w:right="4492"/>
        <w:jc w:val="left"/>
      </w:pPr>
      <w:r>
        <w:rPr>
          <w:spacing w:val="-2"/>
        </w:rPr>
        <w:t>其他说明，包括本期增减变动情况、变动原因说明：</w:t>
      </w:r>
      <w:r>
        <w:rPr>
          <w:spacing w:val="-63"/>
        </w:rPr>
        <w:t> </w:t>
      </w:r>
      <w:r>
        <w:rPr>
          <w:spacing w:val="-63"/>
        </w:rPr>
      </w:r>
      <w:r>
        <w:rPr/>
        <w:t>57、其他综合收益</w:t>
      </w:r>
    </w:p>
    <w:p>
      <w:pPr>
        <w:pStyle w:val="BodyText"/>
        <w:spacing w:line="240" w:lineRule="auto" w:before="83"/>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809"/>
        <w:gridCol w:w="1068"/>
        <w:gridCol w:w="936"/>
        <w:gridCol w:w="1150"/>
        <w:gridCol w:w="936"/>
        <w:gridCol w:w="936"/>
        <w:gridCol w:w="936"/>
        <w:gridCol w:w="797"/>
      </w:tblGrid>
      <w:tr>
        <w:trPr>
          <w:trHeight w:val="402" w:hRule="exact"/>
        </w:trPr>
        <w:tc>
          <w:tcPr>
            <w:tcW w:w="28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1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r>
      <w:tr>
        <w:trPr>
          <w:trHeight w:val="1338" w:hRule="exact"/>
        </w:trPr>
        <w:tc>
          <w:tcPr>
            <w:tcW w:w="2809" w:type="dxa"/>
            <w:vMerge/>
            <w:tcBorders>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3" w:right="38"/>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5" w:right="38"/>
              <w:jc w:val="center"/>
              <w:rPr>
                <w:rFonts w:ascii="宋体" w:hAnsi="宋体" w:cs="宋体" w:eastAsia="宋体" w:hint="default"/>
                <w:sz w:val="21"/>
                <w:szCs w:val="21"/>
              </w:rPr>
            </w:pPr>
            <w:r>
              <w:rPr>
                <w:rFonts w:ascii="宋体" w:hAnsi="宋体" w:cs="宋体" w:eastAsia="宋体" w:hint="default"/>
                <w:sz w:val="21"/>
                <w:szCs w:val="21"/>
              </w:rPr>
              <w:t>减：前期计</w:t>
            </w:r>
            <w:r>
              <w:rPr>
                <w:rFonts w:ascii="宋体" w:hAnsi="宋体" w:cs="宋体" w:eastAsia="宋体" w:hint="default"/>
                <w:w w:val="100"/>
                <w:sz w:val="21"/>
                <w:szCs w:val="21"/>
              </w:rPr>
              <w:t> </w:t>
            </w:r>
            <w:r>
              <w:rPr>
                <w:rFonts w:ascii="宋体" w:hAnsi="宋体" w:cs="宋体" w:eastAsia="宋体" w:hint="default"/>
                <w:sz w:val="21"/>
                <w:szCs w:val="21"/>
              </w:rPr>
              <w:t>入其他综合</w:t>
            </w:r>
            <w:r>
              <w:rPr>
                <w:rFonts w:ascii="宋体" w:hAnsi="宋体" w:cs="宋体" w:eastAsia="宋体" w:hint="default"/>
                <w:w w:val="100"/>
                <w:sz w:val="21"/>
                <w:szCs w:val="21"/>
              </w:rPr>
              <w:t> </w:t>
            </w:r>
            <w:r>
              <w:rPr>
                <w:rFonts w:ascii="宋体" w:hAnsi="宋体" w:cs="宋体" w:eastAsia="宋体" w:hint="default"/>
                <w:sz w:val="21"/>
                <w:szCs w:val="21"/>
              </w:rPr>
              <w:t>收益当期转</w:t>
            </w:r>
            <w:r>
              <w:rPr>
                <w:rFonts w:ascii="宋体" w:hAnsi="宋体" w:cs="宋体" w:eastAsia="宋体" w:hint="default"/>
                <w:w w:val="100"/>
                <w:sz w:val="21"/>
                <w:szCs w:val="21"/>
              </w:rPr>
              <w:t> </w:t>
            </w:r>
            <w:r>
              <w:rPr>
                <w:rFonts w:ascii="宋体" w:hAnsi="宋体" w:cs="宋体" w:eastAsia="宋体" w:hint="default"/>
                <w:sz w:val="21"/>
                <w:szCs w:val="21"/>
              </w:rPr>
              <w:t>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48" w:right="36" w:hanging="104"/>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3" w:right="38"/>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3" w:right="38"/>
              <w:jc w:val="center"/>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5" w:lineRule="auto" w:before="36"/>
        <w:ind w:right="1381"/>
        <w:jc w:val="left"/>
      </w:pPr>
      <w:r>
        <w:rPr>
          <w:spacing w:val="-2"/>
        </w:rPr>
        <w:t>其他说明，包括对现金流量套期损益的有效部分转为被套期项目初始确认金额调整：</w:t>
      </w:r>
      <w:r>
        <w:rPr>
          <w:spacing w:val="-35"/>
        </w:rPr>
        <w:t> </w:t>
      </w:r>
      <w:r>
        <w:rPr>
          <w:spacing w:val="-35"/>
        </w:rPr>
      </w:r>
      <w:r>
        <w:rPr/>
        <w:t>58、专项储备</w:t>
      </w:r>
    </w:p>
    <w:p>
      <w:pPr>
        <w:pStyle w:val="BodyText"/>
        <w:spacing w:line="240" w:lineRule="auto" w:before="81"/>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Style w:val="BodyText"/>
        <w:spacing w:line="532" w:lineRule="auto" w:before="28"/>
        <w:ind w:right="4492"/>
        <w:jc w:val="left"/>
      </w:pPr>
      <w:r>
        <w:rPr>
          <w:spacing w:val="-2"/>
        </w:rPr>
        <w:t>其他说明，包括本期增减变动情况、变动原因说明：</w:t>
      </w:r>
      <w:r>
        <w:rPr>
          <w:spacing w:val="-63"/>
        </w:rPr>
        <w:t> </w:t>
      </w:r>
      <w:r>
        <w:rPr>
          <w:spacing w:val="-63"/>
        </w:rPr>
      </w:r>
      <w:r>
        <w:rPr/>
        <w:t>59、盈余公积</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sz w:val="21"/>
              </w:rPr>
              <w:t>32,056,486.47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3,494,426.87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6" w:right="0"/>
              <w:jc w:val="left"/>
              <w:rPr>
                <w:rFonts w:ascii="宋体" w:hAnsi="宋体" w:cs="宋体" w:eastAsia="宋体" w:hint="default"/>
                <w:sz w:val="21"/>
                <w:szCs w:val="21"/>
              </w:rPr>
            </w:pPr>
            <w:r>
              <w:rPr>
                <w:rFonts w:ascii="宋体"/>
                <w:sz w:val="21"/>
              </w:rPr>
              <w:t>35,550,913.34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sz w:val="21"/>
              </w:rPr>
              <w:t>32,056,486.47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3,494,426.87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6" w:right="0"/>
              <w:jc w:val="left"/>
              <w:rPr>
                <w:rFonts w:ascii="宋体" w:hAnsi="宋体" w:cs="宋体" w:eastAsia="宋体" w:hint="default"/>
                <w:sz w:val="21"/>
                <w:szCs w:val="21"/>
              </w:rPr>
            </w:pPr>
            <w:r>
              <w:rPr>
                <w:rFonts w:ascii="宋体"/>
                <w:sz w:val="21"/>
              </w:rPr>
              <w:t>35,550,913.34</w:t>
            </w:r>
          </w:p>
        </w:tc>
      </w:tr>
    </w:tbl>
    <w:p>
      <w:pPr>
        <w:pStyle w:val="BodyText"/>
        <w:spacing w:line="307" w:lineRule="auto" w:before="28"/>
        <w:ind w:right="0"/>
        <w:jc w:val="left"/>
      </w:pPr>
      <w:r>
        <w:rPr/>
        <w:t>盈余公积说明，包括本期增减变动情况、变动原因说明：</w:t>
      </w:r>
      <w:r>
        <w:rPr>
          <w:w w:val="100"/>
        </w:rPr>
        <w:t> </w:t>
      </w:r>
      <w:r>
        <w:rPr>
          <w:spacing w:val="-2"/>
        </w:rPr>
        <w:t>盈余公积本年增加系根据公司章程规定，按本年本公司（母公司）净利润的10%计提法定盈余公积金。</w:t>
      </w:r>
    </w:p>
    <w:p>
      <w:pPr>
        <w:spacing w:line="240" w:lineRule="auto" w:before="4"/>
        <w:rPr>
          <w:rFonts w:ascii="宋体" w:hAnsi="宋体" w:cs="宋体" w:eastAsia="宋体" w:hint="default"/>
          <w:sz w:val="21"/>
          <w:szCs w:val="21"/>
        </w:rPr>
      </w:pPr>
    </w:p>
    <w:p>
      <w:pPr>
        <w:pStyle w:val="BodyText"/>
        <w:spacing w:line="240" w:lineRule="auto"/>
        <w:ind w:right="2880"/>
        <w:jc w:val="left"/>
      </w:pPr>
      <w:r>
        <w:rPr/>
        <w:t>60、未分配利润</w:t>
      </w:r>
    </w:p>
    <w:p>
      <w:pPr>
        <w:spacing w:line="240" w:lineRule="auto" w:before="10"/>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25"/>
        <w:gridCol w:w="2923"/>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180,063,672.11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
              <w:jc w:val="right"/>
              <w:rPr>
                <w:rFonts w:ascii="宋体" w:hAnsi="宋体" w:cs="宋体" w:eastAsia="宋体" w:hint="default"/>
                <w:sz w:val="21"/>
                <w:szCs w:val="21"/>
              </w:rPr>
            </w:pPr>
            <w:r>
              <w:rPr>
                <w:rFonts w:ascii="宋体"/>
                <w:spacing w:val="-1"/>
                <w:sz w:val="21"/>
              </w:rPr>
              <w:t>151,946,243.96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180,063,672.11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151,946,243.96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27,673,025.40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
              <w:jc w:val="right"/>
              <w:rPr>
                <w:rFonts w:ascii="宋体" w:hAnsi="宋体" w:cs="宋体" w:eastAsia="宋体" w:hint="default"/>
                <w:sz w:val="21"/>
                <w:szCs w:val="21"/>
              </w:rPr>
            </w:pPr>
            <w:r>
              <w:rPr>
                <w:rFonts w:ascii="宋体"/>
                <w:spacing w:val="-1"/>
                <w:sz w:val="21"/>
              </w:rPr>
              <w:t>49,089,630.26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3,494,426.87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4,393,060.51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10,436,510.00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
              <w:jc w:val="right"/>
              <w:rPr>
                <w:rFonts w:ascii="宋体" w:hAnsi="宋体" w:cs="宋体" w:eastAsia="宋体" w:hint="default"/>
                <w:sz w:val="21"/>
                <w:szCs w:val="21"/>
              </w:rPr>
            </w:pPr>
            <w:r>
              <w:rPr>
                <w:rFonts w:ascii="宋体"/>
                <w:spacing w:val="-1"/>
                <w:sz w:val="21"/>
              </w:rPr>
              <w:t>16,579,141.60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193,805,760.64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180,063,672.11</w:t>
            </w:r>
          </w:p>
        </w:tc>
      </w:tr>
    </w:tbl>
    <w:p>
      <w:pPr>
        <w:pStyle w:val="BodyText"/>
        <w:spacing w:line="307" w:lineRule="auto" w:before="28"/>
        <w:ind w:right="1481"/>
        <w:jc w:val="left"/>
      </w:pPr>
      <w:r>
        <w:rPr/>
        <w:t>调整期初未分配利润明细：</w:t>
      </w:r>
      <w:r>
        <w:rPr>
          <w:w w:val="100"/>
        </w:rPr>
        <w:t> </w:t>
      </w:r>
      <w:r>
        <w:rPr/>
        <w:t>1)、由于《企业会计准则》及其相关新规定进行追溯调整，影响期初未分配利润</w:t>
      </w:r>
      <w:r>
        <w:rPr>
          <w:spacing w:val="-54"/>
        </w:rPr>
        <w:t> </w:t>
      </w:r>
      <w:r>
        <w:rPr/>
        <w:t>0.00</w:t>
      </w:r>
      <w:r>
        <w:rPr>
          <w:spacing w:val="-56"/>
        </w:rPr>
        <w:t> </w:t>
      </w:r>
      <w:r>
        <w:rPr/>
        <w:t>元。</w:t>
      </w:r>
    </w:p>
    <w:p>
      <w:pPr>
        <w:pStyle w:val="BodyText"/>
        <w:spacing w:line="240" w:lineRule="auto" w:before="19"/>
        <w:ind w:right="2880"/>
        <w:jc w:val="left"/>
      </w:pPr>
      <w:r>
        <w:rPr/>
        <w:t>2)、由于会计政策变更，影响期初未分配利润</w:t>
      </w:r>
      <w:r>
        <w:rPr>
          <w:spacing w:val="-55"/>
        </w:rPr>
        <w:t> </w:t>
      </w:r>
      <w:r>
        <w:rPr/>
        <w:t>0.00</w:t>
      </w:r>
      <w:r>
        <w:rPr>
          <w:spacing w:val="-57"/>
        </w:rPr>
        <w:t> </w:t>
      </w:r>
      <w:r>
        <w:rPr/>
        <w:t>元。</w:t>
      </w:r>
    </w:p>
    <w:p>
      <w:pPr>
        <w:pStyle w:val="BodyText"/>
        <w:spacing w:line="240" w:lineRule="auto" w:before="75"/>
        <w:ind w:right="2880"/>
        <w:jc w:val="left"/>
      </w:pPr>
      <w:r>
        <w:rPr/>
        <w:t>3)、由于重大会计差错更正，影响期初未分配利润</w:t>
      </w:r>
      <w:r>
        <w:rPr>
          <w:spacing w:val="-55"/>
        </w:rPr>
        <w:t> </w:t>
      </w:r>
      <w:r>
        <w:rPr/>
        <w:t>0.00</w:t>
      </w:r>
      <w:r>
        <w:rPr>
          <w:spacing w:val="-55"/>
        </w:rPr>
        <w:t> </w:t>
      </w:r>
      <w:r>
        <w:rPr/>
        <w:t>元。</w:t>
      </w:r>
    </w:p>
    <w:p>
      <w:pPr>
        <w:pStyle w:val="BodyText"/>
        <w:spacing w:line="240" w:lineRule="auto" w:before="78"/>
        <w:ind w:right="2880"/>
        <w:jc w:val="left"/>
      </w:pPr>
      <w:r>
        <w:rPr/>
        <w:t>4)、由于同一控制导致的合并范围变更，影响期初未分配利润</w:t>
      </w:r>
      <w:r>
        <w:rPr>
          <w:spacing w:val="-56"/>
        </w:rPr>
        <w:t> </w:t>
      </w:r>
      <w:r>
        <w:rPr/>
        <w:t>0.00</w:t>
      </w:r>
      <w:r>
        <w:rPr>
          <w:spacing w:val="-56"/>
        </w:rPr>
        <w:t> </w:t>
      </w:r>
      <w:r>
        <w:rPr/>
        <w:t>元。</w:t>
      </w:r>
    </w:p>
    <w:p>
      <w:pPr>
        <w:pStyle w:val="BodyText"/>
        <w:spacing w:line="240" w:lineRule="auto" w:before="78"/>
        <w:ind w:right="2880"/>
        <w:jc w:val="left"/>
      </w:pPr>
      <w:r>
        <w:rPr/>
        <w:t>5)、其他调整合计影响期初未分配利润</w:t>
      </w:r>
      <w:r>
        <w:rPr>
          <w:spacing w:val="-53"/>
        </w:rPr>
        <w:t> </w:t>
      </w:r>
      <w:r>
        <w:rPr/>
        <w:t>0.00</w:t>
      </w:r>
      <w:r>
        <w:rPr>
          <w:spacing w:val="-55"/>
        </w:rPr>
        <w:t> </w:t>
      </w:r>
      <w:r>
        <w:rPr/>
        <w:t>元。</w:t>
      </w:r>
    </w:p>
    <w:p>
      <w:pPr>
        <w:spacing w:line="240" w:lineRule="auto" w:before="8"/>
        <w:rPr>
          <w:rFonts w:ascii="宋体" w:hAnsi="宋体" w:cs="宋体" w:eastAsia="宋体" w:hint="default"/>
          <w:sz w:val="25"/>
          <w:szCs w:val="25"/>
        </w:rPr>
      </w:pPr>
    </w:p>
    <w:p>
      <w:pPr>
        <w:pStyle w:val="BodyText"/>
        <w:spacing w:line="240" w:lineRule="auto"/>
        <w:ind w:right="2880"/>
        <w:jc w:val="left"/>
      </w:pPr>
      <w:r>
        <w:rPr/>
        <w:t>61、营业收入和营业成本</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861,311,359.14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656,654,922.21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706,537,011.04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486,016,934.98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2,201,625.28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1,861,357.74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4,513,023.70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1,493,334.61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863,512,984.42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658,516,279.95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711,050,034.74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487,510,269.59</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62、营业税金及附加</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43,563.52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862,897.13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3,198,256.44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2,459,916.48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2,327,753.16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1,847,306.63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5,569,573.12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5,170,120.24</w:t>
            </w:r>
          </w:p>
        </w:tc>
      </w:tr>
    </w:tbl>
    <w:p>
      <w:pPr>
        <w:pStyle w:val="BodyText"/>
        <w:spacing w:line="532" w:lineRule="auto" w:before="28"/>
        <w:ind w:right="8511"/>
        <w:jc w:val="left"/>
      </w:pPr>
      <w:r>
        <w:rPr/>
        <w:t>其他说明：</w:t>
      </w:r>
      <w:r>
        <w:rPr>
          <w:spacing w:val="-102"/>
        </w:rPr>
        <w:t> </w:t>
      </w:r>
      <w:r>
        <w:rPr>
          <w:spacing w:val="-102"/>
        </w:rPr>
      </w:r>
      <w:r>
        <w:rPr/>
        <w:t>63、销售费用</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695,047.34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1,152,652.69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20,212,251.55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16,116,647.59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3,273,167.67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3,002,805.71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5,261,282.46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3,700,111.08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11,992,841.50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11,224,581.57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104,991.75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314,788.90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4,128,651.62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1,990,995.90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代理出口服务费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4,070,000.00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信息技术服务费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1,118,025.70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4,742,414.54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4,768,712.01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51,528,674.13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46,341,295.45</w:t>
            </w:r>
          </w:p>
        </w:tc>
      </w:tr>
    </w:tbl>
    <w:p>
      <w:pPr>
        <w:pStyle w:val="BodyText"/>
        <w:spacing w:line="307" w:lineRule="auto" w:before="28"/>
        <w:ind w:right="8721"/>
        <w:jc w:val="left"/>
      </w:pP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64、管理费用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2,867,777.62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2,670,223.92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677,374.99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500,801.74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2,585,518.89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2,954,278.99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903,540.29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1,258,160.72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2,915,319.08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3,345,083.40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2,634,367.14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2,314,354.25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611,870.25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422,212.38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修理检测费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1,335,952.50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1,002,643.24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352,267.16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260,585.74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3,125,570.88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2,418,544.28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48,764,886.61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43,054,473.03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审计咨询费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1,332,242.44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2,197,102.45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折旧与摊销费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13,603,190.98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7,044,860.07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开办费广告宣传费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457,546.62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8,380.00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3,573,865.85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4,682,586.33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11"/>
                <w:szCs w:val="11"/>
              </w:rPr>
            </w:pPr>
            <w:r>
              <w:rPr>
                <w:rFonts w:ascii="宋体" w:hAnsi="宋体" w:cs="宋体" w:eastAsia="宋体" w:hint="default"/>
                <w:sz w:val="21"/>
                <w:szCs w:val="21"/>
              </w:rPr>
              <w:t>研发费用及其他</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12,704,034.13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15,800,396.93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原材料盘亏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1,081,105.94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99,526,431.37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89,934,687.47</w:t>
            </w:r>
          </w:p>
        </w:tc>
      </w:tr>
    </w:tbl>
    <w:p>
      <w:pPr>
        <w:pStyle w:val="BodyText"/>
        <w:spacing w:line="532" w:lineRule="auto" w:before="28"/>
        <w:ind w:right="3686"/>
        <w:jc w:val="left"/>
      </w:pPr>
      <w:r>
        <w:rPr/>
        <w:t>其他说明：注;</w:t>
      </w:r>
      <w:r>
        <w:rPr>
          <w:spacing w:val="-2"/>
        </w:rPr>
        <w:t> </w:t>
      </w:r>
      <w:r>
        <w:rPr/>
        <w:t>母公司研发费用本期发生额为</w:t>
      </w:r>
      <w:r>
        <w:rPr>
          <w:spacing w:val="-53"/>
        </w:rPr>
        <w:t> </w:t>
      </w:r>
      <w:r>
        <w:rPr/>
        <w:t>12,390,548.03</w:t>
      </w:r>
      <w:r>
        <w:rPr>
          <w:spacing w:val="-55"/>
        </w:rPr>
        <w:t> </w:t>
      </w:r>
      <w:r>
        <w:rPr/>
        <w:t>元。</w:t>
      </w:r>
      <w:r>
        <w:rPr>
          <w:w w:val="100"/>
        </w:rPr>
        <w:t> </w:t>
      </w:r>
      <w:r>
        <w:rPr/>
        <w:t>65、财务费用</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8,512,846.59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8,759,310.07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1,003,623.71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1,852,997.53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156,080.84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125,362.70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2,196,477.76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1,289,438.75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信用证贴现利息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695,138.89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10,556,920.37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8,321,113.99</w:t>
            </w:r>
          </w:p>
        </w:tc>
      </w:tr>
    </w:tbl>
    <w:p>
      <w:pPr>
        <w:pStyle w:val="BodyText"/>
        <w:spacing w:line="532" w:lineRule="auto" w:before="28"/>
        <w:ind w:right="8091"/>
        <w:jc w:val="left"/>
      </w:pPr>
      <w:r>
        <w:rPr/>
        <w:t>其他说明：</w:t>
      </w:r>
      <w:r>
        <w:rPr>
          <w:spacing w:val="-102"/>
        </w:rPr>
        <w:t> </w:t>
      </w:r>
      <w:r>
        <w:rPr>
          <w:spacing w:val="-102"/>
        </w:rPr>
      </w:r>
      <w:r>
        <w:rPr/>
        <w:t>66、资产减值损失</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9,859,781.76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8,668,596.18</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5,275,813.84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15,135,595.60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8,668,596.18</w:t>
            </w:r>
          </w:p>
        </w:tc>
      </w:tr>
    </w:tbl>
    <w:p>
      <w:pPr>
        <w:pStyle w:val="BodyText"/>
        <w:spacing w:line="532" w:lineRule="auto" w:before="28"/>
        <w:ind w:right="7671"/>
        <w:jc w:val="left"/>
      </w:pPr>
      <w:r>
        <w:rPr/>
        <w:t>其他说明：</w:t>
      </w:r>
      <w:r>
        <w:rPr>
          <w:spacing w:val="-102"/>
        </w:rPr>
        <w:t> </w:t>
      </w:r>
      <w:r>
        <w:rPr>
          <w:spacing w:val="-102"/>
        </w:rPr>
      </w:r>
      <w:r>
        <w:rPr/>
        <w:t>67、公允价值变动收益</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535" w:lineRule="auto" w:before="28"/>
        <w:ind w:right="8511"/>
        <w:jc w:val="left"/>
      </w:pPr>
      <w:r>
        <w:rPr/>
        <w:t>其他说明：</w:t>
      </w:r>
      <w:r>
        <w:rPr>
          <w:spacing w:val="-102"/>
        </w:rPr>
        <w:t> </w:t>
      </w:r>
      <w:r>
        <w:rPr>
          <w:spacing w:val="-102"/>
        </w:rPr>
      </w:r>
      <w:r>
        <w:rPr/>
        <w:t>68、投资收益</w:t>
      </w:r>
    </w:p>
    <w:p>
      <w:pPr>
        <w:pStyle w:val="BodyText"/>
        <w:spacing w:line="240" w:lineRule="auto" w:before="79"/>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460"/>
        <w:gridCol w:w="3190"/>
        <w:gridCol w:w="2918"/>
      </w:tblGrid>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532" w:lineRule="auto" w:before="28"/>
        <w:ind w:right="8301"/>
        <w:jc w:val="left"/>
      </w:pPr>
      <w:r>
        <w:rPr/>
        <w:t>其他说明：</w:t>
      </w:r>
      <w:r>
        <w:rPr>
          <w:spacing w:val="-102"/>
        </w:rPr>
        <w:t> </w:t>
      </w:r>
      <w:r>
        <w:rPr>
          <w:spacing w:val="-102"/>
        </w:rPr>
      </w:r>
      <w:r>
        <w:rPr/>
        <w:t>69、营业外收入</w:t>
      </w:r>
    </w:p>
    <w:p>
      <w:pPr>
        <w:pStyle w:val="BodyText"/>
        <w:spacing w:line="240" w:lineRule="auto" w:before="83"/>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tabs>
                <w:tab w:pos="640" w:val="left" w:leader="none"/>
                <w:tab w:pos="2337" w:val="left" w:leader="none"/>
              </w:tabs>
              <w:spacing w:line="240" w:lineRule="auto" w:before="2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1"/>
                <w:sz w:val="21"/>
                <w:szCs w:val="21"/>
                <w:shd w:fill="D3D3D3" w:color="auto" w:val="clear"/>
              </w:rPr>
              <w:t>上期发生额</w:t>
              <w:tab/>
            </w:r>
            <w:r>
              <w:rPr>
                <w:rFonts w:ascii="宋体" w:hAnsi="宋体" w:cs="宋体" w:eastAsia="宋体" w:hint="default"/>
                <w:spacing w:val="-1"/>
                <w:sz w:val="21"/>
                <w:szCs w:val="21"/>
              </w:rPr>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36,717.90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45,689.54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36,717.90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36,717.90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45,689.54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36,717.90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6,241,850.92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7,083,965.45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6,241,850.92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96,086.86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215,245.73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96,086.86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6,167,051.82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5,958,756.81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12,541,707.50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13,303,657.53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6,374,655.68</w:t>
            </w:r>
          </w:p>
        </w:tc>
      </w:tr>
    </w:tbl>
    <w:p>
      <w:pPr>
        <w:pStyle w:val="BodyText"/>
        <w:spacing w:line="240" w:lineRule="auto" w:before="28"/>
        <w:ind w:right="2880"/>
        <w:jc w:val="left"/>
      </w:pPr>
      <w:r>
        <w:rPr/>
        <w:t>计入当期损益的政府补助：</w:t>
      </w:r>
    </w:p>
    <w:p>
      <w:pPr>
        <w:pStyle w:val="BodyText"/>
        <w:spacing w:line="240" w:lineRule="auto" w:before="78"/>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8" w:right="0"/>
              <w:jc w:val="left"/>
              <w:rPr>
                <w:rFonts w:ascii="宋体" w:hAnsi="宋体" w:cs="宋体" w:eastAsia="宋体" w:hint="default"/>
                <w:sz w:val="21"/>
                <w:szCs w:val="21"/>
              </w:rPr>
            </w:pPr>
            <w:r>
              <w:rPr>
                <w:rFonts w:ascii="宋体" w:hAnsi="宋体" w:cs="宋体" w:eastAsia="宋体" w:hint="default"/>
                <w:sz w:val="21"/>
                <w:szCs w:val="21"/>
              </w:rPr>
              <w:t>与资产相关/与收益相关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年文化产业专项资</w:t>
            </w:r>
            <w:r>
              <w:rPr>
                <w:rFonts w:ascii="宋体" w:hAnsi="宋体" w:cs="宋体" w:eastAsia="宋体" w:hint="default"/>
                <w:w w:val="100"/>
                <w:sz w:val="21"/>
                <w:szCs w:val="21"/>
              </w:rPr>
              <w:t> </w:t>
            </w:r>
            <w:r>
              <w:rPr>
                <w:rFonts w:ascii="宋体" w:hAnsi="宋体" w:cs="宋体" w:eastAsia="宋体" w:hint="default"/>
                <w:sz w:val="21"/>
                <w:szCs w:val="21"/>
              </w:rPr>
              <w:t>金补助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进口设备贴息</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372,502.68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186,251.34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园区税收奖励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354,960.35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收滨湖区两项补贴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30,498.00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88,734.00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天河区财政补贴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工业经济率先突破奖励补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410,400.00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5"/>
        <w:gridCol w:w="2393"/>
        <w:gridCol w:w="2393"/>
      </w:tblGrid>
      <w:tr>
        <w:trPr>
          <w:trHeight w:val="36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收无锡市财政局“三代”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手续费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28,634.67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收到无锡市滨湖区经济和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信息化局扶持资金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税控设备维护费抵减增值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税</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收泸州市纳溪区就业服务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管理局技能培训补贴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282,750.00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收无锡市滨湖区安全生产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监督管理局达标奖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年中小企业国际市</w:t>
            </w:r>
            <w:r>
              <w:rPr>
                <w:rFonts w:ascii="宋体" w:hAnsi="宋体" w:cs="宋体" w:eastAsia="宋体" w:hint="default"/>
                <w:w w:val="100"/>
                <w:sz w:val="21"/>
                <w:szCs w:val="21"/>
              </w:rPr>
              <w:t> </w:t>
            </w:r>
            <w:r>
              <w:rPr>
                <w:rFonts w:ascii="宋体" w:hAnsi="宋体" w:cs="宋体" w:eastAsia="宋体" w:hint="default"/>
                <w:sz w:val="21"/>
                <w:szCs w:val="21"/>
              </w:rPr>
              <w:t>场开拓资金补助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福州市财政局高新奖励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跨媒体项目递延收益转收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3,864,485.57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房产税、土地使用税即征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即奖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955,100.00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技改项目补助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30,230.00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无锡市滨湖区安全生产监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督管理局达标奖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5,000.00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38"/>
              <w:jc w:val="left"/>
              <w:rPr>
                <w:rFonts w:ascii="宋体" w:hAnsi="宋体" w:cs="宋体" w:eastAsia="宋体" w:hint="default"/>
                <w:sz w:val="21"/>
                <w:szCs w:val="21"/>
              </w:rPr>
            </w:pPr>
            <w:r>
              <w:rPr>
                <w:rFonts w:ascii="宋体" w:hAnsi="宋体" w:cs="宋体" w:eastAsia="宋体" w:hint="default"/>
                <w:spacing w:val="-2"/>
                <w:sz w:val="21"/>
                <w:szCs w:val="21"/>
              </w:rPr>
              <w:t>福州市仓山区财政局经济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局增量补贴款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60,000.00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年产学研专项补助</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300,000.00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年康复扶贫贷款贴</w:t>
            </w:r>
            <w:r>
              <w:rPr>
                <w:rFonts w:ascii="宋体" w:hAnsi="宋体" w:cs="宋体" w:eastAsia="宋体" w:hint="default"/>
                <w:w w:val="100"/>
                <w:sz w:val="21"/>
                <w:szCs w:val="21"/>
              </w:rPr>
              <w:t> </w:t>
            </w:r>
            <w:r>
              <w:rPr>
                <w:rFonts w:ascii="宋体" w:hAnsi="宋体" w:cs="宋体" w:eastAsia="宋体" w:hint="default"/>
                <w:sz w:val="21"/>
                <w:szCs w:val="21"/>
              </w:rPr>
              <w:t>息资金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101,200.00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科技进步奖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10,000.00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44"/>
              <w:jc w:val="left"/>
              <w:rPr>
                <w:rFonts w:ascii="宋体" w:hAnsi="宋体" w:cs="宋体" w:eastAsia="宋体" w:hint="default"/>
                <w:sz w:val="21"/>
                <w:szCs w:val="21"/>
              </w:rPr>
            </w:pPr>
            <w:r>
              <w:rPr>
                <w:rFonts w:ascii="宋体" w:hAnsi="宋体" w:cs="宋体" w:eastAsia="宋体" w:hint="default"/>
                <w:sz w:val="21"/>
                <w:szCs w:val="21"/>
              </w:rPr>
              <w:t>福建省财政厅</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一批中小型资金奖励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8,100.00</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物联网补贴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817,925.33</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6,241,850.92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7,083,965.45</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90" w:lineRule="auto" w:before="28"/>
        <w:ind w:right="99"/>
        <w:jc w:val="left"/>
      </w:pPr>
      <w:r>
        <w:rPr/>
        <w:t>其他说明：</w:t>
      </w:r>
      <w:r>
        <w:rPr>
          <w:spacing w:val="-102"/>
        </w:rPr>
        <w:t> </w:t>
      </w:r>
      <w:r>
        <w:rPr>
          <w:spacing w:val="-102"/>
        </w:rPr>
      </w:r>
      <w:r>
        <w:rPr>
          <w:spacing w:val="-4"/>
        </w:rPr>
        <w:t>根据财政部和国家税务总局《关于促进残疾人就业税收优惠政策的通知》（财税字［2007］92号）的规定，</w:t>
      </w:r>
      <w:r>
        <w:rPr>
          <w:spacing w:val="-40"/>
        </w:rPr>
        <w:t> </w:t>
      </w:r>
      <w:r>
        <w:rPr>
          <w:spacing w:val="-40"/>
        </w:rPr>
      </w:r>
      <w:r>
        <w:rPr/>
        <w:t>本公司享受增值税的优惠政策为按照实际安置残疾人的人数，实行限额即征即退增值税。</w:t>
      </w:r>
    </w:p>
    <w:p>
      <w:pPr>
        <w:spacing w:after="0" w:line="29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70、营业外支出</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4"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tcPr>
          <w:p>
            <w:pPr>
              <w:pStyle w:val="TableParagraph"/>
              <w:tabs>
                <w:tab w:pos="640" w:val="left" w:leader="none"/>
                <w:tab w:pos="2337" w:val="left" w:leader="none"/>
              </w:tabs>
              <w:spacing w:line="240" w:lineRule="auto" w:before="28"/>
              <w:ind w:right="1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1"/>
                <w:sz w:val="21"/>
                <w:szCs w:val="21"/>
                <w:shd w:fill="D3D3D3" w:color="auto" w:val="clear"/>
              </w:rPr>
              <w:t>上期发生额</w:t>
              <w:tab/>
            </w:r>
            <w:r>
              <w:rPr>
                <w:rFonts w:ascii="宋体" w:hAnsi="宋体" w:cs="宋体" w:eastAsia="宋体" w:hint="default"/>
                <w:spacing w:val="-1"/>
                <w:sz w:val="21"/>
                <w:szCs w:val="21"/>
              </w:rPr>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407,497.89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2,752,994.38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407,497.89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407,497.89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2,752,994.38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407,497.89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143,764.15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439,999.00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143,764.15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747,790.45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139,757.19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747,790.45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1,299,052.49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3,332,750.57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1,299,052.49</w:t>
            </w:r>
          </w:p>
        </w:tc>
      </w:tr>
    </w:tbl>
    <w:p>
      <w:pPr>
        <w:pStyle w:val="BodyText"/>
        <w:spacing w:line="307" w:lineRule="auto" w:before="28"/>
        <w:ind w:right="8721"/>
        <w:jc w:val="left"/>
      </w:pP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71、所得税费用</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（1）所得税费用表</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206"/>
              <w:jc w:val="left"/>
              <w:rPr>
                <w:rFonts w:ascii="宋体" w:hAnsi="宋体" w:cs="宋体" w:eastAsia="宋体" w:hint="default"/>
                <w:sz w:val="21"/>
                <w:szCs w:val="21"/>
              </w:rPr>
            </w:pPr>
            <w:r>
              <w:rPr>
                <w:rFonts w:ascii="宋体" w:hAnsi="宋体" w:cs="宋体" w:eastAsia="宋体" w:hint="default"/>
                <w:spacing w:val="-2"/>
                <w:sz w:val="21"/>
                <w:szCs w:val="21"/>
              </w:rPr>
              <w:t>按税法及相关规定计算的当期所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得税</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15,633,445.33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17,798,113.73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-18,154,391.67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-869,143.80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-2,520,946.34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16,928,969.93</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（2）会计利润与所得税费用调整过程</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78"/>
        <w:gridCol w:w="4790"/>
      </w:tblGrid>
      <w:tr>
        <w:trPr>
          <w:trHeight w:val="396"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8"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1"/>
                <w:szCs w:val="21"/>
              </w:rPr>
            </w:pPr>
            <w:r>
              <w:rPr>
                <w:rFonts w:ascii="宋体"/>
                <w:spacing w:val="-1"/>
                <w:sz w:val="21"/>
              </w:rPr>
              <w:t>33,922,164.89</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-2,520,946.34</w:t>
            </w:r>
          </w:p>
        </w:tc>
      </w:tr>
    </w:tbl>
    <w:p>
      <w:pPr>
        <w:pStyle w:val="BodyText"/>
        <w:spacing w:line="535" w:lineRule="auto" w:before="28"/>
        <w:ind w:right="8091"/>
        <w:jc w:val="left"/>
      </w:pPr>
      <w:r>
        <w:rPr/>
        <w:t>其他说明</w:t>
      </w:r>
      <w:r>
        <w:rPr>
          <w:w w:val="100"/>
        </w:rPr>
        <w:t> </w:t>
      </w:r>
      <w:r>
        <w:rPr/>
        <w:t>72、其他综合收益</w:t>
      </w:r>
      <w:r>
        <w:rPr>
          <w:spacing w:val="-96"/>
        </w:rPr>
        <w:t> </w:t>
      </w:r>
      <w:r>
        <w:rPr/>
        <w:t>详见附注。</w:t>
      </w:r>
    </w:p>
    <w:p>
      <w:pPr>
        <w:spacing w:after="0" w:line="535"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73、现金流量表项目</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（1）收到的其他与经营活动有关的现金</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1,003,623.71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1,267,616.02</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营业外收入-政府奖励款等其他收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1,495,849.53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4,109,520.08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汇票保证金收回</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10,843,503.90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2,499,473.24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16,220,640.00</w:t>
            </w:r>
          </w:p>
        </w:tc>
      </w:tr>
    </w:tbl>
    <w:p>
      <w:pPr>
        <w:pStyle w:val="BodyText"/>
        <w:spacing w:line="240" w:lineRule="auto" w:before="28"/>
        <w:ind w:right="2880"/>
        <w:jc w:val="left"/>
      </w:pPr>
      <w:r>
        <w:rPr/>
        <w:t>收到的其他与经营活动有关的现金说明：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（2）支付的其他与经营活动有关的现金</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31,289,600.43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30,224,647.86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33,430,435.70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37,714,716.95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2,351,446.62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1,929,165.92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14,454,816.89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9,022,113.47</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6"/>
              <w:jc w:val="left"/>
              <w:rPr>
                <w:rFonts w:ascii="宋体" w:hAnsi="宋体" w:cs="宋体" w:eastAsia="宋体" w:hint="default"/>
                <w:sz w:val="21"/>
                <w:szCs w:val="21"/>
              </w:rPr>
            </w:pPr>
            <w:r>
              <w:rPr>
                <w:rFonts w:ascii="宋体" w:hAnsi="宋体" w:cs="宋体" w:eastAsia="宋体" w:hint="default"/>
                <w:spacing w:val="-2"/>
                <w:sz w:val="21"/>
                <w:szCs w:val="21"/>
              </w:rPr>
              <w:t>付无锡市正栋电脑纸品厂住房周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转金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3,578,992.32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支付的汇票、信用证等保证金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10,296,550.85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捐赠赞助、罚款等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891,554.60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92,714,405.09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82,469,636.52</w:t>
            </w:r>
          </w:p>
        </w:tc>
      </w:tr>
    </w:tbl>
    <w:p>
      <w:pPr>
        <w:pStyle w:val="BodyText"/>
        <w:spacing w:line="240" w:lineRule="auto" w:before="28"/>
        <w:ind w:right="2880"/>
        <w:jc w:val="left"/>
      </w:pPr>
      <w:r>
        <w:rPr/>
        <w:t>支付的其他与经营活动有关的现金说明：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（3）收到的其他与投资活动有关的现金</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收到与资产相关政府补助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5,125,027.00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5,125,027.00</w:t>
            </w:r>
          </w:p>
        </w:tc>
      </w:tr>
    </w:tbl>
    <w:p>
      <w:pPr>
        <w:pStyle w:val="BodyText"/>
        <w:spacing w:line="240" w:lineRule="auto" w:before="28"/>
        <w:ind w:right="2880"/>
        <w:jc w:val="left"/>
      </w:pPr>
      <w:r>
        <w:rPr/>
        <w:t>收到的其他与投资活动有关的现金说明：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（4）支付的其他与投资活动有关的现金</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418259pt;margin-top:619.778259pt;width:152.3pt;height:35.2pt;mso-position-horizontal-relative:page;mso-position-vertical-relative:page;z-index:-886288" coordorigin="4468,12396" coordsize="3046,704">
            <v:group style="position:absolute;left:4468;top:12396;width:3046;height:156" coordorigin="4468,12396" coordsize="3046,156">
              <v:shape style="position:absolute;left:4468;top:12396;width:3046;height:156" coordorigin="4468,12396" coordsize="3046,156" path="m4468,12552l7514,12552,7514,12396,4468,12396,4468,12552xe" filled="true" fillcolor="#ffffff" stroked="false">
                <v:path arrowok="t"/>
                <v:fill type="solid"/>
              </v:shape>
            </v:group>
            <v:group style="position:absolute;left:4468;top:12943;width:3046;height:156" coordorigin="4468,12943" coordsize="3046,156">
              <v:shape style="position:absolute;left:4468;top:12943;width:3046;height:156" coordorigin="4468,12943" coordsize="3046,156" path="m4468,13099l7514,13099,7514,12943,4468,12943,4468,13099xe" filled="true" fillcolor="#ffffff" stroked="false">
                <v:path arrowok="t"/>
                <v:fill type="solid"/>
              </v:shape>
            </v:group>
            <v:group style="position:absolute;left:4490;top:12552;width:3003;height:392" coordorigin="4490,12552" coordsize="3003,392">
              <v:shape style="position:absolute;left:4490;top:12552;width:3003;height:392" coordorigin="4490,12552" coordsize="3003,392" path="m4490,12552l7492,12552,7492,12943,4490,12943,4490,12552xe" filled="true" fillcolor="#ffffff" stroked="false">
                <v:path arrowok="t"/>
                <v:fill type="solid"/>
              </v:shape>
            </v:group>
            <w10:wrap type="none"/>
          </v:group>
        </w:pict>
      </w: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9"/>
        <w:ind w:right="2880"/>
        <w:jc w:val="left"/>
      </w:pPr>
      <w:r>
        <w:rPr/>
        <w:t>支付的其他与投资活动有关的现金说明：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（5）收到的其他与筹资活动有关的现金</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right="2880"/>
        <w:jc w:val="left"/>
      </w:pPr>
      <w:r>
        <w:rPr/>
        <w:t>收到的其他与筹资活动有关的现金说明：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（6）支付的其他与筹资活动有关的现金</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支付收购鸿博致远少数股东股权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3,000,000.00</w:t>
            </w:r>
          </w:p>
        </w:tc>
      </w:tr>
    </w:tbl>
    <w:p>
      <w:pPr>
        <w:pStyle w:val="BodyText"/>
        <w:spacing w:line="532" w:lineRule="auto" w:before="28"/>
        <w:ind w:right="4492"/>
        <w:jc w:val="left"/>
      </w:pPr>
      <w:r>
        <w:rPr>
          <w:spacing w:val="-2"/>
        </w:rPr>
        <w:t>支付的其他与筹资活动有关的现金说明：</w:t>
      </w:r>
      <w:r>
        <w:rPr>
          <w:spacing w:val="-70"/>
        </w:rPr>
        <w:t> </w:t>
      </w:r>
      <w:r>
        <w:rPr>
          <w:spacing w:val="-70"/>
        </w:rPr>
      </w:r>
      <w:r>
        <w:rPr/>
        <w:t>74、现金流量表补充资料</w:t>
      </w:r>
    </w:p>
    <w:p>
      <w:pPr>
        <w:pStyle w:val="BodyText"/>
        <w:spacing w:line="240" w:lineRule="auto" w:before="83"/>
        <w:ind w:right="2880"/>
        <w:jc w:val="left"/>
      </w:pPr>
      <w:r>
        <w:rPr/>
        <w:t>（1）现金流量表补充资料</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16"/>
        <w:gridCol w:w="3068"/>
        <w:gridCol w:w="3185"/>
      </w:tblGrid>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1" w:hRule="exact"/>
        </w:trPr>
        <w:tc>
          <w:tcPr>
            <w:tcW w:w="3316"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8"/>
              <w:ind w:left="24" w:right="23"/>
              <w:jc w:val="left"/>
              <w:rPr>
                <w:rFonts w:ascii="宋体" w:hAnsi="宋体" w:cs="宋体" w:eastAsia="宋体" w:hint="default"/>
                <w:sz w:val="21"/>
                <w:szCs w:val="21"/>
              </w:rPr>
            </w:pPr>
            <w:r>
              <w:rPr>
                <w:rFonts w:ascii="宋体" w:hAnsi="宋体" w:cs="宋体" w:eastAsia="宋体" w:hint="default"/>
                <w:spacing w:val="-2"/>
                <w:sz w:val="21"/>
                <w:szCs w:val="21"/>
              </w:rPr>
              <w:t>1．将净利润调节为经营活动现金流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16"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10" w:space="0" w:color="D3D3D3"/>
              <w:bottom w:val="nil" w:sz="6" w:space="0" w:color="auto"/>
              <w:right w:val="single" w:sz="4" w:space="0" w:color="000000"/>
            </w:tcBorders>
          </w:tcPr>
          <w:p>
            <w:pPr>
              <w:pStyle w:val="TableParagraph"/>
              <w:tabs>
                <w:tab w:pos="1394" w:val="left" w:leader="none"/>
                <w:tab w:pos="3002" w:val="left" w:leader="none"/>
              </w:tabs>
              <w:spacing w:line="240" w:lineRule="auto" w:before="28"/>
              <w:ind w:right="19"/>
              <w:jc w:val="right"/>
              <w:rPr>
                <w:rFonts w:ascii="宋体" w:hAnsi="宋体" w:cs="宋体" w:eastAsia="宋体" w:hint="default"/>
                <w:sz w:val="21"/>
                <w:szCs w:val="21"/>
              </w:rPr>
            </w:pPr>
            <w:r>
              <w:rPr>
                <w:rFonts w:ascii="Times New Roman"/>
                <w:w w:val="100"/>
                <w:sz w:val="21"/>
              </w:rPr>
            </w:r>
            <w:r>
              <w:rPr>
                <w:rFonts w:ascii="Times New Roman"/>
                <w:w w:val="100"/>
                <w:sz w:val="21"/>
                <w:shd w:fill="D3D3D3" w:color="auto" w:val="clear"/>
              </w:rPr>
              <w:t> </w:t>
            </w:r>
            <w:r>
              <w:rPr>
                <w:rFonts w:ascii="Times New Roman"/>
                <w:sz w:val="21"/>
                <w:shd w:fill="D3D3D3" w:color="auto" w:val="clear"/>
              </w:rPr>
              <w:tab/>
            </w:r>
            <w:r>
              <w:rPr>
                <w:rFonts w:ascii="宋体"/>
                <w:sz w:val="21"/>
                <w:shd w:fill="D3D3D3" w:color="auto" w:val="clear"/>
              </w:rPr>
              <w:t>--</w:t>
              <w:tab/>
            </w:r>
            <w:r>
              <w:rPr>
                <w:rFonts w:ascii="宋体"/>
                <w:sz w:val="21"/>
              </w:rPr>
            </w:r>
          </w:p>
        </w:tc>
        <w:tc>
          <w:tcPr>
            <w:tcW w:w="3185" w:type="dxa"/>
            <w:tcBorders>
              <w:top w:val="nil" w:sz="6" w:space="0" w:color="auto"/>
              <w:left w:val="single" w:sz="4" w:space="0" w:color="000000"/>
              <w:bottom w:val="nil" w:sz="6" w:space="0" w:color="auto"/>
              <w:right w:val="single" w:sz="4" w:space="0" w:color="000000"/>
            </w:tcBorders>
          </w:tcPr>
          <w:p>
            <w:pPr>
              <w:pStyle w:val="TableParagraph"/>
              <w:tabs>
                <w:tab w:pos="1456" w:val="left" w:leader="none"/>
                <w:tab w:pos="3127" w:val="left" w:leader="none"/>
              </w:tabs>
              <w:spacing w:line="240" w:lineRule="auto" w:before="28"/>
              <w:ind w:right="23"/>
              <w:jc w:val="right"/>
              <w:rPr>
                <w:rFonts w:ascii="宋体" w:hAnsi="宋体" w:cs="宋体" w:eastAsia="宋体" w:hint="default"/>
                <w:sz w:val="21"/>
                <w:szCs w:val="21"/>
              </w:rPr>
            </w:pPr>
            <w:r>
              <w:rPr>
                <w:rFonts w:ascii="Times New Roman"/>
                <w:w w:val="100"/>
                <w:sz w:val="21"/>
              </w:rPr>
            </w:r>
            <w:r>
              <w:rPr>
                <w:rFonts w:ascii="Times New Roman"/>
                <w:w w:val="100"/>
                <w:sz w:val="21"/>
                <w:shd w:fill="D3D3D3" w:color="auto" w:val="clear"/>
              </w:rPr>
              <w:t> </w:t>
            </w:r>
            <w:r>
              <w:rPr>
                <w:rFonts w:ascii="Times New Roman"/>
                <w:sz w:val="21"/>
                <w:shd w:fill="D3D3D3" w:color="auto" w:val="clear"/>
              </w:rPr>
              <w:tab/>
            </w:r>
            <w:r>
              <w:rPr>
                <w:rFonts w:ascii="宋体"/>
                <w:sz w:val="21"/>
                <w:shd w:fill="D3D3D3" w:color="auto" w:val="clear"/>
              </w:rPr>
              <w:t>--</w:t>
              <w:tab/>
            </w:r>
            <w:r>
              <w:rPr>
                <w:rFonts w:ascii="宋体"/>
                <w:sz w:val="21"/>
              </w:rPr>
            </w:r>
          </w:p>
        </w:tc>
      </w:tr>
      <w:tr>
        <w:trPr>
          <w:trHeight w:val="161" w:hRule="exact"/>
        </w:trPr>
        <w:tc>
          <w:tcPr>
            <w:tcW w:w="3316"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36,443,111.23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58,145,888.85</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15,135,595.60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8,668,596.18</w:t>
            </w:r>
          </w:p>
        </w:tc>
      </w:tr>
      <w:tr>
        <w:trPr>
          <w:trHeight w:val="715"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6"/>
              <w:jc w:val="left"/>
              <w:rPr>
                <w:rFonts w:ascii="宋体" w:hAnsi="宋体" w:cs="宋体" w:eastAsia="宋体" w:hint="default"/>
                <w:sz w:val="21"/>
                <w:szCs w:val="21"/>
              </w:rPr>
            </w:pPr>
            <w:r>
              <w:rPr>
                <w:rFonts w:ascii="宋体" w:hAnsi="宋体" w:cs="宋体" w:eastAsia="宋体" w:hint="default"/>
                <w:spacing w:val="-7"/>
                <w:sz w:val="21"/>
                <w:szCs w:val="21"/>
              </w:rPr>
              <w:t>固定资产折旧、油气资产折耗、生产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性生物资产折旧</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42,755,300.72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39,788,618.19</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1,512,738.81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1,017,389.49</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1,272,937.24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1,288,993.74</w:t>
            </w:r>
          </w:p>
        </w:tc>
      </w:tr>
      <w:tr>
        <w:trPr>
          <w:trHeight w:val="71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6"/>
              <w:jc w:val="left"/>
              <w:rPr>
                <w:rFonts w:ascii="宋体" w:hAnsi="宋体" w:cs="宋体" w:eastAsia="宋体" w:hint="default"/>
                <w:sz w:val="21"/>
                <w:szCs w:val="21"/>
              </w:rPr>
            </w:pPr>
            <w:r>
              <w:rPr>
                <w:rFonts w:ascii="宋体" w:hAnsi="宋体" w:cs="宋体" w:eastAsia="宋体" w:hint="default"/>
                <w:spacing w:val="-7"/>
                <w:w w:val="100"/>
                <w:sz w:val="21"/>
                <w:szCs w:val="21"/>
              </w:rPr>
              <w:t>处置固定资产、无形资产和其他长期</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资产的损失（收益以“－”号填列</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14" w:lineRule="exact"/>
              <w:ind w:left="1976" w:right="0"/>
              <w:jc w:val="left"/>
              <w:rPr>
                <w:rFonts w:ascii="宋体" w:hAnsi="宋体" w:cs="宋体" w:eastAsia="宋体" w:hint="default"/>
                <w:sz w:val="21"/>
                <w:szCs w:val="21"/>
              </w:rPr>
            </w:pPr>
            <w:r>
              <w:rPr>
                <w:rFonts w:ascii="宋体"/>
                <w:sz w:val="21"/>
              </w:rPr>
              <w:t>370,779.99</w:t>
            </w:r>
          </w:p>
          <w:p>
            <w:pPr>
              <w:pStyle w:val="TableParagraph"/>
              <w:spacing w:line="214" w:lineRule="exact"/>
              <w:ind w:left="-14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2,707,304.84</w:t>
            </w:r>
          </w:p>
        </w:tc>
      </w:tr>
      <w:tr>
        <w:trPr>
          <w:trHeight w:val="715"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6"/>
              <w:jc w:val="left"/>
              <w:rPr>
                <w:rFonts w:ascii="宋体" w:hAnsi="宋体" w:cs="宋体" w:eastAsia="宋体" w:hint="default"/>
                <w:sz w:val="21"/>
                <w:szCs w:val="21"/>
              </w:rPr>
            </w:pPr>
            <w:r>
              <w:rPr>
                <w:rFonts w:ascii="宋体" w:hAnsi="宋体" w:cs="宋体" w:eastAsia="宋体" w:hint="default"/>
                <w:spacing w:val="-7"/>
                <w:sz w:val="21"/>
                <w:szCs w:val="21"/>
              </w:rPr>
              <w:t>固定资产报废损失（收益以“－”号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填列）</w:t>
            </w:r>
          </w:p>
        </w:tc>
        <w:tc>
          <w:tcPr>
            <w:tcW w:w="3068" w:type="dxa"/>
            <w:tcBorders>
              <w:top w:val="single" w:sz="4" w:space="0" w:color="000000"/>
              <w:left w:val="single" w:sz="10" w:space="0" w:color="D3D3D3"/>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8,884,672.77</w:t>
            </w:r>
          </w:p>
        </w:tc>
      </w:tr>
      <w:tr>
        <w:trPr>
          <w:trHeight w:val="71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6"/>
              <w:jc w:val="left"/>
              <w:rPr>
                <w:rFonts w:ascii="宋体" w:hAnsi="宋体" w:cs="宋体" w:eastAsia="宋体" w:hint="default"/>
                <w:sz w:val="21"/>
                <w:szCs w:val="21"/>
              </w:rPr>
            </w:pPr>
            <w:r>
              <w:rPr>
                <w:rFonts w:ascii="宋体" w:hAnsi="宋体" w:cs="宋体" w:eastAsia="宋体" w:hint="default"/>
                <w:spacing w:val="-7"/>
                <w:sz w:val="21"/>
                <w:szCs w:val="21"/>
              </w:rPr>
              <w:t>公允价值变动损失（收益以“－”号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填列）</w:t>
            </w:r>
          </w:p>
        </w:tc>
        <w:tc>
          <w:tcPr>
            <w:tcW w:w="3068" w:type="dxa"/>
            <w:tcBorders>
              <w:top w:val="single" w:sz="4" w:space="0" w:color="000000"/>
              <w:left w:val="single" w:sz="10" w:space="0" w:color="D3D3D3"/>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-869,143.80</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8,514,939.62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-25,317,278.47</w:t>
            </w:r>
          </w:p>
        </w:tc>
      </w:tr>
      <w:tr>
        <w:trPr>
          <w:trHeight w:val="401"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306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33,047,399.28</w:t>
            </w:r>
          </w:p>
        </w:tc>
      </w:tr>
    </w:tbl>
    <w:p>
      <w:pPr>
        <w:spacing w:after="0" w:line="240" w:lineRule="auto"/>
        <w:jc w:val="right"/>
        <w:rPr>
          <w:rFonts w:ascii="宋体" w:hAnsi="宋体" w:cs="宋体" w:eastAsia="宋体" w:hint="default"/>
          <w:sz w:val="21"/>
          <w:szCs w:val="21"/>
        </w:rPr>
        <w:sectPr>
          <w:footerReference w:type="default" r:id="rId28"/>
          <w:pgSz w:w="11910" w:h="16840"/>
          <w:pgMar w:footer="979" w:header="747" w:top="1060" w:bottom="1160" w:left="980" w:right="980"/>
          <w:pgNumType w:start="140"/>
        </w:sectPr>
      </w:pPr>
    </w:p>
    <w:p>
      <w:pPr>
        <w:spacing w:line="240" w:lineRule="auto" w:before="6"/>
        <w:rPr>
          <w:rFonts w:ascii="宋体" w:hAnsi="宋体" w:cs="宋体" w:eastAsia="宋体" w:hint="default"/>
          <w:sz w:val="28"/>
          <w:szCs w:val="28"/>
        </w:rPr>
      </w:pPr>
      <w:r>
        <w:rPr/>
        <w:pict>
          <v:shape style="position:absolute;margin-left:216.578262pt;margin-top:128.378281pt;width:159.15pt;height:35.2pt;mso-position-horizontal-relative:page;mso-position-vertical-relative:page;z-index:-886264"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shape style="position:absolute;margin-left:216.578262pt;margin-top:164.138275pt;width:159.15pt;height:35.2pt;mso-position-horizontal-relative:page;mso-position-vertical-relative:page;z-index:-886240"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223.418259pt;margin-top:72.578278pt;width:152.3pt;height:63.6pt;mso-position-horizontal-relative:page;mso-position-vertical-relative:page;z-index:-886216" coordorigin="4468,1452" coordsize="3046,1272">
            <v:group style="position:absolute;left:4468;top:1452;width:3046;height:156" coordorigin="4468,1452" coordsize="3046,156">
              <v:shape style="position:absolute;left:4468;top:1452;width:3046;height:156" coordorigin="4468,1452" coordsize="3046,156" path="m4468,1608l7514,1608,7514,1452,4468,1452,4468,1608xe" filled="true" fillcolor="#ffffff" stroked="false">
                <v:path arrowok="t"/>
                <v:fill type="solid"/>
              </v:shape>
            </v:group>
            <v:group style="position:absolute;left:4468;top:1999;width:3046;height:156" coordorigin="4468,1999" coordsize="3046,156">
              <v:shape style="position:absolute;left:4468;top:1999;width:3046;height:156" coordorigin="4468,1999" coordsize="3046,156" path="m4468,2155l7514,2155,7514,1999,4468,1999,4468,2155xe" filled="true" fillcolor="#ffffff" stroked="false">
                <v:path arrowok="t"/>
                <v:fill type="solid"/>
              </v:shape>
            </v:group>
            <v:group style="position:absolute;left:4490;top:1608;width:3003;height:392" coordorigin="4490,1608" coordsize="3003,392">
              <v:shape style="position:absolute;left:4490;top:1608;width:3003;height:392" coordorigin="4490,1608" coordsize="3003,392" path="m4490,1608l7492,1608,7492,1999,4490,1999,4490,1608xe" filled="true" fillcolor="#ffffff" stroked="false">
                <v:path arrowok="t"/>
                <v:fill type="solid"/>
              </v:shape>
            </v:group>
            <v:group style="position:absolute;left:7492;top:2167;width:22;height:392" coordorigin="7492,2167" coordsize="22,392">
              <v:shape style="position:absolute;left:7492;top:2167;width:22;height:392" coordorigin="7492,2167" coordsize="22,392" path="m7492,2558l7514,2558,7514,2167,7492,2167,7492,2558xe" filled="true" fillcolor="#ffffff" stroked="false">
                <v:path arrowok="t"/>
                <v:fill type="solid"/>
              </v:shape>
            </v:group>
            <v:group style="position:absolute;left:4468;top:2167;width:22;height:392" coordorigin="4468,2167" coordsize="22,392">
              <v:shape style="position:absolute;left:4468;top:2167;width:22;height:392" coordorigin="4468,2167" coordsize="22,392" path="m4468,2558l4490,2558,4490,2167,4468,2167,4468,2558xe" filled="true" fillcolor="#ffffff" stroked="false">
                <v:path arrowok="t"/>
                <v:fill type="solid"/>
              </v:shape>
            </v:group>
            <v:group style="position:absolute;left:4490;top:2167;width:3003;height:392" coordorigin="4490,2167" coordsize="3003,392">
              <v:shape style="position:absolute;left:4490;top:2167;width:3003;height:392" coordorigin="4490,2167" coordsize="3003,392" path="m4490,2167l7492,2167,7492,2558,4490,2558,4490,2167xe" filled="true" fillcolor="#ffffff" stroked="false">
                <v:path arrowok="t"/>
                <v:fill type="solid"/>
              </v:shape>
            </v:group>
            <v:group style="position:absolute;left:4468;top:2568;width:3046;height:156" coordorigin="4468,2568" coordsize="3046,156">
              <v:shape style="position:absolute;left:4468;top:2568;width:3046;height:156" coordorigin="4468,2568" coordsize="3046,156" path="m4468,2724l7514,2724,7514,2568,4468,2568,4468,2724xe" filled="true" fillcolor="#ffffff" stroked="false">
                <v:path arrowok="t"/>
                <v:fill type="solid"/>
              </v:shape>
            </v:group>
            <w10:wrap type="none"/>
          </v:group>
        </w:pict>
      </w:r>
      <w:r>
        <w:rPr/>
        <w:pict>
          <v:group style="position:absolute;margin-left:223.418259pt;margin-top:155.738266pt;width:152.3pt;height:16.2pt;mso-position-horizontal-relative:page;mso-position-vertical-relative:page;z-index:-886192" coordorigin="4468,3115" coordsize="3046,324">
            <v:group style="position:absolute;left:4468;top:3115;width:3046;height:156" coordorigin="4468,3115" coordsize="3046,156">
              <v:shape style="position:absolute;left:4468;top:3115;width:3046;height:156" coordorigin="4468,3115" coordsize="3046,156" path="m4468,3271l7514,3271,7514,3115,4468,3115,4468,3271xe" filled="true" fillcolor="#ffffff" stroked="false">
                <v:path arrowok="t"/>
                <v:fill type="solid"/>
              </v:shape>
            </v:group>
            <v:group style="position:absolute;left:4468;top:3283;width:3046;height:156" coordorigin="4468,3283" coordsize="3046,156">
              <v:shape style="position:absolute;left:4468;top:3283;width:3046;height:156" coordorigin="4468,3283" coordsize="3046,156" path="m4468,3439l7514,3439,7514,3283,4468,3283,4468,3439xe" filled="true" fillcolor="#ffffff" stroked="false">
                <v:path arrowok="t"/>
                <v:fill type="solid"/>
              </v:shape>
            </v:group>
            <w10:wrap type="none"/>
          </v:group>
        </w:pict>
      </w:r>
      <w:r>
        <w:rPr/>
        <w:pict>
          <v:group style="position:absolute;margin-left:223.418259pt;margin-top:191.498276pt;width:152.3pt;height:7.8pt;mso-position-horizontal-relative:page;mso-position-vertical-relative:page;z-index:-886168" coordorigin="4468,3830" coordsize="3046,156">
            <v:shape style="position:absolute;left:4468;top:3830;width:3046;height:156" coordorigin="4468,3830" coordsize="3046,156" path="m4468,3986l7514,3986,7514,3830,4468,3830,4468,398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15" w:lineRule="exact" w:before="28"/>
              <w:ind w:left="-15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1545" w:right="0"/>
              <w:jc w:val="left"/>
              <w:rPr>
                <w:rFonts w:ascii="宋体" w:hAnsi="宋体" w:cs="宋体" w:eastAsia="宋体" w:hint="default"/>
                <w:sz w:val="21"/>
                <w:szCs w:val="21"/>
              </w:rPr>
            </w:pPr>
            <w:r>
              <w:rPr>
                <w:rFonts w:ascii="宋体"/>
                <w:sz w:val="21"/>
              </w:rPr>
              <w:t>-18,154,391.67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-7,149,755.84</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tabs>
                <w:tab w:pos="1552" w:val="left" w:leader="none"/>
              </w:tabs>
              <w:spacing w:line="240" w:lineRule="auto" w:before="29"/>
              <w:ind w:left="-152" w:right="19"/>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-20,390,279.79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0"/>
              <w:jc w:val="left"/>
              <w:rPr>
                <w:rFonts w:ascii="宋体" w:hAnsi="宋体" w:cs="宋体" w:eastAsia="宋体" w:hint="default"/>
                <w:sz w:val="21"/>
                <w:szCs w:val="21"/>
              </w:rPr>
            </w:pPr>
            <w:r>
              <w:rPr>
                <w:rFonts w:ascii="宋体" w:hAnsi="宋体" w:cs="宋体" w:eastAsia="宋体" w:hint="default"/>
                <w:spacing w:val="-14"/>
                <w:w w:val="100"/>
                <w:sz w:val="21"/>
                <w:szCs w:val="21"/>
              </w:rPr>
              <w:t>经营性应收项目的减少（增加以“－</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-100,017,804.49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24" w:right="120"/>
              <w:jc w:val="left"/>
              <w:rPr>
                <w:rFonts w:ascii="宋体" w:hAnsi="宋体" w:cs="宋体" w:eastAsia="宋体" w:hint="default"/>
                <w:sz w:val="21"/>
                <w:szCs w:val="21"/>
              </w:rPr>
            </w:pPr>
            <w:r>
              <w:rPr>
                <w:rFonts w:ascii="宋体" w:hAnsi="宋体" w:cs="宋体" w:eastAsia="宋体" w:hint="default"/>
                <w:spacing w:val="-14"/>
                <w:w w:val="100"/>
                <w:sz w:val="21"/>
                <w:szCs w:val="21"/>
              </w:rPr>
              <w:t>经营性应付项目的增加（减少以“－</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号填列）</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53,394,892.09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20,837,819.35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120,212,685.23</w:t>
            </w:r>
          </w:p>
        </w:tc>
      </w:tr>
      <w:tr>
        <w:trPr>
          <w:trHeight w:val="162"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271" w:lineRule="auto" w:before="29"/>
              <w:ind w:left="24" w:right="33"/>
              <w:jc w:val="left"/>
              <w:rPr>
                <w:rFonts w:ascii="宋体" w:hAnsi="宋体" w:cs="宋体" w:eastAsia="宋体" w:hint="default"/>
                <w:sz w:val="21"/>
                <w:szCs w:val="21"/>
              </w:rPr>
            </w:pPr>
            <w:r>
              <w:rPr>
                <w:rFonts w:ascii="宋体" w:hAnsi="宋体" w:cs="宋体" w:eastAsia="宋体" w:hint="default"/>
                <w:spacing w:val="-2"/>
                <w:sz w:val="21"/>
                <w:szCs w:val="21"/>
              </w:rPr>
              <w:t>2．不涉及现金收支的重大投资和筹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资活动：</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10" w:space="0" w:color="D3D3D3"/>
              <w:bottom w:val="nil" w:sz="6" w:space="0" w:color="auto"/>
              <w:right w:val="single" w:sz="4" w:space="0" w:color="000000"/>
            </w:tcBorders>
          </w:tcPr>
          <w:p>
            <w:pPr>
              <w:pStyle w:val="TableParagraph"/>
              <w:tabs>
                <w:tab w:pos="1394" w:val="left" w:leader="none"/>
                <w:tab w:pos="3002" w:val="left" w:leader="none"/>
              </w:tabs>
              <w:spacing w:line="240" w:lineRule="auto" w:before="28"/>
              <w:ind w:right="19"/>
              <w:jc w:val="right"/>
              <w:rPr>
                <w:rFonts w:ascii="宋体" w:hAnsi="宋体" w:cs="宋体" w:eastAsia="宋体" w:hint="default"/>
                <w:sz w:val="21"/>
                <w:szCs w:val="21"/>
              </w:rPr>
            </w:pPr>
            <w:r>
              <w:rPr>
                <w:rFonts w:ascii="Times New Roman"/>
                <w:w w:val="100"/>
                <w:sz w:val="21"/>
              </w:rPr>
            </w:r>
            <w:r>
              <w:rPr>
                <w:rFonts w:ascii="Times New Roman"/>
                <w:w w:val="100"/>
                <w:sz w:val="21"/>
                <w:shd w:fill="D3D3D3" w:color="auto" w:val="clear"/>
              </w:rPr>
              <w:t> </w:t>
            </w:r>
            <w:r>
              <w:rPr>
                <w:rFonts w:ascii="Times New Roman"/>
                <w:sz w:val="21"/>
                <w:shd w:fill="D3D3D3" w:color="auto" w:val="clear"/>
              </w:rPr>
              <w:tab/>
            </w:r>
            <w:r>
              <w:rPr>
                <w:rFonts w:ascii="宋体"/>
                <w:sz w:val="21"/>
                <w:shd w:fill="D3D3D3" w:color="auto" w:val="clear"/>
              </w:rPr>
              <w:t>--</w:t>
              <w:tab/>
            </w:r>
            <w:r>
              <w:rPr>
                <w:rFonts w:ascii="宋体"/>
                <w:sz w:val="21"/>
              </w:rPr>
            </w:r>
          </w:p>
        </w:tc>
        <w:tc>
          <w:tcPr>
            <w:tcW w:w="3185" w:type="dxa"/>
            <w:tcBorders>
              <w:top w:val="nil" w:sz="6" w:space="0" w:color="auto"/>
              <w:left w:val="single" w:sz="4" w:space="0" w:color="000000"/>
              <w:bottom w:val="nil" w:sz="6" w:space="0" w:color="auto"/>
              <w:right w:val="single" w:sz="4" w:space="0" w:color="000000"/>
            </w:tcBorders>
          </w:tcPr>
          <w:p>
            <w:pPr>
              <w:pStyle w:val="TableParagraph"/>
              <w:tabs>
                <w:tab w:pos="1456" w:val="left" w:leader="none"/>
                <w:tab w:pos="3127" w:val="left" w:leader="none"/>
              </w:tabs>
              <w:spacing w:line="240" w:lineRule="auto" w:before="28"/>
              <w:ind w:right="23"/>
              <w:jc w:val="right"/>
              <w:rPr>
                <w:rFonts w:ascii="宋体" w:hAnsi="宋体" w:cs="宋体" w:eastAsia="宋体" w:hint="default"/>
                <w:sz w:val="21"/>
                <w:szCs w:val="21"/>
              </w:rPr>
            </w:pPr>
            <w:r>
              <w:rPr>
                <w:rFonts w:ascii="Times New Roman"/>
                <w:w w:val="100"/>
                <w:sz w:val="21"/>
              </w:rPr>
            </w:r>
            <w:r>
              <w:rPr>
                <w:rFonts w:ascii="Times New Roman"/>
                <w:w w:val="100"/>
                <w:sz w:val="21"/>
                <w:shd w:fill="D3D3D3" w:color="auto" w:val="clear"/>
              </w:rPr>
              <w:t> </w:t>
            </w:r>
            <w:r>
              <w:rPr>
                <w:rFonts w:ascii="Times New Roman"/>
                <w:sz w:val="21"/>
                <w:shd w:fill="D3D3D3" w:color="auto" w:val="clear"/>
              </w:rPr>
              <w:tab/>
            </w:r>
            <w:r>
              <w:rPr>
                <w:rFonts w:ascii="宋体"/>
                <w:sz w:val="21"/>
                <w:shd w:fill="D3D3D3" w:color="auto" w:val="clear"/>
              </w:rPr>
              <w:t>--</w:t>
              <w:tab/>
            </w:r>
            <w:r>
              <w:rPr>
                <w:rFonts w:ascii="宋体"/>
                <w:sz w:val="21"/>
              </w:rPr>
            </w:r>
          </w:p>
        </w:tc>
      </w:tr>
      <w:tr>
        <w:trPr>
          <w:trHeight w:val="161"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127,654,594.35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112,462,821.41</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112,462,821.41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133,133,795.73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15,191,772.94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-20,670,974.32</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（2）本期支付的取得子公司的现金净额</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4986"/>
        <w:gridCol w:w="4582"/>
      </w:tblGrid>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sz w:val="21"/>
              </w:rPr>
              <w:t>--</w:t>
            </w:r>
          </w:p>
        </w:tc>
      </w:tr>
      <w:tr>
        <w:trPr>
          <w:trHeight w:val="402" w:hRule="exact"/>
        </w:trPr>
        <w:tc>
          <w:tcPr>
            <w:tcW w:w="4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9"/>
        <w:ind w:right="2880"/>
        <w:jc w:val="left"/>
      </w:pPr>
      <w:r>
        <w:rPr/>
        <w:t>其他说明：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（3）本期收到的处置子公司的现金净额</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397"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1"/>
                <w:szCs w:val="21"/>
              </w:rPr>
            </w:pPr>
            <w:r>
              <w:rPr>
                <w:rFonts w:ascii="宋体"/>
                <w:spacing w:val="-1"/>
                <w:sz w:val="21"/>
              </w:rPr>
              <w:t>3,933,761.28</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宋体" w:hAnsi="宋体" w:cs="宋体" w:eastAsia="宋体" w:hint="default"/>
                <w:sz w:val="21"/>
                <w:szCs w:val="21"/>
              </w:rPr>
            </w:pPr>
            <w:r>
              <w:rPr>
                <w:rFonts w:ascii="宋体"/>
                <w:sz w:val="21"/>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北京昊天国彩广告设计有限公司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958,316.28</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海宁青禾阳光影视文化有限公司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2,975,445.00</w:t>
            </w:r>
          </w:p>
        </w:tc>
      </w:tr>
      <w:tr>
        <w:trPr>
          <w:trHeight w:val="408"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445.00</w:t>
            </w:r>
          </w:p>
        </w:tc>
      </w:tr>
      <w:tr>
        <w:trPr>
          <w:trHeight w:val="396"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宋体" w:hAnsi="宋体" w:cs="宋体" w:eastAsia="宋体" w:hint="default"/>
                <w:sz w:val="21"/>
                <w:szCs w:val="21"/>
              </w:rPr>
            </w:pPr>
            <w:r>
              <w:rPr>
                <w:rFonts w:ascii="宋体"/>
                <w:sz w:val="21"/>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北京昊天国彩广告设计有限公司</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海宁青禾阳光影视文化有限公司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445.00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3,933,316.28</w:t>
            </w:r>
          </w:p>
        </w:tc>
      </w:tr>
    </w:tbl>
    <w:p>
      <w:pPr>
        <w:pStyle w:val="BodyText"/>
        <w:spacing w:line="240" w:lineRule="auto" w:before="28"/>
        <w:ind w:right="2880"/>
        <w:jc w:val="left"/>
      </w:pPr>
      <w:r>
        <w:rPr/>
        <w:t>其他说明：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（4）现金和现金等价物的构成</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127,654,594.35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112,462,821.41</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14,954.40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75,715.62</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127,639,639.95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112,387,105.79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127,654,594.35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112,462,821.41</w:t>
            </w:r>
          </w:p>
        </w:tc>
      </w:tr>
    </w:tbl>
    <w:p>
      <w:pPr>
        <w:pStyle w:val="BodyText"/>
        <w:spacing w:line="532" w:lineRule="auto" w:before="28"/>
        <w:ind w:right="6831"/>
        <w:jc w:val="left"/>
      </w:pPr>
      <w:r>
        <w:rPr/>
        <w:t>其他说明：</w:t>
      </w:r>
      <w:r>
        <w:rPr>
          <w:spacing w:val="-102"/>
        </w:rPr>
        <w:t> </w:t>
      </w:r>
      <w:r>
        <w:rPr>
          <w:spacing w:val="-102"/>
        </w:rPr>
      </w:r>
      <w:r>
        <w:rPr/>
        <w:t>75、所有者权益变动表项目注释</w:t>
      </w:r>
    </w:p>
    <w:p>
      <w:pPr>
        <w:pStyle w:val="BodyText"/>
        <w:spacing w:line="535" w:lineRule="auto" w:before="83"/>
        <w:ind w:right="2880"/>
        <w:jc w:val="left"/>
      </w:pPr>
      <w:r>
        <w:rPr>
          <w:spacing w:val="-2"/>
        </w:rPr>
        <w:t>说明对上年期末余额进行调整的“其他”项目名称及调整金额等事项：</w:t>
      </w:r>
      <w:r>
        <w:rPr>
          <w:spacing w:val="-46"/>
        </w:rPr>
        <w:t> </w:t>
      </w:r>
      <w:r>
        <w:rPr>
          <w:spacing w:val="-46"/>
        </w:rPr>
      </w:r>
      <w:r>
        <w:rPr/>
        <w:t>76、所有权或使用权受到限制的资产</w:t>
      </w:r>
    </w:p>
    <w:p>
      <w:pPr>
        <w:pStyle w:val="BodyText"/>
        <w:spacing w:line="240" w:lineRule="auto" w:before="79"/>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29,202,502.60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用于银行承兑汇票及信用证</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51,918,076.90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用于诉讼财产保全担保</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81,120,579.50</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535" w:lineRule="auto" w:before="28"/>
        <w:ind w:right="7881"/>
        <w:jc w:val="left"/>
      </w:pPr>
      <w:r>
        <w:rPr/>
        <w:t>其他说明：</w:t>
      </w:r>
      <w:r>
        <w:rPr>
          <w:spacing w:val="-102"/>
        </w:rPr>
        <w:t> </w:t>
      </w:r>
      <w:r>
        <w:rPr>
          <w:spacing w:val="-102"/>
        </w:rPr>
      </w:r>
      <w:r>
        <w:rPr/>
        <w:t>77、外币货币性项目</w:t>
      </w:r>
    </w:p>
    <w:p>
      <w:pPr>
        <w:pStyle w:val="BodyText"/>
        <w:spacing w:line="240" w:lineRule="auto" w:before="79"/>
        <w:ind w:right="2880"/>
        <w:jc w:val="left"/>
      </w:pPr>
      <w:r>
        <w:rPr/>
        <w:t>（1）外币货币性项目</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181,733.31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1,112,026.12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7.4556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10.81</w:t>
            </w:r>
          </w:p>
        </w:tc>
      </w:tr>
    </w:tbl>
    <w:p>
      <w:pPr>
        <w:pStyle w:val="BodyText"/>
        <w:spacing w:line="240" w:lineRule="auto" w:before="28"/>
        <w:ind w:right="2880"/>
        <w:jc w:val="left"/>
      </w:pPr>
      <w:r>
        <w:rPr/>
        <w:t>其他说明：</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t>（2）境外经营实体说明，包括对于重要的境外经营实体，应披露其境外主要经营地、记账本位币及选择</w:t>
      </w:r>
      <w:r>
        <w:rPr>
          <w:spacing w:val="-27"/>
        </w:rPr>
        <w:t> </w:t>
      </w:r>
      <w:r>
        <w:rPr>
          <w:spacing w:val="-27"/>
        </w:rPr>
      </w:r>
      <w:r>
        <w:rPr/>
        <w:t>依据，记账本位币发生变化的还应披露原因。</w:t>
      </w:r>
    </w:p>
    <w:p>
      <w:pPr>
        <w:spacing w:line="240" w:lineRule="auto" w:before="7"/>
        <w:rPr>
          <w:rFonts w:ascii="宋体" w:hAnsi="宋体" w:cs="宋体" w:eastAsia="宋体" w:hint="default"/>
          <w:sz w:val="23"/>
          <w:szCs w:val="23"/>
        </w:rPr>
      </w:pPr>
    </w:p>
    <w:p>
      <w:pPr>
        <w:pStyle w:val="BodyText"/>
        <w:spacing w:line="535" w:lineRule="auto"/>
        <w:ind w:right="7986"/>
        <w:jc w:val="left"/>
      </w:pPr>
      <w:r>
        <w:rPr/>
        <w:t>□ 适用 √ 不适用</w:t>
      </w:r>
      <w:r>
        <w:rPr>
          <w:w w:val="100"/>
        </w:rPr>
        <w:t> </w:t>
      </w:r>
      <w:r>
        <w:rPr/>
        <w:t>78、套期</w:t>
      </w:r>
    </w:p>
    <w:p>
      <w:pPr>
        <w:pStyle w:val="BodyText"/>
        <w:spacing w:line="532" w:lineRule="auto" w:before="81"/>
        <w:ind w:right="1899"/>
        <w:jc w:val="left"/>
      </w:pPr>
      <w:r>
        <w:rPr>
          <w:spacing w:val="-2"/>
        </w:rPr>
        <w:t>按照套期类别披露套期项目及相关套期工具、被套期风险的定性和定量信息：</w:t>
      </w:r>
      <w:r>
        <w:rPr>
          <w:spacing w:val="-43"/>
        </w:rPr>
        <w:t> </w:t>
      </w:r>
      <w:r>
        <w:rPr>
          <w:spacing w:val="-43"/>
        </w:rPr>
      </w:r>
      <w:r>
        <w:rPr/>
        <w:t>79、其他</w:t>
      </w:r>
    </w:p>
    <w:p>
      <w:pPr>
        <w:pStyle w:val="BodyText"/>
        <w:spacing w:line="537" w:lineRule="auto" w:before="83"/>
        <w:ind w:right="7356"/>
        <w:jc w:val="left"/>
      </w:pPr>
      <w:r>
        <w:rPr/>
        <w:t>八、合并范围的变更</w:t>
      </w:r>
      <w:r>
        <w:rPr>
          <w:spacing w:val="-95"/>
        </w:rPr>
        <w:t> </w:t>
      </w:r>
      <w:r>
        <w:rPr/>
        <w:t>1、非同一控制下企业合并</w:t>
      </w:r>
    </w:p>
    <w:p>
      <w:pPr>
        <w:pStyle w:val="BodyText"/>
        <w:spacing w:line="240" w:lineRule="auto" w:before="76"/>
        <w:ind w:right="2880"/>
        <w:jc w:val="left"/>
      </w:pPr>
      <w:r>
        <w:rPr/>
        <w:t>（1）本期发生的非同一控制下企业合并</w:t>
      </w:r>
    </w:p>
    <w:p>
      <w:pPr>
        <w:spacing w:line="240" w:lineRule="auto" w:before="12"/>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3"/>
        <w:gridCol w:w="1061"/>
      </w:tblGrid>
      <w:tr>
        <w:trPr>
          <w:trHeight w:val="358" w:hRule="exact"/>
        </w:trPr>
        <w:tc>
          <w:tcPr>
            <w:tcW w:w="10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购买日至</w:t>
            </w:r>
          </w:p>
        </w:tc>
        <w:tc>
          <w:tcPr>
            <w:tcW w:w="10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购买日至</w:t>
            </w:r>
          </w:p>
        </w:tc>
      </w:tr>
      <w:tr>
        <w:trPr>
          <w:trHeight w:val="623" w:hRule="exact"/>
        </w:trPr>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ind w:left="315" w:right="101" w:hanging="209"/>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0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ind w:left="316" w:right="103"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0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4"/>
              <w:ind w:left="21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1" w:lineRule="auto"/>
              <w:ind w:left="105" w:right="101"/>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期末被购</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买方的收</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期末被购</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买方的净</w:t>
            </w:r>
          </w:p>
        </w:tc>
      </w:tr>
      <w:tr>
        <w:trPr>
          <w:trHeight w:val="357" w:hRule="exact"/>
        </w:trPr>
        <w:tc>
          <w:tcPr>
            <w:tcW w:w="10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106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w:t>
            </w:r>
          </w:p>
        </w:tc>
      </w:tr>
    </w:tbl>
    <w:p>
      <w:pPr>
        <w:pStyle w:val="BodyText"/>
        <w:spacing w:line="240" w:lineRule="auto" w:before="28"/>
        <w:ind w:right="0"/>
        <w:jc w:val="both"/>
      </w:pPr>
      <w:r>
        <w:rPr/>
        <w:t>其他说明：</w:t>
      </w:r>
    </w:p>
    <w:p>
      <w:pPr>
        <w:spacing w:line="240" w:lineRule="auto" w:before="8"/>
        <w:rPr>
          <w:rFonts w:ascii="宋体" w:hAnsi="宋体" w:cs="宋体" w:eastAsia="宋体" w:hint="default"/>
          <w:sz w:val="25"/>
          <w:szCs w:val="25"/>
        </w:rPr>
      </w:pPr>
    </w:p>
    <w:p>
      <w:pPr>
        <w:pStyle w:val="BodyText"/>
        <w:spacing w:line="240" w:lineRule="auto"/>
        <w:ind w:right="0"/>
        <w:jc w:val="both"/>
      </w:pPr>
      <w:r>
        <w:rPr/>
        <w:t>（2）合并成本及商誉</w:t>
      </w:r>
    </w:p>
    <w:p>
      <w:pPr>
        <w:spacing w:line="240" w:lineRule="auto" w:before="12"/>
        <w:rPr>
          <w:rFonts w:ascii="宋体" w:hAnsi="宋体" w:cs="宋体" w:eastAsia="宋体" w:hint="default"/>
          <w:sz w:val="25"/>
          <w:szCs w:val="25"/>
        </w:rPr>
      </w:pPr>
    </w:p>
    <w:p>
      <w:pPr>
        <w:pStyle w:val="BodyText"/>
        <w:spacing w:line="307" w:lineRule="auto"/>
        <w:ind w:right="2880"/>
        <w:jc w:val="left"/>
      </w:pPr>
      <w:r>
        <w:rPr>
          <w:spacing w:val="-2"/>
        </w:rPr>
        <w:t>合并成本公允价值的确定方法、或有对价及其变动的说明：</w:t>
      </w:r>
      <w:r>
        <w:rPr>
          <w:spacing w:val="-56"/>
        </w:rPr>
        <w:t> </w:t>
      </w:r>
      <w:r>
        <w:rPr>
          <w:spacing w:val="-56"/>
        </w:rPr>
      </w:r>
      <w:r>
        <w:rPr/>
        <w:t>大额商誉形成的主要原因：</w:t>
      </w:r>
    </w:p>
    <w:p>
      <w:pPr>
        <w:pStyle w:val="BodyText"/>
        <w:spacing w:line="240" w:lineRule="auto" w:before="19"/>
        <w:ind w:right="0"/>
        <w:jc w:val="both"/>
      </w:pPr>
      <w:r>
        <w:rPr/>
        <w:t>其他说明：</w:t>
      </w:r>
    </w:p>
    <w:p>
      <w:pPr>
        <w:spacing w:line="240" w:lineRule="auto" w:before="8"/>
        <w:rPr>
          <w:rFonts w:ascii="宋体" w:hAnsi="宋体" w:cs="宋体" w:eastAsia="宋体" w:hint="default"/>
          <w:sz w:val="25"/>
          <w:szCs w:val="25"/>
        </w:rPr>
      </w:pPr>
    </w:p>
    <w:p>
      <w:pPr>
        <w:pStyle w:val="BodyText"/>
        <w:spacing w:line="240" w:lineRule="auto"/>
        <w:ind w:right="0"/>
        <w:jc w:val="both"/>
      </w:pPr>
      <w:r>
        <w:rPr/>
        <w:t>（3）被购买方于购买日可辨认资产、负债</w:t>
      </w:r>
    </w:p>
    <w:p>
      <w:pPr>
        <w:spacing w:line="240" w:lineRule="auto" w:before="12"/>
        <w:rPr>
          <w:rFonts w:ascii="宋体" w:hAnsi="宋体" w:cs="宋体" w:eastAsia="宋体" w:hint="default"/>
          <w:sz w:val="25"/>
          <w:szCs w:val="25"/>
        </w:rPr>
      </w:pPr>
    </w:p>
    <w:p>
      <w:pPr>
        <w:pStyle w:val="BodyText"/>
        <w:spacing w:line="307" w:lineRule="auto"/>
        <w:ind w:right="6003"/>
        <w:jc w:val="both"/>
      </w:pPr>
      <w:r>
        <w:rPr>
          <w:spacing w:val="-2"/>
        </w:rPr>
        <w:t>可辨认资产、负债公允价值的确定方法：</w:t>
      </w:r>
      <w:r>
        <w:rPr>
          <w:spacing w:val="-70"/>
        </w:rPr>
        <w:t> </w:t>
      </w:r>
      <w:r>
        <w:rPr>
          <w:spacing w:val="-70"/>
        </w:rPr>
      </w:r>
      <w:r>
        <w:rPr>
          <w:spacing w:val="-2"/>
        </w:rPr>
        <w:t>企业合并中承担的被购买方的或有负债：</w:t>
      </w:r>
      <w:r>
        <w:rPr>
          <w:spacing w:val="-70"/>
        </w:rPr>
        <w:t> </w:t>
      </w:r>
      <w:r>
        <w:rPr>
          <w:spacing w:val="-70"/>
        </w:rPr>
      </w:r>
      <w:r>
        <w:rPr/>
        <w:t>其他说明：</w:t>
      </w:r>
    </w:p>
    <w:p>
      <w:pPr>
        <w:pStyle w:val="BodyText"/>
        <w:spacing w:line="614" w:lineRule="exact" w:before="30"/>
        <w:ind w:right="2880"/>
        <w:jc w:val="left"/>
      </w:pPr>
      <w:r>
        <w:rPr/>
        <w:t>（4）购买日之前持有的股权按照公允价值重新计量产生的利得或损失</w:t>
      </w:r>
      <w:r>
        <w:rPr>
          <w:spacing w:val="-81"/>
        </w:rPr>
        <w:t> </w:t>
      </w:r>
      <w:r>
        <w:rPr>
          <w:spacing w:val="-81"/>
        </w:rPr>
      </w:r>
      <w:r>
        <w:rPr>
          <w:spacing w:val="-2"/>
        </w:rPr>
        <w:t>是否存在通过多次交易分步实现企业合并且在报告期内取得控制权的交易</w:t>
      </w:r>
    </w:p>
    <w:p>
      <w:pPr>
        <w:pStyle w:val="BodyText"/>
        <w:spacing w:line="260" w:lineRule="exact"/>
        <w:ind w:right="0"/>
        <w:jc w:val="both"/>
      </w:pPr>
      <w:r>
        <w:rPr/>
        <w:t>□ 是 √ 否</w:t>
      </w:r>
    </w:p>
    <w:p>
      <w:pPr>
        <w:spacing w:after="0" w:line="260" w:lineRule="exact"/>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（5）购买日或合并当期期末无法合理确定合并对价或被购买方可辨认资产、负债公允价值的相关说明</w:t>
      </w:r>
    </w:p>
    <w:p>
      <w:pPr>
        <w:spacing w:line="240" w:lineRule="auto" w:before="12"/>
        <w:rPr>
          <w:rFonts w:ascii="宋体" w:hAnsi="宋体" w:cs="宋体" w:eastAsia="宋体" w:hint="default"/>
          <w:sz w:val="25"/>
          <w:szCs w:val="25"/>
        </w:rPr>
      </w:pPr>
    </w:p>
    <w:p>
      <w:pPr>
        <w:pStyle w:val="BodyText"/>
        <w:spacing w:line="535" w:lineRule="auto"/>
        <w:ind w:right="7566"/>
        <w:jc w:val="left"/>
      </w:pPr>
      <w:r>
        <w:rPr/>
        <w:t>（6）其他说明</w:t>
      </w:r>
      <w:r>
        <w:rPr>
          <w:spacing w:val="-98"/>
        </w:rPr>
        <w:t> </w:t>
      </w:r>
      <w:r>
        <w:rPr/>
        <w:t>2、同一控制下企业合并</w:t>
      </w:r>
    </w:p>
    <w:p>
      <w:pPr>
        <w:pStyle w:val="BodyText"/>
        <w:spacing w:line="240" w:lineRule="auto" w:before="81"/>
        <w:ind w:right="2880"/>
        <w:jc w:val="left"/>
      </w:pPr>
      <w:r>
        <w:rPr/>
        <w:t>（1）本期发生的同一控制下企业合并</w:t>
      </w:r>
    </w:p>
    <w:p>
      <w:pPr>
        <w:spacing w:line="240" w:lineRule="auto" w:before="10"/>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060"/>
        <w:gridCol w:w="1061"/>
        <w:gridCol w:w="1063"/>
        <w:gridCol w:w="1063"/>
        <w:gridCol w:w="1066"/>
        <w:gridCol w:w="1063"/>
        <w:gridCol w:w="1063"/>
        <w:gridCol w:w="1066"/>
        <w:gridCol w:w="1063"/>
      </w:tblGrid>
      <w:tr>
        <w:trPr>
          <w:trHeight w:val="1649"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15" w:right="101" w:hanging="212"/>
              <w:jc w:val="left"/>
              <w:rPr>
                <w:rFonts w:ascii="宋体" w:hAnsi="宋体" w:cs="宋体" w:eastAsia="宋体" w:hint="default"/>
                <w:sz w:val="21"/>
                <w:szCs w:val="21"/>
              </w:rPr>
            </w:pPr>
            <w:r>
              <w:rPr>
                <w:rFonts w:ascii="宋体" w:hAnsi="宋体" w:cs="宋体" w:eastAsia="宋体" w:hint="default"/>
                <w:sz w:val="21"/>
                <w:szCs w:val="21"/>
              </w:rPr>
              <w:t>被合并方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中取得的</w:t>
            </w:r>
            <w:r>
              <w:rPr>
                <w:rFonts w:ascii="宋体" w:hAnsi="宋体" w:cs="宋体" w:eastAsia="宋体" w:hint="default"/>
                <w:w w:val="100"/>
                <w:sz w:val="21"/>
                <w:szCs w:val="21"/>
              </w:rPr>
              <w:t> </w:t>
            </w:r>
            <w:r>
              <w:rPr>
                <w:rFonts w:ascii="宋体" w:hAnsi="宋体" w:cs="宋体" w:eastAsia="宋体" w:hint="default"/>
                <w:sz w:val="21"/>
                <w:szCs w:val="21"/>
              </w:rPr>
              <w:t>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8" w:right="101"/>
              <w:jc w:val="center"/>
              <w:rPr>
                <w:rFonts w:ascii="宋体" w:hAnsi="宋体" w:cs="宋体" w:eastAsia="宋体" w:hint="default"/>
                <w:sz w:val="21"/>
                <w:szCs w:val="21"/>
              </w:rPr>
            </w:pPr>
            <w:r>
              <w:rPr>
                <w:rFonts w:ascii="宋体" w:hAnsi="宋体" w:cs="宋体" w:eastAsia="宋体" w:hint="default"/>
                <w:sz w:val="21"/>
                <w:szCs w:val="21"/>
              </w:rPr>
              <w:t>构成同一</w:t>
            </w:r>
            <w:r>
              <w:rPr>
                <w:rFonts w:ascii="宋体" w:hAnsi="宋体" w:cs="宋体" w:eastAsia="宋体" w:hint="default"/>
                <w:w w:val="100"/>
                <w:sz w:val="21"/>
                <w:szCs w:val="21"/>
              </w:rPr>
              <w:t> </w:t>
            </w:r>
            <w:r>
              <w:rPr>
                <w:rFonts w:ascii="宋体" w:hAnsi="宋体" w:cs="宋体" w:eastAsia="宋体" w:hint="default"/>
                <w:sz w:val="21"/>
                <w:szCs w:val="21"/>
              </w:rPr>
              <w:t>控制下企</w:t>
            </w:r>
            <w:r>
              <w:rPr>
                <w:rFonts w:ascii="宋体" w:hAnsi="宋体" w:cs="宋体" w:eastAsia="宋体" w:hint="default"/>
                <w:w w:val="100"/>
                <w:sz w:val="21"/>
                <w:szCs w:val="21"/>
              </w:rPr>
              <w:t> </w:t>
            </w:r>
            <w:r>
              <w:rPr>
                <w:rFonts w:ascii="宋体" w:hAnsi="宋体" w:cs="宋体" w:eastAsia="宋体" w:hint="default"/>
                <w:sz w:val="21"/>
                <w:szCs w:val="21"/>
              </w:rPr>
              <w:t>业合并的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10" w:right="101"/>
              <w:jc w:val="left"/>
              <w:rPr>
                <w:rFonts w:ascii="宋体" w:hAnsi="宋体" w:cs="宋体" w:eastAsia="宋体" w:hint="default"/>
                <w:sz w:val="21"/>
                <w:szCs w:val="21"/>
              </w:rPr>
            </w:pPr>
            <w:r>
              <w:rPr>
                <w:rFonts w:ascii="宋体" w:hAnsi="宋体" w:cs="宋体" w:eastAsia="宋体" w:hint="default"/>
                <w:sz w:val="21"/>
                <w:szCs w:val="21"/>
              </w:rPr>
              <w:t>合并日的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合并当期</w:t>
            </w:r>
            <w:r>
              <w:rPr>
                <w:rFonts w:ascii="宋体" w:hAnsi="宋体" w:cs="宋体" w:eastAsia="宋体" w:hint="default"/>
                <w:w w:val="100"/>
                <w:sz w:val="21"/>
                <w:szCs w:val="21"/>
              </w:rPr>
              <w:t> </w:t>
            </w:r>
            <w:r>
              <w:rPr>
                <w:rFonts w:ascii="宋体" w:hAnsi="宋体" w:cs="宋体" w:eastAsia="宋体" w:hint="default"/>
                <w:sz w:val="21"/>
                <w:szCs w:val="21"/>
              </w:rPr>
              <w:t>期初至合</w:t>
            </w:r>
            <w:r>
              <w:rPr>
                <w:rFonts w:ascii="宋体" w:hAnsi="宋体" w:cs="宋体" w:eastAsia="宋体" w:hint="default"/>
                <w:w w:val="100"/>
                <w:sz w:val="21"/>
                <w:szCs w:val="21"/>
              </w:rPr>
              <w:t> </w:t>
            </w:r>
            <w:r>
              <w:rPr>
                <w:rFonts w:ascii="宋体" w:hAnsi="宋体" w:cs="宋体" w:eastAsia="宋体" w:hint="default"/>
                <w:sz w:val="21"/>
                <w:szCs w:val="21"/>
              </w:rPr>
              <w:t>并日被合</w:t>
            </w:r>
            <w:r>
              <w:rPr>
                <w:rFonts w:ascii="宋体" w:hAnsi="宋体" w:cs="宋体" w:eastAsia="宋体" w:hint="default"/>
                <w:w w:val="100"/>
                <w:sz w:val="21"/>
                <w:szCs w:val="21"/>
              </w:rPr>
              <w:t> </w:t>
            </w:r>
            <w:r>
              <w:rPr>
                <w:rFonts w:ascii="宋体" w:hAnsi="宋体" w:cs="宋体" w:eastAsia="宋体" w:hint="default"/>
                <w:sz w:val="21"/>
                <w:szCs w:val="21"/>
              </w:rPr>
              <w:t>并方的收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合并当期</w:t>
            </w:r>
            <w:r>
              <w:rPr>
                <w:rFonts w:ascii="宋体" w:hAnsi="宋体" w:cs="宋体" w:eastAsia="宋体" w:hint="default"/>
                <w:w w:val="100"/>
                <w:sz w:val="21"/>
                <w:szCs w:val="21"/>
              </w:rPr>
              <w:t> </w:t>
            </w:r>
            <w:r>
              <w:rPr>
                <w:rFonts w:ascii="宋体" w:hAnsi="宋体" w:cs="宋体" w:eastAsia="宋体" w:hint="default"/>
                <w:sz w:val="21"/>
                <w:szCs w:val="21"/>
              </w:rPr>
              <w:t>期初至合</w:t>
            </w:r>
            <w:r>
              <w:rPr>
                <w:rFonts w:ascii="宋体" w:hAnsi="宋体" w:cs="宋体" w:eastAsia="宋体" w:hint="default"/>
                <w:w w:val="100"/>
                <w:sz w:val="21"/>
                <w:szCs w:val="21"/>
              </w:rPr>
              <w:t> </w:t>
            </w:r>
            <w:r>
              <w:rPr>
                <w:rFonts w:ascii="宋体" w:hAnsi="宋体" w:cs="宋体" w:eastAsia="宋体" w:hint="default"/>
                <w:sz w:val="21"/>
                <w:szCs w:val="21"/>
              </w:rPr>
              <w:t>并日被合</w:t>
            </w:r>
            <w:r>
              <w:rPr>
                <w:rFonts w:ascii="宋体" w:hAnsi="宋体" w:cs="宋体" w:eastAsia="宋体" w:hint="default"/>
                <w:w w:val="100"/>
                <w:sz w:val="21"/>
                <w:szCs w:val="21"/>
              </w:rPr>
              <w:t> </w:t>
            </w:r>
            <w:r>
              <w:rPr>
                <w:rFonts w:ascii="宋体" w:hAnsi="宋体" w:cs="宋体" w:eastAsia="宋体" w:hint="default"/>
                <w:sz w:val="21"/>
                <w:szCs w:val="21"/>
              </w:rPr>
              <w:t>并方的净</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0" w:right="101"/>
              <w:jc w:val="both"/>
              <w:rPr>
                <w:rFonts w:ascii="宋体" w:hAnsi="宋体" w:cs="宋体" w:eastAsia="宋体" w:hint="default"/>
                <w:sz w:val="21"/>
                <w:szCs w:val="21"/>
              </w:rPr>
            </w:pPr>
            <w:r>
              <w:rPr>
                <w:rFonts w:ascii="宋体" w:hAnsi="宋体" w:cs="宋体" w:eastAsia="宋体" w:hint="default"/>
                <w:sz w:val="21"/>
                <w:szCs w:val="21"/>
              </w:rPr>
              <w:t>比较期间</w:t>
            </w:r>
            <w:r>
              <w:rPr>
                <w:rFonts w:ascii="宋体" w:hAnsi="宋体" w:cs="宋体" w:eastAsia="宋体" w:hint="default"/>
                <w:w w:val="100"/>
                <w:sz w:val="21"/>
                <w:szCs w:val="21"/>
              </w:rPr>
              <w:t> </w:t>
            </w:r>
            <w:r>
              <w:rPr>
                <w:rFonts w:ascii="宋体" w:hAnsi="宋体" w:cs="宋体" w:eastAsia="宋体" w:hint="default"/>
                <w:sz w:val="21"/>
                <w:szCs w:val="21"/>
              </w:rPr>
              <w:t>被合并方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8" w:right="101"/>
              <w:jc w:val="both"/>
              <w:rPr>
                <w:rFonts w:ascii="宋体" w:hAnsi="宋体" w:cs="宋体" w:eastAsia="宋体" w:hint="default"/>
                <w:sz w:val="21"/>
                <w:szCs w:val="21"/>
              </w:rPr>
            </w:pPr>
            <w:r>
              <w:rPr>
                <w:rFonts w:ascii="宋体" w:hAnsi="宋体" w:cs="宋体" w:eastAsia="宋体" w:hint="default"/>
                <w:sz w:val="21"/>
                <w:szCs w:val="21"/>
              </w:rPr>
              <w:t>比较期间</w:t>
            </w:r>
            <w:r>
              <w:rPr>
                <w:rFonts w:ascii="宋体" w:hAnsi="宋体" w:cs="宋体" w:eastAsia="宋体" w:hint="default"/>
                <w:w w:val="100"/>
                <w:sz w:val="21"/>
                <w:szCs w:val="21"/>
              </w:rPr>
              <w:t> </w:t>
            </w:r>
            <w:r>
              <w:rPr>
                <w:rFonts w:ascii="宋体" w:hAnsi="宋体" w:cs="宋体" w:eastAsia="宋体" w:hint="default"/>
                <w:sz w:val="21"/>
                <w:szCs w:val="21"/>
              </w:rPr>
              <w:t>被合并方</w:t>
            </w:r>
            <w:r>
              <w:rPr>
                <w:rFonts w:ascii="宋体" w:hAnsi="宋体" w:cs="宋体" w:eastAsia="宋体" w:hint="default"/>
                <w:w w:val="100"/>
                <w:sz w:val="21"/>
                <w:szCs w:val="21"/>
              </w:rPr>
              <w:t> </w:t>
            </w:r>
            <w:r>
              <w:rPr>
                <w:rFonts w:ascii="宋体" w:hAnsi="宋体" w:cs="宋体" w:eastAsia="宋体" w:hint="default"/>
                <w:sz w:val="21"/>
                <w:szCs w:val="21"/>
              </w:rPr>
              <w:t>的净利润</w:t>
            </w:r>
          </w:p>
        </w:tc>
      </w:tr>
    </w:tbl>
    <w:p>
      <w:pPr>
        <w:pStyle w:val="BodyText"/>
        <w:spacing w:line="240" w:lineRule="auto" w:before="28"/>
        <w:ind w:right="2880"/>
        <w:jc w:val="left"/>
      </w:pPr>
      <w:r>
        <w:rPr/>
        <w:t>其他说明：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（2）合并成本</w:t>
      </w:r>
    </w:p>
    <w:p>
      <w:pPr>
        <w:spacing w:line="240" w:lineRule="auto" w:before="12"/>
        <w:rPr>
          <w:rFonts w:ascii="宋体" w:hAnsi="宋体" w:cs="宋体" w:eastAsia="宋体" w:hint="default"/>
          <w:sz w:val="25"/>
          <w:szCs w:val="25"/>
        </w:rPr>
      </w:pPr>
    </w:p>
    <w:p>
      <w:pPr>
        <w:pStyle w:val="BodyText"/>
        <w:spacing w:line="307" w:lineRule="auto"/>
        <w:ind w:right="6516"/>
        <w:jc w:val="left"/>
      </w:pPr>
      <w:r>
        <w:rPr>
          <w:spacing w:val="-2"/>
        </w:rPr>
        <w:t>或有对价及其变动的说明：</w:t>
      </w:r>
      <w:r>
        <w:rPr>
          <w:spacing w:val="-82"/>
        </w:rPr>
        <w:t> </w:t>
      </w:r>
      <w:r>
        <w:rPr>
          <w:spacing w:val="-82"/>
        </w:rPr>
      </w:r>
      <w:r>
        <w:rPr/>
        <w:t>其他说明：</w:t>
      </w:r>
    </w:p>
    <w:p>
      <w:pPr>
        <w:spacing w:line="240" w:lineRule="auto" w:before="4"/>
        <w:rPr>
          <w:rFonts w:ascii="宋体" w:hAnsi="宋体" w:cs="宋体" w:eastAsia="宋体" w:hint="default"/>
          <w:sz w:val="21"/>
          <w:szCs w:val="21"/>
        </w:rPr>
      </w:pPr>
    </w:p>
    <w:p>
      <w:pPr>
        <w:pStyle w:val="BodyText"/>
        <w:spacing w:line="240" w:lineRule="auto"/>
        <w:ind w:right="2880"/>
        <w:jc w:val="left"/>
      </w:pPr>
      <w:r>
        <w:rPr/>
        <w:t>（3）合并日被合并方资产、负债的账面价值</w:t>
      </w:r>
    </w:p>
    <w:p>
      <w:pPr>
        <w:spacing w:line="240" w:lineRule="auto" w:before="12"/>
        <w:rPr>
          <w:rFonts w:ascii="宋体" w:hAnsi="宋体" w:cs="宋体" w:eastAsia="宋体" w:hint="default"/>
          <w:sz w:val="25"/>
          <w:szCs w:val="25"/>
        </w:rPr>
      </w:pPr>
    </w:p>
    <w:p>
      <w:pPr>
        <w:pStyle w:val="BodyText"/>
        <w:spacing w:line="307" w:lineRule="auto"/>
        <w:ind w:right="5106"/>
        <w:jc w:val="left"/>
      </w:pPr>
      <w:r>
        <w:rPr>
          <w:spacing w:val="-2"/>
        </w:rPr>
        <w:t>企业合并中承担的被合并方的或有负债：</w:t>
      </w:r>
      <w:r>
        <w:rPr>
          <w:spacing w:val="-70"/>
        </w:rPr>
        <w:t> </w:t>
      </w:r>
      <w:r>
        <w:rPr>
          <w:spacing w:val="-70"/>
        </w:rPr>
      </w:r>
      <w:r>
        <w:rPr/>
        <w:t>其他说明：</w:t>
      </w:r>
    </w:p>
    <w:p>
      <w:pPr>
        <w:spacing w:line="240" w:lineRule="auto" w:before="1"/>
        <w:rPr>
          <w:rFonts w:ascii="宋体" w:hAnsi="宋体" w:cs="宋体" w:eastAsia="宋体" w:hint="default"/>
          <w:sz w:val="21"/>
          <w:szCs w:val="21"/>
        </w:rPr>
      </w:pPr>
    </w:p>
    <w:p>
      <w:pPr>
        <w:pStyle w:val="BodyText"/>
        <w:spacing w:line="240" w:lineRule="auto"/>
        <w:ind w:right="2880"/>
        <w:jc w:val="left"/>
      </w:pPr>
      <w:r>
        <w:rPr/>
        <w:t>3、反向购买</w:t>
      </w:r>
    </w:p>
    <w:p>
      <w:pPr>
        <w:spacing w:line="240" w:lineRule="auto" w:before="12"/>
        <w:rPr>
          <w:rFonts w:ascii="宋体" w:hAnsi="宋体" w:cs="宋体" w:eastAsia="宋体" w:hint="default"/>
          <w:sz w:val="25"/>
          <w:szCs w:val="25"/>
        </w:rPr>
      </w:pPr>
    </w:p>
    <w:p>
      <w:pPr>
        <w:pStyle w:val="BodyText"/>
        <w:spacing w:line="273" w:lineRule="auto"/>
        <w:ind w:right="0"/>
        <w:jc w:val="left"/>
      </w:pPr>
      <w:r>
        <w:rPr>
          <w:spacing w:val="-2"/>
        </w:rPr>
        <w:t>交易基本信息、交易构成反向购买的依据、上市公司保留的资产、负债是否构成业务及其依据、合并成本</w:t>
      </w:r>
      <w:r>
        <w:rPr>
          <w:spacing w:val="-50"/>
        </w:rPr>
        <w:t> </w:t>
      </w:r>
      <w:r>
        <w:rPr>
          <w:spacing w:val="-50"/>
        </w:rPr>
      </w:r>
      <w:r>
        <w:rPr/>
        <w:t>的确定、按照权益性交易处理时调整权益的金额及其计算：</w:t>
      </w:r>
    </w:p>
    <w:p>
      <w:pPr>
        <w:pStyle w:val="BodyText"/>
        <w:spacing w:line="614" w:lineRule="exact" w:before="62"/>
        <w:ind w:right="4492"/>
        <w:jc w:val="left"/>
      </w:pPr>
      <w:r>
        <w:rPr/>
        <w:t>4、处置子公司</w:t>
      </w:r>
      <w:r>
        <w:rPr>
          <w:spacing w:val="-98"/>
        </w:rPr>
        <w:t> </w:t>
      </w:r>
      <w:r>
        <w:rPr>
          <w:spacing w:val="-2"/>
        </w:rPr>
        <w:t>是否存在单次处置对子公司投资即丧失控制权的情形</w:t>
      </w:r>
    </w:p>
    <w:p>
      <w:pPr>
        <w:pStyle w:val="BodyText"/>
        <w:spacing w:line="257" w:lineRule="exact"/>
        <w:ind w:right="2880"/>
        <w:jc w:val="left"/>
      </w:pPr>
      <w:r>
        <w:rPr/>
        <w:t>√ 是 □ 否</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36"/>
        <w:gridCol w:w="734"/>
        <w:gridCol w:w="737"/>
        <w:gridCol w:w="734"/>
        <w:gridCol w:w="737"/>
        <w:gridCol w:w="734"/>
        <w:gridCol w:w="734"/>
        <w:gridCol w:w="734"/>
        <w:gridCol w:w="737"/>
        <w:gridCol w:w="737"/>
        <w:gridCol w:w="737"/>
        <w:gridCol w:w="734"/>
        <w:gridCol w:w="737"/>
      </w:tblGrid>
      <w:tr>
        <w:trPr>
          <w:trHeight w:val="365"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按照公</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丧失控</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与原子</w:t>
            </w:r>
          </w:p>
        </w:tc>
      </w:tr>
      <w:tr>
        <w:trPr>
          <w:trHeight w:val="1872"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93" w:right="89"/>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93" w:right="91"/>
              <w:jc w:val="both"/>
              <w:rPr>
                <w:rFonts w:ascii="宋体" w:hAnsi="宋体" w:cs="宋体" w:eastAsia="宋体" w:hint="default"/>
                <w:sz w:val="18"/>
                <w:szCs w:val="18"/>
              </w:rPr>
            </w:pPr>
            <w:r>
              <w:rPr>
                <w:rFonts w:ascii="宋体" w:hAnsi="宋体" w:cs="宋体" w:eastAsia="宋体" w:hint="default"/>
                <w:sz w:val="18"/>
                <w:szCs w:val="18"/>
              </w:rPr>
              <w:t>允价值 重新计 量剩余 股权产 生的利 得或损</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93" w:right="89"/>
              <w:jc w:val="both"/>
              <w:rPr>
                <w:rFonts w:ascii="宋体" w:hAnsi="宋体" w:cs="宋体" w:eastAsia="宋体" w:hint="default"/>
                <w:sz w:val="18"/>
                <w:szCs w:val="18"/>
              </w:rPr>
            </w:pPr>
            <w:r>
              <w:rPr>
                <w:rFonts w:ascii="宋体" w:hAnsi="宋体" w:cs="宋体" w:eastAsia="宋体" w:hint="default"/>
                <w:sz w:val="18"/>
                <w:szCs w:val="18"/>
              </w:rPr>
              <w:t>制权之 日剩余 股权公 允价值 的确定 方法及</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93" w:right="91"/>
              <w:jc w:val="both"/>
              <w:rPr>
                <w:rFonts w:ascii="宋体" w:hAnsi="宋体" w:cs="宋体" w:eastAsia="宋体" w:hint="default"/>
                <w:sz w:val="18"/>
                <w:szCs w:val="18"/>
              </w:rPr>
            </w:pPr>
            <w:r>
              <w:rPr>
                <w:rFonts w:ascii="宋体" w:hAnsi="宋体" w:cs="宋体" w:eastAsia="宋体" w:hint="default"/>
                <w:sz w:val="18"/>
                <w:szCs w:val="18"/>
              </w:rPr>
              <w:t>公司股 权投资 相关的 其他综 合收益 转入投</w:t>
            </w:r>
          </w:p>
        </w:tc>
      </w:tr>
      <w:tr>
        <w:trPr>
          <w:trHeight w:val="349"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有该子</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主要假</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资损益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7"/>
        <w:gridCol w:w="734"/>
        <w:gridCol w:w="737"/>
        <w:gridCol w:w="734"/>
        <w:gridCol w:w="737"/>
        <w:gridCol w:w="734"/>
        <w:gridCol w:w="734"/>
        <w:gridCol w:w="734"/>
        <w:gridCol w:w="737"/>
        <w:gridCol w:w="737"/>
        <w:gridCol w:w="737"/>
        <w:gridCol w:w="734"/>
        <w:gridCol w:w="737"/>
      </w:tblGrid>
      <w:tr>
        <w:trPr>
          <w:trHeight w:val="315" w:hRule="exact"/>
        </w:trPr>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4" w:type="dxa"/>
            <w:vMerge w:val="restart"/>
            <w:tcBorders>
              <w:top w:val="single" w:sz="4" w:space="0" w:color="000000"/>
              <w:left w:val="single" w:sz="4" w:space="0" w:color="000000"/>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4" w:type="dxa"/>
            <w:vMerge w:val="restart"/>
            <w:tcBorders>
              <w:top w:val="single" w:sz="4" w:space="0" w:color="000000"/>
              <w:left w:val="single" w:sz="4" w:space="0" w:color="000000"/>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4" w:type="dxa"/>
            <w:vMerge w:val="restart"/>
            <w:tcBorders>
              <w:top w:val="single" w:sz="4" w:space="0" w:color="000000"/>
              <w:left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公司净</w:t>
            </w:r>
          </w:p>
        </w:tc>
        <w:tc>
          <w:tcPr>
            <w:tcW w:w="734" w:type="dxa"/>
            <w:vMerge w:val="restart"/>
            <w:tcBorders>
              <w:top w:val="single" w:sz="4" w:space="0" w:color="000000"/>
              <w:left w:val="single" w:sz="4" w:space="0" w:color="000000"/>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7" w:type="dxa"/>
            <w:vMerge w:val="restart"/>
            <w:tcBorders>
              <w:top w:val="single" w:sz="4" w:space="0" w:color="000000"/>
              <w:left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的金额</w:t>
            </w:r>
          </w:p>
        </w:tc>
      </w:tr>
      <w:tr>
        <w:trPr>
          <w:trHeight w:val="312" w:hRule="exact"/>
        </w:trPr>
        <w:tc>
          <w:tcPr>
            <w:tcW w:w="737"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资产份</w:t>
            </w:r>
          </w:p>
        </w:tc>
        <w:tc>
          <w:tcPr>
            <w:tcW w:w="734"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737"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4"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额的差</w:t>
            </w:r>
          </w:p>
        </w:tc>
        <w:tc>
          <w:tcPr>
            <w:tcW w:w="734"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nil" w:sz="6" w:space="0" w:color="auto"/>
              <w:right w:val="single" w:sz="4" w:space="0" w:color="000000"/>
            </w:tcBorders>
            <w:shd w:val="clear" w:color="auto" w:fill="D3D3D3"/>
          </w:tcPr>
          <w:p>
            <w:pPr/>
          </w:p>
        </w:tc>
        <w:tc>
          <w:tcPr>
            <w:tcW w:w="73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60"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4"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北京昊</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天国彩 广告设 计有限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958,316.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工商登 记注销</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57"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355"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海宁青</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936"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禾阳光 影视文 化有限</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2,975,44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7" w:right="0"/>
              <w:jc w:val="left"/>
              <w:rPr>
                <w:rFonts w:ascii="Times New Roman" w:hAnsi="Times New Roman" w:cs="Times New Roman" w:eastAsia="Times New Roman" w:hint="default"/>
                <w:sz w:val="18"/>
                <w:szCs w:val="18"/>
              </w:rPr>
            </w:pPr>
            <w:r>
              <w:rPr>
                <w:rFonts w:ascii="Times New Roman"/>
                <w:sz w:val="18"/>
              </w:rPr>
              <w:t>100.00%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工商登 记注销</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6"/>
        <w:ind w:right="2880"/>
        <w:jc w:val="left"/>
      </w:pPr>
      <w:r>
        <w:rPr/>
        <w:t>是否存在通过多次交易分步处置对子公司投资且在本期丧失控制权的情形</w:t>
      </w:r>
    </w:p>
    <w:p>
      <w:pPr>
        <w:pStyle w:val="BodyText"/>
        <w:spacing w:line="535" w:lineRule="auto" w:before="78"/>
        <w:ind w:right="7146"/>
        <w:jc w:val="left"/>
      </w:pPr>
      <w:r>
        <w:rPr/>
        <w:t>□ 是</w:t>
      </w:r>
      <w:r>
        <w:rPr>
          <w:spacing w:val="-2"/>
        </w:rPr>
        <w:t> </w:t>
      </w:r>
      <w:r>
        <w:rPr/>
        <w:t>√</w:t>
      </w:r>
      <w:r>
        <w:rPr>
          <w:spacing w:val="-2"/>
        </w:rPr>
        <w:t> </w:t>
      </w:r>
      <w:r>
        <w:rPr/>
        <w:t>否</w:t>
      </w:r>
      <w:r>
        <w:rPr>
          <w:spacing w:val="-102"/>
        </w:rPr>
        <w:t> </w:t>
      </w:r>
      <w:r>
        <w:rPr>
          <w:spacing w:val="-102"/>
        </w:rPr>
      </w:r>
      <w:r>
        <w:rPr/>
        <w:t>5、其他原因的合并范围变动</w:t>
      </w:r>
    </w:p>
    <w:p>
      <w:pPr>
        <w:pStyle w:val="BodyText"/>
        <w:spacing w:line="532" w:lineRule="auto" w:before="81"/>
        <w:ind w:right="1381"/>
        <w:jc w:val="left"/>
      </w:pPr>
      <w:r>
        <w:rPr>
          <w:spacing w:val="-2"/>
        </w:rPr>
        <w:t>说明其他原因导致的合并范围变动（如，新设子公司、清算子公司等）及其相关情况：</w:t>
      </w:r>
      <w:r>
        <w:rPr>
          <w:spacing w:val="-36"/>
        </w:rPr>
        <w:t> </w:t>
      </w:r>
      <w:r>
        <w:rPr>
          <w:spacing w:val="-36"/>
        </w:rPr>
      </w:r>
      <w:r>
        <w:rPr/>
        <w:t>6、其他</w:t>
      </w:r>
    </w:p>
    <w:p>
      <w:pPr>
        <w:pStyle w:val="BodyText"/>
        <w:spacing w:line="537" w:lineRule="auto" w:before="83"/>
        <w:ind w:right="7461"/>
        <w:jc w:val="left"/>
      </w:pPr>
      <w:r>
        <w:rPr/>
        <w:t>九、在其他主体中的权益</w:t>
      </w:r>
      <w:r>
        <w:rPr>
          <w:spacing w:val="-95"/>
        </w:rPr>
        <w:t> </w:t>
      </w:r>
      <w:r>
        <w:rPr>
          <w:spacing w:val="-95"/>
        </w:rPr>
      </w:r>
      <w:r>
        <w:rPr/>
        <w:t>1、在子公司中的权益</w:t>
      </w:r>
    </w:p>
    <w:p>
      <w:pPr>
        <w:pStyle w:val="BodyText"/>
        <w:spacing w:line="240" w:lineRule="auto" w:before="76"/>
        <w:ind w:right="2880"/>
        <w:jc w:val="left"/>
      </w:pPr>
      <w:r>
        <w:rPr/>
        <w:t>（1）企业集团的构成</w:t>
      </w:r>
    </w:p>
    <w:p>
      <w:pPr>
        <w:spacing w:line="240" w:lineRule="auto" w:before="1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left"/>
              <w:rPr>
                <w:rFonts w:ascii="宋体" w:hAnsi="宋体" w:cs="宋体" w:eastAsia="宋体" w:hint="default"/>
                <w:sz w:val="21"/>
                <w:szCs w:val="21"/>
              </w:rPr>
            </w:pPr>
            <w:r>
              <w:rPr>
                <w:rFonts w:ascii="宋体" w:hAnsi="宋体" w:cs="宋体" w:eastAsia="宋体" w:hint="default"/>
                <w:sz w:val="21"/>
                <w:szCs w:val="21"/>
              </w:rPr>
              <w:t>广州鸿博文化</w:t>
            </w:r>
            <w:r>
              <w:rPr>
                <w:rFonts w:ascii="宋体" w:hAnsi="宋体" w:cs="宋体" w:eastAsia="宋体" w:hint="default"/>
                <w:w w:val="100"/>
                <w:sz w:val="21"/>
                <w:szCs w:val="21"/>
              </w:rPr>
              <w:t> </w:t>
            </w:r>
            <w:r>
              <w:rPr>
                <w:rFonts w:ascii="宋体" w:hAnsi="宋体" w:cs="宋体" w:eastAsia="宋体" w:hint="default"/>
                <w:sz w:val="21"/>
                <w:szCs w:val="21"/>
              </w:rPr>
              <w:t>传播有限公司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出版业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left"/>
              <w:rPr>
                <w:rFonts w:ascii="宋体" w:hAnsi="宋体" w:cs="宋体" w:eastAsia="宋体" w:hint="default"/>
                <w:sz w:val="21"/>
                <w:szCs w:val="21"/>
              </w:rPr>
            </w:pPr>
            <w:r>
              <w:rPr>
                <w:rFonts w:ascii="宋体" w:hAnsi="宋体" w:cs="宋体" w:eastAsia="宋体" w:hint="default"/>
                <w:sz w:val="21"/>
                <w:szCs w:val="21"/>
              </w:rPr>
              <w:t>福州港龙贸易</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贸易行业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both"/>
              <w:rPr>
                <w:rFonts w:ascii="宋体" w:hAnsi="宋体" w:cs="宋体" w:eastAsia="宋体" w:hint="default"/>
                <w:sz w:val="21"/>
                <w:szCs w:val="21"/>
              </w:rPr>
            </w:pPr>
            <w:r>
              <w:rPr>
                <w:rFonts w:ascii="宋体" w:hAnsi="宋体" w:cs="宋体" w:eastAsia="宋体" w:hint="default"/>
                <w:sz w:val="21"/>
                <w:szCs w:val="21"/>
              </w:rPr>
              <w:t>鸿博（福建）</w:t>
            </w:r>
            <w:r>
              <w:rPr>
                <w:rFonts w:ascii="宋体" w:hAnsi="宋体" w:cs="宋体" w:eastAsia="宋体" w:hint="default"/>
                <w:w w:val="100"/>
                <w:sz w:val="21"/>
                <w:szCs w:val="21"/>
              </w:rPr>
              <w:t> </w:t>
            </w:r>
            <w:r>
              <w:rPr>
                <w:rFonts w:ascii="宋体" w:hAnsi="宋体" w:cs="宋体" w:eastAsia="宋体" w:hint="default"/>
                <w:sz w:val="21"/>
                <w:szCs w:val="21"/>
              </w:rPr>
              <w:t>数据网络科技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both"/>
              <w:rPr>
                <w:rFonts w:ascii="宋体" w:hAnsi="宋体" w:cs="宋体" w:eastAsia="宋体" w:hint="default"/>
                <w:sz w:val="21"/>
                <w:szCs w:val="21"/>
              </w:rPr>
            </w:pPr>
            <w:r>
              <w:rPr>
                <w:rFonts w:ascii="宋体" w:hAnsi="宋体" w:cs="宋体" w:eastAsia="宋体" w:hint="default"/>
                <w:sz w:val="21"/>
                <w:szCs w:val="21"/>
              </w:rPr>
              <w:t>福建鸿博致远</w:t>
            </w:r>
            <w:r>
              <w:rPr>
                <w:rFonts w:ascii="宋体" w:hAnsi="宋体" w:cs="宋体" w:eastAsia="宋体" w:hint="default"/>
                <w:w w:val="100"/>
                <w:sz w:val="21"/>
                <w:szCs w:val="21"/>
              </w:rPr>
              <w:t> </w:t>
            </w:r>
            <w:r>
              <w:rPr>
                <w:rFonts w:ascii="宋体" w:hAnsi="宋体" w:cs="宋体" w:eastAsia="宋体" w:hint="default"/>
                <w:sz w:val="21"/>
                <w:szCs w:val="21"/>
              </w:rPr>
              <w:t>信息科技有限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left"/>
              <w:rPr>
                <w:rFonts w:ascii="宋体" w:hAnsi="宋体" w:cs="宋体" w:eastAsia="宋体" w:hint="default"/>
                <w:sz w:val="21"/>
                <w:szCs w:val="21"/>
              </w:rPr>
            </w:pPr>
            <w:r>
              <w:rPr>
                <w:rFonts w:ascii="宋体" w:hAnsi="宋体" w:cs="宋体" w:eastAsia="宋体" w:hint="default"/>
                <w:sz w:val="21"/>
                <w:szCs w:val="21"/>
              </w:rPr>
              <w:t>鸿博昊天科技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360"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钻研（北京）</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国际文化传媒</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北京青禾阳光</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文化传播有限</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354"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2"/>
              <w:jc w:val="left"/>
              <w:rPr>
                <w:rFonts w:ascii="宋体" w:hAnsi="宋体" w:cs="宋体" w:eastAsia="宋体" w:hint="default"/>
                <w:sz w:val="21"/>
                <w:szCs w:val="21"/>
              </w:rPr>
            </w:pPr>
            <w:r>
              <w:rPr>
                <w:rFonts w:ascii="宋体" w:hAnsi="宋体" w:cs="宋体" w:eastAsia="宋体" w:hint="default"/>
                <w:sz w:val="21"/>
                <w:szCs w:val="21"/>
              </w:rPr>
              <w:t>重庆市鸿海印</w:t>
            </w:r>
            <w:r>
              <w:rPr>
                <w:rFonts w:ascii="宋体" w:hAnsi="宋体" w:cs="宋体" w:eastAsia="宋体" w:hint="default"/>
                <w:w w:val="100"/>
                <w:sz w:val="21"/>
                <w:szCs w:val="21"/>
              </w:rPr>
              <w:t> </w:t>
            </w:r>
            <w:r>
              <w:rPr>
                <w:rFonts w:ascii="宋体" w:hAnsi="宋体" w:cs="宋体" w:eastAsia="宋体" w:hint="default"/>
                <w:sz w:val="21"/>
                <w:szCs w:val="21"/>
              </w:rPr>
              <w:t>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7"/>
              <w:jc w:val="left"/>
              <w:rPr>
                <w:rFonts w:ascii="宋体" w:hAnsi="宋体" w:cs="宋体" w:eastAsia="宋体" w:hint="default"/>
                <w:sz w:val="21"/>
                <w:szCs w:val="21"/>
              </w:rPr>
            </w:pPr>
            <w:r>
              <w:rPr>
                <w:rFonts w:ascii="宋体" w:hAnsi="宋体" w:cs="宋体" w:eastAsia="宋体" w:hint="default"/>
                <w:sz w:val="21"/>
                <w:szCs w:val="21"/>
              </w:rPr>
              <w:t>同一控制下企</w:t>
            </w:r>
            <w:r>
              <w:rPr>
                <w:rFonts w:ascii="宋体" w:hAnsi="宋体" w:cs="宋体" w:eastAsia="宋体" w:hint="default"/>
                <w:w w:val="100"/>
                <w:sz w:val="21"/>
                <w:szCs w:val="21"/>
              </w:rPr>
              <w:t> </w:t>
            </w:r>
            <w:r>
              <w:rPr>
                <w:rFonts w:ascii="宋体" w:hAnsi="宋体" w:cs="宋体" w:eastAsia="宋体" w:hint="default"/>
                <w:sz w:val="21"/>
                <w:szCs w:val="21"/>
              </w:rPr>
              <w:t>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2"/>
              <w:jc w:val="left"/>
              <w:rPr>
                <w:rFonts w:ascii="宋体" w:hAnsi="宋体" w:cs="宋体" w:eastAsia="宋体" w:hint="default"/>
                <w:sz w:val="21"/>
                <w:szCs w:val="21"/>
              </w:rPr>
            </w:pPr>
            <w:r>
              <w:rPr>
                <w:rFonts w:ascii="宋体" w:hAnsi="宋体" w:cs="宋体" w:eastAsia="宋体" w:hint="default"/>
                <w:sz w:val="21"/>
                <w:szCs w:val="21"/>
              </w:rPr>
              <w:t>无锡双龙信息</w:t>
            </w:r>
            <w:r>
              <w:rPr>
                <w:rFonts w:ascii="宋体" w:hAnsi="宋体" w:cs="宋体" w:eastAsia="宋体" w:hint="default"/>
                <w:w w:val="100"/>
                <w:sz w:val="21"/>
                <w:szCs w:val="21"/>
              </w:rPr>
              <w:t> </w:t>
            </w:r>
            <w:r>
              <w:rPr>
                <w:rFonts w:ascii="宋体" w:hAnsi="宋体" w:cs="宋体" w:eastAsia="宋体" w:hint="default"/>
                <w:sz w:val="21"/>
                <w:szCs w:val="21"/>
              </w:rPr>
              <w:t>纸有限公司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7"/>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2"/>
              <w:jc w:val="left"/>
              <w:rPr>
                <w:rFonts w:ascii="宋体" w:hAnsi="宋体" w:cs="宋体" w:eastAsia="宋体" w:hint="default"/>
                <w:sz w:val="21"/>
                <w:szCs w:val="21"/>
              </w:rPr>
            </w:pPr>
            <w:r>
              <w:rPr>
                <w:rFonts w:ascii="宋体" w:hAnsi="宋体" w:cs="宋体" w:eastAsia="宋体" w:hint="default"/>
                <w:sz w:val="21"/>
                <w:szCs w:val="21"/>
              </w:rPr>
              <w:t>广州彩创网络</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7"/>
              <w:jc w:val="left"/>
              <w:rPr>
                <w:rFonts w:ascii="宋体" w:hAnsi="宋体" w:cs="宋体" w:eastAsia="宋体" w:hint="default"/>
                <w:sz w:val="21"/>
                <w:szCs w:val="21"/>
              </w:rPr>
            </w:pPr>
            <w:r>
              <w:rPr>
                <w:rFonts w:ascii="宋体" w:hAnsi="宋体" w:cs="宋体" w:eastAsia="宋体" w:hint="default"/>
                <w:sz w:val="21"/>
                <w:szCs w:val="21"/>
              </w:rPr>
              <w:t>非同一控制下</w:t>
            </w:r>
            <w:r>
              <w:rPr>
                <w:rFonts w:ascii="宋体" w:hAnsi="宋体" w:cs="宋体" w:eastAsia="宋体" w:hint="default"/>
                <w:w w:val="100"/>
                <w:sz w:val="21"/>
                <w:szCs w:val="21"/>
              </w:rPr>
              <w:t> </w:t>
            </w:r>
            <w:r>
              <w:rPr>
                <w:rFonts w:ascii="宋体" w:hAnsi="宋体" w:cs="宋体" w:eastAsia="宋体" w:hint="default"/>
                <w:sz w:val="21"/>
                <w:szCs w:val="21"/>
              </w:rPr>
              <w:t>企业合并</w:t>
            </w:r>
          </w:p>
        </w:tc>
      </w:tr>
    </w:tbl>
    <w:p>
      <w:pPr>
        <w:pStyle w:val="BodyText"/>
        <w:spacing w:line="307" w:lineRule="auto" w:before="28"/>
        <w:ind w:right="0"/>
        <w:jc w:val="left"/>
      </w:pPr>
      <w:r>
        <w:rPr/>
        <w:t>在子公司的持股比例不同于表决权比例的说明：</w:t>
      </w:r>
      <w:r>
        <w:rPr>
          <w:w w:val="100"/>
        </w:rPr>
        <w:t> </w:t>
      </w:r>
      <w:r>
        <w:rPr>
          <w:spacing w:val="-2"/>
        </w:rPr>
        <w:t>持有半数或以下表决权但仍控制被投资单位、以及持有半数以上表决权但不控制被投资单位的依据：</w:t>
      </w:r>
      <w:r>
        <w:rPr>
          <w:spacing w:val="-23"/>
        </w:rPr>
        <w:t> </w:t>
      </w:r>
      <w:r>
        <w:rPr>
          <w:spacing w:val="-23"/>
        </w:rPr>
      </w:r>
      <w:r>
        <w:rPr/>
        <w:t>对于纳入合并范围的重要的结构化主体，控制的依据：</w:t>
      </w:r>
    </w:p>
    <w:p>
      <w:pPr>
        <w:pStyle w:val="BodyText"/>
        <w:spacing w:line="307" w:lineRule="auto" w:before="19"/>
        <w:ind w:right="5526"/>
        <w:jc w:val="left"/>
      </w:pPr>
      <w:r>
        <w:rPr>
          <w:spacing w:val="-2"/>
        </w:rPr>
        <w:t>确定公司是代理人还是委托人的依据：</w:t>
      </w:r>
      <w:r>
        <w:rPr>
          <w:spacing w:val="-72"/>
        </w:rPr>
        <w:t> </w:t>
      </w:r>
      <w:r>
        <w:rPr>
          <w:spacing w:val="-72"/>
        </w:rPr>
      </w:r>
      <w:r>
        <w:rPr/>
        <w:t>其他说明：</w:t>
      </w:r>
    </w:p>
    <w:p>
      <w:pPr>
        <w:spacing w:line="240" w:lineRule="auto" w:before="4"/>
        <w:rPr>
          <w:rFonts w:ascii="宋体" w:hAnsi="宋体" w:cs="宋体" w:eastAsia="宋体" w:hint="default"/>
          <w:sz w:val="21"/>
          <w:szCs w:val="21"/>
        </w:rPr>
      </w:pPr>
    </w:p>
    <w:p>
      <w:pPr>
        <w:pStyle w:val="BodyText"/>
        <w:spacing w:line="240" w:lineRule="auto"/>
        <w:ind w:right="2880"/>
        <w:jc w:val="left"/>
      </w:pPr>
      <w:r>
        <w:rPr/>
        <w:t>（2）重要的非全资子公司</w:t>
      </w:r>
    </w:p>
    <w:p>
      <w:pPr>
        <w:spacing w:line="240" w:lineRule="auto" w:before="12"/>
        <w:rPr>
          <w:rFonts w:ascii="宋体" w:hAnsi="宋体" w:cs="宋体" w:eastAsia="宋体" w:hint="default"/>
          <w:sz w:val="25"/>
          <w:szCs w:val="25"/>
        </w:rPr>
      </w:pPr>
    </w:p>
    <w:p>
      <w:pPr>
        <w:pStyle w:val="BodyText"/>
        <w:spacing w:line="240" w:lineRule="auto"/>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52"/>
              <w:ind w:left="532" w:right="105" w:hanging="420"/>
              <w:jc w:val="left"/>
              <w:rPr>
                <w:rFonts w:ascii="宋体" w:hAnsi="宋体" w:cs="宋体" w:eastAsia="宋体" w:hint="default"/>
                <w:sz w:val="21"/>
                <w:szCs w:val="21"/>
              </w:rPr>
            </w:pPr>
            <w:r>
              <w:rPr>
                <w:rFonts w:ascii="宋体" w:hAnsi="宋体" w:cs="宋体" w:eastAsia="宋体" w:hint="default"/>
                <w:sz w:val="21"/>
                <w:szCs w:val="21"/>
              </w:rPr>
              <w:t>本期归属于少数股</w:t>
            </w:r>
            <w:r>
              <w:rPr>
                <w:rFonts w:ascii="宋体" w:hAnsi="宋体" w:cs="宋体" w:eastAsia="宋体" w:hint="default"/>
                <w:w w:val="100"/>
                <w:sz w:val="21"/>
                <w:szCs w:val="21"/>
              </w:rPr>
              <w:t> </w:t>
            </w:r>
            <w:r>
              <w:rPr>
                <w:rFonts w:ascii="宋体" w:hAnsi="宋体" w:cs="宋体" w:eastAsia="宋体" w:hint="default"/>
                <w:sz w:val="21"/>
                <w:szCs w:val="21"/>
              </w:rPr>
              <w:t>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52"/>
              <w:ind w:left="321" w:right="105" w:hanging="209"/>
              <w:jc w:val="left"/>
              <w:rPr>
                <w:rFonts w:ascii="宋体" w:hAnsi="宋体" w:cs="宋体" w:eastAsia="宋体" w:hint="default"/>
                <w:sz w:val="21"/>
                <w:szCs w:val="21"/>
              </w:rPr>
            </w:pPr>
            <w:r>
              <w:rPr>
                <w:rFonts w:ascii="宋体" w:hAnsi="宋体" w:cs="宋体" w:eastAsia="宋体" w:hint="default"/>
                <w:sz w:val="21"/>
                <w:szCs w:val="21"/>
              </w:rPr>
              <w:t>本期向少数股东宣</w:t>
            </w:r>
            <w:r>
              <w:rPr>
                <w:rFonts w:ascii="宋体" w:hAnsi="宋体" w:cs="宋体" w:eastAsia="宋体" w:hint="default"/>
                <w:w w:val="100"/>
                <w:sz w:val="21"/>
                <w:szCs w:val="21"/>
              </w:rPr>
              <w:t> </w:t>
            </w:r>
            <w:r>
              <w:rPr>
                <w:rFonts w:ascii="宋体" w:hAnsi="宋体" w:cs="宋体" w:eastAsia="宋体" w:hint="default"/>
                <w:sz w:val="21"/>
                <w:szCs w:val="21"/>
              </w:rPr>
              <w:t>告分派的股利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52"/>
              <w:ind w:left="744" w:right="105" w:hanging="629"/>
              <w:jc w:val="left"/>
              <w:rPr>
                <w:rFonts w:ascii="宋体" w:hAnsi="宋体" w:cs="宋体" w:eastAsia="宋体" w:hint="default"/>
                <w:sz w:val="21"/>
                <w:szCs w:val="21"/>
              </w:rPr>
            </w:pPr>
            <w:r>
              <w:rPr>
                <w:rFonts w:ascii="宋体" w:hAnsi="宋体" w:cs="宋体" w:eastAsia="宋体" w:hint="default"/>
                <w:sz w:val="21"/>
                <w:szCs w:val="21"/>
              </w:rPr>
              <w:t>期末少数股东权益</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无锡双龙信息纸有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8,114,876.65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1" w:right="0"/>
              <w:jc w:val="left"/>
              <w:rPr>
                <w:rFonts w:ascii="宋体" w:hAnsi="宋体" w:cs="宋体" w:eastAsia="宋体" w:hint="default"/>
                <w:sz w:val="21"/>
                <w:szCs w:val="21"/>
              </w:rPr>
            </w:pPr>
            <w:r>
              <w:rPr>
                <w:rFonts w:ascii="宋体"/>
                <w:sz w:val="21"/>
              </w:rPr>
              <w:t>7,621,818.10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32,898,781.53</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广州彩创网络技术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655,209.18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13,441,785.06</w:t>
            </w:r>
          </w:p>
        </w:tc>
      </w:tr>
    </w:tbl>
    <w:p>
      <w:pPr>
        <w:pStyle w:val="BodyText"/>
        <w:spacing w:line="307" w:lineRule="auto" w:before="28"/>
        <w:ind w:right="4492"/>
        <w:jc w:val="left"/>
      </w:pPr>
      <w:r>
        <w:rPr>
          <w:spacing w:val="-2"/>
        </w:rPr>
        <w:t>子公司少数股东的持股比例不同于表决权比例的说明：</w:t>
      </w:r>
      <w:r>
        <w:rPr>
          <w:spacing w:val="-60"/>
        </w:rPr>
        <w:t> </w:t>
      </w:r>
      <w:r>
        <w:rPr>
          <w:spacing w:val="-60"/>
        </w:rPr>
      </w:r>
      <w:r>
        <w:rPr/>
        <w:t>其他说明：</w:t>
      </w:r>
    </w:p>
    <w:p>
      <w:pPr>
        <w:spacing w:line="240" w:lineRule="auto" w:before="1"/>
        <w:rPr>
          <w:rFonts w:ascii="宋体" w:hAnsi="宋体" w:cs="宋体" w:eastAsia="宋体" w:hint="default"/>
          <w:sz w:val="21"/>
          <w:szCs w:val="21"/>
        </w:rPr>
      </w:pPr>
    </w:p>
    <w:p>
      <w:pPr>
        <w:pStyle w:val="BodyText"/>
        <w:spacing w:line="240" w:lineRule="auto"/>
        <w:ind w:right="2880"/>
        <w:jc w:val="left"/>
      </w:pPr>
      <w:r>
        <w:rPr/>
        <w:t>（3）重要非全资子公司的主要财务信息</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52" w:right="4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1"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3" w:right="43"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3"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1" w:hanging="209"/>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3" w:right="43"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1" w:hanging="209"/>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1"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3" w:right="41"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3"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9" w:right="43" w:hanging="212"/>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53" w:right="41"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56" w:right="43" w:hanging="209"/>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 w:right="67"/>
              <w:jc w:val="left"/>
              <w:rPr>
                <w:rFonts w:ascii="宋体" w:hAnsi="宋体" w:cs="宋体" w:eastAsia="宋体" w:hint="default"/>
                <w:sz w:val="21"/>
                <w:szCs w:val="21"/>
              </w:rPr>
            </w:pPr>
            <w:r>
              <w:rPr>
                <w:rFonts w:ascii="宋体" w:hAnsi="宋体" w:cs="宋体" w:eastAsia="宋体" w:hint="default"/>
                <w:sz w:val="21"/>
                <w:szCs w:val="21"/>
              </w:rPr>
              <w:t>无锡双</w:t>
            </w:r>
            <w:r>
              <w:rPr>
                <w:rFonts w:ascii="宋体" w:hAnsi="宋体" w:cs="宋体" w:eastAsia="宋体" w:hint="default"/>
                <w:spacing w:val="-102"/>
                <w:sz w:val="21"/>
                <w:szCs w:val="21"/>
              </w:rPr>
              <w:t> </w:t>
            </w:r>
            <w:r>
              <w:rPr>
                <w:rFonts w:ascii="宋体" w:hAnsi="宋体" w:cs="宋体" w:eastAsia="宋体" w:hint="default"/>
                <w:sz w:val="21"/>
                <w:szCs w:val="21"/>
              </w:rPr>
              <w:t>龙信息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58,876</w:t>
            </w:r>
          </w:p>
          <w:p>
            <w:pPr>
              <w:pStyle w:val="TableParagraph"/>
              <w:spacing w:line="240" w:lineRule="auto" w:before="37"/>
              <w:ind w:left="72" w:right="0"/>
              <w:jc w:val="left"/>
              <w:rPr>
                <w:rFonts w:ascii="宋体" w:hAnsi="宋体" w:cs="宋体" w:eastAsia="宋体" w:hint="default"/>
                <w:sz w:val="21"/>
                <w:szCs w:val="21"/>
              </w:rPr>
            </w:pPr>
            <w:r>
              <w:rPr>
                <w:rFonts w:ascii="宋体"/>
                <w:sz w:val="21"/>
              </w:rPr>
              <w:t>,072.2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44,980</w:t>
            </w:r>
          </w:p>
          <w:p>
            <w:pPr>
              <w:pStyle w:val="TableParagraph"/>
              <w:spacing w:line="240" w:lineRule="auto" w:before="37"/>
              <w:ind w:left="72" w:right="0"/>
              <w:jc w:val="left"/>
              <w:rPr>
                <w:rFonts w:ascii="宋体" w:hAnsi="宋体" w:cs="宋体" w:eastAsia="宋体" w:hint="default"/>
                <w:sz w:val="21"/>
                <w:szCs w:val="21"/>
              </w:rPr>
            </w:pPr>
            <w:r>
              <w:rPr>
                <w:rFonts w:ascii="宋体"/>
                <w:sz w:val="21"/>
              </w:rPr>
              <w:t>,088.3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103,85</w:t>
            </w:r>
          </w:p>
          <w:p>
            <w:pPr>
              <w:pStyle w:val="TableParagraph"/>
              <w:spacing w:line="240" w:lineRule="auto" w:before="37"/>
              <w:ind w:left="72" w:right="0"/>
              <w:jc w:val="left"/>
              <w:rPr>
                <w:rFonts w:ascii="宋体" w:hAnsi="宋体" w:cs="宋体" w:eastAsia="宋体" w:hint="default"/>
                <w:sz w:val="21"/>
                <w:szCs w:val="21"/>
              </w:rPr>
            </w:pPr>
            <w:r>
              <w:rPr>
                <w:rFonts w:ascii="宋体"/>
                <w:sz w:val="21"/>
              </w:rPr>
              <w:t>6,160.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21,609</w:t>
            </w:r>
          </w:p>
          <w:p>
            <w:pPr>
              <w:pStyle w:val="TableParagraph"/>
              <w:spacing w:line="240" w:lineRule="auto" w:before="37"/>
              <w:ind w:left="72" w:right="0"/>
              <w:jc w:val="left"/>
              <w:rPr>
                <w:rFonts w:ascii="宋体" w:hAnsi="宋体" w:cs="宋体" w:eastAsia="宋体" w:hint="default"/>
                <w:sz w:val="21"/>
                <w:szCs w:val="21"/>
              </w:rPr>
            </w:pPr>
            <w:r>
              <w:rPr>
                <w:rFonts w:ascii="宋体"/>
                <w:sz w:val="21"/>
              </w:rPr>
              <w:t>,206.7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21,609</w:t>
            </w:r>
          </w:p>
          <w:p>
            <w:pPr>
              <w:pStyle w:val="TableParagraph"/>
              <w:spacing w:line="240" w:lineRule="auto" w:before="37"/>
              <w:ind w:left="72" w:right="0"/>
              <w:jc w:val="left"/>
              <w:rPr>
                <w:rFonts w:ascii="宋体" w:hAnsi="宋体" w:cs="宋体" w:eastAsia="宋体" w:hint="default"/>
                <w:sz w:val="21"/>
                <w:szCs w:val="21"/>
              </w:rPr>
            </w:pPr>
            <w:r>
              <w:rPr>
                <w:rFonts w:ascii="宋体"/>
                <w:sz w:val="21"/>
              </w:rPr>
              <w:t>,206.7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66,287</w:t>
            </w:r>
          </w:p>
          <w:p>
            <w:pPr>
              <w:pStyle w:val="TableParagraph"/>
              <w:spacing w:line="240" w:lineRule="auto" w:before="37"/>
              <w:ind w:left="72" w:right="0"/>
              <w:jc w:val="left"/>
              <w:rPr>
                <w:rFonts w:ascii="宋体" w:hAnsi="宋体" w:cs="宋体" w:eastAsia="宋体" w:hint="default"/>
                <w:sz w:val="21"/>
                <w:szCs w:val="21"/>
              </w:rPr>
            </w:pPr>
            <w:r>
              <w:rPr>
                <w:rFonts w:ascii="宋体"/>
                <w:sz w:val="21"/>
              </w:rPr>
              <w:t>,610.9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27,890</w:t>
            </w:r>
          </w:p>
          <w:p>
            <w:pPr>
              <w:pStyle w:val="TableParagraph"/>
              <w:spacing w:line="240" w:lineRule="auto" w:before="37"/>
              <w:ind w:left="72" w:right="0"/>
              <w:jc w:val="left"/>
              <w:rPr>
                <w:rFonts w:ascii="宋体" w:hAnsi="宋体" w:cs="宋体" w:eastAsia="宋体" w:hint="default"/>
                <w:sz w:val="21"/>
                <w:szCs w:val="21"/>
              </w:rPr>
            </w:pPr>
            <w:r>
              <w:rPr>
                <w:rFonts w:ascii="宋体"/>
                <w:sz w:val="21"/>
              </w:rPr>
              <w:t>,503.3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94,178</w:t>
            </w:r>
          </w:p>
          <w:p>
            <w:pPr>
              <w:pStyle w:val="TableParagraph"/>
              <w:spacing w:line="240" w:lineRule="auto" w:before="37"/>
              <w:ind w:left="72" w:right="0"/>
              <w:jc w:val="left"/>
              <w:rPr>
                <w:rFonts w:ascii="宋体" w:hAnsi="宋体" w:cs="宋体" w:eastAsia="宋体" w:hint="default"/>
                <w:sz w:val="21"/>
                <w:szCs w:val="21"/>
              </w:rPr>
            </w:pPr>
            <w:r>
              <w:rPr>
                <w:rFonts w:ascii="宋体"/>
                <w:sz w:val="21"/>
              </w:rPr>
              <w:t>,114.3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 w:right="0"/>
              <w:jc w:val="left"/>
              <w:rPr>
                <w:rFonts w:ascii="宋体" w:hAnsi="宋体" w:cs="宋体" w:eastAsia="宋体" w:hint="default"/>
                <w:sz w:val="21"/>
                <w:szCs w:val="21"/>
              </w:rPr>
            </w:pPr>
            <w:r>
              <w:rPr>
                <w:rFonts w:ascii="宋体"/>
                <w:sz w:val="21"/>
              </w:rPr>
              <w:t>13,163</w:t>
            </w:r>
          </w:p>
          <w:p>
            <w:pPr>
              <w:pStyle w:val="TableParagraph"/>
              <w:spacing w:line="240" w:lineRule="auto" w:before="37"/>
              <w:ind w:left="74" w:right="0"/>
              <w:jc w:val="left"/>
              <w:rPr>
                <w:rFonts w:ascii="宋体" w:hAnsi="宋体" w:cs="宋体" w:eastAsia="宋体" w:hint="default"/>
                <w:sz w:val="21"/>
                <w:szCs w:val="21"/>
              </w:rPr>
            </w:pPr>
            <w:r>
              <w:rPr>
                <w:rFonts w:ascii="宋体"/>
                <w:sz w:val="21"/>
              </w:rPr>
              <w:t>,806.8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left"/>
              <w:rPr>
                <w:rFonts w:ascii="宋体" w:hAnsi="宋体" w:cs="宋体" w:eastAsia="宋体" w:hint="default"/>
                <w:sz w:val="21"/>
                <w:szCs w:val="21"/>
              </w:rPr>
            </w:pPr>
            <w:r>
              <w:rPr>
                <w:rFonts w:ascii="宋体"/>
                <w:sz w:val="21"/>
              </w:rPr>
              <w:t>13,163</w:t>
            </w:r>
          </w:p>
          <w:p>
            <w:pPr>
              <w:pStyle w:val="TableParagraph"/>
              <w:spacing w:line="240" w:lineRule="auto" w:before="37"/>
              <w:ind w:left="72" w:right="0"/>
              <w:jc w:val="left"/>
              <w:rPr>
                <w:rFonts w:ascii="宋体" w:hAnsi="宋体" w:cs="宋体" w:eastAsia="宋体" w:hint="default"/>
                <w:sz w:val="21"/>
                <w:szCs w:val="21"/>
              </w:rPr>
            </w:pPr>
            <w:r>
              <w:rPr>
                <w:rFonts w:ascii="宋体"/>
                <w:sz w:val="21"/>
              </w:rPr>
              <w:t>,806.8</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67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67"/>
              <w:jc w:val="left"/>
              <w:rPr>
                <w:rFonts w:ascii="宋体" w:hAnsi="宋体" w:cs="宋体" w:eastAsia="宋体" w:hint="default"/>
                <w:sz w:val="21"/>
                <w:szCs w:val="21"/>
              </w:rPr>
            </w:pPr>
            <w:r>
              <w:rPr>
                <w:rFonts w:ascii="宋体" w:hAnsi="宋体" w:cs="宋体" w:eastAsia="宋体" w:hint="default"/>
                <w:sz w:val="21"/>
                <w:szCs w:val="21"/>
              </w:rPr>
              <w:t>纸有限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6</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7"/>
              <w:jc w:val="both"/>
              <w:rPr>
                <w:rFonts w:ascii="宋体" w:hAnsi="宋体" w:cs="宋体" w:eastAsia="宋体" w:hint="default"/>
                <w:sz w:val="21"/>
                <w:szCs w:val="21"/>
              </w:rPr>
            </w:pPr>
            <w:r>
              <w:rPr>
                <w:rFonts w:ascii="宋体" w:hAnsi="宋体" w:cs="宋体" w:eastAsia="宋体" w:hint="default"/>
                <w:sz w:val="21"/>
                <w:szCs w:val="21"/>
              </w:rPr>
              <w:t>广州彩</w:t>
            </w:r>
            <w:r>
              <w:rPr>
                <w:rFonts w:ascii="宋体" w:hAnsi="宋体" w:cs="宋体" w:eastAsia="宋体" w:hint="default"/>
                <w:spacing w:val="-102"/>
                <w:sz w:val="21"/>
                <w:szCs w:val="21"/>
              </w:rPr>
              <w:t> </w:t>
            </w:r>
            <w:r>
              <w:rPr>
                <w:rFonts w:ascii="宋体" w:hAnsi="宋体" w:cs="宋体" w:eastAsia="宋体" w:hint="default"/>
                <w:sz w:val="21"/>
                <w:szCs w:val="21"/>
              </w:rPr>
              <w:t>创网络</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56,017</w:t>
            </w:r>
          </w:p>
          <w:p>
            <w:pPr>
              <w:pStyle w:val="TableParagraph"/>
              <w:spacing w:line="240" w:lineRule="auto" w:before="37"/>
              <w:ind w:right="17"/>
              <w:jc w:val="right"/>
              <w:rPr>
                <w:rFonts w:ascii="宋体" w:hAnsi="宋体" w:cs="宋体" w:eastAsia="宋体" w:hint="default"/>
                <w:sz w:val="21"/>
                <w:szCs w:val="21"/>
              </w:rPr>
            </w:pPr>
            <w:r>
              <w:rPr>
                <w:rFonts w:ascii="宋体"/>
                <w:sz w:val="21"/>
              </w:rPr>
              <w:t>,739.3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774,09</w:t>
            </w:r>
          </w:p>
          <w:p>
            <w:pPr>
              <w:pStyle w:val="TableParagraph"/>
              <w:spacing w:line="240" w:lineRule="auto" w:before="37"/>
              <w:ind w:left="283" w:right="0"/>
              <w:jc w:val="left"/>
              <w:rPr>
                <w:rFonts w:ascii="宋体" w:hAnsi="宋体" w:cs="宋体" w:eastAsia="宋体" w:hint="default"/>
                <w:sz w:val="21"/>
                <w:szCs w:val="21"/>
              </w:rPr>
            </w:pPr>
            <w:r>
              <w:rPr>
                <w:rFonts w:ascii="宋体"/>
                <w:sz w:val="21"/>
              </w:rPr>
              <w:t>9.37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56,791</w:t>
            </w:r>
          </w:p>
          <w:p>
            <w:pPr>
              <w:pStyle w:val="TableParagraph"/>
              <w:spacing w:line="240" w:lineRule="auto" w:before="37"/>
              <w:ind w:right="19"/>
              <w:jc w:val="right"/>
              <w:rPr>
                <w:rFonts w:ascii="宋体" w:hAnsi="宋体" w:cs="宋体" w:eastAsia="宋体" w:hint="default"/>
                <w:sz w:val="21"/>
                <w:szCs w:val="21"/>
              </w:rPr>
            </w:pPr>
            <w:r>
              <w:rPr>
                <w:rFonts w:ascii="宋体"/>
                <w:sz w:val="21"/>
              </w:rPr>
              <w:t>,838.7</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3,024,</w:t>
            </w:r>
          </w:p>
          <w:p>
            <w:pPr>
              <w:pStyle w:val="TableParagraph"/>
              <w:spacing w:line="240" w:lineRule="auto" w:before="37"/>
              <w:ind w:left="72" w:right="0"/>
              <w:jc w:val="left"/>
              <w:rPr>
                <w:rFonts w:ascii="宋体" w:hAnsi="宋体" w:cs="宋体" w:eastAsia="宋体" w:hint="default"/>
                <w:sz w:val="21"/>
                <w:szCs w:val="21"/>
              </w:rPr>
            </w:pPr>
            <w:r>
              <w:rPr>
                <w:rFonts w:ascii="宋体"/>
                <w:sz w:val="21"/>
              </w:rPr>
              <w:t>698.48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3,024,</w:t>
            </w:r>
          </w:p>
          <w:p>
            <w:pPr>
              <w:pStyle w:val="TableParagraph"/>
              <w:spacing w:line="240" w:lineRule="auto" w:before="37"/>
              <w:ind w:left="72" w:right="0"/>
              <w:jc w:val="left"/>
              <w:rPr>
                <w:rFonts w:ascii="宋体" w:hAnsi="宋体" w:cs="宋体" w:eastAsia="宋体" w:hint="default"/>
                <w:sz w:val="21"/>
                <w:szCs w:val="21"/>
              </w:rPr>
            </w:pPr>
            <w:r>
              <w:rPr>
                <w:rFonts w:ascii="宋体"/>
                <w:sz w:val="21"/>
              </w:rPr>
              <w:t>698.48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53,337</w:t>
            </w:r>
          </w:p>
          <w:p>
            <w:pPr>
              <w:pStyle w:val="TableParagraph"/>
              <w:spacing w:line="240" w:lineRule="auto" w:before="37"/>
              <w:ind w:right="17"/>
              <w:jc w:val="right"/>
              <w:rPr>
                <w:rFonts w:ascii="宋体" w:hAnsi="宋体" w:cs="宋体" w:eastAsia="宋体" w:hint="default"/>
                <w:sz w:val="21"/>
                <w:szCs w:val="21"/>
              </w:rPr>
            </w:pPr>
            <w:r>
              <w:rPr>
                <w:rFonts w:ascii="宋体"/>
                <w:sz w:val="21"/>
              </w:rPr>
              <w:t>,800.5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554,70</w:t>
            </w:r>
          </w:p>
          <w:p>
            <w:pPr>
              <w:pStyle w:val="TableParagraph"/>
              <w:spacing w:line="240" w:lineRule="auto" w:before="37"/>
              <w:ind w:left="283" w:right="0"/>
              <w:jc w:val="left"/>
              <w:rPr>
                <w:rFonts w:ascii="宋体" w:hAnsi="宋体" w:cs="宋体" w:eastAsia="宋体" w:hint="default"/>
                <w:sz w:val="21"/>
                <w:szCs w:val="21"/>
              </w:rPr>
            </w:pPr>
            <w:r>
              <w:rPr>
                <w:rFonts w:ascii="宋体"/>
                <w:sz w:val="21"/>
              </w:rPr>
              <w:t>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53,892</w:t>
            </w:r>
          </w:p>
          <w:p>
            <w:pPr>
              <w:pStyle w:val="TableParagraph"/>
              <w:spacing w:line="240" w:lineRule="auto" w:before="37"/>
              <w:ind w:right="19"/>
              <w:jc w:val="right"/>
              <w:rPr>
                <w:rFonts w:ascii="宋体" w:hAnsi="宋体" w:cs="宋体" w:eastAsia="宋体" w:hint="default"/>
                <w:sz w:val="21"/>
                <w:szCs w:val="21"/>
              </w:rPr>
            </w:pPr>
            <w:r>
              <w:rPr>
                <w:rFonts w:ascii="宋体"/>
                <w:sz w:val="21"/>
              </w:rPr>
              <w:t>,503.9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sz w:val="21"/>
              </w:rPr>
              <w:t>2,746,</w:t>
            </w:r>
          </w:p>
          <w:p>
            <w:pPr>
              <w:pStyle w:val="TableParagraph"/>
              <w:spacing w:line="240" w:lineRule="auto" w:before="37"/>
              <w:ind w:left="74" w:right="0"/>
              <w:jc w:val="left"/>
              <w:rPr>
                <w:rFonts w:ascii="宋体" w:hAnsi="宋体" w:cs="宋体" w:eastAsia="宋体" w:hint="default"/>
                <w:sz w:val="21"/>
                <w:szCs w:val="21"/>
              </w:rPr>
            </w:pPr>
            <w:r>
              <w:rPr>
                <w:rFonts w:ascii="宋体"/>
                <w:sz w:val="21"/>
              </w:rPr>
              <w:t>200.38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2" w:right="0"/>
              <w:jc w:val="left"/>
              <w:rPr>
                <w:rFonts w:ascii="宋体" w:hAnsi="宋体" w:cs="宋体" w:eastAsia="宋体" w:hint="default"/>
                <w:sz w:val="21"/>
                <w:szCs w:val="21"/>
              </w:rPr>
            </w:pPr>
            <w:r>
              <w:rPr>
                <w:rFonts w:ascii="宋体"/>
                <w:sz w:val="21"/>
              </w:rPr>
              <w:t>2,746,</w:t>
            </w:r>
          </w:p>
          <w:p>
            <w:pPr>
              <w:pStyle w:val="TableParagraph"/>
              <w:spacing w:line="240" w:lineRule="auto" w:before="37"/>
              <w:ind w:left="72" w:right="0"/>
              <w:jc w:val="left"/>
              <w:rPr>
                <w:rFonts w:ascii="宋体" w:hAnsi="宋体" w:cs="宋体" w:eastAsia="宋体" w:hint="default"/>
                <w:sz w:val="21"/>
                <w:szCs w:val="21"/>
              </w:rPr>
            </w:pPr>
            <w:r>
              <w:rPr>
                <w:rFonts w:ascii="宋体"/>
                <w:sz w:val="21"/>
              </w:rPr>
              <w:t>200.38</w:t>
            </w:r>
          </w:p>
        </w:tc>
      </w:tr>
    </w:tbl>
    <w:p>
      <w:pPr>
        <w:pStyle w:val="BodyText"/>
        <w:spacing w:line="240" w:lineRule="auto" w:before="28"/>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420" w:right="101"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16" w:right="101"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10" w:right="101"/>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16" w:right="101" w:hanging="209"/>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08" w:right="103"/>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2"/>
              <w:jc w:val="both"/>
              <w:rPr>
                <w:rFonts w:ascii="宋体" w:hAnsi="宋体" w:cs="宋体" w:eastAsia="宋体" w:hint="default"/>
                <w:sz w:val="21"/>
                <w:szCs w:val="21"/>
              </w:rPr>
            </w:pPr>
            <w:r>
              <w:rPr>
                <w:rFonts w:ascii="宋体" w:hAnsi="宋体" w:cs="宋体" w:eastAsia="宋体" w:hint="default"/>
                <w:sz w:val="21"/>
                <w:szCs w:val="21"/>
              </w:rPr>
              <w:t>无锡双龙</w:t>
            </w:r>
            <w:r>
              <w:rPr>
                <w:rFonts w:ascii="宋体" w:hAnsi="宋体" w:cs="宋体" w:eastAsia="宋体" w:hint="default"/>
                <w:w w:val="100"/>
                <w:sz w:val="21"/>
                <w:szCs w:val="21"/>
              </w:rPr>
              <w:t> </w:t>
            </w:r>
            <w:r>
              <w:rPr>
                <w:rFonts w:ascii="宋体" w:hAnsi="宋体" w:cs="宋体" w:eastAsia="宋体" w:hint="default"/>
                <w:sz w:val="21"/>
                <w:szCs w:val="21"/>
              </w:rPr>
              <w:t>信息纸有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130,905,3</w:t>
            </w:r>
          </w:p>
          <w:p>
            <w:pPr>
              <w:pStyle w:val="TableParagraph"/>
              <w:spacing w:line="240" w:lineRule="auto" w:before="37"/>
              <w:ind w:left="504" w:right="0"/>
              <w:jc w:val="left"/>
              <w:rPr>
                <w:rFonts w:ascii="宋体" w:hAnsi="宋体" w:cs="宋体" w:eastAsia="宋体" w:hint="default"/>
                <w:sz w:val="21"/>
                <w:szCs w:val="21"/>
              </w:rPr>
            </w:pPr>
            <w:r>
              <w:rPr>
                <w:rFonts w:ascii="宋体"/>
                <w:sz w:val="21"/>
              </w:rPr>
              <w:t>88.04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20,136,02</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8.58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8" w:right="0"/>
              <w:jc w:val="left"/>
              <w:rPr>
                <w:rFonts w:ascii="宋体" w:hAnsi="宋体" w:cs="宋体" w:eastAsia="宋体" w:hint="default"/>
                <w:sz w:val="21"/>
                <w:szCs w:val="21"/>
              </w:rPr>
            </w:pPr>
            <w:r>
              <w:rPr>
                <w:rFonts w:ascii="宋体"/>
                <w:sz w:val="21"/>
              </w:rPr>
              <w:t>41,583,07</w:t>
            </w:r>
          </w:p>
          <w:p>
            <w:pPr>
              <w:pStyle w:val="TableParagraph"/>
              <w:spacing w:line="240" w:lineRule="auto" w:before="37"/>
              <w:ind w:left="614" w:right="0"/>
              <w:jc w:val="left"/>
              <w:rPr>
                <w:rFonts w:ascii="宋体" w:hAnsi="宋体" w:cs="宋体" w:eastAsia="宋体" w:hint="default"/>
                <w:sz w:val="21"/>
                <w:szCs w:val="21"/>
              </w:rPr>
            </w:pPr>
            <w:r>
              <w:rPr>
                <w:rFonts w:ascii="宋体"/>
                <w:sz w:val="21"/>
              </w:rPr>
              <w:t>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sz w:val="21"/>
              </w:rPr>
              <w:t>133,289,5</w:t>
            </w:r>
          </w:p>
          <w:p>
            <w:pPr>
              <w:pStyle w:val="TableParagraph"/>
              <w:spacing w:line="240" w:lineRule="auto" w:before="37"/>
              <w:ind w:left="506" w:right="0"/>
              <w:jc w:val="left"/>
              <w:rPr>
                <w:rFonts w:ascii="宋体" w:hAnsi="宋体" w:cs="宋体" w:eastAsia="宋体" w:hint="default"/>
                <w:sz w:val="21"/>
                <w:szCs w:val="21"/>
              </w:rPr>
            </w:pPr>
            <w:r>
              <w:rPr>
                <w:rFonts w:ascii="宋体"/>
                <w:sz w:val="21"/>
              </w:rPr>
              <w:t>46.78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sz w:val="21"/>
              </w:rPr>
              <w:t>20,425,65</w:t>
            </w:r>
          </w:p>
          <w:p>
            <w:pPr>
              <w:pStyle w:val="TableParagraph"/>
              <w:spacing w:line="240" w:lineRule="auto" w:before="37"/>
              <w:ind w:left="612" w:right="0"/>
              <w:jc w:val="left"/>
              <w:rPr>
                <w:rFonts w:ascii="宋体" w:hAnsi="宋体" w:cs="宋体" w:eastAsia="宋体" w:hint="default"/>
                <w:sz w:val="21"/>
                <w:szCs w:val="21"/>
              </w:rPr>
            </w:pPr>
            <w:r>
              <w:rPr>
                <w:rFonts w:ascii="宋体"/>
                <w:sz w:val="21"/>
              </w:rPr>
              <w:t>6.68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8" w:right="0"/>
              <w:jc w:val="left"/>
              <w:rPr>
                <w:rFonts w:ascii="宋体" w:hAnsi="宋体" w:cs="宋体" w:eastAsia="宋体" w:hint="default"/>
                <w:sz w:val="21"/>
                <w:szCs w:val="21"/>
              </w:rPr>
            </w:pPr>
            <w:r>
              <w:rPr>
                <w:rFonts w:ascii="宋体"/>
                <w:sz w:val="21"/>
              </w:rPr>
              <w:t>12,686,58</w:t>
            </w:r>
          </w:p>
          <w:p>
            <w:pPr>
              <w:pStyle w:val="TableParagraph"/>
              <w:spacing w:line="240" w:lineRule="auto" w:before="37"/>
              <w:ind w:left="614" w:right="0"/>
              <w:jc w:val="left"/>
              <w:rPr>
                <w:rFonts w:ascii="宋体" w:hAnsi="宋体" w:cs="宋体" w:eastAsia="宋体" w:hint="default"/>
                <w:sz w:val="21"/>
                <w:szCs w:val="21"/>
              </w:rPr>
            </w:pPr>
            <w:r>
              <w:rPr>
                <w:rFonts w:ascii="宋体"/>
                <w:sz w:val="21"/>
              </w:rPr>
              <w:t>6.59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2"/>
              <w:jc w:val="both"/>
              <w:rPr>
                <w:rFonts w:ascii="宋体" w:hAnsi="宋体" w:cs="宋体" w:eastAsia="宋体" w:hint="default"/>
                <w:sz w:val="21"/>
                <w:szCs w:val="21"/>
              </w:rPr>
            </w:pPr>
            <w:r>
              <w:rPr>
                <w:rFonts w:ascii="宋体" w:hAnsi="宋体" w:cs="宋体" w:eastAsia="宋体" w:hint="default"/>
                <w:sz w:val="21"/>
                <w:szCs w:val="21"/>
              </w:rPr>
              <w:t>广州彩创</w:t>
            </w:r>
            <w:r>
              <w:rPr>
                <w:rFonts w:ascii="宋体" w:hAnsi="宋体" w:cs="宋体" w:eastAsia="宋体" w:hint="default"/>
                <w:w w:val="100"/>
                <w:sz w:val="21"/>
                <w:szCs w:val="21"/>
              </w:rPr>
              <w:t> </w:t>
            </w:r>
            <w:r>
              <w:rPr>
                <w:rFonts w:ascii="宋体" w:hAnsi="宋体" w:cs="宋体" w:eastAsia="宋体" w:hint="default"/>
                <w:sz w:val="21"/>
                <w:szCs w:val="21"/>
              </w:rPr>
              <w:t>网络技术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sz w:val="21"/>
              </w:rPr>
              <w:t>65,795,24</w:t>
            </w:r>
          </w:p>
          <w:p>
            <w:pPr>
              <w:pStyle w:val="TableParagraph"/>
              <w:spacing w:line="240" w:lineRule="auto" w:before="37"/>
              <w:ind w:left="609" w:right="0"/>
              <w:jc w:val="left"/>
              <w:rPr>
                <w:rFonts w:ascii="宋体" w:hAnsi="宋体" w:cs="宋体" w:eastAsia="宋体" w:hint="default"/>
                <w:sz w:val="21"/>
                <w:szCs w:val="21"/>
              </w:rPr>
            </w:pPr>
            <w:r>
              <w:rPr>
                <w:rFonts w:ascii="宋体"/>
                <w:sz w:val="21"/>
              </w:rPr>
              <w:t>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2,620,836</w:t>
            </w:r>
          </w:p>
          <w:p>
            <w:pPr>
              <w:pStyle w:val="TableParagraph"/>
              <w:spacing w:line="240" w:lineRule="auto" w:before="37"/>
              <w:ind w:right="19"/>
              <w:jc w:val="right"/>
              <w:rPr>
                <w:rFonts w:ascii="宋体" w:hAnsi="宋体" w:cs="宋体" w:eastAsia="宋体" w:hint="default"/>
                <w:sz w:val="21"/>
                <w:szCs w:val="21"/>
              </w:rPr>
            </w:pPr>
            <w:r>
              <w:rPr>
                <w:rFonts w:ascii="宋体"/>
                <w:sz w:val="21"/>
              </w:rPr>
              <w:t>.72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1,834,818</w:t>
            </w:r>
          </w:p>
          <w:p>
            <w:pPr>
              <w:pStyle w:val="TableParagraph"/>
              <w:spacing w:line="240" w:lineRule="auto" w:before="37"/>
              <w:ind w:right="17"/>
              <w:jc w:val="right"/>
              <w:rPr>
                <w:rFonts w:ascii="宋体" w:hAnsi="宋体" w:cs="宋体" w:eastAsia="宋体" w:hint="default"/>
                <w:sz w:val="21"/>
                <w:szCs w:val="21"/>
              </w:rPr>
            </w:pPr>
            <w:r>
              <w:rPr>
                <w:rFonts w:ascii="宋体"/>
                <w:sz w:val="21"/>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21"/>
                <w:szCs w:val="21"/>
              </w:rPr>
            </w:pPr>
            <w:r>
              <w:rPr>
                <w:rFonts w:ascii="宋体"/>
                <w:sz w:val="21"/>
              </w:rPr>
              <w:t>18,507,83</w:t>
            </w:r>
          </w:p>
          <w:p>
            <w:pPr>
              <w:pStyle w:val="TableParagraph"/>
              <w:spacing w:line="240" w:lineRule="auto" w:before="37"/>
              <w:ind w:left="612" w:right="0"/>
              <w:jc w:val="left"/>
              <w:rPr>
                <w:rFonts w:ascii="宋体" w:hAnsi="宋体" w:cs="宋体" w:eastAsia="宋体" w:hint="default"/>
                <w:sz w:val="21"/>
                <w:szCs w:val="21"/>
              </w:rPr>
            </w:pPr>
            <w:r>
              <w:rPr>
                <w:rFonts w:ascii="宋体"/>
                <w:sz w:val="21"/>
              </w:rPr>
              <w:t>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4,174,823</w:t>
            </w:r>
          </w:p>
          <w:p>
            <w:pPr>
              <w:pStyle w:val="TableParagraph"/>
              <w:spacing w:line="240" w:lineRule="auto" w:before="37"/>
              <w:ind w:right="17"/>
              <w:jc w:val="right"/>
              <w:rPr>
                <w:rFonts w:ascii="宋体" w:hAnsi="宋体" w:cs="宋体" w:eastAsia="宋体" w:hint="default"/>
                <w:sz w:val="21"/>
                <w:szCs w:val="21"/>
              </w:rPr>
            </w:pPr>
            <w:r>
              <w:rPr>
                <w:rFonts w:ascii="宋体"/>
                <w:sz w:val="21"/>
              </w:rPr>
              <w:t>.26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2,088,696</w:t>
            </w:r>
          </w:p>
          <w:p>
            <w:pPr>
              <w:pStyle w:val="TableParagraph"/>
              <w:spacing w:line="240" w:lineRule="auto" w:before="37"/>
              <w:ind w:right="17"/>
              <w:jc w:val="right"/>
              <w:rPr>
                <w:rFonts w:ascii="宋体" w:hAnsi="宋体" w:cs="宋体" w:eastAsia="宋体" w:hint="default"/>
                <w:sz w:val="21"/>
                <w:szCs w:val="21"/>
              </w:rPr>
            </w:pPr>
            <w:r>
              <w:rPr>
                <w:rFonts w:ascii="宋体"/>
                <w:sz w:val="21"/>
              </w:rPr>
              <w:t>.76</w:t>
            </w:r>
          </w:p>
        </w:tc>
      </w:tr>
    </w:tbl>
    <w:p>
      <w:pPr>
        <w:pStyle w:val="BodyText"/>
        <w:spacing w:line="240" w:lineRule="auto" w:before="28"/>
        <w:ind w:right="2880"/>
        <w:jc w:val="left"/>
      </w:pPr>
      <w:r>
        <w:rPr/>
        <w:t>其他说明：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（4）使用企业集团资产和清偿企业集团债务的重大限制</w:t>
      </w:r>
    </w:p>
    <w:p>
      <w:pPr>
        <w:spacing w:line="240" w:lineRule="auto" w:before="12"/>
        <w:rPr>
          <w:rFonts w:ascii="宋体" w:hAnsi="宋体" w:cs="宋体" w:eastAsia="宋体" w:hint="default"/>
          <w:sz w:val="25"/>
          <w:szCs w:val="25"/>
        </w:rPr>
      </w:pPr>
    </w:p>
    <w:p>
      <w:pPr>
        <w:pStyle w:val="BodyText"/>
        <w:spacing w:line="535" w:lineRule="auto"/>
        <w:ind w:right="3056"/>
        <w:jc w:val="left"/>
      </w:pPr>
      <w:r>
        <w:rPr>
          <w:spacing w:val="-1"/>
        </w:rPr>
        <w:t>（5）向纳入合并财务报表范围的结构化主体提供的财务支持或其他支持</w:t>
      </w:r>
      <w:r>
        <w:rPr>
          <w:spacing w:val="-48"/>
        </w:rPr>
        <w:t> </w:t>
      </w:r>
      <w:r>
        <w:rPr>
          <w:spacing w:val="-48"/>
        </w:rPr>
      </w:r>
      <w:r>
        <w:rPr/>
        <w:t>其他说明：</w:t>
      </w:r>
      <w:r>
        <w:rPr>
          <w:spacing w:val="-102"/>
        </w:rPr>
        <w:t> </w:t>
      </w:r>
      <w:r>
        <w:rPr>
          <w:spacing w:val="-102"/>
        </w:rPr>
      </w:r>
      <w:r>
        <w:rPr/>
        <w:t>2、在子公司的所有者权益份额发生变化且仍控制子公司的交易</w:t>
      </w:r>
    </w:p>
    <w:p>
      <w:pPr>
        <w:pStyle w:val="BodyText"/>
        <w:spacing w:line="240" w:lineRule="auto" w:before="81"/>
        <w:ind w:right="2880"/>
        <w:jc w:val="left"/>
      </w:pPr>
      <w:r>
        <w:rPr/>
        <w:t>（1）在子公司所有者权益份额发生变化的情况说明</w:t>
      </w:r>
    </w:p>
    <w:p>
      <w:pPr>
        <w:spacing w:line="240" w:lineRule="auto" w:before="12"/>
        <w:rPr>
          <w:rFonts w:ascii="宋体" w:hAnsi="宋体" w:cs="宋体" w:eastAsia="宋体" w:hint="default"/>
          <w:sz w:val="25"/>
          <w:szCs w:val="25"/>
        </w:rPr>
      </w:pPr>
    </w:p>
    <w:p>
      <w:pPr>
        <w:pStyle w:val="BodyText"/>
        <w:spacing w:line="535" w:lineRule="auto"/>
        <w:ind w:right="3686"/>
        <w:jc w:val="left"/>
      </w:pPr>
      <w:r>
        <w:rPr>
          <w:spacing w:val="-1"/>
        </w:rPr>
        <w:t>（2）交易对于少数股东权益及归属于母公司所有者权益的影响</w:t>
      </w:r>
      <w:r>
        <w:rPr>
          <w:spacing w:val="-56"/>
        </w:rPr>
        <w:t> </w:t>
      </w:r>
      <w:r>
        <w:rPr>
          <w:spacing w:val="-56"/>
        </w:rPr>
      </w:r>
      <w:r>
        <w:rPr/>
        <w:t>其他说明</w:t>
      </w:r>
    </w:p>
    <w:p>
      <w:pPr>
        <w:pStyle w:val="BodyText"/>
        <w:spacing w:line="240" w:lineRule="auto" w:before="79"/>
        <w:ind w:right="2880"/>
        <w:jc w:val="left"/>
      </w:pPr>
      <w:r>
        <w:rPr/>
        <w:t>3、在合营安排或联营企业中的权益</w:t>
      </w:r>
    </w:p>
    <w:p>
      <w:pPr>
        <w:spacing w:line="240" w:lineRule="auto" w:before="12"/>
        <w:rPr>
          <w:rFonts w:ascii="宋体" w:hAnsi="宋体" w:cs="宋体" w:eastAsia="宋体" w:hint="default"/>
          <w:sz w:val="25"/>
          <w:szCs w:val="25"/>
        </w:rPr>
      </w:pPr>
    </w:p>
    <w:p>
      <w:pPr>
        <w:pStyle w:val="BodyText"/>
        <w:spacing w:line="240" w:lineRule="auto"/>
        <w:ind w:right="2880"/>
        <w:jc w:val="left"/>
      </w:pPr>
      <w:r>
        <w:rPr/>
        <w:t>（1）重要的合营企业或联营企业</w:t>
      </w:r>
    </w:p>
    <w:p>
      <w:pPr>
        <w:spacing w:line="240" w:lineRule="auto" w:before="11"/>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1369"/>
        <w:gridCol w:w="1368"/>
        <w:gridCol w:w="1366"/>
        <w:gridCol w:w="1368"/>
        <w:gridCol w:w="1368"/>
        <w:gridCol w:w="1366"/>
        <w:gridCol w:w="1366"/>
      </w:tblGrid>
      <w:tr>
        <w:trPr>
          <w:trHeight w:val="402" w:hRule="exact"/>
        </w:trPr>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对合营企业或</w:t>
            </w:r>
          </w:p>
        </w:tc>
      </w:tr>
      <w:tr>
        <w:trPr>
          <w:trHeight w:val="579" w:hRule="exact"/>
        </w:trPr>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9"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合营企业或联</w:t>
            </w:r>
          </w:p>
          <w:p>
            <w:pPr>
              <w:pStyle w:val="TableParagraph"/>
              <w:spacing w:line="240" w:lineRule="auto" w:before="34"/>
              <w:ind w:left="3" w:right="0"/>
              <w:jc w:val="center"/>
              <w:rPr>
                <w:rFonts w:ascii="宋体" w:hAnsi="宋体" w:cs="宋体" w:eastAsia="宋体" w:hint="default"/>
                <w:sz w:val="21"/>
                <w:szCs w:val="21"/>
              </w:rPr>
            </w:pPr>
            <w:r>
              <w:rPr>
                <w:rFonts w:ascii="宋体" w:hAnsi="宋体" w:cs="宋体" w:eastAsia="宋体" w:hint="default"/>
                <w:sz w:val="21"/>
                <w:szCs w:val="21"/>
              </w:rPr>
              <w:t>营企业名称</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0"/>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0"/>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0"/>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7" w:lineRule="exact"/>
              <w:ind w:left="48" w:right="0"/>
              <w:jc w:val="left"/>
              <w:rPr>
                <w:rFonts w:ascii="宋体" w:hAnsi="宋体" w:cs="宋体" w:eastAsia="宋体" w:hint="default"/>
                <w:sz w:val="21"/>
                <w:szCs w:val="21"/>
              </w:rPr>
            </w:pPr>
            <w:r>
              <w:rPr>
                <w:rFonts w:ascii="宋体" w:hAnsi="宋体" w:cs="宋体" w:eastAsia="宋体" w:hint="default"/>
                <w:sz w:val="21"/>
                <w:szCs w:val="21"/>
              </w:rPr>
              <w:t>联营企业投资</w:t>
            </w:r>
          </w:p>
          <w:p>
            <w:pPr>
              <w:pStyle w:val="TableParagraph"/>
              <w:spacing w:line="240" w:lineRule="auto" w:before="37"/>
              <w:ind w:left="48" w:right="0"/>
              <w:jc w:val="left"/>
              <w:rPr>
                <w:rFonts w:ascii="宋体" w:hAnsi="宋体" w:cs="宋体" w:eastAsia="宋体" w:hint="default"/>
                <w:sz w:val="21"/>
                <w:szCs w:val="21"/>
              </w:rPr>
            </w:pPr>
            <w:r>
              <w:rPr>
                <w:rFonts w:ascii="宋体" w:hAnsi="宋体" w:cs="宋体" w:eastAsia="宋体" w:hint="default"/>
                <w:sz w:val="21"/>
                <w:szCs w:val="21"/>
              </w:rPr>
              <w:t>的会计处理方</w:t>
            </w: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法</w:t>
            </w:r>
          </w:p>
        </w:tc>
      </w:tr>
    </w:tbl>
    <w:p>
      <w:pPr>
        <w:pStyle w:val="BodyText"/>
        <w:spacing w:line="240" w:lineRule="auto" w:before="28"/>
        <w:ind w:right="2880"/>
        <w:jc w:val="left"/>
      </w:pPr>
      <w:r>
        <w:rPr/>
        <w:t>在合营企业或联营企业的持股比例不同于表决权比例的说明：</w:t>
      </w:r>
    </w:p>
    <w:p>
      <w:pPr>
        <w:pStyle w:val="BodyText"/>
        <w:spacing w:line="240" w:lineRule="auto" w:before="75"/>
        <w:ind w:right="0"/>
        <w:jc w:val="left"/>
      </w:pPr>
      <w:r>
        <w:rPr/>
        <w:t>持有</w:t>
      </w:r>
      <w:r>
        <w:rPr>
          <w:spacing w:val="-59"/>
        </w:rPr>
        <w:t> </w:t>
      </w:r>
      <w:r>
        <w:rPr/>
        <w:t>20%以下表决权但具有重大影响，或者持有</w:t>
      </w:r>
      <w:r>
        <w:rPr>
          <w:spacing w:val="-59"/>
        </w:rPr>
        <w:t> </w:t>
      </w:r>
      <w:r>
        <w:rPr/>
        <w:t>20%或以上表决权但不具有重大影响的依据：</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7" w:lineRule="auto" w:before="36"/>
        <w:ind w:right="6516"/>
        <w:jc w:val="left"/>
      </w:pPr>
      <w:r>
        <w:rPr/>
        <w:t>（2）重要合营企业的主要财务信息</w:t>
      </w:r>
      <w:r>
        <w:rPr>
          <w:spacing w:val="-93"/>
        </w:rPr>
        <w:t> </w:t>
      </w:r>
      <w:r>
        <w:rPr>
          <w:spacing w:val="-93"/>
        </w:rPr>
      </w:r>
      <w:r>
        <w:rPr/>
        <w:t>其他说明</w:t>
      </w:r>
    </w:p>
    <w:p>
      <w:pPr>
        <w:pStyle w:val="BodyText"/>
        <w:spacing w:line="537" w:lineRule="auto" w:before="74"/>
        <w:ind w:right="6516"/>
        <w:jc w:val="left"/>
      </w:pPr>
      <w:r>
        <w:rPr/>
        <w:t>（3）重要联营企业的主要财务信息</w:t>
      </w:r>
      <w:r>
        <w:rPr>
          <w:spacing w:val="-93"/>
        </w:rPr>
        <w:t> </w:t>
      </w:r>
      <w:r>
        <w:rPr>
          <w:spacing w:val="-93"/>
        </w:rPr>
      </w:r>
      <w:r>
        <w:rPr/>
        <w:t>其他说明</w:t>
      </w:r>
    </w:p>
    <w:p>
      <w:pPr>
        <w:pStyle w:val="BodyText"/>
        <w:spacing w:line="240" w:lineRule="auto" w:before="76"/>
        <w:ind w:right="2880"/>
        <w:jc w:val="left"/>
      </w:pPr>
      <w:r>
        <w:rPr/>
        <w:t>（4）不重要的合营企业和联营企业的汇总财务信息</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2880"/>
        <w:jc w:val="left"/>
      </w:pPr>
      <w:r>
        <w:rPr/>
        <w:t>其他说明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（5）合营企业或联营企业向本公司转移资金的能力存在重大限制的说明</w:t>
      </w:r>
    </w:p>
    <w:p>
      <w:pPr>
        <w:spacing w:line="240" w:lineRule="auto" w:before="12"/>
        <w:rPr>
          <w:rFonts w:ascii="宋体" w:hAnsi="宋体" w:cs="宋体" w:eastAsia="宋体" w:hint="default"/>
          <w:sz w:val="25"/>
          <w:szCs w:val="25"/>
        </w:rPr>
      </w:pPr>
    </w:p>
    <w:p>
      <w:pPr>
        <w:pStyle w:val="BodyText"/>
        <w:spacing w:line="240" w:lineRule="auto"/>
        <w:ind w:right="2880"/>
        <w:jc w:val="left"/>
      </w:pPr>
      <w:r>
        <w:rPr/>
        <w:t>（6）合营企业或联营企业发生的超额亏损</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389"/>
        <w:gridCol w:w="2393"/>
        <w:gridCol w:w="2390"/>
        <w:gridCol w:w="2395"/>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累积未确认前期累计认的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损失</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350" w:right="29" w:hanging="315"/>
              <w:jc w:val="left"/>
              <w:rPr>
                <w:rFonts w:ascii="宋体" w:hAnsi="宋体" w:cs="宋体" w:eastAsia="宋体" w:hint="default"/>
                <w:sz w:val="21"/>
                <w:szCs w:val="21"/>
              </w:rPr>
            </w:pPr>
            <w:r>
              <w:rPr>
                <w:rFonts w:ascii="宋体" w:hAnsi="宋体" w:cs="宋体" w:eastAsia="宋体" w:hint="default"/>
                <w:spacing w:val="-2"/>
                <w:sz w:val="21"/>
                <w:szCs w:val="21"/>
              </w:rPr>
              <w:t>本期未确认的损失（或本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期分享的净利润）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本期末累积未确认的损失</w:t>
            </w:r>
          </w:p>
        </w:tc>
      </w:tr>
    </w:tbl>
    <w:p>
      <w:pPr>
        <w:pStyle w:val="BodyText"/>
        <w:spacing w:line="240" w:lineRule="auto" w:before="28"/>
        <w:ind w:right="2880"/>
        <w:jc w:val="left"/>
      </w:pPr>
      <w:r>
        <w:rPr/>
        <w:t>其他说明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（7）与合营企业投资相关的未确认承诺</w:t>
      </w:r>
    </w:p>
    <w:p>
      <w:pPr>
        <w:spacing w:line="240" w:lineRule="auto" w:before="12"/>
        <w:rPr>
          <w:rFonts w:ascii="宋体" w:hAnsi="宋体" w:cs="宋体" w:eastAsia="宋体" w:hint="default"/>
          <w:sz w:val="25"/>
          <w:szCs w:val="25"/>
        </w:rPr>
      </w:pPr>
    </w:p>
    <w:p>
      <w:pPr>
        <w:pStyle w:val="BodyText"/>
        <w:spacing w:line="537" w:lineRule="auto"/>
        <w:ind w:right="4492"/>
        <w:jc w:val="left"/>
      </w:pPr>
      <w:r>
        <w:rPr>
          <w:spacing w:val="-1"/>
        </w:rPr>
        <w:t>（8）与合营企业或联营企业投资相关的或有负债</w:t>
      </w:r>
      <w:r>
        <w:rPr>
          <w:spacing w:val="-67"/>
        </w:rPr>
        <w:t> </w:t>
      </w:r>
      <w:r>
        <w:rPr>
          <w:spacing w:val="-67"/>
        </w:rPr>
      </w:r>
      <w:r>
        <w:rPr/>
        <w:t>4、重要的共同经营</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5"/>
        <w:gridCol w:w="1596"/>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92" w:right="0"/>
              <w:jc w:val="left"/>
              <w:rPr>
                <w:rFonts w:ascii="宋体" w:hAnsi="宋体" w:cs="宋体" w:eastAsia="宋体" w:hint="default"/>
                <w:sz w:val="21"/>
                <w:szCs w:val="21"/>
              </w:rPr>
            </w:pPr>
            <w:r>
              <w:rPr>
                <w:rFonts w:ascii="宋体" w:hAnsi="宋体" w:cs="宋体" w:eastAsia="宋体" w:hint="default"/>
                <w:sz w:val="21"/>
                <w:szCs w:val="21"/>
              </w:rPr>
              <w:t>持股比例/享有的份额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间接</w:t>
            </w:r>
          </w:p>
        </w:tc>
      </w:tr>
    </w:tbl>
    <w:p>
      <w:pPr>
        <w:pStyle w:val="BodyText"/>
        <w:spacing w:line="307" w:lineRule="auto" w:before="28"/>
        <w:ind w:right="2880"/>
        <w:jc w:val="left"/>
      </w:pPr>
      <w:r>
        <w:rPr>
          <w:spacing w:val="-2"/>
        </w:rPr>
        <w:t>在共同经营中的持股比例或享有的份额不同于表决权比例的说明：</w:t>
      </w:r>
      <w:r>
        <w:rPr>
          <w:spacing w:val="-50"/>
        </w:rPr>
        <w:t> </w:t>
      </w:r>
      <w:r>
        <w:rPr>
          <w:spacing w:val="-50"/>
        </w:rPr>
      </w:r>
      <w:r>
        <w:rPr/>
        <w:t>共同经营为单独主体的，分类为共同经营的依据：</w:t>
      </w:r>
    </w:p>
    <w:p>
      <w:pPr>
        <w:pStyle w:val="BodyText"/>
        <w:spacing w:line="535" w:lineRule="auto" w:before="16"/>
        <w:ind w:right="4492"/>
        <w:jc w:val="left"/>
      </w:pPr>
      <w:r>
        <w:rPr/>
        <w:t>其他说明</w:t>
      </w:r>
      <w:r>
        <w:rPr>
          <w:w w:val="100"/>
        </w:rPr>
        <w:t> </w:t>
      </w:r>
      <w:r>
        <w:rPr>
          <w:spacing w:val="-1"/>
        </w:rPr>
        <w:t>5、在未纳入合并财务报表范围的结构化主体中的权益</w:t>
      </w:r>
    </w:p>
    <w:p>
      <w:pPr>
        <w:pStyle w:val="BodyText"/>
        <w:spacing w:line="240" w:lineRule="auto" w:before="81"/>
        <w:ind w:right="2880"/>
        <w:jc w:val="left"/>
      </w:pPr>
      <w:r>
        <w:rPr/>
        <w:t>未纳入合并财务报表范围的结构化主体的相关说明：</w:t>
      </w:r>
    </w:p>
    <w:p>
      <w:pPr>
        <w:spacing w:after="0" w:line="240" w:lineRule="auto"/>
        <w:jc w:val="left"/>
        <w:sectPr>
          <w:footerReference w:type="default" r:id="rId29"/>
          <w:pgSz w:w="11910" w:h="16840"/>
          <w:pgMar w:footer="979" w:header="747" w:top="1060" w:bottom="1160" w:left="980" w:right="980"/>
          <w:pgNumType w:start="148"/>
        </w:sectPr>
      </w:pPr>
    </w:p>
    <w:p>
      <w:pPr>
        <w:spacing w:line="240" w:lineRule="auto" w:before="10"/>
        <w:rPr>
          <w:rFonts w:ascii="宋体" w:hAnsi="宋体" w:cs="宋体" w:eastAsia="宋体" w:hint="default"/>
          <w:sz w:val="24"/>
          <w:szCs w:val="24"/>
        </w:rPr>
      </w:pPr>
    </w:p>
    <w:p>
      <w:pPr>
        <w:pStyle w:val="BodyText"/>
        <w:spacing w:line="535" w:lineRule="auto" w:before="36"/>
        <w:ind w:right="6621"/>
        <w:jc w:val="left"/>
      </w:pPr>
      <w:r>
        <w:rPr/>
        <w:t>6、其他</w:t>
      </w:r>
      <w:r>
        <w:rPr>
          <w:spacing w:val="-101"/>
        </w:rPr>
        <w:t> </w:t>
      </w:r>
      <w:r>
        <w:rPr>
          <w:spacing w:val="-1"/>
        </w:rPr>
        <w:t>十、与金融工具相关的风险</w:t>
      </w:r>
      <w:r>
        <w:rPr>
          <w:spacing w:val="-85"/>
        </w:rPr>
        <w:t> </w:t>
      </w:r>
      <w:r>
        <w:rPr>
          <w:spacing w:val="-85"/>
        </w:rPr>
      </w:r>
      <w:r>
        <w:rPr/>
        <w:t>十一、公允价值的披露</w:t>
      </w:r>
    </w:p>
    <w:p>
      <w:pPr>
        <w:pStyle w:val="BodyText"/>
        <w:spacing w:line="240" w:lineRule="auto" w:before="81"/>
        <w:ind w:right="2880"/>
        <w:jc w:val="left"/>
      </w:pPr>
      <w:r>
        <w:rPr/>
        <w:t>1、以公允价值计量的资产和负债的期末公允价值</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93"/>
        <w:gridCol w:w="1836"/>
        <w:gridCol w:w="1913"/>
        <w:gridCol w:w="1913"/>
        <w:gridCol w:w="1915"/>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03" w:right="67" w:hanging="629"/>
              <w:jc w:val="left"/>
              <w:rPr>
                <w:rFonts w:ascii="宋体" w:hAnsi="宋体" w:cs="宋体" w:eastAsia="宋体" w:hint="default"/>
                <w:sz w:val="21"/>
                <w:szCs w:val="21"/>
              </w:rPr>
            </w:pPr>
            <w:r>
              <w:rPr>
                <w:rFonts w:ascii="宋体" w:hAnsi="宋体" w:cs="宋体" w:eastAsia="宋体" w:hint="default"/>
                <w:sz w:val="21"/>
                <w:szCs w:val="21"/>
              </w:rPr>
              <w:t>第一层次公允价值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41" w:right="105" w:hanging="629"/>
              <w:jc w:val="left"/>
              <w:rPr>
                <w:rFonts w:ascii="宋体" w:hAnsi="宋体" w:cs="宋体" w:eastAsia="宋体" w:hint="default"/>
                <w:sz w:val="21"/>
                <w:szCs w:val="21"/>
              </w:rPr>
            </w:pPr>
            <w:r>
              <w:rPr>
                <w:rFonts w:ascii="宋体" w:hAnsi="宋体" w:cs="宋体" w:eastAsia="宋体" w:hint="default"/>
                <w:sz w:val="21"/>
                <w:szCs w:val="21"/>
              </w:rPr>
              <w:t>第二层次公允价值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41" w:right="105" w:hanging="629"/>
              <w:jc w:val="left"/>
              <w:rPr>
                <w:rFonts w:ascii="宋体" w:hAnsi="宋体" w:cs="宋体" w:eastAsia="宋体" w:hint="default"/>
                <w:sz w:val="21"/>
                <w:szCs w:val="21"/>
              </w:rPr>
            </w:pPr>
            <w:r>
              <w:rPr>
                <w:rFonts w:ascii="宋体" w:hAnsi="宋体" w:cs="宋体" w:eastAsia="宋体" w:hint="default"/>
                <w:sz w:val="21"/>
                <w:szCs w:val="21"/>
              </w:rPr>
              <w:t>第三层次公允价值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13"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65"/>
              <w:jc w:val="left"/>
              <w:rPr>
                <w:rFonts w:ascii="宋体" w:hAnsi="宋体" w:cs="宋体" w:eastAsia="宋体" w:hint="default"/>
                <w:sz w:val="21"/>
                <w:szCs w:val="21"/>
              </w:rPr>
            </w:pPr>
            <w:r>
              <w:rPr>
                <w:rFonts w:ascii="宋体" w:hAnsi="宋体" w:cs="宋体" w:eastAsia="宋体" w:hint="default"/>
                <w:sz w:val="21"/>
                <w:szCs w:val="21"/>
              </w:rPr>
              <w:t>一、持续的公允价值</w:t>
            </w:r>
            <w:r>
              <w:rPr>
                <w:rFonts w:ascii="宋体" w:hAnsi="宋体" w:cs="宋体" w:eastAsia="宋体" w:hint="default"/>
                <w:w w:val="100"/>
                <w:sz w:val="21"/>
                <w:szCs w:val="21"/>
              </w:rPr>
              <w:t> </w:t>
            </w:r>
            <w:r>
              <w:rPr>
                <w:rFonts w:ascii="宋体" w:hAnsi="宋体" w:cs="宋体" w:eastAsia="宋体" w:hint="default"/>
                <w:sz w:val="21"/>
                <w:szCs w:val="21"/>
              </w:rPr>
              <w:t>计量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65"/>
              <w:jc w:val="left"/>
              <w:rPr>
                <w:rFonts w:ascii="宋体" w:hAnsi="宋体" w:cs="宋体" w:eastAsia="宋体" w:hint="default"/>
                <w:sz w:val="21"/>
                <w:szCs w:val="21"/>
              </w:rPr>
            </w:pPr>
            <w:r>
              <w:rPr>
                <w:rFonts w:ascii="宋体" w:hAnsi="宋体" w:cs="宋体" w:eastAsia="宋体" w:hint="default"/>
                <w:sz w:val="21"/>
                <w:szCs w:val="21"/>
              </w:rPr>
              <w:t>二、非持续的公允价</w:t>
            </w:r>
            <w:r>
              <w:rPr>
                <w:rFonts w:ascii="宋体" w:hAnsi="宋体" w:cs="宋体" w:eastAsia="宋体" w:hint="default"/>
                <w:w w:val="100"/>
                <w:sz w:val="21"/>
                <w:szCs w:val="21"/>
              </w:rPr>
              <w:t> </w:t>
            </w:r>
            <w:r>
              <w:rPr>
                <w:rFonts w:ascii="宋体" w:hAnsi="宋体" w:cs="宋体" w:eastAsia="宋体" w:hint="default"/>
                <w:sz w:val="21"/>
                <w:szCs w:val="21"/>
              </w:rPr>
              <w:t>值计量</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19"/>
          <w:szCs w:val="19"/>
        </w:rPr>
      </w:pPr>
    </w:p>
    <w:p>
      <w:pPr>
        <w:spacing w:line="501" w:lineRule="auto" w:before="36"/>
        <w:ind w:left="154" w:right="0" w:firstLine="0"/>
        <w:jc w:val="left"/>
        <w:rPr>
          <w:rFonts w:ascii="宋体" w:hAnsi="宋体" w:cs="宋体" w:eastAsia="宋体" w:hint="default"/>
          <w:sz w:val="21"/>
          <w:szCs w:val="21"/>
        </w:rPr>
      </w:pPr>
      <w:r>
        <w:rPr>
          <w:rFonts w:ascii="宋体" w:hAnsi="宋体" w:cs="宋体" w:eastAsia="宋体" w:hint="default"/>
          <w:sz w:val="21"/>
          <w:szCs w:val="21"/>
        </w:rPr>
        <w:t>2、持续和非持续第一层次公允价值计量项目市价的确定依据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4"/>
          <w:szCs w:val="24"/>
        </w:rPr>
        <w:t>相同资产或负债在活跃市场中的报价（未经调整的）。</w:t>
      </w:r>
      <w:r>
        <w:rPr>
          <w:rFonts w:ascii="宋体" w:hAnsi="宋体" w:cs="宋体" w:eastAsia="宋体" w:hint="default"/>
          <w:sz w:val="24"/>
          <w:szCs w:val="24"/>
        </w:rPr>
        <w:t> </w:t>
      </w:r>
      <w:r>
        <w:rPr>
          <w:rFonts w:ascii="宋体" w:hAnsi="宋体" w:cs="宋体" w:eastAsia="宋体" w:hint="default"/>
          <w:sz w:val="21"/>
          <w:szCs w:val="21"/>
        </w:rPr>
        <w:t>3、持续和非持续第二层次公允价值计量项目，采用的估值技术和重要参数的定性及定量信息</w:t>
      </w:r>
    </w:p>
    <w:p>
      <w:pPr>
        <w:spacing w:line="312" w:lineRule="exact" w:before="111"/>
        <w:ind w:left="154" w:right="0" w:firstLine="0"/>
        <w:jc w:val="left"/>
        <w:rPr>
          <w:rFonts w:ascii="宋体" w:hAnsi="宋体" w:cs="宋体" w:eastAsia="宋体" w:hint="default"/>
          <w:sz w:val="24"/>
          <w:szCs w:val="24"/>
        </w:rPr>
      </w:pPr>
      <w:r>
        <w:rPr>
          <w:rFonts w:ascii="宋体" w:hAnsi="宋体" w:cs="宋体" w:eastAsia="宋体" w:hint="default"/>
          <w:sz w:val="24"/>
          <w:szCs w:val="24"/>
        </w:rPr>
        <w:t>直接（即价格）或间接（即从价格推导出）地使用除第一层次中的资产或负债的市场报价之</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外的可观察输入值。</w:t>
      </w:r>
    </w:p>
    <w:p>
      <w:pPr>
        <w:spacing w:line="240" w:lineRule="auto" w:before="9"/>
        <w:rPr>
          <w:rFonts w:ascii="宋体" w:hAnsi="宋体" w:cs="宋体" w:eastAsia="宋体" w:hint="default"/>
          <w:sz w:val="22"/>
          <w:szCs w:val="22"/>
        </w:rPr>
      </w:pPr>
    </w:p>
    <w:p>
      <w:pPr>
        <w:pStyle w:val="BodyText"/>
        <w:spacing w:line="240" w:lineRule="auto"/>
        <w:ind w:right="0"/>
        <w:jc w:val="left"/>
      </w:pPr>
      <w:r>
        <w:rPr/>
        <w:t>4、持续和非持续第三层次公允价值计量项目，采用的估值技术和重要参数的定性及定量信息</w:t>
      </w:r>
    </w:p>
    <w:p>
      <w:pPr>
        <w:spacing w:line="240" w:lineRule="auto" w:before="11"/>
        <w:rPr>
          <w:rFonts w:ascii="宋体" w:hAnsi="宋体" w:cs="宋体" w:eastAsia="宋体" w:hint="default"/>
          <w:sz w:val="23"/>
          <w:szCs w:val="23"/>
        </w:rPr>
      </w:pPr>
    </w:p>
    <w:p>
      <w:pPr>
        <w:spacing w:line="403" w:lineRule="auto"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资产或负债使用了任何非基于可观察市场数据的输入值（不可观察输入值）。 不以公允价值计量但披露其公允价值的项目和金额</w:t>
      </w:r>
    </w:p>
    <w:p>
      <w:pPr>
        <w:pStyle w:val="BodyText"/>
        <w:spacing w:line="240" w:lineRule="auto" w:before="162"/>
        <w:ind w:right="0"/>
        <w:jc w:val="left"/>
      </w:pPr>
      <w:r>
        <w:rPr/>
        <w:t>5、持续的第三层次公允价值计量项目，期初与期末账面价值间的调节信息及不可观察参数敏感性分析</w:t>
      </w:r>
    </w:p>
    <w:p>
      <w:pPr>
        <w:spacing w:line="240" w:lineRule="auto" w:before="10"/>
        <w:rPr>
          <w:rFonts w:ascii="宋体" w:hAnsi="宋体" w:cs="宋体" w:eastAsia="宋体" w:hint="default"/>
          <w:sz w:val="25"/>
          <w:szCs w:val="25"/>
        </w:rPr>
      </w:pPr>
    </w:p>
    <w:p>
      <w:pPr>
        <w:pStyle w:val="BodyText"/>
        <w:spacing w:line="240" w:lineRule="auto"/>
        <w:ind w:right="0"/>
        <w:jc w:val="left"/>
      </w:pPr>
      <w:r>
        <w:rPr/>
        <w:t>6、持续的公允价值计量项目，本期内发生各层级之间转换的，转换的原因及确定转换时点的政策</w:t>
      </w:r>
    </w:p>
    <w:p>
      <w:pPr>
        <w:spacing w:line="240" w:lineRule="auto" w:before="12"/>
        <w:rPr>
          <w:rFonts w:ascii="宋体" w:hAnsi="宋体" w:cs="宋体" w:eastAsia="宋体" w:hint="default"/>
          <w:sz w:val="25"/>
          <w:szCs w:val="25"/>
        </w:rPr>
      </w:pPr>
    </w:p>
    <w:p>
      <w:pPr>
        <w:pStyle w:val="BodyText"/>
        <w:spacing w:line="240" w:lineRule="auto"/>
        <w:ind w:right="2880"/>
        <w:jc w:val="left"/>
      </w:pPr>
      <w:r>
        <w:rPr/>
        <w:t>7、本期内发生的估值技术变更及变更原因</w:t>
      </w:r>
    </w:p>
    <w:p>
      <w:pPr>
        <w:spacing w:line="240" w:lineRule="auto" w:before="10"/>
        <w:rPr>
          <w:rFonts w:ascii="宋体" w:hAnsi="宋体" w:cs="宋体" w:eastAsia="宋体" w:hint="default"/>
          <w:sz w:val="25"/>
          <w:szCs w:val="25"/>
        </w:rPr>
      </w:pPr>
    </w:p>
    <w:p>
      <w:pPr>
        <w:pStyle w:val="BodyText"/>
        <w:spacing w:line="240" w:lineRule="auto"/>
        <w:ind w:right="2880"/>
        <w:jc w:val="left"/>
      </w:pPr>
      <w:r>
        <w:rPr/>
        <w:t>8、不以公允价值计量的金融资产和金融负债的公允价值情况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9、其他</w:t>
      </w:r>
    </w:p>
    <w:p>
      <w:pPr>
        <w:spacing w:line="240" w:lineRule="auto" w:before="13"/>
        <w:rPr>
          <w:rFonts w:ascii="宋体" w:hAnsi="宋体" w:cs="宋体" w:eastAsia="宋体" w:hint="default"/>
          <w:sz w:val="25"/>
          <w:szCs w:val="25"/>
        </w:rPr>
      </w:pPr>
    </w:p>
    <w:p>
      <w:pPr>
        <w:spacing w:line="312" w:lineRule="exact"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本公司以摊余成本计量的金融资产和金融负债主要包括：货币资金、应收票据、应收账款、</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其他应收款、短期借款、应付票据、应付账款、其他应付款等。</w:t>
      </w:r>
    </w:p>
    <w:p>
      <w:pPr>
        <w:spacing w:after="0" w:line="312" w:lineRule="exact"/>
        <w:jc w:val="left"/>
        <w:rPr>
          <w:rFonts w:ascii="宋体" w:hAnsi="宋体" w:cs="宋体" w:eastAsia="宋体" w:hint="default"/>
          <w:sz w:val="24"/>
          <w:szCs w:val="24"/>
        </w:rPr>
        <w:sectPr>
          <w:pgSz w:w="11910" w:h="16840"/>
          <w:pgMar w:header="747" w:footer="979" w:top="1060" w:bottom="1160" w:left="980" w:right="980"/>
        </w:sectPr>
      </w:pPr>
    </w:p>
    <w:p>
      <w:pPr>
        <w:spacing w:line="240" w:lineRule="auto" w:before="6"/>
        <w:rPr>
          <w:rFonts w:ascii="宋体" w:hAnsi="宋体" w:cs="宋体" w:eastAsia="宋体" w:hint="default"/>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本公司上述不以公允价值计量的金融资产和金融负债的账面价值与公允价值相差很小。</w:t>
      </w:r>
    </w:p>
    <w:p>
      <w:pPr>
        <w:spacing w:line="240" w:lineRule="auto" w:before="12"/>
        <w:rPr>
          <w:rFonts w:ascii="宋体" w:hAnsi="宋体" w:cs="宋体" w:eastAsia="宋体" w:hint="default"/>
          <w:sz w:val="24"/>
          <w:szCs w:val="24"/>
        </w:rPr>
      </w:pPr>
    </w:p>
    <w:p>
      <w:pPr>
        <w:pStyle w:val="BodyText"/>
        <w:spacing w:line="537" w:lineRule="auto"/>
        <w:ind w:right="7461"/>
        <w:jc w:val="left"/>
      </w:pPr>
      <w:r>
        <w:rPr/>
        <w:t>十二、关联方及关联交易</w:t>
      </w:r>
      <w:r>
        <w:rPr>
          <w:spacing w:val="-95"/>
        </w:rPr>
        <w:t> </w:t>
      </w:r>
      <w:r>
        <w:rPr>
          <w:spacing w:val="-95"/>
        </w:rPr>
      </w:r>
      <w:r>
        <w:rPr/>
        <w:t>1、本企业的母公司情况</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66" w:right="50" w:hanging="209"/>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163" w:right="53" w:hanging="106"/>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的表决权比例</w:t>
            </w:r>
          </w:p>
        </w:tc>
      </w:tr>
    </w:tbl>
    <w:p>
      <w:pPr>
        <w:pStyle w:val="BodyText"/>
        <w:spacing w:line="307" w:lineRule="auto" w:before="28"/>
        <w:ind w:right="7146"/>
        <w:jc w:val="left"/>
      </w:pPr>
      <w:r>
        <w:rPr>
          <w:spacing w:val="-2"/>
        </w:rPr>
        <w:t>本企业的母公司情况的说明</w:t>
      </w:r>
      <w:r>
        <w:rPr>
          <w:spacing w:val="-82"/>
        </w:rPr>
        <w:t> </w:t>
      </w:r>
      <w:r>
        <w:rPr>
          <w:spacing w:val="-82"/>
        </w:rPr>
      </w:r>
      <w:r>
        <w:rPr/>
        <w:t>本企业最终控制方是。</w:t>
      </w:r>
      <w:r>
        <w:rPr>
          <w:w w:val="100"/>
        </w:rPr>
        <w:t> </w:t>
      </w:r>
      <w:r>
        <w:rPr/>
        <w:t>其他说明：</w:t>
      </w:r>
    </w:p>
    <w:p>
      <w:pPr>
        <w:spacing w:line="240" w:lineRule="auto" w:before="1"/>
        <w:rPr>
          <w:rFonts w:ascii="宋体" w:hAnsi="宋体" w:cs="宋体" w:eastAsia="宋体" w:hint="default"/>
          <w:sz w:val="21"/>
          <w:szCs w:val="21"/>
        </w:rPr>
      </w:pPr>
    </w:p>
    <w:p>
      <w:pPr>
        <w:pStyle w:val="BodyText"/>
        <w:spacing w:line="535" w:lineRule="auto"/>
        <w:ind w:right="4492"/>
        <w:jc w:val="left"/>
      </w:pPr>
      <w:r>
        <w:rPr/>
        <w:t>2、本企业的子公司情况</w:t>
      </w:r>
      <w:r>
        <w:rPr>
          <w:spacing w:val="-93"/>
        </w:rPr>
        <w:t> </w:t>
      </w:r>
      <w:r>
        <w:rPr>
          <w:spacing w:val="-2"/>
        </w:rPr>
        <w:t>本企业子公司的情况详见附注第四章第六点。</w:t>
      </w:r>
      <w:r>
        <w:rPr>
          <w:spacing w:val="-66"/>
        </w:rPr>
        <w:t> </w:t>
      </w:r>
      <w:r>
        <w:rPr>
          <w:spacing w:val="-66"/>
        </w:rPr>
      </w:r>
      <w:r>
        <w:rPr/>
        <w:t>3、本企业合营和联营企业情况</w:t>
      </w:r>
    </w:p>
    <w:p>
      <w:pPr>
        <w:pStyle w:val="BodyText"/>
        <w:spacing w:line="290" w:lineRule="auto" w:before="81"/>
        <w:ind w:right="229"/>
        <w:jc w:val="left"/>
      </w:pPr>
      <w:r>
        <w:rPr/>
        <w:t>本企业重要的合营或联营企业详见附注。</w:t>
      </w:r>
      <w:r>
        <w:rPr>
          <w:w w:val="100"/>
        </w:rPr>
        <w:t> </w:t>
      </w:r>
      <w:r>
        <w:rPr>
          <w:spacing w:val="-2"/>
        </w:rPr>
        <w:t>本期与本公司发生关联方交易，或前期与本公司发生关联方交易形成余额的其他合营或联营企业情况如</w:t>
      </w:r>
      <w:r>
        <w:rPr>
          <w:spacing w:val="-22"/>
        </w:rPr>
        <w:t> </w:t>
      </w:r>
      <w:r>
        <w:rPr>
          <w:spacing w:val="-22"/>
        </w:rPr>
      </w:r>
      <w:r>
        <w:rPr/>
        <w:t>下：</w:t>
      </w:r>
    </w:p>
    <w:p>
      <w:pPr>
        <w:spacing w:line="240" w:lineRule="auto" w:before="2"/>
        <w:rPr>
          <w:rFonts w:ascii="宋体" w:hAnsi="宋体" w:cs="宋体" w:eastAsia="宋体" w:hint="default"/>
          <w:sz w:val="3"/>
          <w:szCs w:val="3"/>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759;top:14;width:24;height:394" coordorigin="4759,14" coordsize="24,394">
              <v:shape style="position:absolute;left:4759;top:14;width:24;height:394" coordorigin="4759,14" coordsize="24,394" path="m4759,408l4783,408,4783,14,4759,14,4759,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726;height:394" coordorigin="34,14" coordsize="4726,394">
              <v:shape style="position:absolute;left:34;top:14;width:4726;height:394" coordorigin="34,14" coordsize="4726,394" path="m34,14l4759,14,4759,408,34,408,34,14xe" filled="true" fillcolor="#d3d3d3" stroked="false">
                <v:path arrowok="t"/>
                <v:fill type="solid"/>
              </v:shape>
            </v:group>
            <v:group style="position:absolute;left:4793;top:14;width:24;height:394" coordorigin="4793,14" coordsize="24,394">
              <v:shape style="position:absolute;left:4793;top:14;width:24;height:394" coordorigin="4793,14" coordsize="24,394" path="m4793,408l4817,408,4817,14,4793,14,4793,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4817;top:14;width:4728;height:394" coordorigin="4817,14" coordsize="4728,394">
              <v:shape style="position:absolute;left:4817;top:14;width:4728;height:394" coordorigin="4817,14" coordsize="4728,394" path="m4817,14l9545,14,9545,408,4817,408,4817,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7999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7999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7999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6;top:10;width:4782;height:404" type="#_x0000_t202" filled="false" stroked="false">
                <v:textbox inset="0,0,0,0">
                  <w:txbxContent>
                    <w:p>
                      <w:pPr>
                        <w:spacing w:before="33"/>
                        <w:ind w:left="1443" w:right="0" w:firstLine="0"/>
                        <w:jc w:val="left"/>
                        <w:rPr>
                          <w:rFonts w:ascii="宋体" w:hAnsi="宋体" w:cs="宋体" w:eastAsia="宋体" w:hint="default"/>
                          <w:sz w:val="21"/>
                          <w:szCs w:val="21"/>
                        </w:rPr>
                      </w:pPr>
                      <w:r>
                        <w:rPr>
                          <w:rFonts w:ascii="宋体" w:hAnsi="宋体" w:cs="宋体" w:eastAsia="宋体" w:hint="default"/>
                          <w:sz w:val="21"/>
                          <w:szCs w:val="21"/>
                        </w:rPr>
                        <w:t>合营或联营企业名称</w:t>
                      </w:r>
                    </w:p>
                  </w:txbxContent>
                </v:textbox>
                <w10:wrap type="none"/>
              </v:shape>
              <v:shape style="position:absolute;left:4788;top:10;width:4786;height:404" type="#_x0000_t202" filled="false" stroked="false">
                <v:textbox inset="0,0,0,0">
                  <w:txbxContent>
                    <w:p>
                      <w:pPr>
                        <w:spacing w:before="33"/>
                        <w:ind w:left="4" w:right="0" w:firstLine="0"/>
                        <w:jc w:val="center"/>
                        <w:rPr>
                          <w:rFonts w:ascii="宋体" w:hAnsi="宋体" w:cs="宋体" w:eastAsia="宋体" w:hint="default"/>
                          <w:sz w:val="21"/>
                          <w:szCs w:val="21"/>
                        </w:rPr>
                      </w:pPr>
                      <w:r>
                        <w:rPr>
                          <w:rFonts w:ascii="宋体" w:hAnsi="宋体" w:cs="宋体" w:eastAsia="宋体" w:hint="default"/>
                          <w:sz w:val="21"/>
                          <w:szCs w:val="21"/>
                        </w:rPr>
                        <w:t>与本企业关系</w:t>
                      </w:r>
                    </w:p>
                  </w:txbxContent>
                </v:textbox>
                <w10:wrap type="none"/>
              </v:shape>
            </v:group>
          </v:group>
        </w:pict>
      </w:r>
      <w:r>
        <w:rPr>
          <w:rFonts w:ascii="宋体" w:hAnsi="宋体" w:cs="宋体" w:eastAsia="宋体" w:hint="default"/>
          <w:position w:val="-7"/>
          <w:sz w:val="20"/>
          <w:szCs w:val="20"/>
        </w:rPr>
      </w:r>
    </w:p>
    <w:p>
      <w:pPr>
        <w:pStyle w:val="BodyText"/>
        <w:spacing w:line="532" w:lineRule="auto" w:before="24"/>
        <w:ind w:right="7986"/>
        <w:jc w:val="left"/>
      </w:pPr>
      <w:r>
        <w:rPr/>
        <w:t>其他说明</w:t>
      </w:r>
      <w:r>
        <w:rPr>
          <w:w w:val="100"/>
        </w:rPr>
        <w:t> </w:t>
      </w:r>
      <w:r>
        <w:rPr/>
        <w:t>4、其他关联方情况</w:t>
      </w:r>
    </w:p>
    <w:p>
      <w:pPr>
        <w:spacing w:line="240" w:lineRule="auto" w:before="4"/>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福州界点科技服务有限公司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同受本公司实际控制人控制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福建开新贸易有限公司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由与本公司实际控制人关系密切的家庭成员控制</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福建鸿博光电科技有限公司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同受本公司实际控制人控制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广州联存医药科技有限公司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同受本公司实际控制人控制</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福建鸿博房地产开发有限公司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同受本公司实际控制人控制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关键管理人员</w:t>
            </w:r>
          </w:p>
        </w:tc>
      </w:tr>
    </w:tbl>
    <w:p>
      <w:pPr>
        <w:pStyle w:val="BodyText"/>
        <w:spacing w:line="532" w:lineRule="auto" w:before="28"/>
        <w:ind w:right="8196"/>
        <w:jc w:val="left"/>
      </w:pPr>
      <w:r>
        <w:rPr/>
        <w:t>其他说明</w:t>
      </w:r>
      <w:r>
        <w:rPr>
          <w:w w:val="100"/>
        </w:rPr>
        <w:t> </w:t>
      </w:r>
      <w:r>
        <w:rPr/>
        <w:t>5、关联交易情况</w:t>
      </w:r>
    </w:p>
    <w:p>
      <w:pPr>
        <w:pStyle w:val="BodyText"/>
        <w:spacing w:line="240" w:lineRule="auto" w:before="83"/>
        <w:ind w:right="2880"/>
        <w:jc w:val="left"/>
      </w:pPr>
      <w:r>
        <w:rPr/>
        <w:t>（1）购销商品、提供和接受劳务的关联交易</w:t>
      </w:r>
    </w:p>
    <w:p>
      <w:pPr>
        <w:spacing w:line="240" w:lineRule="auto" w:before="13"/>
        <w:rPr>
          <w:rFonts w:ascii="宋体" w:hAnsi="宋体" w:cs="宋体" w:eastAsia="宋体" w:hint="default"/>
          <w:sz w:val="22"/>
          <w:szCs w:val="22"/>
        </w:rPr>
      </w:pPr>
    </w:p>
    <w:p>
      <w:pPr>
        <w:pStyle w:val="BodyText"/>
        <w:spacing w:line="240" w:lineRule="auto" w:before="36"/>
        <w:ind w:right="2880"/>
        <w:jc w:val="left"/>
      </w:pPr>
      <w:r>
        <w:rPr/>
        <w:t>采购商品/接受劳务情况表</w:t>
      </w:r>
    </w:p>
    <w:p>
      <w:pPr>
        <w:pStyle w:val="BodyText"/>
        <w:spacing w:line="240" w:lineRule="auto" w:before="78"/>
        <w:ind w:left="0" w:right="147"/>
        <w:jc w:val="right"/>
      </w:pPr>
      <w:r>
        <w:rPr/>
        <w:t>单位：</w:t>
      </w:r>
      <w:r>
        <w:rPr>
          <w:spacing w:val="2"/>
        </w:rPr>
        <w:t> </w:t>
      </w:r>
      <w:r>
        <w:rPr/>
        <w:t>元</w:t>
      </w:r>
    </w:p>
    <w:p>
      <w:pPr>
        <w:spacing w:after="0" w:line="240" w:lineRule="auto"/>
        <w:jc w:val="right"/>
        <w:sectPr>
          <w:footerReference w:type="default" r:id="rId30"/>
          <w:pgSz w:w="11910" w:h="16840"/>
          <w:pgMar w:footer="979" w:header="747" w:top="1060" w:bottom="1160" w:left="980" w:right="980"/>
          <w:pgNumType w:start="15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福建开新贸易有限公司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采购工程设备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2,560,905.80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2,265,997.00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8"/>
              <w:jc w:val="left"/>
              <w:rPr>
                <w:rFonts w:ascii="宋体" w:hAnsi="宋体" w:cs="宋体" w:eastAsia="宋体" w:hint="default"/>
                <w:sz w:val="21"/>
                <w:szCs w:val="21"/>
              </w:rPr>
            </w:pPr>
            <w:r>
              <w:rPr>
                <w:rFonts w:ascii="宋体" w:hAnsi="宋体" w:cs="宋体" w:eastAsia="宋体" w:hint="default"/>
                <w:spacing w:val="-2"/>
                <w:sz w:val="21"/>
                <w:szCs w:val="21"/>
              </w:rPr>
              <w:t>福州界点科技服务有限公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采购无形资产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108,974.36</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48"/>
              <w:jc w:val="left"/>
              <w:rPr>
                <w:rFonts w:ascii="宋体" w:hAnsi="宋体" w:cs="宋体" w:eastAsia="宋体" w:hint="default"/>
                <w:sz w:val="21"/>
                <w:szCs w:val="21"/>
              </w:rPr>
            </w:pPr>
            <w:r>
              <w:rPr>
                <w:rFonts w:ascii="宋体" w:hAnsi="宋体" w:cs="宋体" w:eastAsia="宋体" w:hint="default"/>
                <w:spacing w:val="-2"/>
                <w:sz w:val="21"/>
                <w:szCs w:val="21"/>
              </w:rPr>
              <w:t>福建鸿博光电科技有限公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23,692.31</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829,920.00</w:t>
            </w:r>
          </w:p>
        </w:tc>
      </w:tr>
    </w:tbl>
    <w:p>
      <w:pPr>
        <w:pStyle w:val="BodyText"/>
        <w:spacing w:line="240" w:lineRule="auto" w:before="28"/>
        <w:ind w:right="2880"/>
        <w:jc w:val="left"/>
      </w:pPr>
      <w:r>
        <w:rPr/>
        <w:t>出售商品/提供劳务情况表</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58"/>
        <w:gridCol w:w="2654"/>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48"/>
              <w:jc w:val="left"/>
              <w:rPr>
                <w:rFonts w:ascii="宋体" w:hAnsi="宋体" w:cs="宋体" w:eastAsia="宋体" w:hint="default"/>
                <w:sz w:val="21"/>
                <w:szCs w:val="21"/>
              </w:rPr>
            </w:pPr>
            <w:r>
              <w:rPr>
                <w:rFonts w:ascii="宋体" w:hAnsi="宋体" w:cs="宋体" w:eastAsia="宋体" w:hint="default"/>
                <w:spacing w:val="-2"/>
                <w:sz w:val="21"/>
                <w:szCs w:val="21"/>
              </w:rPr>
              <w:t>福州界点科技服务有限公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1,839.32</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5,364.10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8"/>
              <w:jc w:val="left"/>
              <w:rPr>
                <w:rFonts w:ascii="宋体" w:hAnsi="宋体" w:cs="宋体" w:eastAsia="宋体" w:hint="default"/>
                <w:sz w:val="21"/>
                <w:szCs w:val="21"/>
              </w:rPr>
            </w:pPr>
            <w:r>
              <w:rPr>
                <w:rFonts w:ascii="宋体" w:hAnsi="宋体" w:cs="宋体" w:eastAsia="宋体" w:hint="default"/>
                <w:spacing w:val="-2"/>
                <w:sz w:val="21"/>
                <w:szCs w:val="21"/>
              </w:rPr>
              <w:t>广州联存医药科技有限公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20,164.10</w:t>
            </w:r>
          </w:p>
        </w:tc>
        <w:tc>
          <w:tcPr>
            <w:tcW w:w="265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48"/>
              <w:jc w:val="left"/>
              <w:rPr>
                <w:rFonts w:ascii="宋体" w:hAnsi="宋体" w:cs="宋体" w:eastAsia="宋体" w:hint="default"/>
                <w:sz w:val="21"/>
                <w:szCs w:val="21"/>
              </w:rPr>
            </w:pPr>
            <w:r>
              <w:rPr>
                <w:rFonts w:ascii="宋体" w:hAnsi="宋体" w:cs="宋体" w:eastAsia="宋体" w:hint="default"/>
                <w:spacing w:val="-2"/>
                <w:sz w:val="21"/>
                <w:szCs w:val="21"/>
              </w:rPr>
              <w:t>福建鸿博房地产开发有限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103,653.85</w:t>
            </w:r>
          </w:p>
        </w:tc>
        <w:tc>
          <w:tcPr>
            <w:tcW w:w="26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2880"/>
        <w:jc w:val="left"/>
      </w:pPr>
      <w:r>
        <w:rPr/>
        <w:t>购销商品、提供和接受劳务的关联交易说明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（2）关联受托管理/承包及委托管理/出包情况</w:t>
      </w:r>
    </w:p>
    <w:p>
      <w:pPr>
        <w:spacing w:line="240" w:lineRule="auto" w:before="2"/>
        <w:rPr>
          <w:rFonts w:ascii="宋体" w:hAnsi="宋体" w:cs="宋体" w:eastAsia="宋体" w:hint="default"/>
          <w:sz w:val="23"/>
          <w:szCs w:val="23"/>
        </w:rPr>
      </w:pPr>
    </w:p>
    <w:p>
      <w:pPr>
        <w:pStyle w:val="BodyText"/>
        <w:spacing w:line="240" w:lineRule="auto" w:before="36"/>
        <w:ind w:right="2880"/>
        <w:jc w:val="left"/>
      </w:pPr>
      <w:r>
        <w:rPr/>
        <w:t>本公司受托管理/承包情况表：</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3" w:right="96" w:hanging="262"/>
              <w:jc w:val="left"/>
              <w:rPr>
                <w:rFonts w:ascii="宋体" w:hAnsi="宋体" w:cs="宋体" w:eastAsia="宋体" w:hint="default"/>
                <w:sz w:val="21"/>
                <w:szCs w:val="21"/>
              </w:rPr>
            </w:pPr>
            <w:r>
              <w:rPr>
                <w:rFonts w:ascii="宋体" w:hAnsi="宋体" w:cs="宋体" w:eastAsia="宋体" w:hint="default"/>
                <w:sz w:val="21"/>
                <w:szCs w:val="21"/>
              </w:rPr>
              <w:t>委托方/出包</w:t>
            </w:r>
            <w:r>
              <w:rPr>
                <w:rFonts w:ascii="宋体" w:hAnsi="宋体" w:cs="宋体" w:eastAsia="宋体" w:hint="default"/>
                <w:w w:val="100"/>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2" w:right="98" w:hanging="262"/>
              <w:jc w:val="left"/>
              <w:rPr>
                <w:rFonts w:ascii="宋体" w:hAnsi="宋体" w:cs="宋体" w:eastAsia="宋体" w:hint="default"/>
                <w:sz w:val="21"/>
                <w:szCs w:val="21"/>
              </w:rPr>
            </w:pPr>
            <w:r>
              <w:rPr>
                <w:rFonts w:ascii="宋体" w:hAnsi="宋体" w:cs="宋体" w:eastAsia="宋体" w:hint="default"/>
                <w:sz w:val="21"/>
                <w:szCs w:val="21"/>
              </w:rPr>
              <w:t>受托方/承包</w:t>
            </w:r>
            <w:r>
              <w:rPr>
                <w:rFonts w:ascii="宋体" w:hAnsi="宋体" w:cs="宋体" w:eastAsia="宋体" w:hint="default"/>
                <w:w w:val="100"/>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4" w:right="96" w:hanging="262"/>
              <w:jc w:val="left"/>
              <w:rPr>
                <w:rFonts w:ascii="宋体" w:hAnsi="宋体" w:cs="宋体" w:eastAsia="宋体" w:hint="default"/>
                <w:sz w:val="21"/>
                <w:szCs w:val="21"/>
              </w:rPr>
            </w:pPr>
            <w:r>
              <w:rPr>
                <w:rFonts w:ascii="宋体" w:hAnsi="宋体" w:cs="宋体" w:eastAsia="宋体" w:hint="default"/>
                <w:sz w:val="21"/>
                <w:szCs w:val="21"/>
              </w:rPr>
              <w:t>受托/承包资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68" w:right="96" w:hanging="368"/>
              <w:jc w:val="left"/>
              <w:rPr>
                <w:rFonts w:ascii="宋体" w:hAnsi="宋体" w:cs="宋体" w:eastAsia="宋体" w:hint="default"/>
                <w:sz w:val="21"/>
                <w:szCs w:val="21"/>
              </w:rPr>
            </w:pPr>
            <w:r>
              <w:rPr>
                <w:rFonts w:ascii="宋体" w:hAnsi="宋体" w:cs="宋体" w:eastAsia="宋体" w:hint="default"/>
                <w:sz w:val="21"/>
                <w:szCs w:val="21"/>
              </w:rPr>
              <w:t>受托/承包起</w:t>
            </w:r>
            <w:r>
              <w:rPr>
                <w:rFonts w:ascii="宋体" w:hAnsi="宋体" w:cs="宋体" w:eastAsia="宋体" w:hint="default"/>
                <w:w w:val="100"/>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68" w:right="98" w:hanging="368"/>
              <w:jc w:val="left"/>
              <w:rPr>
                <w:rFonts w:ascii="宋体" w:hAnsi="宋体" w:cs="宋体" w:eastAsia="宋体" w:hint="default"/>
                <w:sz w:val="21"/>
                <w:szCs w:val="21"/>
              </w:rPr>
            </w:pPr>
            <w:r>
              <w:rPr>
                <w:rFonts w:ascii="宋体" w:hAnsi="宋体" w:cs="宋体" w:eastAsia="宋体" w:hint="default"/>
                <w:sz w:val="21"/>
                <w:szCs w:val="21"/>
              </w:rPr>
              <w:t>受托/承包终</w:t>
            </w:r>
            <w:r>
              <w:rPr>
                <w:rFonts w:ascii="宋体" w:hAnsi="宋体" w:cs="宋体" w:eastAsia="宋体" w:hint="default"/>
                <w:w w:val="100"/>
                <w:sz w:val="21"/>
                <w:szCs w:val="21"/>
              </w:rPr>
              <w:t> </w:t>
            </w:r>
            <w:r>
              <w:rPr>
                <w:rFonts w:ascii="宋体" w:hAnsi="宋体" w:cs="宋体" w:eastAsia="宋体" w:hint="default"/>
                <w:sz w:val="21"/>
                <w:szCs w:val="21"/>
              </w:rPr>
              <w:t>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 w:right="43" w:hanging="1"/>
              <w:jc w:val="center"/>
              <w:rPr>
                <w:rFonts w:ascii="宋体" w:hAnsi="宋体" w:cs="宋体" w:eastAsia="宋体" w:hint="default"/>
                <w:sz w:val="21"/>
                <w:szCs w:val="21"/>
              </w:rPr>
            </w:pPr>
            <w:r>
              <w:rPr>
                <w:rFonts w:ascii="宋体" w:hAnsi="宋体" w:cs="宋体" w:eastAsia="宋体" w:hint="default"/>
                <w:sz w:val="21"/>
                <w:szCs w:val="21"/>
              </w:rPr>
              <w:t>托管收益/承</w:t>
            </w:r>
            <w:r>
              <w:rPr>
                <w:rFonts w:ascii="宋体" w:hAnsi="宋体" w:cs="宋体" w:eastAsia="宋体" w:hint="default"/>
                <w:w w:val="100"/>
                <w:sz w:val="21"/>
                <w:szCs w:val="21"/>
              </w:rPr>
              <w:t> </w:t>
            </w:r>
            <w:r>
              <w:rPr>
                <w:rFonts w:ascii="宋体" w:hAnsi="宋体" w:cs="宋体" w:eastAsia="宋体" w:hint="default"/>
                <w:spacing w:val="-1"/>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 w:right="45"/>
              <w:jc w:val="center"/>
              <w:rPr>
                <w:rFonts w:ascii="宋体" w:hAnsi="宋体" w:cs="宋体" w:eastAsia="宋体" w:hint="default"/>
                <w:sz w:val="21"/>
                <w:szCs w:val="21"/>
              </w:rPr>
            </w:pPr>
            <w:r>
              <w:rPr>
                <w:rFonts w:ascii="宋体" w:hAnsi="宋体" w:cs="宋体" w:eastAsia="宋体" w:hint="default"/>
                <w:spacing w:val="-1"/>
                <w:sz w:val="21"/>
                <w:szCs w:val="21"/>
              </w:rPr>
              <w:t>本期确认的托</w:t>
            </w:r>
            <w:r>
              <w:rPr>
                <w:rFonts w:ascii="宋体" w:hAnsi="宋体" w:cs="宋体" w:eastAsia="宋体" w:hint="default"/>
                <w:w w:val="100"/>
                <w:sz w:val="21"/>
                <w:szCs w:val="21"/>
              </w:rPr>
              <w:t> </w:t>
            </w:r>
            <w:r>
              <w:rPr>
                <w:rFonts w:ascii="宋体" w:hAnsi="宋体" w:cs="宋体" w:eastAsia="宋体" w:hint="default"/>
                <w:sz w:val="21"/>
                <w:szCs w:val="21"/>
              </w:rPr>
              <w:t>管收益/承包</w:t>
            </w:r>
            <w:r>
              <w:rPr>
                <w:rFonts w:ascii="宋体" w:hAnsi="宋体" w:cs="宋体" w:eastAsia="宋体" w:hint="default"/>
                <w:w w:val="100"/>
                <w:sz w:val="21"/>
                <w:szCs w:val="21"/>
              </w:rPr>
              <w:t> </w:t>
            </w:r>
            <w:r>
              <w:rPr>
                <w:rFonts w:ascii="宋体" w:hAnsi="宋体" w:cs="宋体" w:eastAsia="宋体" w:hint="default"/>
                <w:sz w:val="21"/>
                <w:szCs w:val="21"/>
              </w:rPr>
              <w:t>收益</w:t>
            </w:r>
          </w:p>
        </w:tc>
      </w:tr>
    </w:tbl>
    <w:p>
      <w:pPr>
        <w:spacing w:after="0" w:line="273" w:lineRule="auto"/>
        <w:jc w:val="center"/>
        <w:rPr>
          <w:rFonts w:ascii="宋体" w:hAnsi="宋体" w:cs="宋体" w:eastAsia="宋体" w:hint="default"/>
          <w:sz w:val="21"/>
          <w:szCs w:val="21"/>
        </w:rPr>
        <w:sectPr>
          <w:pgSz w:w="11910" w:h="16840"/>
          <w:pgMar w:header="747" w:footer="979" w:top="1060" w:bottom="1160" w:left="980" w:right="980"/>
        </w:sectPr>
      </w:pPr>
    </w:p>
    <w:p>
      <w:pPr>
        <w:pStyle w:val="BodyText"/>
        <w:spacing w:line="307" w:lineRule="auto" w:before="29"/>
        <w:ind w:right="0"/>
        <w:jc w:val="left"/>
      </w:pPr>
      <w:r>
        <w:rPr/>
        <w:t>关联托管/承包情况说明</w:t>
      </w:r>
      <w:r>
        <w:rPr>
          <w:w w:val="100"/>
        </w:rPr>
        <w:t> </w:t>
      </w:r>
      <w:r>
        <w:rPr>
          <w:spacing w:val="-2"/>
        </w:rPr>
        <w:t>本公司委托管理/出包情况表：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2992" w:space="5701"/>
            <w:col w:w="1257"/>
          </w:cols>
        </w:sectPr>
      </w:pP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委托方/出包</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受托方/承包</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委托/出包资</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委托/出包起</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委托/出包终</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right="96"/>
              <w:jc w:val="right"/>
              <w:rPr>
                <w:rFonts w:ascii="宋体" w:hAnsi="宋体" w:cs="宋体" w:eastAsia="宋体" w:hint="default"/>
                <w:sz w:val="21"/>
                <w:szCs w:val="21"/>
              </w:rPr>
            </w:pPr>
            <w:r>
              <w:rPr>
                <w:rFonts w:ascii="宋体" w:hAnsi="宋体" w:cs="宋体" w:eastAsia="宋体" w:hint="default"/>
                <w:spacing w:val="-1"/>
                <w:sz w:val="21"/>
                <w:szCs w:val="21"/>
              </w:rPr>
              <w:t>托管费/出包</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right="45"/>
              <w:jc w:val="right"/>
              <w:rPr>
                <w:rFonts w:ascii="宋体" w:hAnsi="宋体" w:cs="宋体" w:eastAsia="宋体" w:hint="default"/>
                <w:sz w:val="21"/>
                <w:szCs w:val="21"/>
              </w:rPr>
            </w:pPr>
            <w:r>
              <w:rPr>
                <w:rFonts w:ascii="宋体" w:hAnsi="宋体" w:cs="宋体" w:eastAsia="宋体" w:hint="default"/>
                <w:spacing w:val="-1"/>
                <w:sz w:val="21"/>
                <w:szCs w:val="21"/>
              </w:rPr>
              <w:t>本期确认的托</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z w:val="21"/>
                <w:szCs w:val="21"/>
              </w:rPr>
              <w:t>方名称</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方名称</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产类型</w:t>
            </w: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始日</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止日</w:t>
            </w: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费定价依据</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管费/出包费</w:t>
            </w:r>
          </w:p>
        </w:tc>
      </w:tr>
    </w:tbl>
    <w:p>
      <w:pPr>
        <w:pStyle w:val="BodyText"/>
        <w:spacing w:line="240" w:lineRule="auto" w:before="28"/>
        <w:ind w:right="2880"/>
        <w:jc w:val="left"/>
      </w:pPr>
      <w:r>
        <w:rPr/>
        <w:t>关联管理/出包情况说明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（3）关联租赁情况</w:t>
      </w:r>
    </w:p>
    <w:p>
      <w:pPr>
        <w:spacing w:line="240" w:lineRule="auto" w:before="2"/>
        <w:rPr>
          <w:rFonts w:ascii="宋体" w:hAnsi="宋体" w:cs="宋体" w:eastAsia="宋体" w:hint="default"/>
          <w:sz w:val="23"/>
          <w:szCs w:val="23"/>
        </w:rPr>
      </w:pPr>
    </w:p>
    <w:p>
      <w:pPr>
        <w:pStyle w:val="BodyText"/>
        <w:spacing w:line="240" w:lineRule="auto" w:before="36"/>
        <w:ind w:right="2880"/>
        <w:jc w:val="left"/>
      </w:pPr>
      <w:r>
        <w:rPr/>
        <w:t>本公司作为出租方：</w:t>
      </w:r>
    </w:p>
    <w:p>
      <w:pPr>
        <w:pStyle w:val="BodyText"/>
        <w:spacing w:line="240" w:lineRule="auto" w:before="78"/>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387"/>
        <w:gridCol w:w="2395"/>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66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56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7"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7"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bl>
    <w:p>
      <w:pPr>
        <w:pStyle w:val="BodyText"/>
        <w:spacing w:line="240" w:lineRule="auto" w:before="28"/>
        <w:ind w:right="2880"/>
        <w:jc w:val="left"/>
      </w:pPr>
      <w:r>
        <w:rPr/>
        <w:t>本公司作为承租方：</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389"/>
        <w:gridCol w:w="2393"/>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63"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关联租赁情况说明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（4）关联担保情况</w:t>
      </w:r>
    </w:p>
    <w:p>
      <w:pPr>
        <w:spacing w:line="240" w:lineRule="auto" w:before="2"/>
        <w:rPr>
          <w:rFonts w:ascii="宋体" w:hAnsi="宋体" w:cs="宋体" w:eastAsia="宋体" w:hint="default"/>
          <w:sz w:val="23"/>
          <w:szCs w:val="23"/>
        </w:rPr>
      </w:pPr>
    </w:p>
    <w:p>
      <w:pPr>
        <w:pStyle w:val="BodyText"/>
        <w:spacing w:line="240" w:lineRule="auto" w:before="36"/>
        <w:ind w:right="2880"/>
        <w:jc w:val="left"/>
      </w:pPr>
      <w:r>
        <w:rPr/>
        <w:t>本公司作为担保方</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41" w:right="108" w:hanging="629"/>
              <w:jc w:val="left"/>
              <w:rPr>
                <w:rFonts w:ascii="宋体" w:hAnsi="宋体" w:cs="宋体" w:eastAsia="宋体" w:hint="default"/>
                <w:sz w:val="21"/>
                <w:szCs w:val="21"/>
              </w:rPr>
            </w:pPr>
            <w:r>
              <w:rPr>
                <w:rFonts w:ascii="宋体" w:hAnsi="宋体" w:cs="宋体" w:eastAsia="宋体" w:hint="default"/>
                <w:sz w:val="21"/>
                <w:szCs w:val="21"/>
              </w:rPr>
              <w:t>担保是否已经履行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bl>
    <w:p>
      <w:pPr>
        <w:pStyle w:val="BodyText"/>
        <w:spacing w:line="240" w:lineRule="auto" w:before="29"/>
        <w:ind w:right="2880"/>
        <w:jc w:val="left"/>
      </w:pPr>
      <w:r>
        <w:rPr/>
        <w:t>本公司作为被担保方</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4"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741" w:right="108" w:hanging="629"/>
              <w:jc w:val="left"/>
              <w:rPr>
                <w:rFonts w:ascii="宋体" w:hAnsi="宋体" w:cs="宋体" w:eastAsia="宋体" w:hint="default"/>
                <w:sz w:val="21"/>
                <w:szCs w:val="21"/>
              </w:rPr>
            </w:pPr>
            <w:r>
              <w:rPr>
                <w:rFonts w:ascii="宋体" w:hAnsi="宋体" w:cs="宋体" w:eastAsia="宋体" w:hint="default"/>
                <w:sz w:val="21"/>
                <w:szCs w:val="21"/>
              </w:rPr>
              <w:t>担保是否已经履行</w:t>
            </w:r>
            <w:r>
              <w:rPr>
                <w:rFonts w:ascii="宋体" w:hAnsi="宋体" w:cs="宋体" w:eastAsia="宋体" w:hint="default"/>
                <w:w w:val="100"/>
                <w:sz w:val="21"/>
                <w:szCs w:val="21"/>
              </w:rPr>
              <w:t> </w:t>
            </w:r>
            <w:r>
              <w:rPr>
                <w:rFonts w:ascii="宋体" w:hAnsi="宋体" w:cs="宋体" w:eastAsia="宋体" w:hint="default"/>
                <w:sz w:val="21"/>
                <w:szCs w:val="21"/>
              </w:rPr>
              <w:t>完毕</w:t>
            </w:r>
          </w:p>
        </w:tc>
      </w:tr>
    </w:tbl>
    <w:p>
      <w:pPr>
        <w:pStyle w:val="BodyText"/>
        <w:spacing w:line="240" w:lineRule="auto" w:before="28"/>
        <w:ind w:right="2880"/>
        <w:jc w:val="left"/>
      </w:pPr>
      <w:r>
        <w:rPr/>
        <w:t>关联担保情况说明</w:t>
      </w:r>
    </w:p>
    <w:p>
      <w:pPr>
        <w:spacing w:line="240" w:lineRule="auto" w:before="10"/>
        <w:rPr>
          <w:rFonts w:ascii="宋体" w:hAnsi="宋体" w:cs="宋体" w:eastAsia="宋体" w:hint="default"/>
          <w:sz w:val="25"/>
          <w:szCs w:val="25"/>
        </w:rPr>
      </w:pPr>
    </w:p>
    <w:p>
      <w:pPr>
        <w:pStyle w:val="BodyText"/>
        <w:spacing w:line="240" w:lineRule="auto"/>
        <w:ind w:right="2880"/>
        <w:jc w:val="left"/>
      </w:pPr>
      <w:r>
        <w:rPr/>
        <w:t>（5）关联方资金拆借</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（6）关联方资产转让、债务重组情况</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389"/>
        <w:gridCol w:w="2393"/>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4"/>
        <w:rPr>
          <w:rFonts w:ascii="宋体" w:hAnsi="宋体" w:cs="宋体" w:eastAsia="宋体" w:hint="default"/>
          <w:sz w:val="19"/>
          <w:szCs w:val="19"/>
        </w:rPr>
      </w:pPr>
    </w:p>
    <w:p>
      <w:pPr>
        <w:pStyle w:val="BodyText"/>
        <w:spacing w:line="240" w:lineRule="auto" w:before="36"/>
        <w:ind w:right="2880"/>
        <w:jc w:val="left"/>
      </w:pPr>
      <w:r>
        <w:rPr/>
        <w:t>（7）关键管理人员报酬</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303,329.00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302,100.00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435,700.00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1,916,666.33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1,419,600.00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195,000.00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267,400.00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1,208,934.00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934,500.00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271,250.00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289,600.00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320,004.00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282,900.00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7" w:lineRule="auto" w:before="36"/>
        <w:ind w:right="7566"/>
        <w:jc w:val="left"/>
      </w:pPr>
      <w:r>
        <w:rPr/>
        <w:t>（8）其他关联交易</w:t>
      </w:r>
      <w:r>
        <w:rPr>
          <w:spacing w:val="-95"/>
        </w:rPr>
        <w:t> </w:t>
      </w:r>
      <w:r>
        <w:rPr/>
        <w:t>6、关联方应收应付款项</w:t>
      </w:r>
    </w:p>
    <w:p>
      <w:pPr>
        <w:pStyle w:val="BodyText"/>
        <w:spacing w:line="240" w:lineRule="auto" w:before="76"/>
        <w:ind w:right="2880"/>
        <w:jc w:val="left"/>
      </w:pPr>
      <w:r>
        <w:rPr/>
        <w:t>（1）应收项目</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福州界点科技服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22" w:right="0"/>
              <w:jc w:val="left"/>
              <w:rPr>
                <w:rFonts w:ascii="宋体" w:hAnsi="宋体" w:cs="宋体" w:eastAsia="宋体" w:hint="default"/>
                <w:sz w:val="21"/>
                <w:szCs w:val="21"/>
              </w:rPr>
            </w:pPr>
            <w:r>
              <w:rPr>
                <w:rFonts w:ascii="宋体"/>
                <w:sz w:val="21"/>
              </w:rPr>
              <w:t>1,632.00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6" w:right="0"/>
              <w:jc w:val="left"/>
              <w:rPr>
                <w:rFonts w:ascii="宋体" w:hAnsi="宋体" w:cs="宋体" w:eastAsia="宋体" w:hint="default"/>
                <w:sz w:val="21"/>
                <w:szCs w:val="21"/>
              </w:rPr>
            </w:pPr>
            <w:r>
              <w:rPr>
                <w:rFonts w:ascii="宋体"/>
                <w:sz w:val="21"/>
              </w:rPr>
              <w:t>81.60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福建鸿博房地产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18,020.00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901.00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广州联存医药科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15,264.00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763.20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（2）应付项目</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福建开新贸易有限公司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3" w:right="0"/>
              <w:jc w:val="left"/>
              <w:rPr>
                <w:rFonts w:ascii="宋体" w:hAnsi="宋体" w:cs="宋体" w:eastAsia="宋体" w:hint="default"/>
                <w:sz w:val="21"/>
                <w:szCs w:val="21"/>
              </w:rPr>
            </w:pPr>
            <w:r>
              <w:rPr>
                <w:rFonts w:ascii="宋体"/>
                <w:sz w:val="21"/>
              </w:rPr>
              <w:t>60,905.80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3" w:right="0"/>
              <w:jc w:val="left"/>
              <w:rPr>
                <w:rFonts w:ascii="宋体" w:hAnsi="宋体" w:cs="宋体" w:eastAsia="宋体" w:hint="default"/>
                <w:sz w:val="21"/>
                <w:szCs w:val="21"/>
              </w:rPr>
            </w:pPr>
            <w:r>
              <w:rPr>
                <w:rFonts w:ascii="宋体"/>
                <w:sz w:val="21"/>
              </w:rPr>
              <w:t>82,749.44</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7、关联方承诺</w:t>
      </w:r>
    </w:p>
    <w:p>
      <w:pPr>
        <w:spacing w:line="240" w:lineRule="auto" w:before="12"/>
        <w:rPr>
          <w:rFonts w:ascii="宋体" w:hAnsi="宋体" w:cs="宋体" w:eastAsia="宋体" w:hint="default"/>
          <w:sz w:val="25"/>
          <w:szCs w:val="25"/>
        </w:rPr>
      </w:pPr>
    </w:p>
    <w:p>
      <w:pPr>
        <w:pStyle w:val="BodyText"/>
        <w:spacing w:line="535" w:lineRule="auto"/>
        <w:ind w:right="7776"/>
        <w:jc w:val="left"/>
      </w:pPr>
      <w:r>
        <w:rPr/>
        <w:t>8、其他</w:t>
      </w:r>
      <w:r>
        <w:rPr>
          <w:spacing w:val="-101"/>
        </w:rPr>
        <w:t> </w:t>
      </w:r>
      <w:r>
        <w:rPr/>
        <w:t>十三、股份支付</w:t>
      </w:r>
      <w:r>
        <w:rPr>
          <w:spacing w:val="-97"/>
        </w:rPr>
        <w:t> </w:t>
      </w:r>
      <w:r>
        <w:rPr/>
        <w:t>1、股份支付总体情况</w:t>
      </w:r>
    </w:p>
    <w:p>
      <w:pPr>
        <w:pStyle w:val="BodyText"/>
        <w:spacing w:line="535" w:lineRule="auto" w:before="79"/>
        <w:ind w:right="6516"/>
        <w:jc w:val="left"/>
      </w:pPr>
      <w:r>
        <w:rPr/>
        <w:t>□ 适用 √</w:t>
      </w:r>
      <w:r>
        <w:rPr>
          <w:spacing w:val="-2"/>
        </w:rPr>
        <w:t> </w:t>
      </w:r>
      <w:r>
        <w:rPr/>
        <w:t>不适用</w:t>
      </w:r>
      <w:r>
        <w:rPr>
          <w:w w:val="100"/>
        </w:rPr>
        <w:t> </w:t>
      </w:r>
      <w:r>
        <w:rPr>
          <w:spacing w:val="-1"/>
        </w:rPr>
        <w:t>2、以权益结算的股份支付情况</w:t>
      </w:r>
    </w:p>
    <w:p>
      <w:pPr>
        <w:pStyle w:val="BodyText"/>
        <w:spacing w:line="535" w:lineRule="auto" w:before="81"/>
        <w:ind w:right="6516"/>
        <w:jc w:val="left"/>
      </w:pPr>
      <w:r>
        <w:rPr/>
        <w:t>□ 适用 √</w:t>
      </w:r>
      <w:r>
        <w:rPr>
          <w:spacing w:val="-2"/>
        </w:rPr>
        <w:t> </w:t>
      </w:r>
      <w:r>
        <w:rPr/>
        <w:t>不适用</w:t>
      </w:r>
      <w:r>
        <w:rPr>
          <w:w w:val="100"/>
        </w:rPr>
        <w:t> </w:t>
      </w:r>
      <w:r>
        <w:rPr>
          <w:spacing w:val="-1"/>
        </w:rPr>
        <w:t>3、以现金结算的股份支付情况</w:t>
      </w:r>
    </w:p>
    <w:p>
      <w:pPr>
        <w:pStyle w:val="BodyText"/>
        <w:spacing w:line="240" w:lineRule="auto" w:before="81"/>
        <w:ind w:right="288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99"/>
        <w:jc w:val="left"/>
      </w:pPr>
      <w:r>
        <w:rPr/>
        <w:t>4、股份支付的修改、终止情况</w:t>
      </w:r>
    </w:p>
    <w:p>
      <w:pPr>
        <w:spacing w:line="240" w:lineRule="auto" w:before="12"/>
        <w:rPr>
          <w:rFonts w:ascii="宋体" w:hAnsi="宋体" w:cs="宋体" w:eastAsia="宋体" w:hint="default"/>
          <w:sz w:val="25"/>
          <w:szCs w:val="25"/>
        </w:rPr>
      </w:pPr>
    </w:p>
    <w:p>
      <w:pPr>
        <w:pStyle w:val="BodyText"/>
        <w:spacing w:line="535" w:lineRule="auto"/>
        <w:ind w:right="7521"/>
        <w:jc w:val="left"/>
      </w:pPr>
      <w:r>
        <w:rPr/>
        <w:t>5、其他</w:t>
      </w:r>
      <w:r>
        <w:rPr>
          <w:spacing w:val="-101"/>
        </w:rPr>
        <w:t> </w:t>
      </w:r>
      <w:r>
        <w:rPr/>
        <w:t>十四、承诺及或有事项</w:t>
      </w:r>
      <w:r>
        <w:rPr>
          <w:spacing w:val="-96"/>
        </w:rPr>
        <w:t> </w:t>
      </w:r>
      <w:r>
        <w:rPr>
          <w:spacing w:val="-96"/>
        </w:rPr>
      </w:r>
      <w:r>
        <w:rPr/>
        <w:t>1、重要承诺事项</w:t>
      </w:r>
    </w:p>
    <w:p>
      <w:pPr>
        <w:pStyle w:val="BodyText"/>
        <w:spacing w:line="290" w:lineRule="auto" w:before="79"/>
        <w:ind w:left="152" w:right="99" w:firstLine="2"/>
        <w:jc w:val="left"/>
      </w:pPr>
      <w:r>
        <w:rPr/>
        <w:t>资产负债表日存在的重要承诺</w:t>
      </w:r>
      <w:r>
        <w:rPr>
          <w:w w:val="100"/>
        </w:rPr>
        <w:t> </w:t>
      </w:r>
      <w:r>
        <w:rPr>
          <w:spacing w:val="-7"/>
          <w:w w:val="100"/>
        </w:rPr>
        <w:t>根据本公司与无锡市正栋电脑纸品厂（以下简称“正栋厂”）及邓正栋签订的《补充协议二》，本公司承诺</w:t>
      </w:r>
    </w:p>
    <w:p>
      <w:pPr>
        <w:pStyle w:val="BodyText"/>
        <w:spacing w:line="355" w:lineRule="auto" w:before="89"/>
        <w:ind w:left="152" w:right="207"/>
        <w:jc w:val="both"/>
      </w:pPr>
      <w:r>
        <w:rPr/>
        <w:t>在</w:t>
      </w:r>
      <w:r>
        <w:rPr>
          <w:spacing w:val="-50"/>
        </w:rPr>
        <w:t> </w:t>
      </w:r>
      <w:r>
        <w:rPr/>
        <w:t>2016</w:t>
      </w:r>
      <w:r>
        <w:rPr>
          <w:spacing w:val="-53"/>
        </w:rPr>
        <w:t> </w:t>
      </w:r>
      <w:r>
        <w:rPr/>
        <w:t>年</w:t>
      </w:r>
      <w:r>
        <w:rPr>
          <w:spacing w:val="-50"/>
        </w:rPr>
        <w:t> </w:t>
      </w:r>
      <w:r>
        <w:rPr/>
        <w:t>12</w:t>
      </w:r>
      <w:r>
        <w:rPr>
          <w:spacing w:val="-50"/>
        </w:rPr>
        <w:t> </w:t>
      </w:r>
      <w:r>
        <w:rPr/>
        <w:t>月</w:t>
      </w:r>
      <w:r>
        <w:rPr>
          <w:spacing w:val="-53"/>
        </w:rPr>
        <w:t> </w:t>
      </w:r>
      <w:r>
        <w:rPr/>
        <w:t>31</w:t>
      </w:r>
      <w:r>
        <w:rPr>
          <w:spacing w:val="-50"/>
        </w:rPr>
        <w:t> </w:t>
      </w:r>
      <w:r>
        <w:rPr/>
        <w:t>日（届时任一方没有提出股权收购或被收购的情形下该日期可确定在</w:t>
      </w:r>
      <w:r>
        <w:rPr>
          <w:spacing w:val="-53"/>
        </w:rPr>
        <w:t> </w:t>
      </w:r>
      <w:r>
        <w:rPr/>
        <w:t>2017</w:t>
      </w:r>
      <w:r>
        <w:rPr>
          <w:spacing w:val="-53"/>
        </w:rPr>
        <w:t> </w:t>
      </w:r>
      <w:r>
        <w:rPr/>
        <w:t>年</w:t>
      </w:r>
      <w:r>
        <w:rPr>
          <w:spacing w:val="-50"/>
        </w:rPr>
        <w:t> </w:t>
      </w:r>
      <w:r>
        <w:rPr/>
        <w:t>12</w:t>
      </w:r>
      <w:r>
        <w:rPr>
          <w:spacing w:val="-50"/>
        </w:rPr>
        <w:t> </w:t>
      </w:r>
      <w:r>
        <w:rPr/>
        <w:t>月</w:t>
      </w:r>
      <w:r>
        <w:rPr>
          <w:spacing w:val="-53"/>
        </w:rPr>
        <w:t> </w:t>
      </w:r>
      <w:r>
        <w:rPr/>
        <w:t>31</w:t>
      </w:r>
      <w:r>
        <w:rPr>
          <w:w w:val="100"/>
        </w:rPr>
        <w:t> </w:t>
      </w:r>
      <w:r>
        <w:rPr>
          <w:spacing w:val="-7"/>
          <w:w w:val="100"/>
        </w:rPr>
        <w:t>日）；或正栋厂对无锡双龙信息纸有限公司（以下简称“无锡双龙”）不再有经营主导权这二种情形之一出</w:t>
      </w:r>
      <w:r>
        <w:rPr>
          <w:spacing w:val="-77"/>
          <w:w w:val="100"/>
        </w:rPr>
        <w:t> </w:t>
      </w:r>
      <w:r>
        <w:rPr>
          <w:spacing w:val="-77"/>
          <w:w w:val="100"/>
        </w:rPr>
      </w:r>
      <w:r>
        <w:rPr/>
        <w:t>现时收购正栋厂所持有的无锡双龙</w:t>
      </w:r>
      <w:r>
        <w:rPr>
          <w:spacing w:val="-56"/>
        </w:rPr>
        <w:t> </w:t>
      </w:r>
      <w:r>
        <w:rPr/>
        <w:t>40%的股权。</w:t>
      </w:r>
    </w:p>
    <w:p>
      <w:pPr>
        <w:spacing w:line="240" w:lineRule="auto" w:before="12"/>
        <w:rPr>
          <w:rFonts w:ascii="宋体" w:hAnsi="宋体" w:cs="宋体" w:eastAsia="宋体" w:hint="default"/>
          <w:sz w:val="23"/>
          <w:szCs w:val="23"/>
        </w:rPr>
      </w:pPr>
    </w:p>
    <w:p>
      <w:pPr>
        <w:pStyle w:val="BodyText"/>
        <w:spacing w:line="240" w:lineRule="auto"/>
        <w:ind w:left="152" w:right="99"/>
        <w:jc w:val="left"/>
      </w:pPr>
      <w:r>
        <w:rPr>
          <w:spacing w:val="-2"/>
        </w:rPr>
        <w:t>公司将按协议中规定的公式计算收购正栋厂所持无锡双龙</w:t>
      </w:r>
      <w:r>
        <w:rPr>
          <w:spacing w:val="11"/>
        </w:rPr>
        <w:t> </w:t>
      </w:r>
      <w:r>
        <w:rPr>
          <w:spacing w:val="-2"/>
        </w:rPr>
        <w:t>40%股权的价格。</w:t>
      </w:r>
    </w:p>
    <w:p>
      <w:pPr>
        <w:spacing w:line="240" w:lineRule="auto" w:before="0"/>
        <w:rPr>
          <w:rFonts w:ascii="宋体" w:hAnsi="宋体" w:cs="宋体" w:eastAsia="宋体" w:hint="default"/>
          <w:sz w:val="20"/>
          <w:szCs w:val="20"/>
        </w:rPr>
      </w:pPr>
    </w:p>
    <w:p>
      <w:pPr>
        <w:pStyle w:val="BodyText"/>
        <w:spacing w:line="535" w:lineRule="auto" w:before="176"/>
        <w:ind w:right="1181"/>
        <w:jc w:val="left"/>
      </w:pPr>
      <w:r>
        <w:rPr>
          <w:spacing w:val="-2"/>
        </w:rPr>
        <w:t>除存在上述承诺事项外，截至2014年12月31日，本公司不存在其他应披露的承诺事项。</w:t>
      </w:r>
      <w:r>
        <w:rPr>
          <w:spacing w:val="-26"/>
        </w:rPr>
        <w:t> </w:t>
      </w:r>
      <w:r>
        <w:rPr>
          <w:spacing w:val="-26"/>
        </w:rPr>
      </w:r>
      <w:r>
        <w:rPr/>
        <w:t>2、或有事项</w:t>
      </w:r>
    </w:p>
    <w:p>
      <w:pPr>
        <w:pStyle w:val="BodyText"/>
        <w:spacing w:line="516" w:lineRule="auto" w:before="81"/>
        <w:ind w:right="1181"/>
        <w:jc w:val="left"/>
      </w:pPr>
      <w:r>
        <w:rPr/>
        <w:t>（1）资产负债表日存在的重要或有事项</w:t>
      </w:r>
      <w:r>
        <w:rPr>
          <w:spacing w:val="-90"/>
        </w:rPr>
        <w:t> </w:t>
      </w:r>
      <w:r>
        <w:rPr>
          <w:spacing w:val="-90"/>
        </w:rPr>
      </w:r>
      <w:r>
        <w:rPr/>
        <w:t>1）为其他单位提供债务担保形成的或有负债及其财务影响</w:t>
      </w:r>
    </w:p>
    <w:p>
      <w:pPr>
        <w:pStyle w:val="BodyText"/>
        <w:spacing w:line="240" w:lineRule="auto" w:before="151"/>
        <w:ind w:right="99"/>
        <w:jc w:val="left"/>
      </w:pPr>
      <w:r>
        <w:rPr/>
        <w:t>截至</w:t>
      </w:r>
      <w:r>
        <w:rPr>
          <w:spacing w:val="-53"/>
        </w:rPr>
        <w:t> </w:t>
      </w:r>
      <w:r>
        <w:rPr/>
        <w:t>2014</w:t>
      </w:r>
      <w:r>
        <w:rPr>
          <w:spacing w:val="-55"/>
        </w:rPr>
        <w:t> </w:t>
      </w:r>
      <w:r>
        <w:rPr/>
        <w:t>年</w:t>
      </w:r>
      <w:r>
        <w:rPr>
          <w:spacing w:val="-53"/>
        </w:rPr>
        <w:t> </w:t>
      </w:r>
      <w:r>
        <w:rPr/>
        <w:t>12</w:t>
      </w:r>
      <w:r>
        <w:rPr>
          <w:spacing w:val="-55"/>
        </w:rPr>
        <w:t> </w:t>
      </w:r>
      <w:r>
        <w:rPr/>
        <w:t>月</w:t>
      </w:r>
      <w:r>
        <w:rPr>
          <w:spacing w:val="-53"/>
        </w:rPr>
        <w:t> </w:t>
      </w:r>
      <w:r>
        <w:rPr/>
        <w:t>31 日，本公司为下列单位贷款提供保证：</w:t>
      </w:r>
    </w:p>
    <w:p>
      <w:pPr>
        <w:pStyle w:val="BodyText"/>
        <w:tabs>
          <w:tab w:pos="2427" w:val="left" w:leader="none"/>
          <w:tab w:pos="4753" w:val="left" w:leader="none"/>
          <w:tab w:pos="5175" w:val="left" w:leader="none"/>
          <w:tab w:pos="7443" w:val="left" w:leader="none"/>
          <w:tab w:pos="7865" w:val="left" w:leader="none"/>
        </w:tabs>
        <w:spacing w:line="400" w:lineRule="atLeast" w:before="92"/>
        <w:ind w:left="440" w:right="1926"/>
        <w:jc w:val="left"/>
      </w:pPr>
      <w:r>
        <w:rPr/>
        <w:pict>
          <v:group style="position:absolute;margin-left:70.418266pt;margin-top:8.363433pt;width:454.6pt;height:1pt;mso-position-horizontal-relative:page;mso-position-vertical-relative:paragraph;z-index:-886048" coordorigin="1408,167" coordsize="9092,20">
            <v:group style="position:absolute;left:1418;top:177;width:1988;height:2" coordorigin="1418,177" coordsize="1988,2">
              <v:shape style="position:absolute;left:1418;top:177;width:1988;height:2" coordorigin="1418,177" coordsize="1988,0" path="m1418,177l3405,177e" filled="false" stroked="true" strokeweight=".95999pt" strokecolor="#000000">
                <v:path arrowok="t"/>
              </v:shape>
            </v:group>
            <v:group style="position:absolute;left:3405;top:177;width:20;height:2" coordorigin="3405,177" coordsize="20,2">
              <v:shape style="position:absolute;left:3405;top:177;width:20;height:2" coordorigin="3405,177" coordsize="20,0" path="m3405,177l3424,177e" filled="false" stroked="true" strokeweight=".95999pt" strokecolor="#000000">
                <v:path arrowok="t"/>
              </v:shape>
            </v:group>
            <v:group style="position:absolute;left:3424;top:177;width:1683;height:2" coordorigin="3424,177" coordsize="1683,2">
              <v:shape style="position:absolute;left:3424;top:177;width:1683;height:2" coordorigin="3424,177" coordsize="1683,0" path="m3424,177l5107,177e" filled="false" stroked="true" strokeweight=".95999pt" strokecolor="#000000">
                <v:path arrowok="t"/>
              </v:shape>
            </v:group>
            <v:group style="position:absolute;left:5107;top:177;width:20;height:2" coordorigin="5107,177" coordsize="20,2">
              <v:shape style="position:absolute;left:5107;top:177;width:20;height:2" coordorigin="5107,177" coordsize="20,0" path="m5107,177l5126,177e" filled="false" stroked="true" strokeweight=".95999pt" strokecolor="#000000">
                <v:path arrowok="t"/>
              </v:shape>
            </v:group>
            <v:group style="position:absolute;left:5126;top:177;width:1973;height:2" coordorigin="5126,177" coordsize="1973,2">
              <v:shape style="position:absolute;left:5126;top:177;width:1973;height:2" coordorigin="5126,177" coordsize="1973,0" path="m5126,177l7099,177e" filled="false" stroked="true" strokeweight=".95999pt" strokecolor="#000000">
                <v:path arrowok="t"/>
              </v:shape>
            </v:group>
            <v:group style="position:absolute;left:7099;top:177;width:20;height:2" coordorigin="7099,177" coordsize="20,2">
              <v:shape style="position:absolute;left:7099;top:177;width:20;height:2" coordorigin="7099,177" coordsize="20,0" path="m7099,177l7118,177e" filled="false" stroked="true" strokeweight=".95999pt" strokecolor="#000000">
                <v:path arrowok="t"/>
              </v:shape>
            </v:group>
            <v:group style="position:absolute;left:7118;top:177;width:3372;height:2" coordorigin="7118,177" coordsize="3372,2">
              <v:shape style="position:absolute;left:7118;top:177;width:3372;height:2" coordorigin="7118,177" coordsize="3372,0" path="m7118,177l10490,177e" filled="false" stroked="true" strokeweight=".95999pt" strokecolor="#000000">
                <v:path arrowok="t"/>
              </v:shape>
            </v:group>
            <w10:wrap type="none"/>
          </v:group>
        </w:pict>
      </w:r>
      <w:r>
        <w:rPr/>
        <w:pict>
          <v:group style="position:absolute;margin-left:70.658264pt;margin-top:29.243433pt;width:454.1pt;height:.5pt;mso-position-horizontal-relative:page;mso-position-vertical-relative:paragraph;z-index:-886024" coordorigin="1413,585" coordsize="9082,10">
            <v:group style="position:absolute;left:1418;top:590;width:1988;height:2" coordorigin="1418,590" coordsize="1988,2">
              <v:shape style="position:absolute;left:1418;top:590;width:1988;height:2" coordorigin="1418,590" coordsize="1988,0" path="m1418,590l3405,590e" filled="false" stroked="true" strokeweight=".47999pt" strokecolor="#000000">
                <v:path arrowok="t"/>
              </v:shape>
            </v:group>
            <v:group style="position:absolute;left:3405;top:590;width:10;height:2" coordorigin="3405,590" coordsize="10,2">
              <v:shape style="position:absolute;left:3405;top:590;width:10;height:2" coordorigin="3405,590" coordsize="10,0" path="m3405,590l3415,590e" filled="false" stroked="true" strokeweight=".47999pt" strokecolor="#000000">
                <v:path arrowok="t"/>
              </v:shape>
            </v:group>
            <v:group style="position:absolute;left:3415;top:590;width:1692;height:2" coordorigin="3415,590" coordsize="1692,2">
              <v:shape style="position:absolute;left:3415;top:590;width:1692;height:2" coordorigin="3415,590" coordsize="1692,0" path="m3415,590l5107,590e" filled="false" stroked="true" strokeweight=".47999pt" strokecolor="#000000">
                <v:path arrowok="t"/>
              </v:shape>
            </v:group>
            <v:group style="position:absolute;left:5107;top:590;width:10;height:2" coordorigin="5107,590" coordsize="10,2">
              <v:shape style="position:absolute;left:5107;top:590;width:10;height:2" coordorigin="5107,590" coordsize="10,0" path="m5107,590l5116,590e" filled="false" stroked="true" strokeweight=".47999pt" strokecolor="#000000">
                <v:path arrowok="t"/>
              </v:shape>
            </v:group>
            <v:group style="position:absolute;left:5116;top:590;width:1983;height:2" coordorigin="5116,590" coordsize="1983,2">
              <v:shape style="position:absolute;left:5116;top:590;width:1983;height:2" coordorigin="5116,590" coordsize="1983,0" path="m5116,590l7099,590e" filled="false" stroked="true" strokeweight=".47999pt" strokecolor="#000000">
                <v:path arrowok="t"/>
              </v:shape>
            </v:group>
            <v:group style="position:absolute;left:7099;top:590;width:10;height:2" coordorigin="7099,590" coordsize="10,2">
              <v:shape style="position:absolute;left:7099;top:590;width:10;height:2" coordorigin="7099,590" coordsize="10,0" path="m7099,590l7108,590e" filled="false" stroked="true" strokeweight=".47999pt" strokecolor="#000000">
                <v:path arrowok="t"/>
              </v:shape>
            </v:group>
            <v:group style="position:absolute;left:7108;top:590;width:3382;height:2" coordorigin="7108,590" coordsize="3382,2">
              <v:shape style="position:absolute;left:7108;top:590;width:3382;height:2" coordorigin="7108,590" coordsize="3382,0" path="m7108,590l10490,590e" filled="false" stroked="true" strokeweight=".47999pt" strokecolor="#000000">
                <v:path arrowok="t"/>
              </v:shape>
            </v:group>
            <w10:wrap type="none"/>
          </v:group>
        </w:pict>
      </w:r>
      <w:r>
        <w:rPr/>
        <w:t>被担保单位名称</w:t>
        <w:tab/>
        <w:t>担保事项</w:t>
        <w:tab/>
        <w:t>金</w:t>
        <w:tab/>
        <w:t>额</w:t>
        <w:tab/>
        <w:t>期</w:t>
        <w:tab/>
        <w:t>限</w:t>
      </w:r>
      <w:r>
        <w:rPr>
          <w:w w:val="100"/>
        </w:rPr>
        <w:t> </w:t>
      </w:r>
      <w:r>
        <w:rPr/>
        <w:t>无锡双龙信息纸有</w:t>
      </w:r>
    </w:p>
    <w:p>
      <w:pPr>
        <w:spacing w:after="0" w:line="400" w:lineRule="atLeast"/>
        <w:jc w:val="left"/>
        <w:sectPr>
          <w:pgSz w:w="11910" w:h="16840"/>
          <w:pgMar w:header="747" w:footer="979" w:top="1060" w:bottom="1160" w:left="980" w:right="920"/>
        </w:sectPr>
      </w:pPr>
    </w:p>
    <w:p>
      <w:pPr>
        <w:pStyle w:val="BodyText"/>
        <w:spacing w:line="240" w:lineRule="auto" w:before="34"/>
        <w:ind w:left="440" w:right="-2"/>
        <w:jc w:val="left"/>
      </w:pPr>
      <w:r>
        <w:rPr/>
        <w:t>限公司</w:t>
      </w:r>
    </w:p>
    <w:p>
      <w:pPr>
        <w:pStyle w:val="BodyText"/>
        <w:spacing w:line="273" w:lineRule="auto" w:before="118"/>
        <w:ind w:left="440" w:right="-2"/>
        <w:jc w:val="left"/>
      </w:pPr>
      <w:r>
        <w:rPr>
          <w:spacing w:val="-2"/>
        </w:rPr>
        <w:t>重庆市鸿海印务有</w:t>
      </w:r>
      <w:r>
        <w:rPr>
          <w:spacing w:val="-89"/>
        </w:rPr>
        <w:t> </w:t>
      </w:r>
      <w:r>
        <w:rPr>
          <w:spacing w:val="-89"/>
        </w:rPr>
      </w:r>
      <w:r>
        <w:rPr/>
        <w:t>限公司</w:t>
      </w:r>
    </w:p>
    <w:p>
      <w:pPr>
        <w:pStyle w:val="BodyText"/>
        <w:tabs>
          <w:tab w:pos="2119" w:val="left" w:leader="none"/>
          <w:tab w:pos="3958" w:val="left" w:leader="none"/>
        </w:tabs>
        <w:spacing w:line="156" w:lineRule="exact"/>
        <w:ind w:left="264" w:right="0"/>
        <w:jc w:val="left"/>
      </w:pPr>
      <w:r>
        <w:rPr>
          <w:spacing w:val="-1"/>
        </w:rPr>
        <w:br w:type="column"/>
      </w:r>
      <w:r>
        <w:rPr>
          <w:spacing w:val="-1"/>
        </w:rPr>
        <w:t>连带责任担保</w:t>
        <w:tab/>
        <w:t>不超过</w:t>
      </w:r>
      <w:r>
        <w:rPr>
          <w:spacing w:val="-48"/>
        </w:rPr>
        <w:t> </w:t>
      </w:r>
      <w:r>
        <w:rPr>
          <w:spacing w:val="-1"/>
        </w:rPr>
        <w:t>5000</w:t>
      </w:r>
      <w:r>
        <w:rPr>
          <w:spacing w:val="-48"/>
        </w:rPr>
        <w:t> </w:t>
      </w:r>
      <w:r>
        <w:rPr>
          <w:spacing w:val="-2"/>
        </w:rPr>
        <w:t>万元</w:t>
        <w:tab/>
      </w:r>
      <w:r>
        <w:rPr>
          <w:spacing w:val="-1"/>
        </w:rPr>
        <w:t>正式协议签署后一年</w:t>
      </w:r>
    </w:p>
    <w:p>
      <w:pPr>
        <w:spacing w:line="240" w:lineRule="auto" w:before="0"/>
        <w:rPr>
          <w:rFonts w:ascii="宋体" w:hAnsi="宋体" w:cs="宋体" w:eastAsia="宋体" w:hint="default"/>
          <w:sz w:val="20"/>
          <w:szCs w:val="20"/>
        </w:rPr>
      </w:pPr>
    </w:p>
    <w:p>
      <w:pPr>
        <w:pStyle w:val="BodyText"/>
        <w:tabs>
          <w:tab w:pos="2460" w:val="left" w:leader="none"/>
          <w:tab w:pos="3958" w:val="left" w:leader="none"/>
        </w:tabs>
        <w:spacing w:line="240" w:lineRule="auto" w:before="166"/>
        <w:ind w:left="264" w:right="0"/>
        <w:jc w:val="left"/>
      </w:pPr>
      <w:r>
        <w:rPr>
          <w:spacing w:val="-1"/>
        </w:rPr>
        <w:t>连带责任担保</w:t>
        <w:tab/>
      </w:r>
      <w:r>
        <w:rPr/>
        <w:t>3000</w:t>
      </w:r>
      <w:r>
        <w:rPr>
          <w:spacing w:val="-51"/>
        </w:rPr>
        <w:t> </w:t>
      </w:r>
      <w:r>
        <w:rPr/>
        <w:t>万元</w:t>
        <w:tab/>
      </w:r>
      <w:r>
        <w:rPr>
          <w:spacing w:val="-2"/>
        </w:rPr>
        <w:t>清偿期届满之日起两年（含两年）</w:t>
      </w:r>
    </w:p>
    <w:p>
      <w:pPr>
        <w:spacing w:after="0" w:line="240" w:lineRule="auto"/>
        <w:jc w:val="left"/>
        <w:sectPr>
          <w:type w:val="continuous"/>
          <w:pgSz w:w="11910" w:h="16840"/>
          <w:pgMar w:top="1060" w:bottom="1160" w:left="980" w:right="920"/>
          <w:cols w:num="2" w:equalWidth="0">
            <w:col w:w="2123" w:space="40"/>
            <w:col w:w="7847"/>
          </w:cols>
        </w:sectPr>
      </w:pPr>
    </w:p>
    <w:p>
      <w:pPr>
        <w:spacing w:line="240" w:lineRule="auto" w:before="9"/>
        <w:rPr>
          <w:rFonts w:ascii="宋体" w:hAnsi="宋体" w:cs="宋体" w:eastAsia="宋体" w:hint="default"/>
          <w:sz w:val="4"/>
          <w:szCs w:val="4"/>
        </w:rPr>
      </w:pPr>
    </w:p>
    <w:p>
      <w:pPr>
        <w:spacing w:line="20" w:lineRule="exact"/>
        <w:ind w:left="413" w:right="0" w:firstLine="0"/>
        <w:rPr>
          <w:rFonts w:ascii="宋体" w:hAnsi="宋体" w:cs="宋体" w:eastAsia="宋体" w:hint="default"/>
          <w:sz w:val="2"/>
          <w:szCs w:val="2"/>
        </w:rPr>
      </w:pPr>
      <w:r>
        <w:rPr>
          <w:rFonts w:ascii="宋体" w:hAnsi="宋体" w:cs="宋体" w:eastAsia="宋体" w:hint="default"/>
          <w:sz w:val="2"/>
          <w:szCs w:val="2"/>
        </w:rPr>
        <w:pict>
          <v:group style="width:455.3pt;height:1pt;mso-position-horizontal-relative:char;mso-position-vertical-relative:line" coordorigin="0,0" coordsize="9106,20">
            <v:group style="position:absolute;left:10;top:10;width:2002;height:2" coordorigin="10,10" coordsize="2002,2">
              <v:shape style="position:absolute;left:10;top:10;width:2002;height:2" coordorigin="10,10" coordsize="2002,0" path="m10,10l2011,10e" filled="false" stroked="true" strokeweight=".95999pt" strokecolor="#000000">
                <v:path arrowok="t"/>
              </v:shape>
            </v:group>
            <v:group style="position:absolute;left:1997;top:10;width:20;height:2" coordorigin="1997,10" coordsize="20,2">
              <v:shape style="position:absolute;left:1997;top:10;width:20;height:2" coordorigin="1997,10" coordsize="20,0" path="m1997,10l2016,10e" filled="false" stroked="true" strokeweight=".95999pt" strokecolor="#000000">
                <v:path arrowok="t"/>
              </v:shape>
            </v:group>
            <v:group style="position:absolute;left:2016;top:10;width:1697;height:2" coordorigin="2016,10" coordsize="1697,2">
              <v:shape style="position:absolute;left:2016;top:10;width:1697;height:2" coordorigin="2016,10" coordsize="1697,0" path="m2016,10l3713,10e" filled="false" stroked="true" strokeweight=".95999pt" strokecolor="#000000">
                <v:path arrowok="t"/>
              </v:shape>
            </v:group>
            <v:group style="position:absolute;left:3698;top:10;width:20;height:2" coordorigin="3698,10" coordsize="20,2">
              <v:shape style="position:absolute;left:3698;top:10;width:20;height:2" coordorigin="3698,10" coordsize="20,0" path="m3698,10l3718,10e" filled="false" stroked="true" strokeweight=".95999pt" strokecolor="#000000">
                <v:path arrowok="t"/>
              </v:shape>
            </v:group>
            <v:group style="position:absolute;left:3718;top:10;width:1988;height:2" coordorigin="3718,10" coordsize="1988,2">
              <v:shape style="position:absolute;left:3718;top:10;width:1988;height:2" coordorigin="3718,10" coordsize="1988,0" path="m3718,10l5705,10e" filled="false" stroked="true" strokeweight=".95999pt" strokecolor="#000000">
                <v:path arrowok="t"/>
              </v:shape>
            </v:group>
            <v:group style="position:absolute;left:5690;top:10;width:20;height:2" coordorigin="5690,10" coordsize="20,2">
              <v:shape style="position:absolute;left:5690;top:10;width:20;height:2" coordorigin="5690,10" coordsize="20,0" path="m5690,10l5710,10e" filled="false" stroked="true" strokeweight=".95999pt" strokecolor="#000000">
                <v:path arrowok="t"/>
              </v:shape>
            </v:group>
            <v:group style="position:absolute;left:5710;top:10;width:3387;height:2" coordorigin="5710,10" coordsize="3387,2">
              <v:shape style="position:absolute;left:5710;top:10;width:3387;height:2" coordorigin="5710,10" coordsize="3387,0" path="m5710,10l9096,10e" filled="false" stroked="true" strokeweight=".95999pt" strokecolor="#000000">
                <v:path arrowok="t"/>
              </v:shape>
            </v:group>
          </v:group>
        </w:pict>
      </w:r>
      <w:r>
        <w:rPr>
          <w:rFonts w:ascii="宋体" w:hAnsi="宋体" w:cs="宋体" w:eastAsia="宋体" w:hint="default"/>
          <w:sz w:val="2"/>
          <w:szCs w:val="2"/>
        </w:rPr>
      </w:r>
    </w:p>
    <w:p>
      <w:pPr>
        <w:pStyle w:val="BodyText"/>
        <w:spacing w:line="271" w:lineRule="auto" w:before="27"/>
        <w:ind w:right="209"/>
        <w:jc w:val="both"/>
      </w:pPr>
      <w:r>
        <w:rPr/>
        <w:t>2）本公司全资子公司鸿博昊天科技有限公司（以下简称“鸿博昊天”）、全资孙公司北京昊天国彩印刷</w:t>
      </w:r>
      <w:r>
        <w:rPr>
          <w:spacing w:val="-25"/>
        </w:rPr>
        <w:t> </w:t>
      </w:r>
      <w:r>
        <w:rPr>
          <w:spacing w:val="-25"/>
        </w:rPr>
      </w:r>
      <w:r>
        <w:rPr>
          <w:spacing w:val="-2"/>
        </w:rPr>
        <w:t>有限公司（以下简称“昊天国彩“）起诉北京国彩印刷有限公司（以下简称“北京国彩”）租赁合同纠纷</w:t>
      </w:r>
      <w:r>
        <w:rPr>
          <w:spacing w:val="-50"/>
        </w:rPr>
        <w:t> </w:t>
      </w:r>
      <w:r>
        <w:rPr>
          <w:spacing w:val="-50"/>
        </w:rPr>
      </w:r>
      <w:r>
        <w:rPr>
          <w:spacing w:val="-10"/>
        </w:rPr>
        <w:t>一案，案件已于</w:t>
      </w:r>
      <w:r>
        <w:rPr>
          <w:spacing w:val="-44"/>
        </w:rPr>
        <w:t> </w:t>
      </w:r>
      <w:r>
        <w:rPr/>
        <w:t>2015</w:t>
      </w:r>
      <w:r>
        <w:rPr>
          <w:spacing w:val="-44"/>
        </w:rPr>
        <w:t> </w:t>
      </w:r>
      <w:r>
        <w:rPr/>
        <w:t>年</w:t>
      </w:r>
      <w:r>
        <w:rPr>
          <w:spacing w:val="-46"/>
        </w:rPr>
        <w:t> </w:t>
      </w:r>
      <w:r>
        <w:rPr/>
        <w:t>1</w:t>
      </w:r>
      <w:r>
        <w:rPr>
          <w:spacing w:val="-46"/>
        </w:rPr>
        <w:t> </w:t>
      </w:r>
      <w:r>
        <w:rPr/>
        <w:t>月</w:t>
      </w:r>
      <w:r>
        <w:rPr>
          <w:spacing w:val="-44"/>
        </w:rPr>
        <w:t> </w:t>
      </w:r>
      <w:r>
        <w:rPr/>
        <w:t>30</w:t>
      </w:r>
      <w:r>
        <w:rPr>
          <w:spacing w:val="-46"/>
        </w:rPr>
        <w:t> </w:t>
      </w:r>
      <w:r>
        <w:rPr>
          <w:spacing w:val="-7"/>
        </w:rPr>
        <w:t>日一审判决生效。根据一审判决结果，本公司共可收回款项</w:t>
      </w:r>
      <w:r>
        <w:rPr>
          <w:spacing w:val="-44"/>
        </w:rPr>
        <w:t> </w:t>
      </w:r>
      <w:r>
        <w:rPr/>
        <w:t>29,675,754.85</w:t>
      </w:r>
    </w:p>
    <w:p>
      <w:pPr>
        <w:pStyle w:val="BodyText"/>
        <w:spacing w:line="273" w:lineRule="auto" w:before="10"/>
        <w:ind w:right="99"/>
        <w:jc w:val="left"/>
      </w:pPr>
      <w:r>
        <w:rPr>
          <w:spacing w:val="-4"/>
        </w:rPr>
        <w:t>元。2013</w:t>
      </w:r>
      <w:r>
        <w:rPr>
          <w:spacing w:val="-45"/>
        </w:rPr>
        <w:t> </w:t>
      </w:r>
      <w:r>
        <w:rPr/>
        <w:t>年</w:t>
      </w:r>
      <w:r>
        <w:rPr>
          <w:spacing w:val="-48"/>
        </w:rPr>
        <w:t> </w:t>
      </w:r>
      <w:r>
        <w:rPr/>
        <w:t>12</w:t>
      </w:r>
      <w:r>
        <w:rPr>
          <w:spacing w:val="-48"/>
        </w:rPr>
        <w:t> </w:t>
      </w:r>
      <w:r>
        <w:rPr/>
        <w:t>月</w:t>
      </w:r>
      <w:r>
        <w:rPr>
          <w:spacing w:val="-45"/>
        </w:rPr>
        <w:t> </w:t>
      </w:r>
      <w:r>
        <w:rPr/>
        <w:t>16</w:t>
      </w:r>
      <w:r>
        <w:rPr>
          <w:spacing w:val="-48"/>
        </w:rPr>
        <w:t> </w:t>
      </w:r>
      <w:r>
        <w:rPr>
          <w:spacing w:val="-3"/>
        </w:rPr>
        <w:t>日，根据原告鸿博昊天、昊天国彩的财产保全申请，并提供部分现金及鸿博昊天名下</w:t>
      </w:r>
      <w:r>
        <w:rPr>
          <w:spacing w:val="-86"/>
        </w:rPr>
        <w:t> </w:t>
      </w:r>
      <w:r>
        <w:rPr>
          <w:spacing w:val="-86"/>
        </w:rPr>
      </w:r>
      <w:r>
        <w:rPr>
          <w:spacing w:val="-2"/>
        </w:rPr>
        <w:t>的高斯牌八色卷筒纸商业胶印机二套作为财产保全担保，北京市通州区人民法院作出民事裁定书{（2013）</w:t>
      </w:r>
      <w:r>
        <w:rPr>
          <w:spacing w:val="-37"/>
        </w:rPr>
        <w:t> </w:t>
      </w:r>
      <w:r>
        <w:rPr>
          <w:spacing w:val="-37"/>
        </w:rPr>
      </w:r>
      <w:r>
        <w:rPr/>
        <w:t>通民初字第</w:t>
      </w:r>
      <w:r>
        <w:rPr>
          <w:spacing w:val="-42"/>
        </w:rPr>
        <w:t> </w:t>
      </w:r>
      <w:r>
        <w:rPr/>
        <w:t>16156</w:t>
      </w:r>
      <w:r>
        <w:rPr>
          <w:spacing w:val="-42"/>
        </w:rPr>
        <w:t> </w:t>
      </w:r>
      <w:r>
        <w:rPr>
          <w:spacing w:val="-5"/>
        </w:rPr>
        <w:t>号}，查封北京国彩名下使用权证号为京通国用（2001</w:t>
      </w:r>
      <w:r>
        <w:rPr>
          <w:spacing w:val="-44"/>
        </w:rPr>
        <w:t> </w:t>
      </w:r>
      <w:r>
        <w:rPr>
          <w:spacing w:val="-12"/>
        </w:rPr>
        <w:t>出）字第</w:t>
      </w:r>
      <w:r>
        <w:rPr>
          <w:spacing w:val="-42"/>
        </w:rPr>
        <w:t> </w:t>
      </w:r>
      <w:r>
        <w:rPr/>
        <w:t>104</w:t>
      </w:r>
      <w:r>
        <w:rPr>
          <w:spacing w:val="-42"/>
        </w:rPr>
        <w:t> </w:t>
      </w:r>
      <w:r>
        <w:rPr>
          <w:spacing w:val="-6"/>
        </w:rPr>
        <w:t>号及京通国用（2004</w:t>
      </w:r>
    </w:p>
    <w:p>
      <w:pPr>
        <w:pStyle w:val="BodyText"/>
        <w:spacing w:line="240" w:lineRule="auto" w:before="7"/>
        <w:ind w:right="99"/>
        <w:jc w:val="left"/>
      </w:pPr>
      <w:r>
        <w:rPr/>
        <w:t>出）字第</w:t>
      </w:r>
      <w:r>
        <w:rPr>
          <w:spacing w:val="-56"/>
        </w:rPr>
        <w:t> </w:t>
      </w:r>
      <w:r>
        <w:rPr/>
        <w:t>051</w:t>
      </w:r>
      <w:r>
        <w:rPr>
          <w:spacing w:val="-56"/>
        </w:rPr>
        <w:t> </w:t>
      </w:r>
      <w:r>
        <w:rPr/>
        <w:t>号的土地使用权。截止本报告日，鸿博昊天已向法院提交了上诉状。</w:t>
      </w:r>
    </w:p>
    <w:p>
      <w:pPr>
        <w:spacing w:line="240" w:lineRule="auto" w:before="10"/>
        <w:rPr>
          <w:rFonts w:ascii="宋体" w:hAnsi="宋体" w:cs="宋体" w:eastAsia="宋体" w:hint="default"/>
          <w:sz w:val="25"/>
          <w:szCs w:val="25"/>
        </w:rPr>
      </w:pPr>
    </w:p>
    <w:p>
      <w:pPr>
        <w:pStyle w:val="BodyText"/>
        <w:spacing w:line="537" w:lineRule="auto"/>
        <w:ind w:right="1181"/>
        <w:jc w:val="left"/>
      </w:pPr>
      <w:r>
        <w:rPr>
          <w:spacing w:val="-1"/>
        </w:rPr>
        <w:t>（2）公司没有需要披露的重要或有事项，也应予以说明</w:t>
      </w:r>
      <w:r>
        <w:rPr>
          <w:spacing w:val="-63"/>
        </w:rPr>
        <w:t> </w:t>
      </w:r>
      <w:r>
        <w:rPr>
          <w:spacing w:val="-63"/>
        </w:rPr>
      </w:r>
      <w:r>
        <w:rPr/>
        <w:t>公司不存在需要披露的重要或有事项。</w:t>
      </w:r>
    </w:p>
    <w:p>
      <w:pPr>
        <w:spacing w:after="0" w:line="537" w:lineRule="auto"/>
        <w:jc w:val="left"/>
        <w:sectPr>
          <w:type w:val="continuous"/>
          <w:pgSz w:w="11910" w:h="16840"/>
          <w:pgMar w:top="1060" w:bottom="1160" w:left="980" w:right="920"/>
        </w:sectPr>
      </w:pPr>
    </w:p>
    <w:p>
      <w:pPr>
        <w:spacing w:line="240" w:lineRule="auto" w:before="10"/>
        <w:rPr>
          <w:rFonts w:ascii="宋体" w:hAnsi="宋体" w:cs="宋体" w:eastAsia="宋体" w:hint="default"/>
          <w:sz w:val="24"/>
          <w:szCs w:val="24"/>
        </w:rPr>
      </w:pPr>
    </w:p>
    <w:p>
      <w:pPr>
        <w:pStyle w:val="BodyText"/>
        <w:spacing w:line="535" w:lineRule="auto" w:before="36"/>
        <w:ind w:right="7206"/>
        <w:jc w:val="left"/>
      </w:pPr>
      <w:r>
        <w:rPr/>
        <w:t>3、其他</w:t>
      </w:r>
      <w:r>
        <w:rPr>
          <w:spacing w:val="-101"/>
        </w:rPr>
        <w:t> </w:t>
      </w:r>
      <w:r>
        <w:rPr>
          <w:spacing w:val="-1"/>
        </w:rPr>
        <w:t>十五、资产负债表日后事项</w:t>
      </w:r>
      <w:r>
        <w:rPr>
          <w:spacing w:val="-85"/>
        </w:rPr>
        <w:t> </w:t>
      </w:r>
      <w:r>
        <w:rPr>
          <w:spacing w:val="-85"/>
        </w:rPr>
      </w:r>
      <w:r>
        <w:rPr/>
        <w:t>1、重要的非调整事项</w:t>
      </w:r>
    </w:p>
    <w:p>
      <w:pPr>
        <w:pStyle w:val="BodyText"/>
        <w:spacing w:line="240" w:lineRule="auto" w:before="81"/>
        <w:ind w:left="0" w:right="20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873" w:right="31" w:hanging="840"/>
              <w:jc w:val="left"/>
              <w:rPr>
                <w:rFonts w:ascii="宋体" w:hAnsi="宋体" w:cs="宋体" w:eastAsia="宋体" w:hint="default"/>
                <w:sz w:val="21"/>
                <w:szCs w:val="21"/>
              </w:rPr>
            </w:pPr>
            <w:r>
              <w:rPr>
                <w:rFonts w:ascii="宋体" w:hAnsi="宋体" w:cs="宋体" w:eastAsia="宋体" w:hint="default"/>
                <w:spacing w:val="-2"/>
                <w:sz w:val="21"/>
                <w:szCs w:val="21"/>
              </w:rPr>
              <w:t>对财务状况和经营成果的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影响数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bl>
    <w:p>
      <w:pPr>
        <w:spacing w:line="240" w:lineRule="auto" w:before="3"/>
        <w:rPr>
          <w:rFonts w:ascii="宋体" w:hAnsi="宋体" w:cs="宋体" w:eastAsia="宋体" w:hint="default"/>
          <w:sz w:val="19"/>
          <w:szCs w:val="19"/>
        </w:rPr>
      </w:pPr>
    </w:p>
    <w:p>
      <w:pPr>
        <w:pStyle w:val="BodyText"/>
        <w:spacing w:line="240" w:lineRule="auto" w:before="36"/>
        <w:ind w:right="99"/>
        <w:jc w:val="left"/>
      </w:pPr>
      <w:r>
        <w:rPr/>
        <w:t>2、利润分配情况</w:t>
      </w:r>
    </w:p>
    <w:p>
      <w:pPr>
        <w:spacing w:line="240" w:lineRule="auto" w:before="13"/>
        <w:rPr>
          <w:rFonts w:ascii="宋体" w:hAnsi="宋体" w:cs="宋体" w:eastAsia="宋体" w:hint="default"/>
          <w:sz w:val="22"/>
          <w:szCs w:val="22"/>
        </w:rPr>
      </w:pPr>
    </w:p>
    <w:p>
      <w:pPr>
        <w:pStyle w:val="BodyText"/>
        <w:spacing w:line="240" w:lineRule="auto" w:before="36"/>
        <w:ind w:left="0" w:right="207"/>
        <w:jc w:val="right"/>
      </w:pPr>
      <w:r>
        <w:rPr/>
        <w:t>单位：</w:t>
      </w:r>
      <w:r>
        <w:rPr>
          <w:spacing w:val="2"/>
        </w:rPr>
        <w:t> </w:t>
      </w:r>
      <w:r>
        <w:rPr/>
        <w:t>元</w:t>
      </w:r>
    </w:p>
    <w:p>
      <w:pPr>
        <w:spacing w:line="240" w:lineRule="auto" w:before="13"/>
        <w:rPr>
          <w:rFonts w:ascii="宋体" w:hAnsi="宋体" w:cs="宋体" w:eastAsia="宋体" w:hint="default"/>
          <w:sz w:val="22"/>
          <w:szCs w:val="22"/>
        </w:rPr>
      </w:pPr>
    </w:p>
    <w:p>
      <w:pPr>
        <w:pStyle w:val="BodyText"/>
        <w:spacing w:line="240" w:lineRule="auto" w:before="36"/>
        <w:ind w:right="0"/>
        <w:jc w:val="both"/>
      </w:pPr>
      <w:r>
        <w:rPr/>
        <w:t>3、销售退回</w:t>
      </w:r>
    </w:p>
    <w:p>
      <w:pPr>
        <w:spacing w:line="240" w:lineRule="auto" w:before="12"/>
        <w:rPr>
          <w:rFonts w:ascii="宋体" w:hAnsi="宋体" w:cs="宋体" w:eastAsia="宋体" w:hint="default"/>
          <w:sz w:val="25"/>
          <w:szCs w:val="25"/>
        </w:rPr>
      </w:pPr>
    </w:p>
    <w:p>
      <w:pPr>
        <w:pStyle w:val="BodyText"/>
        <w:spacing w:line="240" w:lineRule="auto"/>
        <w:ind w:right="0"/>
        <w:jc w:val="both"/>
      </w:pPr>
      <w:r>
        <w:rPr/>
        <w:t>4、其他资产负债表日后事项说明</w:t>
      </w:r>
    </w:p>
    <w:p>
      <w:pPr>
        <w:spacing w:line="240" w:lineRule="auto" w:before="6"/>
        <w:rPr>
          <w:rFonts w:ascii="宋体" w:hAnsi="宋体" w:cs="宋体" w:eastAsia="宋体" w:hint="default"/>
          <w:sz w:val="24"/>
          <w:szCs w:val="24"/>
        </w:rPr>
      </w:pPr>
    </w:p>
    <w:p>
      <w:pPr>
        <w:pStyle w:val="BodyText"/>
        <w:spacing w:line="237" w:lineRule="auto"/>
        <w:ind w:right="205"/>
        <w:jc w:val="both"/>
      </w:pPr>
      <w:r>
        <w:rPr/>
        <w:t>2015</w:t>
      </w:r>
      <w:r>
        <w:rPr>
          <w:spacing w:val="-49"/>
        </w:rPr>
        <w:t> </w:t>
      </w:r>
      <w:r>
        <w:rPr/>
        <w:t>年</w:t>
      </w:r>
      <w:r>
        <w:rPr>
          <w:spacing w:val="-49"/>
        </w:rPr>
        <w:t> </w:t>
      </w:r>
      <w:r>
        <w:rPr/>
        <w:t>2</w:t>
      </w:r>
      <w:r>
        <w:rPr>
          <w:spacing w:val="-49"/>
        </w:rPr>
        <w:t> </w:t>
      </w:r>
      <w:r>
        <w:rPr/>
        <w:t>月</w:t>
      </w:r>
      <w:r>
        <w:rPr>
          <w:spacing w:val="-49"/>
        </w:rPr>
        <w:t> </w:t>
      </w:r>
      <w:r>
        <w:rPr/>
        <w:t>25</w:t>
      </w:r>
      <w:r>
        <w:rPr>
          <w:spacing w:val="-49"/>
        </w:rPr>
        <w:t> </w:t>
      </w:r>
      <w:r>
        <w:rPr/>
        <w:t>日，国家体育总局发布《体育总局关于切实落实彩票资金专项审计意见加强体育彩票管理</w:t>
      </w:r>
      <w:r>
        <w:rPr>
          <w:w w:val="100"/>
        </w:rPr>
        <w:t> </w:t>
      </w:r>
      <w:r>
        <w:rPr>
          <w:spacing w:val="-2"/>
        </w:rPr>
        <w:t>工作的通知》（以下简称“通知”），受该通知以及财政部、民政部和体育总局联合下发的《关于开展擅</w:t>
      </w:r>
      <w:r>
        <w:rPr>
          <w:spacing w:val="-42"/>
        </w:rPr>
        <w:t> </w:t>
      </w:r>
      <w:r>
        <w:rPr>
          <w:spacing w:val="-42"/>
        </w:rPr>
      </w:r>
      <w:r>
        <w:rPr/>
        <w:t>自利用互联网销售彩票行为自查自纠工作有关问题的通知》的影响，部分省级彩票管理中心从 2015 年</w:t>
      </w:r>
      <w:r>
        <w:rPr>
          <w:spacing w:val="-32"/>
        </w:rPr>
        <w:t> </w:t>
      </w:r>
      <w:r>
        <w:rPr/>
        <w:t>2</w:t>
      </w:r>
    </w:p>
    <w:p>
      <w:pPr>
        <w:pStyle w:val="BodyText"/>
        <w:spacing w:line="272" w:lineRule="exact" w:before="24"/>
        <w:ind w:right="99"/>
        <w:jc w:val="left"/>
      </w:pPr>
      <w:r>
        <w:rPr/>
        <w:t>月</w:t>
      </w:r>
      <w:r>
        <w:rPr>
          <w:spacing w:val="-46"/>
        </w:rPr>
        <w:t> </w:t>
      </w:r>
      <w:r>
        <w:rPr/>
        <w:t>25</w:t>
      </w:r>
      <w:r>
        <w:rPr>
          <w:spacing w:val="-49"/>
        </w:rPr>
        <w:t> </w:t>
      </w:r>
      <w:r>
        <w:rPr>
          <w:spacing w:val="-3"/>
        </w:rPr>
        <w:t>日起暂停接受互联网彩票销售订单，本公司彩票无纸化代购业务从</w:t>
      </w:r>
      <w:r>
        <w:rPr>
          <w:spacing w:val="-46"/>
        </w:rPr>
        <w:t> </w:t>
      </w:r>
      <w:r>
        <w:rPr/>
        <w:t>2015</w:t>
      </w:r>
      <w:r>
        <w:rPr>
          <w:spacing w:val="-49"/>
        </w:rPr>
        <w:t> </w:t>
      </w:r>
      <w:r>
        <w:rPr/>
        <w:t>年</w:t>
      </w:r>
      <w:r>
        <w:rPr>
          <w:spacing w:val="-46"/>
        </w:rPr>
        <w:t> </w:t>
      </w:r>
      <w:r>
        <w:rPr/>
        <w:t>2</w:t>
      </w:r>
      <w:r>
        <w:rPr>
          <w:spacing w:val="-49"/>
        </w:rPr>
        <w:t> </w:t>
      </w:r>
      <w:r>
        <w:rPr/>
        <w:t>月</w:t>
      </w:r>
      <w:r>
        <w:rPr>
          <w:spacing w:val="-46"/>
        </w:rPr>
        <w:t> </w:t>
      </w:r>
      <w:r>
        <w:rPr/>
        <w:t>25</w:t>
      </w:r>
      <w:r>
        <w:rPr>
          <w:spacing w:val="-49"/>
        </w:rPr>
        <w:t> </w:t>
      </w:r>
      <w:r>
        <w:rPr/>
        <w:t>日开始暂时停止，</w:t>
      </w:r>
      <w:r>
        <w:rPr>
          <w:spacing w:val="-102"/>
        </w:rPr>
        <w:t> </w:t>
      </w:r>
      <w:r>
        <w:rPr>
          <w:spacing w:val="-102"/>
        </w:rPr>
      </w:r>
      <w:r>
        <w:rPr/>
        <w:t>具体恢复时间待定。</w:t>
      </w:r>
    </w:p>
    <w:p>
      <w:pPr>
        <w:spacing w:line="240" w:lineRule="auto" w:before="6"/>
        <w:rPr>
          <w:rFonts w:ascii="宋体" w:hAnsi="宋体" w:cs="宋体" w:eastAsia="宋体" w:hint="default"/>
          <w:sz w:val="19"/>
          <w:szCs w:val="19"/>
        </w:rPr>
      </w:pPr>
    </w:p>
    <w:p>
      <w:pPr>
        <w:pStyle w:val="BodyText"/>
        <w:spacing w:line="518" w:lineRule="auto"/>
        <w:ind w:right="2227"/>
        <w:jc w:val="left"/>
      </w:pPr>
      <w:r>
        <w:rPr/>
        <w:t>截至</w:t>
      </w:r>
      <w:r>
        <w:rPr>
          <w:spacing w:val="-53"/>
        </w:rPr>
        <w:t> </w:t>
      </w:r>
      <w:r>
        <w:rPr/>
        <w:t>2015</w:t>
      </w:r>
      <w:r>
        <w:rPr>
          <w:spacing w:val="-55"/>
        </w:rPr>
        <w:t> </w:t>
      </w:r>
      <w:r>
        <w:rPr/>
        <w:t>年</w:t>
      </w:r>
      <w:r>
        <w:rPr>
          <w:spacing w:val="-53"/>
        </w:rPr>
        <w:t> </w:t>
      </w:r>
      <w:r>
        <w:rPr/>
        <w:t>3</w:t>
      </w:r>
      <w:r>
        <w:rPr>
          <w:spacing w:val="-55"/>
        </w:rPr>
        <w:t> </w:t>
      </w:r>
      <w:r>
        <w:rPr/>
        <w:t>月</w:t>
      </w:r>
      <w:r>
        <w:rPr>
          <w:spacing w:val="-53"/>
        </w:rPr>
        <w:t> </w:t>
      </w:r>
      <w:r>
        <w:rPr/>
        <w:t>18</w:t>
      </w:r>
      <w:r>
        <w:rPr>
          <w:spacing w:val="-2"/>
        </w:rPr>
        <w:t> </w:t>
      </w:r>
      <w:r>
        <w:rPr/>
        <w:t>日，本公司不存在其他应披露未披露的资产负债表日后事项。</w:t>
      </w:r>
      <w:r>
        <w:rPr>
          <w:w w:val="100"/>
        </w:rPr>
        <w:t> </w:t>
      </w:r>
      <w:r>
        <w:rPr/>
        <w:t>十六、其他重要事项</w:t>
      </w:r>
    </w:p>
    <w:p>
      <w:pPr>
        <w:pStyle w:val="BodyText"/>
        <w:spacing w:line="240" w:lineRule="auto" w:before="96"/>
        <w:ind w:right="0"/>
        <w:jc w:val="both"/>
      </w:pPr>
      <w:r>
        <w:rPr/>
        <w:t>1、前期会计差错更正</w:t>
      </w:r>
    </w:p>
    <w:p>
      <w:pPr>
        <w:spacing w:line="240" w:lineRule="auto" w:before="10"/>
        <w:rPr>
          <w:rFonts w:ascii="宋体" w:hAnsi="宋体" w:cs="宋体" w:eastAsia="宋体" w:hint="default"/>
          <w:sz w:val="25"/>
          <w:szCs w:val="25"/>
        </w:rPr>
      </w:pPr>
    </w:p>
    <w:p>
      <w:pPr>
        <w:pStyle w:val="BodyText"/>
        <w:spacing w:line="240" w:lineRule="auto"/>
        <w:ind w:right="0"/>
        <w:jc w:val="both"/>
      </w:pPr>
      <w:r>
        <w:rPr/>
        <w:t>（1）追溯重述法</w:t>
      </w:r>
    </w:p>
    <w:p>
      <w:pPr>
        <w:spacing w:line="240" w:lineRule="auto" w:before="12"/>
        <w:rPr>
          <w:rFonts w:ascii="宋体" w:hAnsi="宋体" w:cs="宋体" w:eastAsia="宋体" w:hint="default"/>
          <w:sz w:val="25"/>
          <w:szCs w:val="25"/>
        </w:rPr>
      </w:pPr>
    </w:p>
    <w:p>
      <w:pPr>
        <w:pStyle w:val="BodyText"/>
        <w:spacing w:line="240" w:lineRule="auto"/>
        <w:ind w:left="0" w:right="20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492"/>
        <w:gridCol w:w="2294"/>
        <w:gridCol w:w="2390"/>
        <w:gridCol w:w="2390"/>
      </w:tblGrid>
      <w:tr>
        <w:trPr>
          <w:trHeight w:val="714"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22"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9"/>
              <w:ind w:left="664" w:right="31" w:hanging="632"/>
              <w:jc w:val="left"/>
              <w:rPr>
                <w:rFonts w:ascii="宋体" w:hAnsi="宋体" w:cs="宋体" w:eastAsia="宋体" w:hint="default"/>
                <w:sz w:val="21"/>
                <w:szCs w:val="21"/>
              </w:rPr>
            </w:pPr>
            <w:r>
              <w:rPr>
                <w:rFonts w:ascii="宋体" w:hAnsi="宋体" w:cs="宋体" w:eastAsia="宋体" w:hint="default"/>
                <w:spacing w:val="-2"/>
                <w:sz w:val="21"/>
                <w:szCs w:val="21"/>
              </w:rPr>
              <w:t>受影响的各个比较期间报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表项目名称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bl>
    <w:p>
      <w:pPr>
        <w:spacing w:line="240" w:lineRule="auto" w:before="3"/>
        <w:rPr>
          <w:rFonts w:ascii="宋体" w:hAnsi="宋体" w:cs="宋体" w:eastAsia="宋体" w:hint="default"/>
          <w:sz w:val="19"/>
          <w:szCs w:val="19"/>
        </w:rPr>
      </w:pPr>
    </w:p>
    <w:p>
      <w:pPr>
        <w:pStyle w:val="BodyText"/>
        <w:spacing w:line="240" w:lineRule="auto" w:before="36"/>
        <w:ind w:right="99"/>
        <w:jc w:val="left"/>
      </w:pPr>
      <w:r>
        <w:rPr/>
        <w:t>（2）未来适用法</w:t>
      </w:r>
    </w:p>
    <w:p>
      <w:pPr>
        <w:spacing w:line="240" w:lineRule="auto" w:before="12"/>
        <w:rPr>
          <w:rFonts w:ascii="宋体" w:hAnsi="宋体" w:cs="宋体" w:eastAsia="宋体" w:hint="default"/>
          <w:sz w:val="26"/>
          <w:szCs w:val="26"/>
        </w:rPr>
      </w:pPr>
    </w:p>
    <w:tbl>
      <w:tblPr>
        <w:tblW w:w="0" w:type="auto"/>
        <w:jc w:val="left"/>
        <w:tblInd w:w="151"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1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537"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2、债务重组</w:t>
      </w:r>
    </w:p>
    <w:p>
      <w:pPr>
        <w:spacing w:line="240" w:lineRule="auto" w:before="12"/>
        <w:rPr>
          <w:rFonts w:ascii="宋体" w:hAnsi="宋体" w:cs="宋体" w:eastAsia="宋体" w:hint="default"/>
          <w:sz w:val="25"/>
          <w:szCs w:val="25"/>
        </w:rPr>
      </w:pPr>
    </w:p>
    <w:p>
      <w:pPr>
        <w:pStyle w:val="BodyText"/>
        <w:spacing w:line="240" w:lineRule="auto"/>
        <w:ind w:right="2880"/>
        <w:jc w:val="left"/>
      </w:pPr>
      <w:r>
        <w:rPr/>
        <w:t>3、资产置换</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（1）非货币性资产交换</w:t>
      </w:r>
    </w:p>
    <w:p>
      <w:pPr>
        <w:spacing w:line="240" w:lineRule="auto" w:before="12"/>
        <w:rPr>
          <w:rFonts w:ascii="宋体" w:hAnsi="宋体" w:cs="宋体" w:eastAsia="宋体" w:hint="default"/>
          <w:sz w:val="25"/>
          <w:szCs w:val="25"/>
        </w:rPr>
      </w:pPr>
    </w:p>
    <w:p>
      <w:pPr>
        <w:pStyle w:val="BodyText"/>
        <w:spacing w:line="535" w:lineRule="auto"/>
        <w:ind w:right="7986"/>
        <w:jc w:val="left"/>
      </w:pPr>
      <w:r>
        <w:rPr/>
        <w:t>（2）其他资产置换</w:t>
      </w:r>
      <w:r>
        <w:rPr>
          <w:spacing w:val="-95"/>
        </w:rPr>
        <w:t> </w:t>
      </w:r>
      <w:r>
        <w:rPr/>
        <w:t>4、年金计划</w:t>
      </w:r>
    </w:p>
    <w:p>
      <w:pPr>
        <w:pStyle w:val="BodyText"/>
        <w:spacing w:line="240" w:lineRule="auto" w:before="81"/>
        <w:ind w:right="2880"/>
        <w:jc w:val="left"/>
      </w:pPr>
      <w:r>
        <w:rPr/>
        <w:t>5、终止经营</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归属于母公司</w:t>
            </w:r>
          </w:p>
        </w:tc>
      </w:tr>
      <w:tr>
        <w:trPr>
          <w:trHeight w:val="312"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费用</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36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所有者的终止</w:t>
            </w:r>
          </w:p>
        </w:tc>
      </w:tr>
      <w:tr>
        <w:trPr>
          <w:trHeight w:val="355"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经营利润</w:t>
            </w:r>
          </w:p>
        </w:tc>
      </w:tr>
    </w:tbl>
    <w:p>
      <w:pPr>
        <w:pStyle w:val="BodyText"/>
        <w:spacing w:line="532" w:lineRule="auto" w:before="29"/>
        <w:ind w:right="8616"/>
        <w:jc w:val="left"/>
      </w:pPr>
      <w:r>
        <w:rPr/>
        <w:t>其他说明</w:t>
      </w:r>
      <w:r>
        <w:rPr>
          <w:w w:val="100"/>
        </w:rPr>
        <w:t> </w:t>
      </w:r>
      <w:r>
        <w:rPr/>
        <w:t>6、分部信息</w:t>
      </w:r>
    </w:p>
    <w:p>
      <w:pPr>
        <w:pStyle w:val="BodyText"/>
        <w:spacing w:line="240" w:lineRule="auto" w:before="83"/>
        <w:ind w:right="2880"/>
        <w:jc w:val="left"/>
      </w:pPr>
      <w:r>
        <w:rPr/>
        <w:t>（1）报告分部的确定依据与会计政策</w:t>
      </w:r>
    </w:p>
    <w:p>
      <w:pPr>
        <w:spacing w:line="240" w:lineRule="auto" w:before="10"/>
        <w:rPr>
          <w:rFonts w:ascii="宋体" w:hAnsi="宋体" w:cs="宋体" w:eastAsia="宋体" w:hint="default"/>
          <w:sz w:val="25"/>
          <w:szCs w:val="25"/>
        </w:rPr>
      </w:pPr>
    </w:p>
    <w:p>
      <w:pPr>
        <w:pStyle w:val="BodyText"/>
        <w:spacing w:line="240" w:lineRule="auto"/>
        <w:ind w:right="2880"/>
        <w:jc w:val="left"/>
      </w:pPr>
      <w:r>
        <w:rPr/>
        <w:t>（2）报告分部的财务信息</w:t>
      </w:r>
    </w:p>
    <w:p>
      <w:pPr>
        <w:spacing w:line="240" w:lineRule="auto" w:before="12"/>
        <w:rPr>
          <w:rFonts w:ascii="宋体" w:hAnsi="宋体" w:cs="宋体" w:eastAsia="宋体" w:hint="default"/>
          <w:sz w:val="25"/>
          <w:szCs w:val="25"/>
        </w:rPr>
      </w:pPr>
    </w:p>
    <w:p>
      <w:pPr>
        <w:pStyle w:val="BodyText"/>
        <w:spacing w:line="240" w:lineRule="auto"/>
        <w:ind w:right="0"/>
        <w:jc w:val="left"/>
      </w:pPr>
      <w:r>
        <w:rPr/>
        <w:t>（3）公司无报告分部的，或者不能披露各报告分部的资产总额和负债总额的，应说明原因。</w:t>
      </w:r>
    </w:p>
    <w:p>
      <w:pPr>
        <w:spacing w:line="240" w:lineRule="auto" w:before="10"/>
        <w:rPr>
          <w:rFonts w:ascii="宋体" w:hAnsi="宋体" w:cs="宋体" w:eastAsia="宋体" w:hint="default"/>
          <w:sz w:val="25"/>
          <w:szCs w:val="25"/>
        </w:rPr>
      </w:pPr>
    </w:p>
    <w:p>
      <w:pPr>
        <w:pStyle w:val="BodyText"/>
        <w:spacing w:line="537" w:lineRule="auto"/>
        <w:ind w:right="4492"/>
        <w:jc w:val="left"/>
      </w:pPr>
      <w:r>
        <w:rPr/>
        <w:t>（4）其他说明</w:t>
      </w:r>
      <w:r>
        <w:rPr>
          <w:spacing w:val="-98"/>
        </w:rPr>
        <w:t> </w:t>
      </w:r>
      <w:r>
        <w:rPr/>
        <w:t>7、其他对投资者决策有影响的重要交易和事项</w:t>
      </w:r>
    </w:p>
    <w:p>
      <w:pPr>
        <w:pStyle w:val="BodyText"/>
        <w:spacing w:line="537" w:lineRule="auto" w:before="76"/>
        <w:ind w:right="6306"/>
        <w:jc w:val="left"/>
      </w:pPr>
      <w:r>
        <w:rPr/>
        <w:t>8、其他</w:t>
      </w:r>
      <w:r>
        <w:rPr>
          <w:spacing w:val="-101"/>
        </w:rPr>
        <w:t> </w:t>
      </w:r>
      <w:r>
        <w:rPr>
          <w:spacing w:val="-1"/>
        </w:rPr>
        <w:t>十七、母公司财务报表主要项目注释</w:t>
      </w:r>
      <w:r>
        <w:rPr>
          <w:spacing w:val="-76"/>
        </w:rPr>
        <w:t> </w:t>
      </w:r>
      <w:r>
        <w:rPr>
          <w:spacing w:val="-76"/>
        </w:rPr>
      </w:r>
      <w:r>
        <w:rPr/>
        <w:t>1、应收账款</w:t>
      </w:r>
    </w:p>
    <w:p>
      <w:pPr>
        <w:pStyle w:val="BodyText"/>
        <w:spacing w:line="240" w:lineRule="auto" w:before="76"/>
        <w:ind w:right="2880"/>
        <w:jc w:val="left"/>
      </w:pPr>
      <w:r>
        <w:rPr/>
        <w:t>（1）应收账款分类披露</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633"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2" w:right="125"/>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61,862</w:t>
            </w:r>
          </w:p>
          <w:p>
            <w:pPr>
              <w:pStyle w:val="TableParagraph"/>
              <w:spacing w:line="240" w:lineRule="auto" w:before="37"/>
              <w:ind w:right="17"/>
              <w:jc w:val="right"/>
              <w:rPr>
                <w:rFonts w:ascii="宋体" w:hAnsi="宋体" w:cs="宋体" w:eastAsia="宋体" w:hint="default"/>
                <w:sz w:val="21"/>
                <w:szCs w:val="21"/>
              </w:rPr>
            </w:pPr>
            <w:r>
              <w:rPr>
                <w:rFonts w:ascii="宋体"/>
                <w:sz w:val="21"/>
              </w:rPr>
              <w:t>,369.0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sz w:val="21"/>
              </w:rPr>
              <w:t>3,450,</w:t>
            </w:r>
          </w:p>
          <w:p>
            <w:pPr>
              <w:pStyle w:val="TableParagraph"/>
              <w:spacing w:line="240" w:lineRule="auto" w:before="37"/>
              <w:ind w:left="98" w:right="0"/>
              <w:jc w:val="left"/>
              <w:rPr>
                <w:rFonts w:ascii="宋体" w:hAnsi="宋体" w:cs="宋体" w:eastAsia="宋体" w:hint="default"/>
                <w:sz w:val="21"/>
                <w:szCs w:val="21"/>
              </w:rPr>
            </w:pPr>
            <w:r>
              <w:rPr>
                <w:rFonts w:ascii="宋体"/>
                <w:sz w:val="21"/>
              </w:rPr>
              <w:t>826.33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5.58%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58,411</w:t>
            </w:r>
          </w:p>
          <w:p>
            <w:pPr>
              <w:pStyle w:val="TableParagraph"/>
              <w:spacing w:line="240" w:lineRule="auto" w:before="37"/>
              <w:ind w:right="17"/>
              <w:jc w:val="right"/>
              <w:rPr>
                <w:rFonts w:ascii="宋体" w:hAnsi="宋体" w:cs="宋体" w:eastAsia="宋体" w:hint="default"/>
                <w:sz w:val="21"/>
                <w:szCs w:val="21"/>
              </w:rPr>
            </w:pPr>
            <w:r>
              <w:rPr>
                <w:rFonts w:ascii="宋体"/>
                <w:sz w:val="21"/>
              </w:rPr>
              <w:t>,542.7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sz w:val="21"/>
              </w:rPr>
              <w:t>9,449</w:t>
            </w:r>
          </w:p>
          <w:p>
            <w:pPr>
              <w:pStyle w:val="TableParagraph"/>
              <w:spacing w:line="240" w:lineRule="auto" w:before="37"/>
              <w:ind w:left="98" w:right="0"/>
              <w:jc w:val="left"/>
              <w:rPr>
                <w:rFonts w:ascii="宋体" w:hAnsi="宋体" w:cs="宋体" w:eastAsia="宋体" w:hint="default"/>
                <w:sz w:val="21"/>
                <w:szCs w:val="21"/>
              </w:rPr>
            </w:pPr>
            <w:r>
              <w:rPr>
                <w:rFonts w:ascii="宋体"/>
                <w:sz w:val="21"/>
              </w:rPr>
              <w:t>,941.</w:t>
            </w:r>
          </w:p>
          <w:p>
            <w:pPr>
              <w:pStyle w:val="TableParagraph"/>
              <w:spacing w:line="240" w:lineRule="auto" w:before="37"/>
              <w:ind w:left="412" w:right="0"/>
              <w:jc w:val="left"/>
              <w:rPr>
                <w:rFonts w:ascii="宋体" w:hAnsi="宋体" w:cs="宋体" w:eastAsia="宋体" w:hint="default"/>
                <w:sz w:val="21"/>
                <w:szCs w:val="21"/>
              </w:rPr>
            </w:pPr>
            <w:r>
              <w:rPr>
                <w:rFonts w:ascii="宋体"/>
                <w:sz w:val="21"/>
              </w:rPr>
              <w:t>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867,328</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.43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9.18%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8,582,61</w:t>
            </w:r>
          </w:p>
          <w:p>
            <w:pPr>
              <w:pStyle w:val="TableParagraph"/>
              <w:spacing w:line="240" w:lineRule="auto" w:before="37"/>
              <w:ind w:left="480" w:right="0"/>
              <w:jc w:val="left"/>
              <w:rPr>
                <w:rFonts w:ascii="宋体" w:hAnsi="宋体" w:cs="宋体" w:eastAsia="宋体" w:hint="default"/>
                <w:sz w:val="21"/>
                <w:szCs w:val="21"/>
              </w:rPr>
            </w:pPr>
            <w:r>
              <w:rPr>
                <w:rFonts w:ascii="宋体"/>
                <w:sz w:val="21"/>
              </w:rPr>
              <w:t>2.69</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61,862</w:t>
            </w:r>
          </w:p>
          <w:p>
            <w:pPr>
              <w:pStyle w:val="TableParagraph"/>
              <w:spacing w:line="240" w:lineRule="auto" w:before="34"/>
              <w:ind w:right="17"/>
              <w:jc w:val="right"/>
              <w:rPr>
                <w:rFonts w:ascii="宋体" w:hAnsi="宋体" w:cs="宋体" w:eastAsia="宋体" w:hint="default"/>
                <w:sz w:val="21"/>
                <w:szCs w:val="21"/>
              </w:rPr>
            </w:pPr>
            <w:r>
              <w:rPr>
                <w:rFonts w:ascii="宋体"/>
                <w:sz w:val="21"/>
              </w:rPr>
              <w:t>,369.0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sz w:val="21"/>
              </w:rPr>
              <w:t>3,450,</w:t>
            </w:r>
          </w:p>
          <w:p>
            <w:pPr>
              <w:pStyle w:val="TableParagraph"/>
              <w:spacing w:line="240" w:lineRule="auto" w:before="34"/>
              <w:ind w:left="98" w:right="0"/>
              <w:jc w:val="left"/>
              <w:rPr>
                <w:rFonts w:ascii="宋体" w:hAnsi="宋体" w:cs="宋体" w:eastAsia="宋体" w:hint="default"/>
                <w:sz w:val="21"/>
                <w:szCs w:val="21"/>
              </w:rPr>
            </w:pPr>
            <w:r>
              <w:rPr>
                <w:rFonts w:ascii="宋体"/>
                <w:sz w:val="21"/>
              </w:rPr>
              <w:t>826.33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5.58%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58,411</w:t>
            </w:r>
          </w:p>
          <w:p>
            <w:pPr>
              <w:pStyle w:val="TableParagraph"/>
              <w:spacing w:line="240" w:lineRule="auto" w:before="34"/>
              <w:ind w:right="17"/>
              <w:jc w:val="right"/>
              <w:rPr>
                <w:rFonts w:ascii="宋体" w:hAnsi="宋体" w:cs="宋体" w:eastAsia="宋体" w:hint="default"/>
                <w:sz w:val="21"/>
                <w:szCs w:val="21"/>
              </w:rPr>
            </w:pPr>
            <w:r>
              <w:rPr>
                <w:rFonts w:ascii="宋体"/>
                <w:sz w:val="21"/>
              </w:rPr>
              <w:t>,542.7</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8" w:right="0"/>
              <w:jc w:val="left"/>
              <w:rPr>
                <w:rFonts w:ascii="宋体" w:hAnsi="宋体" w:cs="宋体" w:eastAsia="宋体" w:hint="default"/>
                <w:sz w:val="21"/>
                <w:szCs w:val="21"/>
              </w:rPr>
            </w:pPr>
            <w:r>
              <w:rPr>
                <w:rFonts w:ascii="宋体"/>
                <w:sz w:val="21"/>
              </w:rPr>
              <w:t>9,449</w:t>
            </w:r>
          </w:p>
          <w:p>
            <w:pPr>
              <w:pStyle w:val="TableParagraph"/>
              <w:spacing w:line="240" w:lineRule="auto" w:before="34"/>
              <w:ind w:left="98" w:right="0"/>
              <w:jc w:val="left"/>
              <w:rPr>
                <w:rFonts w:ascii="宋体" w:hAnsi="宋体" w:cs="宋体" w:eastAsia="宋体" w:hint="default"/>
                <w:sz w:val="21"/>
                <w:szCs w:val="21"/>
              </w:rPr>
            </w:pPr>
            <w:r>
              <w:rPr>
                <w:rFonts w:ascii="宋体"/>
                <w:sz w:val="21"/>
              </w:rPr>
              <w:t>,941.</w:t>
            </w:r>
          </w:p>
          <w:p>
            <w:pPr>
              <w:pStyle w:val="TableParagraph"/>
              <w:spacing w:line="240" w:lineRule="auto" w:before="37"/>
              <w:ind w:left="412" w:right="0"/>
              <w:jc w:val="left"/>
              <w:rPr>
                <w:rFonts w:ascii="宋体" w:hAnsi="宋体" w:cs="宋体" w:eastAsia="宋体" w:hint="default"/>
                <w:sz w:val="21"/>
                <w:szCs w:val="21"/>
              </w:rPr>
            </w:pPr>
            <w:r>
              <w:rPr>
                <w:rFonts w:ascii="宋体"/>
                <w:sz w:val="21"/>
              </w:rPr>
              <w:t>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867,328</w:t>
            </w:r>
          </w:p>
          <w:p>
            <w:pPr>
              <w:pStyle w:val="TableParagraph"/>
              <w:spacing w:line="240" w:lineRule="auto" w:before="34"/>
              <w:ind w:left="468" w:right="0"/>
              <w:jc w:val="left"/>
              <w:rPr>
                <w:rFonts w:ascii="宋体" w:hAnsi="宋体" w:cs="宋体" w:eastAsia="宋体" w:hint="default"/>
                <w:sz w:val="21"/>
                <w:szCs w:val="21"/>
              </w:rPr>
            </w:pPr>
            <w:r>
              <w:rPr>
                <w:rFonts w:ascii="宋体"/>
                <w:sz w:val="21"/>
              </w:rPr>
              <w:t>.43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9.18%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8,582,61</w:t>
            </w:r>
          </w:p>
          <w:p>
            <w:pPr>
              <w:pStyle w:val="TableParagraph"/>
              <w:spacing w:line="240" w:lineRule="auto" w:before="34"/>
              <w:ind w:left="480" w:right="0"/>
              <w:jc w:val="left"/>
              <w:rPr>
                <w:rFonts w:ascii="宋体" w:hAnsi="宋体" w:cs="宋体" w:eastAsia="宋体" w:hint="default"/>
                <w:sz w:val="21"/>
                <w:szCs w:val="21"/>
              </w:rPr>
            </w:pPr>
            <w:r>
              <w:rPr>
                <w:rFonts w:ascii="宋体"/>
                <w:sz w:val="21"/>
              </w:rPr>
              <w:t>2.69</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pStyle w:val="BodyText"/>
        <w:spacing w:line="240" w:lineRule="auto" w:before="28"/>
        <w:ind w:right="0"/>
        <w:jc w:val="left"/>
      </w:pPr>
      <w:r>
        <w:rPr>
          <w:spacing w:val="-2"/>
        </w:rPr>
        <w:t>期末单项金额重大并单项计提坏账准备的应收账款：</w:t>
      </w:r>
    </w:p>
    <w:p>
      <w:pPr>
        <w:pStyle w:val="BodyText"/>
        <w:spacing w:line="307" w:lineRule="auto" w:before="75"/>
        <w:ind w:right="0"/>
        <w:jc w:val="left"/>
      </w:pPr>
      <w:r>
        <w:rPr/>
        <w:t>□ 适用 √</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9"/>
        <w:ind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4989" w:space="3704"/>
            <w:col w:w="1257"/>
          </w:cols>
        </w:sectPr>
      </w:pP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492"/>
        <w:gridCol w:w="2294"/>
        <w:gridCol w:w="2390"/>
        <w:gridCol w:w="2390"/>
      </w:tblGrid>
      <w:tr>
        <w:trPr>
          <w:trHeight w:val="206" w:hRule="exact"/>
        </w:trPr>
        <w:tc>
          <w:tcPr>
            <w:tcW w:w="24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7" w:hRule="exact"/>
        </w:trPr>
        <w:tc>
          <w:tcPr>
            <w:tcW w:w="24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4" w:hRule="exact"/>
        </w:trPr>
        <w:tc>
          <w:tcPr>
            <w:tcW w:w="2492"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7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年以内分项</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60,315,262.71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3,015,763.14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682,771.44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68,277.14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121,251.48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24,250.30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448,201.40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342,535.75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76.42%</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171,752.62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85,876.31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98,946.70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79,157.36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177,502.08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177,502.08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61,567,487.03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3,450,826.33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5.60%</w:t>
            </w:r>
          </w:p>
        </w:tc>
      </w:tr>
    </w:tbl>
    <w:p>
      <w:pPr>
        <w:pStyle w:val="BodyText"/>
        <w:spacing w:line="307" w:lineRule="auto" w:before="28"/>
        <w:ind w:right="7356"/>
        <w:jc w:val="left"/>
      </w:pPr>
      <w:r>
        <w:rPr>
          <w:spacing w:val="-2"/>
        </w:rPr>
        <w:t>确定该组合依据的说明：</w:t>
      </w:r>
      <w:r>
        <w:rPr>
          <w:spacing w:val="-83"/>
        </w:rPr>
        <w:t> </w:t>
      </w:r>
      <w:r>
        <w:rPr>
          <w:spacing w:val="-83"/>
        </w:rPr>
      </w:r>
      <w:r>
        <w:rPr/>
        <w:t>无</w:t>
      </w:r>
    </w:p>
    <w:p>
      <w:pPr>
        <w:pStyle w:val="BodyText"/>
        <w:spacing w:line="240" w:lineRule="auto" w:before="19"/>
        <w:ind w:right="2880"/>
        <w:jc w:val="left"/>
      </w:pPr>
      <w:r>
        <w:rPr/>
        <w:t>组合中，采用余额百分比法计提坏账准备的应收账款：</w:t>
      </w:r>
    </w:p>
    <w:p>
      <w:pPr>
        <w:pStyle w:val="BodyText"/>
        <w:spacing w:line="307" w:lineRule="auto" w:before="75"/>
        <w:ind w:right="5106"/>
        <w:jc w:val="left"/>
      </w:pPr>
      <w:r>
        <w:rPr/>
        <w:t>□ 适用 √</w:t>
      </w:r>
      <w:r>
        <w:rPr>
          <w:spacing w:val="-2"/>
        </w:rPr>
        <w:t> </w:t>
      </w:r>
      <w:r>
        <w:rPr/>
        <w:t>不适用</w:t>
      </w:r>
      <w:r>
        <w:rPr>
          <w:spacing w:val="-103"/>
        </w:rPr>
        <w:t> </w:t>
      </w:r>
      <w:r>
        <w:rPr>
          <w:spacing w:val="-103"/>
        </w:rPr>
      </w:r>
      <w:r>
        <w:rPr>
          <w:spacing w:val="-2"/>
        </w:rPr>
        <w:t>组合中，采用其他方法计提坏账准备的应收账款：</w:t>
      </w:r>
      <w:r>
        <w:rPr>
          <w:spacing w:val="-63"/>
        </w:rPr>
        <w:t> </w:t>
      </w:r>
      <w:r>
        <w:rPr>
          <w:spacing w:val="-63"/>
        </w:rPr>
      </w:r>
      <w:r>
        <w:rPr/>
        <w:t>不适用</w:t>
      </w:r>
    </w:p>
    <w:p>
      <w:pPr>
        <w:spacing w:line="240" w:lineRule="auto" w:before="4"/>
        <w:rPr>
          <w:rFonts w:ascii="宋体" w:hAnsi="宋体" w:cs="宋体" w:eastAsia="宋体" w:hint="default"/>
          <w:sz w:val="21"/>
          <w:szCs w:val="21"/>
        </w:rPr>
      </w:pPr>
    </w:p>
    <w:p>
      <w:pPr>
        <w:pStyle w:val="BodyText"/>
        <w:spacing w:line="240" w:lineRule="auto"/>
        <w:ind w:right="2880"/>
        <w:jc w:val="left"/>
      </w:pPr>
      <w:r>
        <w:rPr/>
        <w:t>（2）本期计提、收回或转回的坏账准备情况</w:t>
      </w: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07" w:lineRule="auto" w:before="36"/>
        <w:ind w:right="-5"/>
        <w:jc w:val="left"/>
      </w:pPr>
      <w:r>
        <w:rPr/>
        <w:t>本期计提坏账准备金额</w:t>
      </w:r>
      <w:r>
        <w:rPr>
          <w:spacing w:val="-56"/>
        </w:rPr>
        <w:t> </w:t>
      </w:r>
      <w:r>
        <w:rPr/>
        <w:t>2,583,497.90</w:t>
      </w:r>
      <w:r>
        <w:rPr>
          <w:spacing w:val="-56"/>
        </w:rPr>
        <w:t> </w:t>
      </w:r>
      <w:r>
        <w:rPr/>
        <w:t>元；本期收回或转回坏账准备金额</w:t>
      </w:r>
      <w:r>
        <w:rPr>
          <w:spacing w:val="-56"/>
        </w:rPr>
        <w:t> </w:t>
      </w:r>
      <w:r>
        <w:rPr/>
        <w:t>0.00</w:t>
      </w:r>
      <w:r>
        <w:rPr>
          <w:spacing w:val="-57"/>
        </w:rPr>
        <w:t> </w:t>
      </w:r>
      <w:r>
        <w:rPr/>
        <w:t>元。</w:t>
      </w:r>
      <w:r>
        <w:rPr>
          <w:w w:val="100"/>
        </w:rPr>
        <w:t> </w:t>
      </w:r>
      <w:r>
        <w:rPr/>
        <w:t>其中本期坏账准备收回或转回金额重要的：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7715" w:space="978"/>
            <w:col w:w="1257"/>
          </w:cols>
        </w:sectPr>
      </w:pPr>
    </w:p>
    <w:p>
      <w:pPr>
        <w:spacing w:line="240" w:lineRule="auto" w:before="11"/>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366"/>
        <w:gridCol w:w="3101"/>
        <w:gridCol w:w="3101"/>
      </w:tblGrid>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808"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after="0" w:line="240" w:lineRule="auto"/>
        <w:jc w:val="center"/>
        <w:rPr>
          <w:rFonts w:ascii="宋体" w:hAnsi="宋体" w:cs="宋体" w:eastAsia="宋体" w:hint="default"/>
          <w:sz w:val="21"/>
          <w:szCs w:val="21"/>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（3）本期实际核销的应收账款情况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961;top:14;width:24;height:394" coordorigin="4961,14" coordsize="24,394">
              <v:shape style="position:absolute;left:4961;top:14;width:24;height:394" coordorigin="4961,14" coordsize="24,394" path="m4961,408l4985,408,4985,14,4961,14,4961,408xe" filled="true" fillcolor="#d3d3d3"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3d3d3" stroked="false">
                <v:path arrowok="t"/>
                <v:fill type="solid"/>
              </v:shape>
            </v:group>
            <v:group style="position:absolute;left:34;top:14;width:4928;height:394" coordorigin="34,14" coordsize="4928,394">
              <v:shape style="position:absolute;left:34;top:14;width:4928;height:394" coordorigin="34,14" coordsize="4928,394" path="m34,14l4961,14,4961,408,34,408,34,14xe" filled="true" fillcolor="#d3d3d3" stroked="false">
                <v:path arrowok="t"/>
                <v:fill type="solid"/>
              </v:shape>
            </v:group>
            <v:group style="position:absolute;left:4994;top:14;width:22;height:394" coordorigin="4994,14" coordsize="22,394">
              <v:shape style="position:absolute;left:4994;top:14;width:22;height:394" coordorigin="4994,14" coordsize="22,394" path="m4994,408l5016,408,5016,14,4994,14,4994,408xe" filled="true" fillcolor="#d3d3d3" stroked="false">
                <v:path arrowok="t"/>
                <v:fill type="solid"/>
              </v:shape>
            </v:group>
            <v:group style="position:absolute;left:9545;top:14;width:24;height:394" coordorigin="9545,14" coordsize="24,394">
              <v:shape style="position:absolute;left:9545;top:14;width:24;height:394" coordorigin="9545,14" coordsize="24,394" path="m9545,408l9569,408,9569,14,9545,14,9545,408xe" filled="true" fillcolor="#d3d3d3" stroked="false">
                <v:path arrowok="t"/>
                <v:fill type="solid"/>
              </v:shape>
            </v:group>
            <v:group style="position:absolute;left:5016;top:14;width:4529;height:394" coordorigin="5016,14" coordsize="4529,394">
              <v:shape style="position:absolute;left:5016;top:14;width:4529;height:394" coordorigin="5016,14" coordsize="4529,394" path="m5016,14l9545,14,9545,408,5016,408,5016,14xe" filled="true" fillcolor="#d3d3d3"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7999pt" strokecolor="#000000">
                <v:path arrowok="t"/>
              </v:shape>
            </v:group>
            <v:group style="position:absolute;left:4992;top:10;width:4577;height:2" coordorigin="4992,10" coordsize="4577,2">
              <v:shape style="position:absolute;left:4992;top:10;width:4577;height:2" coordorigin="4992,10" coordsize="4577,0" path="m4992,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973;height:2" coordorigin="10,413" coordsize="4973,2">
              <v:shape style="position:absolute;left:10;top:413;width:4973;height:2" coordorigin="10,413" coordsize="4973,0" path="m10,413l4982,413e" filled="false" stroked="true" strokeweight=".47999pt" strokecolor="#000000">
                <v:path arrowok="t"/>
              </v:shape>
            </v:group>
            <v:group style="position:absolute;left:4987;top:5;width:2;height:413" coordorigin="4987,5" coordsize="2,413">
              <v:shape style="position:absolute;left:4987;top:5;width:2;height:413" coordorigin="4987,5" coordsize="0,413" path="m4987,5l4987,418e" filled="false" stroked="true" strokeweight=".47999pt" strokecolor="#000000">
                <v:path arrowok="t"/>
              </v:shape>
            </v:group>
            <v:group style="position:absolute;left:4992;top:413;width:4577;height:2" coordorigin="4992,413" coordsize="4577,2">
              <v:shape style="position:absolute;left:4992;top:413;width:4577;height:2" coordorigin="4992,413" coordsize="4577,0" path="m4992,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2287;top:106;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987;top:10;width:4587;height:404" type="#_x0000_t202" filled="false" stroked="false">
                <v:textbox inset="0,0,0,0">
                  <w:txbxContent>
                    <w:p>
                      <w:pPr>
                        <w:spacing w:before="33"/>
                        <w:ind w:left="0" w:right="0" w:firstLine="0"/>
                        <w:jc w:val="center"/>
                        <w:rPr>
                          <w:rFonts w:ascii="宋体" w:hAnsi="宋体" w:cs="宋体" w:eastAsia="宋体" w:hint="default"/>
                          <w:sz w:val="21"/>
                          <w:szCs w:val="21"/>
                        </w:rPr>
                      </w:pPr>
                      <w:r>
                        <w:rPr>
                          <w:rFonts w:ascii="宋体" w:hAnsi="宋体" w:cs="宋体" w:eastAsia="宋体" w:hint="default"/>
                          <w:sz w:val="21"/>
                          <w:szCs w:val="21"/>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24"/>
        <w:ind w:right="2880"/>
        <w:jc w:val="left"/>
      </w:pPr>
      <w:r>
        <w:rPr/>
        <w:t>其中重要的应收账款核销情况：</w:t>
      </w:r>
    </w:p>
    <w:p>
      <w:pPr>
        <w:pStyle w:val="BodyText"/>
        <w:spacing w:line="240" w:lineRule="auto" w:before="75"/>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84" w:right="62" w:hanging="317"/>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bl>
    <w:p>
      <w:pPr>
        <w:pStyle w:val="BodyText"/>
        <w:spacing w:line="307" w:lineRule="auto" w:before="29"/>
        <w:ind w:right="7776"/>
        <w:jc w:val="left"/>
      </w:pPr>
      <w:r>
        <w:rPr>
          <w:spacing w:val="-2"/>
        </w:rPr>
        <w:t>应收账款核销说明：</w:t>
      </w:r>
      <w:r>
        <w:rPr>
          <w:spacing w:val="-87"/>
        </w:rPr>
        <w:t> </w:t>
      </w:r>
      <w:r>
        <w:rPr>
          <w:spacing w:val="-87"/>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（4）按欠款方归集的期末余额前五名的应收账款情况</w:t>
      </w:r>
    </w:p>
    <w:p>
      <w:pPr>
        <w:spacing w:line="240" w:lineRule="auto" w:before="12"/>
        <w:rPr>
          <w:rFonts w:ascii="宋体" w:hAnsi="宋体" w:cs="宋体" w:eastAsia="宋体" w:hint="default"/>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661"/>
        <w:gridCol w:w="1560"/>
        <w:gridCol w:w="2059"/>
        <w:gridCol w:w="1541"/>
        <w:gridCol w:w="1898"/>
      </w:tblGrid>
      <w:tr>
        <w:trPr>
          <w:trHeight w:val="660"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4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90" w:right="21" w:hanging="262"/>
              <w:jc w:val="left"/>
              <w:rPr>
                <w:rFonts w:ascii="宋体" w:hAnsi="宋体" w:cs="宋体" w:eastAsia="宋体" w:hint="default"/>
                <w:sz w:val="21"/>
                <w:szCs w:val="21"/>
              </w:rPr>
            </w:pPr>
            <w:r>
              <w:rPr>
                <w:rFonts w:ascii="宋体" w:hAnsi="宋体" w:cs="宋体" w:eastAsia="宋体" w:hint="default"/>
                <w:sz w:val="21"/>
                <w:szCs w:val="21"/>
              </w:rPr>
              <w:t>占应收账款总额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的比例(%)</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计提坏账准备金额</w:t>
            </w:r>
          </w:p>
        </w:tc>
      </w:tr>
      <w:tr>
        <w:trPr>
          <w:trHeight w:val="346"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客户A</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57,450,000.00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92.87</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3" w:right="0"/>
              <w:jc w:val="left"/>
              <w:rPr>
                <w:rFonts w:ascii="宋体" w:hAnsi="宋体" w:cs="宋体" w:eastAsia="宋体" w:hint="default"/>
                <w:sz w:val="21"/>
                <w:szCs w:val="21"/>
              </w:rPr>
            </w:pPr>
            <w:r>
              <w:rPr>
                <w:rFonts w:ascii="宋体"/>
                <w:sz w:val="21"/>
              </w:rPr>
              <w:t>2,872,500.00</w:t>
            </w:r>
          </w:p>
        </w:tc>
      </w:tr>
      <w:tr>
        <w:trPr>
          <w:trHeight w:val="348"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客户B</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438,307.01</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0.71</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0" w:right="0"/>
              <w:jc w:val="left"/>
              <w:rPr>
                <w:rFonts w:ascii="宋体" w:hAnsi="宋体" w:cs="宋体" w:eastAsia="宋体" w:hint="default"/>
                <w:sz w:val="21"/>
                <w:szCs w:val="21"/>
              </w:rPr>
            </w:pPr>
            <w:r>
              <w:rPr>
                <w:rFonts w:ascii="宋体"/>
                <w:sz w:val="21"/>
              </w:rPr>
              <w:t>21,915.35</w:t>
            </w:r>
          </w:p>
        </w:tc>
      </w:tr>
      <w:tr>
        <w:trPr>
          <w:trHeight w:val="346"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客户C</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410,159.57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0.66</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30" w:right="0"/>
              <w:jc w:val="left"/>
              <w:rPr>
                <w:rFonts w:ascii="宋体" w:hAnsi="宋体" w:cs="宋体" w:eastAsia="宋体" w:hint="default"/>
                <w:sz w:val="21"/>
                <w:szCs w:val="21"/>
              </w:rPr>
            </w:pPr>
            <w:r>
              <w:rPr>
                <w:rFonts w:ascii="宋体"/>
                <w:sz w:val="21"/>
              </w:rPr>
              <w:t>41,015.96</w:t>
            </w:r>
          </w:p>
        </w:tc>
      </w:tr>
      <w:tr>
        <w:trPr>
          <w:trHeight w:val="348"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客户D</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358,710.00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0.58</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0" w:right="0"/>
              <w:jc w:val="left"/>
              <w:rPr>
                <w:rFonts w:ascii="宋体" w:hAnsi="宋体" w:cs="宋体" w:eastAsia="宋体" w:hint="default"/>
                <w:sz w:val="21"/>
                <w:szCs w:val="21"/>
              </w:rPr>
            </w:pPr>
            <w:r>
              <w:rPr>
                <w:rFonts w:ascii="宋体"/>
                <w:sz w:val="21"/>
              </w:rPr>
              <w:t>17,935.50</w:t>
            </w:r>
          </w:p>
        </w:tc>
      </w:tr>
      <w:tr>
        <w:trPr>
          <w:trHeight w:val="348"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客户E</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307,200.00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0.50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30" w:right="0"/>
              <w:jc w:val="left"/>
              <w:rPr>
                <w:rFonts w:ascii="宋体" w:hAnsi="宋体" w:cs="宋体" w:eastAsia="宋体" w:hint="default"/>
                <w:sz w:val="21"/>
                <w:szCs w:val="21"/>
              </w:rPr>
            </w:pPr>
            <w:r>
              <w:rPr>
                <w:rFonts w:ascii="宋体"/>
                <w:sz w:val="21"/>
              </w:rPr>
              <w:t>15,360.00</w:t>
            </w:r>
          </w:p>
        </w:tc>
      </w:tr>
      <w:tr>
        <w:trPr>
          <w:trHeight w:val="346"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6" w:space="0" w:color="000000"/>
              <w:right w:val="single" w:sz="6" w:space="0" w:color="000000"/>
            </w:tcBorders>
          </w:tcPr>
          <w:p>
            <w:pP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right"/>
              <w:rPr>
                <w:rFonts w:ascii="宋体" w:hAnsi="宋体" w:cs="宋体" w:eastAsia="宋体" w:hint="default"/>
                <w:sz w:val="21"/>
                <w:szCs w:val="21"/>
              </w:rPr>
            </w:pPr>
            <w:r>
              <w:rPr>
                <w:rFonts w:ascii="宋体"/>
                <w:spacing w:val="-1"/>
                <w:sz w:val="21"/>
              </w:rPr>
              <w:t>58,964,376.58</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z w:val="21"/>
              </w:rPr>
              <w:t>95.32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13" w:right="0"/>
              <w:jc w:val="left"/>
              <w:rPr>
                <w:rFonts w:ascii="宋体" w:hAnsi="宋体" w:cs="宋体" w:eastAsia="宋体" w:hint="default"/>
                <w:sz w:val="21"/>
                <w:szCs w:val="21"/>
              </w:rPr>
            </w:pPr>
            <w:r>
              <w:rPr>
                <w:rFonts w:ascii="宋体"/>
                <w:sz w:val="21"/>
              </w:rPr>
              <w:t>2,968,726.81</w:t>
            </w:r>
          </w:p>
        </w:tc>
      </w:tr>
    </w:tbl>
    <w:p>
      <w:pPr>
        <w:spacing w:line="240" w:lineRule="auto" w:before="3"/>
        <w:rPr>
          <w:rFonts w:ascii="宋体" w:hAnsi="宋体" w:cs="宋体" w:eastAsia="宋体" w:hint="default"/>
          <w:sz w:val="19"/>
          <w:szCs w:val="19"/>
        </w:rPr>
      </w:pPr>
    </w:p>
    <w:p>
      <w:pPr>
        <w:pStyle w:val="BodyText"/>
        <w:spacing w:line="537" w:lineRule="auto" w:before="36"/>
        <w:ind w:right="5526"/>
        <w:jc w:val="left"/>
      </w:pPr>
      <w:r>
        <w:rPr>
          <w:spacing w:val="-1"/>
        </w:rPr>
        <w:t>（5）因金融资产转移而终止确认的应收账款</w:t>
      </w:r>
      <w:r>
        <w:rPr>
          <w:spacing w:val="-68"/>
        </w:rPr>
        <w:t> </w:t>
      </w:r>
      <w:r>
        <w:rPr>
          <w:spacing w:val="-68"/>
        </w:rPr>
      </w:r>
      <w:r>
        <w:rPr/>
        <w:t>无</w:t>
      </w:r>
    </w:p>
    <w:p>
      <w:pPr>
        <w:pStyle w:val="BodyText"/>
        <w:spacing w:line="240" w:lineRule="auto" w:before="76"/>
        <w:ind w:right="2880"/>
        <w:jc w:val="left"/>
      </w:pPr>
      <w:r>
        <w:rPr/>
        <w:t>（6）转移应收账款且继续涉入形成的资产、负债金额</w:t>
      </w:r>
    </w:p>
    <w:p>
      <w:pPr>
        <w:spacing w:line="240" w:lineRule="auto" w:before="10"/>
        <w:rPr>
          <w:rFonts w:ascii="宋体" w:hAnsi="宋体" w:cs="宋体" w:eastAsia="宋体" w:hint="default"/>
          <w:sz w:val="25"/>
          <w:szCs w:val="25"/>
        </w:rPr>
      </w:pPr>
    </w:p>
    <w:p>
      <w:pPr>
        <w:pStyle w:val="BodyText"/>
        <w:spacing w:line="307" w:lineRule="auto"/>
        <w:ind w:right="8721"/>
        <w:jc w:val="left"/>
      </w:pPr>
      <w:r>
        <w:rPr/>
        <w:t>无</w:t>
      </w:r>
      <w:r>
        <w:rPr>
          <w:w w:val="100"/>
        </w:rPr>
        <w:t> </w:t>
      </w: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2、其他应收款</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（1）其他应收款分类披露</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633"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4"/>
              <w:ind w:left="283" w:right="67"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62" w:right="0"/>
              <w:jc w:val="left"/>
              <w:rPr>
                <w:rFonts w:ascii="宋体" w:hAnsi="宋体" w:cs="宋体" w:eastAsia="宋体" w:hint="default"/>
                <w:sz w:val="21"/>
                <w:szCs w:val="21"/>
              </w:rPr>
            </w:pPr>
            <w:r>
              <w:rPr>
                <w:rFonts w:ascii="宋体" w:hAnsi="宋体" w:cs="宋体" w:eastAsia="宋体" w:hint="default"/>
                <w:sz w:val="21"/>
                <w:szCs w:val="21"/>
              </w:rPr>
              <w:t>计提比</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141,67</w:t>
            </w:r>
          </w:p>
          <w:p>
            <w:pPr>
              <w:pStyle w:val="TableParagraph"/>
              <w:spacing w:line="240" w:lineRule="auto" w:before="37"/>
              <w:ind w:right="17"/>
              <w:jc w:val="right"/>
              <w:rPr>
                <w:rFonts w:ascii="宋体" w:hAnsi="宋体" w:cs="宋体" w:eastAsia="宋体" w:hint="default"/>
                <w:sz w:val="21"/>
                <w:szCs w:val="21"/>
              </w:rPr>
            </w:pPr>
            <w:r>
              <w:rPr>
                <w:rFonts w:ascii="宋体"/>
                <w:sz w:val="21"/>
              </w:rPr>
              <w:t>3,552.</w:t>
            </w:r>
          </w:p>
          <w:p>
            <w:pPr>
              <w:pStyle w:val="TableParagraph"/>
              <w:spacing w:line="240" w:lineRule="auto" w:before="37"/>
              <w:ind w:right="19"/>
              <w:jc w:val="right"/>
              <w:rPr>
                <w:rFonts w:ascii="宋体" w:hAnsi="宋体" w:cs="宋体" w:eastAsia="宋体" w:hint="default"/>
                <w:sz w:val="21"/>
                <w:szCs w:val="21"/>
              </w:rPr>
            </w:pPr>
            <w:r>
              <w:rPr>
                <w:rFonts w:ascii="宋体"/>
                <w:sz w:val="21"/>
              </w:rPr>
              <w:t>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sz w:val="21"/>
              </w:rPr>
              <w:t>414,33</w:t>
            </w:r>
          </w:p>
          <w:p>
            <w:pPr>
              <w:pStyle w:val="TableParagraph"/>
              <w:spacing w:line="240" w:lineRule="auto" w:before="37"/>
              <w:ind w:left="309" w:right="0"/>
              <w:jc w:val="left"/>
              <w:rPr>
                <w:rFonts w:ascii="宋体" w:hAnsi="宋体" w:cs="宋体" w:eastAsia="宋体" w:hint="default"/>
                <w:sz w:val="21"/>
                <w:szCs w:val="21"/>
              </w:rPr>
            </w:pPr>
            <w:r>
              <w:rPr>
                <w:rFonts w:ascii="宋体"/>
                <w:sz w:val="21"/>
              </w:rPr>
              <w:t>1.43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141,25</w:t>
            </w:r>
          </w:p>
          <w:p>
            <w:pPr>
              <w:pStyle w:val="TableParagraph"/>
              <w:spacing w:line="240" w:lineRule="auto" w:before="37"/>
              <w:ind w:right="17"/>
              <w:jc w:val="right"/>
              <w:rPr>
                <w:rFonts w:ascii="宋体" w:hAnsi="宋体" w:cs="宋体" w:eastAsia="宋体" w:hint="default"/>
                <w:sz w:val="21"/>
                <w:szCs w:val="21"/>
              </w:rPr>
            </w:pPr>
            <w:r>
              <w:rPr>
                <w:rFonts w:ascii="宋体"/>
                <w:sz w:val="21"/>
              </w:rPr>
              <w:t>9,221.</w:t>
            </w:r>
          </w:p>
          <w:p>
            <w:pPr>
              <w:pStyle w:val="TableParagraph"/>
              <w:spacing w:line="240" w:lineRule="auto" w:before="37"/>
              <w:ind w:right="19"/>
              <w:jc w:val="right"/>
              <w:rPr>
                <w:rFonts w:ascii="宋体" w:hAnsi="宋体" w:cs="宋体" w:eastAsia="宋体" w:hint="default"/>
                <w:sz w:val="21"/>
                <w:szCs w:val="21"/>
              </w:rPr>
            </w:pPr>
            <w:r>
              <w:rPr>
                <w:rFonts w:ascii="宋体"/>
                <w:sz w:val="21"/>
              </w:rPr>
              <w:t>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9" w:right="0"/>
              <w:jc w:val="center"/>
              <w:rPr>
                <w:rFonts w:ascii="宋体" w:hAnsi="宋体" w:cs="宋体" w:eastAsia="宋体" w:hint="default"/>
                <w:sz w:val="21"/>
                <w:szCs w:val="21"/>
              </w:rPr>
            </w:pPr>
            <w:r>
              <w:rPr>
                <w:rFonts w:ascii="宋体"/>
                <w:sz w:val="21"/>
              </w:rPr>
              <w:t>144,1</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70,32</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5.43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230,112</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143,940,</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212.82</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141,67</w:t>
            </w:r>
          </w:p>
          <w:p>
            <w:pPr>
              <w:pStyle w:val="TableParagraph"/>
              <w:spacing w:line="240" w:lineRule="auto" w:before="37"/>
              <w:ind w:right="17"/>
              <w:jc w:val="right"/>
              <w:rPr>
                <w:rFonts w:ascii="宋体" w:hAnsi="宋体" w:cs="宋体" w:eastAsia="宋体" w:hint="default"/>
                <w:sz w:val="21"/>
                <w:szCs w:val="21"/>
              </w:rPr>
            </w:pPr>
            <w:r>
              <w:rPr>
                <w:rFonts w:ascii="宋体"/>
                <w:sz w:val="21"/>
              </w:rPr>
              <w:t>3,552.</w:t>
            </w:r>
          </w:p>
          <w:p>
            <w:pPr>
              <w:pStyle w:val="TableParagraph"/>
              <w:spacing w:line="240" w:lineRule="auto" w:before="37"/>
              <w:ind w:right="19"/>
              <w:jc w:val="right"/>
              <w:rPr>
                <w:rFonts w:ascii="宋体" w:hAnsi="宋体" w:cs="宋体" w:eastAsia="宋体" w:hint="default"/>
                <w:sz w:val="21"/>
                <w:szCs w:val="21"/>
              </w:rPr>
            </w:pPr>
            <w:r>
              <w:rPr>
                <w:rFonts w:ascii="宋体"/>
                <w:sz w:val="21"/>
              </w:rPr>
              <w:t>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sz w:val="21"/>
              </w:rPr>
              <w:t>414,33</w:t>
            </w:r>
          </w:p>
          <w:p>
            <w:pPr>
              <w:pStyle w:val="TableParagraph"/>
              <w:spacing w:line="240" w:lineRule="auto" w:before="37"/>
              <w:ind w:left="309" w:right="0"/>
              <w:jc w:val="left"/>
              <w:rPr>
                <w:rFonts w:ascii="宋体" w:hAnsi="宋体" w:cs="宋体" w:eastAsia="宋体" w:hint="default"/>
                <w:sz w:val="21"/>
                <w:szCs w:val="21"/>
              </w:rPr>
            </w:pPr>
            <w:r>
              <w:rPr>
                <w:rFonts w:ascii="宋体"/>
                <w:sz w:val="21"/>
              </w:rPr>
              <w:t>1.43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141,25</w:t>
            </w:r>
          </w:p>
          <w:p>
            <w:pPr>
              <w:pStyle w:val="TableParagraph"/>
              <w:spacing w:line="240" w:lineRule="auto" w:before="37"/>
              <w:ind w:right="17"/>
              <w:jc w:val="right"/>
              <w:rPr>
                <w:rFonts w:ascii="宋体" w:hAnsi="宋体" w:cs="宋体" w:eastAsia="宋体" w:hint="default"/>
                <w:sz w:val="21"/>
                <w:szCs w:val="21"/>
              </w:rPr>
            </w:pPr>
            <w:r>
              <w:rPr>
                <w:rFonts w:ascii="宋体"/>
                <w:sz w:val="21"/>
              </w:rPr>
              <w:t>9,221.</w:t>
            </w:r>
          </w:p>
          <w:p>
            <w:pPr>
              <w:pStyle w:val="TableParagraph"/>
              <w:spacing w:line="240" w:lineRule="auto" w:before="37"/>
              <w:ind w:right="19"/>
              <w:jc w:val="right"/>
              <w:rPr>
                <w:rFonts w:ascii="宋体" w:hAnsi="宋体" w:cs="宋体" w:eastAsia="宋体" w:hint="default"/>
                <w:sz w:val="21"/>
                <w:szCs w:val="21"/>
              </w:rPr>
            </w:pPr>
            <w:r>
              <w:rPr>
                <w:rFonts w:ascii="宋体"/>
                <w:sz w:val="21"/>
              </w:rPr>
              <w:t>19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9" w:right="0"/>
              <w:jc w:val="center"/>
              <w:rPr>
                <w:rFonts w:ascii="宋体" w:hAnsi="宋体" w:cs="宋体" w:eastAsia="宋体" w:hint="default"/>
                <w:sz w:val="21"/>
                <w:szCs w:val="21"/>
              </w:rPr>
            </w:pPr>
            <w:r>
              <w:rPr>
                <w:rFonts w:ascii="宋体"/>
                <w:sz w:val="21"/>
              </w:rPr>
              <w:t>144,1</w:t>
            </w:r>
          </w:p>
          <w:p>
            <w:pPr>
              <w:pStyle w:val="TableParagraph"/>
              <w:spacing w:line="240" w:lineRule="auto" w:before="37"/>
              <w:ind w:left="79" w:right="0"/>
              <w:jc w:val="center"/>
              <w:rPr>
                <w:rFonts w:ascii="宋体" w:hAnsi="宋体" w:cs="宋体" w:eastAsia="宋体" w:hint="default"/>
                <w:sz w:val="21"/>
                <w:szCs w:val="21"/>
              </w:rPr>
            </w:pPr>
            <w:r>
              <w:rPr>
                <w:rFonts w:ascii="宋体"/>
                <w:sz w:val="21"/>
              </w:rPr>
              <w:t>70,32</w:t>
            </w:r>
          </w:p>
          <w:p>
            <w:pPr>
              <w:pStyle w:val="TableParagraph"/>
              <w:spacing w:line="240" w:lineRule="auto" w:before="37"/>
              <w:ind w:left="184" w:right="0"/>
              <w:jc w:val="center"/>
              <w:rPr>
                <w:rFonts w:ascii="宋体" w:hAnsi="宋体" w:cs="宋体" w:eastAsia="宋体" w:hint="default"/>
                <w:sz w:val="21"/>
                <w:szCs w:val="21"/>
              </w:rPr>
            </w:pPr>
            <w:r>
              <w:rPr>
                <w:rFonts w:ascii="宋体"/>
                <w:sz w:val="21"/>
              </w:rPr>
              <w:t>5.43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21"/>
                <w:szCs w:val="21"/>
              </w:rPr>
            </w:pPr>
            <w:r>
              <w:rPr>
                <w:rFonts w:ascii="宋体"/>
                <w:sz w:val="21"/>
              </w:rPr>
              <w:t>230,112</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21"/>
                <w:szCs w:val="21"/>
              </w:rPr>
            </w:pPr>
            <w:r>
              <w:rPr>
                <w:rFonts w:ascii="宋体"/>
                <w:sz w:val="21"/>
              </w:rPr>
              <w:t>143,940,</w:t>
            </w:r>
          </w:p>
          <w:p>
            <w:pPr>
              <w:pStyle w:val="TableParagraph"/>
              <w:spacing w:line="240" w:lineRule="auto" w:before="37"/>
              <w:ind w:left="268" w:right="0"/>
              <w:jc w:val="left"/>
              <w:rPr>
                <w:rFonts w:ascii="宋体" w:hAnsi="宋体" w:cs="宋体" w:eastAsia="宋体" w:hint="default"/>
                <w:sz w:val="21"/>
                <w:szCs w:val="21"/>
              </w:rPr>
            </w:pPr>
            <w:r>
              <w:rPr>
                <w:rFonts w:ascii="宋体"/>
                <w:sz w:val="21"/>
              </w:rPr>
              <w:t>212.82</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pStyle w:val="BodyText"/>
        <w:spacing w:line="240" w:lineRule="auto" w:before="28"/>
        <w:ind w:right="0"/>
        <w:jc w:val="left"/>
      </w:pPr>
      <w:r>
        <w:rPr>
          <w:spacing w:val="-2"/>
        </w:rPr>
        <w:t>期末单项金额重大并单项计提坏账准备的其他应收款：</w:t>
      </w:r>
    </w:p>
    <w:p>
      <w:pPr>
        <w:pStyle w:val="BodyText"/>
        <w:spacing w:line="307" w:lineRule="auto" w:before="75"/>
        <w:ind w:right="0"/>
        <w:jc w:val="left"/>
      </w:pPr>
      <w:r>
        <w:rPr/>
        <w:t>□ 适用 √</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19"/>
        <w:ind w:right="0"/>
        <w:jc w:val="left"/>
      </w:pPr>
      <w:r>
        <w:rPr/>
        <w:t>√ 适用 □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5200" w:space="3493"/>
            <w:col w:w="1257"/>
          </w:cols>
        </w:sectPr>
      </w:pP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90"/>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9"/>
              <w:ind w:left="6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9"/>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4,315,622.67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215,781.13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1,494,855.00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149,485.50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244,636.52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48,927.30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137.50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6,055,389.19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414,331.43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6.84%</w:t>
            </w:r>
          </w:p>
        </w:tc>
      </w:tr>
    </w:tbl>
    <w:p>
      <w:pPr>
        <w:pStyle w:val="BodyText"/>
        <w:spacing w:line="307" w:lineRule="auto" w:before="28"/>
        <w:ind w:right="2880"/>
        <w:jc w:val="left"/>
      </w:pPr>
      <w:r>
        <w:rPr/>
        <w:t>确定该组合依据的说明：</w:t>
      </w:r>
      <w:r>
        <w:rPr>
          <w:w w:val="100"/>
        </w:rPr>
        <w:t> </w:t>
      </w:r>
      <w:r>
        <w:rPr>
          <w:spacing w:val="-2"/>
        </w:rPr>
        <w:t>组合中，采用余额百分比法计提坏账准备的其他应收款：</w:t>
      </w:r>
    </w:p>
    <w:p>
      <w:pPr>
        <w:pStyle w:val="BodyText"/>
        <w:spacing w:line="307" w:lineRule="auto" w:before="19"/>
        <w:ind w:right="4492"/>
        <w:jc w:val="left"/>
      </w:pPr>
      <w:r>
        <w:rPr/>
        <w:t>□ 适用 √</w:t>
      </w:r>
      <w:r>
        <w:rPr>
          <w:spacing w:val="-2"/>
        </w:rPr>
        <w:t> </w:t>
      </w:r>
      <w:r>
        <w:rPr/>
        <w:t>不适用</w:t>
      </w:r>
      <w:r>
        <w:rPr>
          <w:spacing w:val="-103"/>
        </w:rPr>
        <w:t> </w:t>
      </w:r>
      <w:r>
        <w:rPr>
          <w:spacing w:val="-103"/>
        </w:rPr>
      </w:r>
      <w:r>
        <w:rPr>
          <w:spacing w:val="-2"/>
        </w:rPr>
        <w:t>组合中，采用其他方法计提坏账准备的其他应收款：</w:t>
      </w:r>
    </w:p>
    <w:p>
      <w:pPr>
        <w:pStyle w:val="BodyText"/>
        <w:spacing w:line="240" w:lineRule="auto" w:before="19"/>
        <w:ind w:right="2880"/>
        <w:jc w:val="left"/>
      </w:pPr>
      <w:r>
        <w:rPr/>
        <w:t>□ 适用 √ 不适用</w:t>
      </w:r>
    </w:p>
    <w:p>
      <w:pPr>
        <w:spacing w:line="240" w:lineRule="auto" w:before="10"/>
        <w:rPr>
          <w:rFonts w:ascii="宋体" w:hAnsi="宋体" w:cs="宋体" w:eastAsia="宋体" w:hint="default"/>
          <w:sz w:val="25"/>
          <w:szCs w:val="25"/>
        </w:rPr>
      </w:pPr>
    </w:p>
    <w:p>
      <w:pPr>
        <w:pStyle w:val="BodyText"/>
        <w:spacing w:line="240" w:lineRule="auto"/>
        <w:ind w:right="2880"/>
        <w:jc w:val="left"/>
      </w:pPr>
      <w:r>
        <w:rPr/>
        <w:t>（2）本期计提、收回或转回的坏账准备情况</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pStyle w:val="BodyText"/>
        <w:spacing w:line="307" w:lineRule="auto" w:before="36"/>
        <w:ind w:right="-10"/>
        <w:jc w:val="left"/>
      </w:pPr>
      <w:r>
        <w:rPr/>
        <w:t>本期计提坏账准备金额</w:t>
      </w:r>
      <w:r>
        <w:rPr>
          <w:spacing w:val="-56"/>
        </w:rPr>
        <w:t> </w:t>
      </w:r>
      <w:r>
        <w:rPr/>
        <w:t>184,218.82</w:t>
      </w:r>
      <w:r>
        <w:rPr>
          <w:spacing w:val="-58"/>
        </w:rPr>
        <w:t> </w:t>
      </w:r>
      <w:r>
        <w:rPr/>
        <w:t>元；本期收回或转回坏账准备金额元。</w:t>
      </w:r>
      <w:r>
        <w:rPr>
          <w:w w:val="100"/>
        </w:rPr>
        <w:t> </w:t>
      </w:r>
      <w:r>
        <w:rPr/>
        <w:t>其中本期坏账准备转回或收回金额重要的：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980" w:right="980"/>
          <w:cols w:num="2" w:equalWidth="0">
            <w:col w:w="6981" w:space="1712"/>
            <w:col w:w="1257"/>
          </w:cols>
        </w:sectPr>
      </w:pPr>
    </w:p>
    <w:p>
      <w:pPr>
        <w:spacing w:line="240" w:lineRule="auto" w:before="12"/>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3366"/>
        <w:gridCol w:w="3101"/>
        <w:gridCol w:w="3101"/>
      </w:tblGrid>
      <w:tr>
        <w:trPr>
          <w:trHeight w:val="401"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808"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（3）本期实际核销的其他应收款情况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4961;top:17;width:24;height:392" coordorigin="4961,17" coordsize="24,392">
              <v:shape style="position:absolute;left:4961;top:17;width:24;height:392" coordorigin="4961,17" coordsize="24,392" path="m4961,408l4985,408,4985,17,4961,17,4961,408xe" filled="true" fillcolor="#d3d3d3"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3d3d3" stroked="false">
                <v:path arrowok="t"/>
                <v:fill type="solid"/>
              </v:shape>
            </v:group>
            <v:group style="position:absolute;left:34;top:17;width:4928;height:392" coordorigin="34,17" coordsize="4928,392">
              <v:shape style="position:absolute;left:34;top:17;width:4928;height:392" coordorigin="34,17" coordsize="4928,392" path="m34,17l4961,17,4961,408,34,408,34,17xe" filled="true" fillcolor="#d3d3d3" stroked="false">
                <v:path arrowok="t"/>
                <v:fill type="solid"/>
              </v:shape>
            </v:group>
            <v:group style="position:absolute;left:4994;top:17;width:22;height:392" coordorigin="4994,17" coordsize="22,392">
              <v:shape style="position:absolute;left:4994;top:17;width:22;height:392" coordorigin="4994,17" coordsize="22,392" path="m4994,408l5016,408,5016,17,4994,17,4994,408xe" filled="true" fillcolor="#d3d3d3" stroked="false">
                <v:path arrowok="t"/>
                <v:fill type="solid"/>
              </v:shape>
            </v:group>
            <v:group style="position:absolute;left:9545;top:17;width:24;height:392" coordorigin="9545,17" coordsize="24,392">
              <v:shape style="position:absolute;left:9545;top:17;width:24;height:392" coordorigin="9545,17" coordsize="24,392" path="m9545,408l9569,408,9569,17,9545,17,9545,408xe" filled="true" fillcolor="#d3d3d3" stroked="false">
                <v:path arrowok="t"/>
                <v:fill type="solid"/>
              </v:shape>
            </v:group>
            <v:group style="position:absolute;left:5016;top:17;width:4529;height:392" coordorigin="5016,17" coordsize="4529,392">
              <v:shape style="position:absolute;left:5016;top:17;width:4529;height:392" coordorigin="5016,17" coordsize="4529,392" path="m5016,17l9545,17,9545,408,5016,408,5016,17xe" filled="true" fillcolor="#d3d3d3"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7999pt" strokecolor="#000000">
                <v:path arrowok="t"/>
              </v:shape>
            </v:group>
            <v:group style="position:absolute;left:4992;top:10;width:4577;height:2" coordorigin="4992,10" coordsize="4577,2">
              <v:shape style="position:absolute;left:4992;top:10;width:4577;height:2" coordorigin="4992,10" coordsize="4577,0" path="m4992,10l9569,10e" filled="false" stroked="true" strokeweight=".47999pt" strokecolor="#000000">
                <v:path arrowok="t"/>
              </v:shape>
            </v:group>
            <v:group style="position:absolute;left:5;top:5;width:2;height:413" coordorigin="5,5" coordsize="2,413">
              <v:shape style="position:absolute;left:5;top:5;width:2;height:413" coordorigin="5,5" coordsize="0,413" path="m5,5l5,418e" filled="false" stroked="true" strokeweight=".47999pt" strokecolor="#000000">
                <v:path arrowok="t"/>
              </v:shape>
            </v:group>
            <v:group style="position:absolute;left:10;top:413;width:4973;height:2" coordorigin="10,413" coordsize="4973,2">
              <v:shape style="position:absolute;left:10;top:413;width:4973;height:2" coordorigin="10,413" coordsize="4973,0" path="m10,413l4982,413e" filled="false" stroked="true" strokeweight=".47999pt" strokecolor="#000000">
                <v:path arrowok="t"/>
              </v:shape>
            </v:group>
            <v:group style="position:absolute;left:4987;top:5;width:2;height:413" coordorigin="4987,5" coordsize="2,413">
              <v:shape style="position:absolute;left:4987;top:5;width:2;height:413" coordorigin="4987,5" coordsize="0,413" path="m4987,5l4987,418e" filled="false" stroked="true" strokeweight=".47999pt" strokecolor="#000000">
                <v:path arrowok="t"/>
              </v:shape>
            </v:group>
            <v:group style="position:absolute;left:4992;top:413;width:4577;height:2" coordorigin="4992,413" coordsize="4577,2">
              <v:shape style="position:absolute;left:4992;top:413;width:4577;height:2" coordorigin="4992,413" coordsize="4577,0" path="m4992,413l9569,413e" filled="false" stroked="true" strokeweight=".47999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7999pt" strokecolor="#000000">
                <v:path arrowok="t"/>
              </v:shape>
              <v:shape style="position:absolute;left:2287;top:109;width:42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987;top:11;width:4587;height:402" type="#_x0000_t202" filled="false" stroked="false">
                <v:textbox inset="0,0,0,0">
                  <w:txbxContent>
                    <w:p>
                      <w:pPr>
                        <w:spacing w:before="34"/>
                        <w:ind w:left="0" w:right="0" w:firstLine="0"/>
                        <w:jc w:val="center"/>
                        <w:rPr>
                          <w:rFonts w:ascii="宋体" w:hAnsi="宋体" w:cs="宋体" w:eastAsia="宋体" w:hint="default"/>
                          <w:sz w:val="21"/>
                          <w:szCs w:val="21"/>
                        </w:rPr>
                      </w:pPr>
                      <w:r>
                        <w:rPr>
                          <w:rFonts w:ascii="宋体" w:hAnsi="宋体" w:cs="宋体" w:eastAsia="宋体" w:hint="default"/>
                          <w:sz w:val="21"/>
                          <w:szCs w:val="21"/>
                        </w:rPr>
                        <w:t>核销金额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其中重要的其他应收款核销情况：</w:t>
      </w:r>
    </w:p>
    <w:p>
      <w:pPr>
        <w:pStyle w:val="BodyText"/>
        <w:spacing w:line="240" w:lineRule="auto" w:before="78"/>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384" w:right="62" w:hanging="317"/>
              <w:jc w:val="left"/>
              <w:rPr>
                <w:rFonts w:ascii="宋体" w:hAnsi="宋体" w:cs="宋体" w:eastAsia="宋体" w:hint="default"/>
                <w:sz w:val="21"/>
                <w:szCs w:val="21"/>
              </w:rPr>
            </w:pPr>
            <w:r>
              <w:rPr>
                <w:rFonts w:ascii="宋体" w:hAnsi="宋体" w:cs="宋体" w:eastAsia="宋体" w:hint="default"/>
                <w:sz w:val="21"/>
                <w:szCs w:val="21"/>
              </w:rPr>
              <w:t>款项是否由关联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交易产生</w:t>
            </w:r>
          </w:p>
        </w:tc>
      </w:tr>
    </w:tbl>
    <w:p>
      <w:pPr>
        <w:pStyle w:val="BodyText"/>
        <w:spacing w:line="240" w:lineRule="auto" w:before="28"/>
        <w:ind w:right="2880"/>
        <w:jc w:val="left"/>
      </w:pPr>
      <w:r>
        <w:rPr/>
        <w:t>其他应收款核销说明：</w:t>
      </w:r>
    </w:p>
    <w:p>
      <w:pPr>
        <w:spacing w:line="240" w:lineRule="auto" w:before="8"/>
        <w:rPr>
          <w:rFonts w:ascii="宋体" w:hAnsi="宋体" w:cs="宋体" w:eastAsia="宋体" w:hint="default"/>
          <w:sz w:val="25"/>
          <w:szCs w:val="25"/>
        </w:rPr>
      </w:pPr>
    </w:p>
    <w:p>
      <w:pPr>
        <w:pStyle w:val="BodyText"/>
        <w:spacing w:line="240" w:lineRule="auto"/>
        <w:ind w:right="2880"/>
        <w:jc w:val="left"/>
      </w:pPr>
      <w:r>
        <w:rPr/>
        <w:t>（4）其他应收款按款项性质分类情况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4,679,284.00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2,950,953.00</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2,756,894.08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24,900.00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128,181,985.35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136,941,994.08</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6,055,389.19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4,252,478.35</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141,673,552.62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144,170,325.43</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（5）按欠款方归集的期末余额前五名的其他应收款情况</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pict>
          <v:group style="position:absolute;margin-left:374.01825pt;margin-top:71.783684pt;width:80.3pt;height:97.6pt;mso-position-horizontal-relative:page;mso-position-vertical-relative:paragraph;z-index:-885856" coordorigin="7480,1436" coordsize="1606,1952">
            <v:group style="position:absolute;left:7480;top:1436;width:1606;height:1952" coordorigin="7480,1436" coordsize="1606,1952">
              <v:shape style="position:absolute;left:7480;top:1436;width:1606;height:1952" coordorigin="7480,1436" coordsize="1606,1952" path="m7480,1436l9086,1436,9086,3387,7480,3387,7480,1436xe" filled="true" fillcolor="#ffffff" stroked="false">
                <v:path arrowok="t"/>
                <v:fill type="solid"/>
              </v:shape>
            </v:group>
            <v:group style="position:absolute;left:7502;top:2216;width:1560;height:392" coordorigin="7502,2216" coordsize="1560,392">
              <v:shape style="position:absolute;left:7502;top:2216;width:1560;height:392" coordorigin="7502,2216" coordsize="1560,392" path="m7502,2216l9062,2216,9062,2607,7502,2607,7502,2216xe" filled="true" fillcolor="#ffffff" stroked="false">
                <v:path arrowok="t"/>
                <v:fill type="solid"/>
              </v:shape>
            </v:group>
            <w10:wrap type="none"/>
          </v:group>
        </w:pict>
      </w: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85"/>
        <w:gridCol w:w="1550"/>
        <w:gridCol w:w="1553"/>
        <w:gridCol w:w="1550"/>
        <w:gridCol w:w="506"/>
        <w:gridCol w:w="1109"/>
        <w:gridCol w:w="1615"/>
      </w:tblGrid>
      <w:tr>
        <w:trPr>
          <w:trHeight w:val="1027"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67" w:right="62"/>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98" w:right="62" w:hanging="632"/>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359" w:hRule="exact"/>
        </w:trPr>
        <w:tc>
          <w:tcPr>
            <w:tcW w:w="1685"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506" w:type="dxa"/>
            <w:tcBorders>
              <w:top w:val="single" w:sz="4" w:space="0" w:color="000000"/>
              <w:left w:val="single" w:sz="4" w:space="0" w:color="000000"/>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sz w:val="21"/>
              </w:rPr>
              <w:t>17,423,413.55</w:t>
            </w:r>
          </w:p>
        </w:tc>
        <w:tc>
          <w:tcPr>
            <w:tcW w:w="506" w:type="dxa"/>
            <w:tcBorders>
              <w:top w:val="nil" w:sz="6" w:space="0" w:color="auto"/>
              <w:left w:val="single" w:sz="4" w:space="0" w:color="000000"/>
              <w:bottom w:val="nil" w:sz="6" w:space="0" w:color="auto"/>
              <w:right w:val="nil" w:sz="6" w:space="0" w:color="auto"/>
            </w:tcBorders>
          </w:tcPr>
          <w:p>
            <w:pPr>
              <w:pStyle w:val="TableParagraph"/>
              <w:spacing w:line="261" w:lineRule="exact"/>
              <w:ind w:left="-16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09" w:type="dxa"/>
            <w:tcBorders>
              <w:top w:val="nil" w:sz="6" w:space="0" w:color="auto"/>
              <w:left w:val="nil" w:sz="6" w:space="0" w:color="auto"/>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鸿博昊天科技有</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pacing w:val="-1"/>
                <w:sz w:val="21"/>
              </w:rPr>
              <w:t>125,733,413.55</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40" w:lineRule="auto" w:before="37"/>
              <w:ind w:left="24" w:right="0"/>
              <w:jc w:val="left"/>
              <w:rPr>
                <w:rFonts w:ascii="宋体" w:hAnsi="宋体" w:cs="宋体" w:eastAsia="宋体" w:hint="default"/>
                <w:sz w:val="21"/>
                <w:szCs w:val="21"/>
              </w:rPr>
            </w:pPr>
            <w:r>
              <w:rPr>
                <w:rFonts w:ascii="宋体"/>
                <w:sz w:val="21"/>
              </w:rPr>
              <w:t>90,120,000.00</w:t>
            </w:r>
          </w:p>
        </w:tc>
        <w:tc>
          <w:tcPr>
            <w:tcW w:w="50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109"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451" w:right="0"/>
              <w:jc w:val="left"/>
              <w:rPr>
                <w:rFonts w:ascii="宋体" w:hAnsi="宋体" w:cs="宋体" w:eastAsia="宋体" w:hint="default"/>
                <w:sz w:val="21"/>
                <w:szCs w:val="21"/>
              </w:rPr>
            </w:pPr>
            <w:r>
              <w:rPr>
                <w:rFonts w:ascii="宋体"/>
                <w:sz w:val="21"/>
              </w:rPr>
              <w:t>88.75%</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0.00</w:t>
            </w: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506" w:type="dxa"/>
            <w:tcBorders>
              <w:top w:val="nil" w:sz="6" w:space="0" w:color="auto"/>
              <w:left w:val="single" w:sz="4" w:space="0" w:color="000000"/>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single" w:sz="4" w:space="0" w:color="000000"/>
            </w:tcBorders>
          </w:tcPr>
          <w:p>
            <w:pPr/>
          </w:p>
        </w:tc>
        <w:tc>
          <w:tcPr>
            <w:tcW w:w="1615"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685"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sz w:val="21"/>
              </w:rPr>
              <w:t>18,190,000.00</w:t>
            </w:r>
          </w:p>
        </w:tc>
        <w:tc>
          <w:tcPr>
            <w:tcW w:w="506" w:type="dxa"/>
            <w:tcBorders>
              <w:top w:val="nil" w:sz="6" w:space="0" w:color="auto"/>
              <w:left w:val="single" w:sz="4" w:space="0" w:color="000000"/>
              <w:bottom w:val="single" w:sz="4" w:space="0" w:color="000000"/>
              <w:right w:val="nil" w:sz="6" w:space="0" w:color="auto"/>
            </w:tcBorders>
          </w:tcPr>
          <w:p>
            <w:pPr/>
          </w:p>
        </w:tc>
        <w:tc>
          <w:tcPr>
            <w:tcW w:w="1109" w:type="dxa"/>
            <w:tcBorders>
              <w:top w:val="nil" w:sz="6" w:space="0" w:color="auto"/>
              <w:left w:val="nil" w:sz="6" w:space="0" w:color="auto"/>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深圳市金映辉服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装有限公司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2,756,894.08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8" w:right="0"/>
              <w:jc w:val="left"/>
              <w:rPr>
                <w:rFonts w:ascii="宋体" w:hAnsi="宋体" w:cs="宋体" w:eastAsia="宋体" w:hint="default"/>
                <w:sz w:val="21"/>
                <w:szCs w:val="21"/>
              </w:rPr>
            </w:pPr>
            <w:r>
              <w:rPr>
                <w:rFonts w:ascii="宋体"/>
                <w:sz w:val="21"/>
              </w:rPr>
              <w:t>1.95%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福建鸿博致远信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息科技有限公司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关联方往来款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2,448,571.80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8" w:right="0"/>
              <w:jc w:val="left"/>
              <w:rPr>
                <w:rFonts w:ascii="宋体" w:hAnsi="宋体" w:cs="宋体" w:eastAsia="宋体" w:hint="default"/>
                <w:sz w:val="21"/>
                <w:szCs w:val="21"/>
              </w:rPr>
            </w:pPr>
            <w:r>
              <w:rPr>
                <w:rFonts w:ascii="宋体"/>
                <w:sz w:val="21"/>
              </w:rPr>
              <w:t>1.73%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359" w:hRule="exact"/>
        </w:trPr>
        <w:tc>
          <w:tcPr>
            <w:tcW w:w="1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c>
          <w:tcPr>
            <w:tcW w:w="1550"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615" w:type="dxa"/>
            <w:gridSpan w:val="2"/>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8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国家金库福建省</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残疾人退税款</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1,866,085.48</w:t>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15"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1058" w:right="0"/>
              <w:jc w:val="left"/>
              <w:rPr>
                <w:rFonts w:ascii="宋体" w:hAnsi="宋体" w:cs="宋体" w:eastAsia="宋体" w:hint="default"/>
                <w:sz w:val="21"/>
                <w:szCs w:val="21"/>
              </w:rPr>
            </w:pPr>
            <w:r>
              <w:rPr>
                <w:rFonts w:ascii="宋体"/>
                <w:sz w:val="21"/>
              </w:rPr>
              <w:t>1.32%</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7"/>
              <w:jc w:val="right"/>
              <w:rPr>
                <w:rFonts w:ascii="宋体" w:hAnsi="宋体" w:cs="宋体" w:eastAsia="宋体" w:hint="default"/>
                <w:sz w:val="21"/>
                <w:szCs w:val="21"/>
              </w:rPr>
            </w:pPr>
            <w:r>
              <w:rPr>
                <w:rFonts w:ascii="宋体"/>
                <w:spacing w:val="-1"/>
                <w:sz w:val="21"/>
              </w:rPr>
              <w:t>93,304.27</w:t>
            </w:r>
          </w:p>
        </w:tc>
      </w:tr>
      <w:tr>
        <w:trPr>
          <w:trHeight w:val="357" w:hRule="exact"/>
        </w:trPr>
        <w:tc>
          <w:tcPr>
            <w:tcW w:w="1685"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分库</w:t>
            </w:r>
          </w:p>
        </w:tc>
        <w:tc>
          <w:tcPr>
            <w:tcW w:w="1550"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615" w:type="dxa"/>
            <w:gridSpan w:val="2"/>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75"/>
              <w:jc w:val="left"/>
              <w:rPr>
                <w:rFonts w:ascii="宋体" w:hAnsi="宋体" w:cs="宋体" w:eastAsia="宋体" w:hint="default"/>
                <w:sz w:val="21"/>
                <w:szCs w:val="21"/>
              </w:rPr>
            </w:pPr>
            <w:r>
              <w:rPr>
                <w:rFonts w:ascii="宋体" w:hAnsi="宋体" w:cs="宋体" w:eastAsia="宋体" w:hint="default"/>
                <w:sz w:val="21"/>
                <w:szCs w:val="21"/>
              </w:rPr>
              <w:t>福建省农村信用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社联合社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3" w:lineRule="auto" w:before="37"/>
              <w:ind w:left="24" w:right="41"/>
              <w:jc w:val="left"/>
              <w:rPr>
                <w:rFonts w:ascii="宋体" w:hAnsi="宋体" w:cs="宋体" w:eastAsia="宋体" w:hint="default"/>
                <w:sz w:val="21"/>
                <w:szCs w:val="21"/>
              </w:rPr>
            </w:pPr>
            <w:r>
              <w:rPr>
                <w:rFonts w:ascii="宋体" w:hAnsi="宋体" w:cs="宋体" w:eastAsia="宋体" w:hint="default"/>
                <w:sz w:val="21"/>
                <w:szCs w:val="21"/>
              </w:rPr>
              <w:t>50,000.00；1-2</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850,000.00</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8" w:right="0"/>
              <w:jc w:val="left"/>
              <w:rPr>
                <w:rFonts w:ascii="宋体" w:hAnsi="宋体" w:cs="宋体" w:eastAsia="宋体" w:hint="default"/>
                <w:sz w:val="21"/>
                <w:szCs w:val="21"/>
              </w:rPr>
            </w:pPr>
            <w:r>
              <w:rPr>
                <w:rFonts w:ascii="宋体"/>
                <w:sz w:val="21"/>
              </w:rPr>
              <w:t>0.64%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133,704,964.91</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2" w:right="0"/>
              <w:jc w:val="left"/>
              <w:rPr>
                <w:rFonts w:ascii="宋体" w:hAnsi="宋体" w:cs="宋体" w:eastAsia="宋体" w:hint="default"/>
                <w:sz w:val="21"/>
                <w:szCs w:val="21"/>
              </w:rPr>
            </w:pPr>
            <w:r>
              <w:rPr>
                <w:rFonts w:ascii="宋体"/>
                <w:sz w:val="21"/>
              </w:rPr>
              <w:t>93.94%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93,304.27</w:t>
            </w:r>
          </w:p>
        </w:tc>
      </w:tr>
    </w:tbl>
    <w:p>
      <w:pPr>
        <w:spacing w:after="0" w:line="240" w:lineRule="auto"/>
        <w:jc w:val="right"/>
        <w:rPr>
          <w:rFonts w:ascii="宋体" w:hAnsi="宋体" w:cs="宋体" w:eastAsia="宋体" w:hint="default"/>
          <w:sz w:val="21"/>
          <w:szCs w:val="21"/>
        </w:rPr>
        <w:sectPr>
          <w:footerReference w:type="default" r:id="rId31"/>
          <w:pgSz w:w="11910" w:h="16840"/>
          <w:pgMar w:footer="979" w:header="747" w:top="1060" w:bottom="1160" w:left="980" w:right="980"/>
          <w:pgNumType w:start="160"/>
        </w:sectPr>
      </w:pPr>
    </w:p>
    <w:p>
      <w:pPr>
        <w:spacing w:line="240" w:lineRule="auto" w:before="10"/>
        <w:rPr>
          <w:rFonts w:ascii="宋体" w:hAnsi="宋体" w:cs="宋体" w:eastAsia="宋体" w:hint="default"/>
          <w:sz w:val="24"/>
          <w:szCs w:val="24"/>
        </w:rPr>
      </w:pPr>
    </w:p>
    <w:p>
      <w:pPr>
        <w:pStyle w:val="BodyText"/>
        <w:spacing w:line="240" w:lineRule="auto" w:before="36"/>
        <w:ind w:right="2880"/>
        <w:jc w:val="left"/>
      </w:pPr>
      <w:r>
        <w:rPr/>
        <w:t>（6）涉及政府补助的应收款项</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8" w:right="0"/>
              <w:jc w:val="left"/>
              <w:rPr>
                <w:rFonts w:ascii="宋体" w:hAnsi="宋体" w:cs="宋体" w:eastAsia="宋体" w:hint="default"/>
                <w:sz w:val="21"/>
                <w:szCs w:val="21"/>
              </w:rPr>
            </w:pPr>
            <w:r>
              <w:rPr>
                <w:rFonts w:ascii="宋体" w:hAnsi="宋体" w:cs="宋体" w:eastAsia="宋体" w:hint="default"/>
                <w:sz w:val="21"/>
                <w:szCs w:val="21"/>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547" w:right="17" w:hanging="524"/>
              <w:jc w:val="left"/>
              <w:rPr>
                <w:rFonts w:ascii="宋体" w:hAnsi="宋体" w:cs="宋体" w:eastAsia="宋体" w:hint="default"/>
                <w:sz w:val="21"/>
                <w:szCs w:val="21"/>
              </w:rPr>
            </w:pPr>
            <w:r>
              <w:rPr>
                <w:rFonts w:ascii="宋体" w:hAnsi="宋体" w:cs="宋体" w:eastAsia="宋体" w:hint="default"/>
                <w:spacing w:val="-2"/>
                <w:sz w:val="21"/>
                <w:szCs w:val="21"/>
              </w:rPr>
              <w:t>预计收取的时间、金</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额及依据</w:t>
            </w:r>
          </w:p>
        </w:tc>
      </w:tr>
    </w:tbl>
    <w:p>
      <w:pPr>
        <w:spacing w:line="240" w:lineRule="auto" w:before="3"/>
        <w:rPr>
          <w:rFonts w:ascii="宋体" w:hAnsi="宋体" w:cs="宋体" w:eastAsia="宋体" w:hint="default"/>
          <w:sz w:val="19"/>
          <w:szCs w:val="19"/>
        </w:rPr>
      </w:pPr>
    </w:p>
    <w:p>
      <w:pPr>
        <w:pStyle w:val="BodyText"/>
        <w:spacing w:line="535" w:lineRule="auto" w:before="36"/>
        <w:ind w:right="5296"/>
        <w:jc w:val="left"/>
      </w:pPr>
      <w:r>
        <w:rPr/>
        <w:t>（7）因金融资产转移而终止确认的其他应收款</w:t>
      </w:r>
      <w:r>
        <w:rPr>
          <w:spacing w:val="-87"/>
        </w:rPr>
        <w:t> </w:t>
      </w:r>
      <w:r>
        <w:rPr>
          <w:spacing w:val="-87"/>
        </w:rPr>
      </w:r>
      <w:r>
        <w:rPr/>
        <w:t>无</w:t>
      </w:r>
    </w:p>
    <w:p>
      <w:pPr>
        <w:pStyle w:val="BodyText"/>
        <w:spacing w:line="240" w:lineRule="auto" w:before="79"/>
        <w:ind w:right="2880"/>
        <w:jc w:val="left"/>
      </w:pPr>
      <w:r>
        <w:rPr/>
        <w:t>（8）转移其他应收款且继续涉入形成的资产、负债金额</w:t>
      </w:r>
    </w:p>
    <w:p>
      <w:pPr>
        <w:spacing w:line="240" w:lineRule="auto" w:before="12"/>
        <w:rPr>
          <w:rFonts w:ascii="宋体" w:hAnsi="宋体" w:cs="宋体" w:eastAsia="宋体" w:hint="default"/>
          <w:sz w:val="25"/>
          <w:szCs w:val="25"/>
        </w:rPr>
      </w:pPr>
    </w:p>
    <w:p>
      <w:pPr>
        <w:pStyle w:val="BodyText"/>
        <w:spacing w:line="307" w:lineRule="auto"/>
        <w:ind w:right="8721"/>
        <w:jc w:val="left"/>
      </w:pPr>
      <w:r>
        <w:rPr/>
        <w:t>无</w:t>
      </w:r>
      <w:r>
        <w:rPr>
          <w:w w:val="100"/>
        </w:rPr>
        <w:t> </w:t>
      </w:r>
      <w:r>
        <w:rPr/>
        <w:t>其他说明：</w:t>
      </w:r>
      <w:r>
        <w:rPr>
          <w:spacing w:val="-102"/>
        </w:rPr>
        <w:t> </w:t>
      </w:r>
      <w:r>
        <w:rPr>
          <w:spacing w:val="-102"/>
        </w:rPr>
      </w:r>
      <w:r>
        <w:rPr/>
        <w:t>无</w:t>
      </w:r>
    </w:p>
    <w:p>
      <w:pPr>
        <w:spacing w:line="240" w:lineRule="auto" w:before="4"/>
        <w:rPr>
          <w:rFonts w:ascii="宋体" w:hAnsi="宋体" w:cs="宋体" w:eastAsia="宋体" w:hint="default"/>
          <w:sz w:val="21"/>
          <w:szCs w:val="21"/>
        </w:rPr>
      </w:pPr>
    </w:p>
    <w:p>
      <w:pPr>
        <w:pStyle w:val="BodyText"/>
        <w:spacing w:line="240" w:lineRule="auto"/>
        <w:ind w:right="2880"/>
        <w:jc w:val="left"/>
      </w:pPr>
      <w:r>
        <w:rPr/>
        <w:t>3、长期股权投资</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4"/>
              <w:ind w:right="19"/>
              <w:jc w:val="right"/>
              <w:rPr>
                <w:rFonts w:ascii="宋体" w:hAnsi="宋体" w:cs="宋体" w:eastAsia="宋体" w:hint="default"/>
                <w:sz w:val="21"/>
                <w:szCs w:val="21"/>
              </w:rPr>
            </w:pPr>
            <w:r>
              <w:rPr>
                <w:rFonts w:ascii="宋体"/>
                <w:sz w:val="21"/>
              </w:rPr>
              <w:t>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4"/>
              <w:ind w:right="19"/>
              <w:jc w:val="right"/>
              <w:rPr>
                <w:rFonts w:ascii="宋体" w:hAnsi="宋体" w:cs="宋体" w:eastAsia="宋体" w:hint="default"/>
                <w:sz w:val="21"/>
                <w:szCs w:val="21"/>
              </w:rPr>
            </w:pPr>
            <w:r>
              <w:rPr>
                <w:rFonts w:ascii="宋体"/>
                <w:sz w:val="21"/>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4"/>
              <w:ind w:right="23"/>
              <w:jc w:val="right"/>
              <w:rPr>
                <w:rFonts w:ascii="宋体" w:hAnsi="宋体" w:cs="宋体" w:eastAsia="宋体" w:hint="default"/>
                <w:sz w:val="21"/>
                <w:szCs w:val="21"/>
              </w:rPr>
            </w:pPr>
            <w:r>
              <w:rPr>
                <w:rFonts w:ascii="宋体"/>
                <w:sz w:val="21"/>
              </w:rPr>
              <w:t>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4"/>
              <w:ind w:right="23"/>
              <w:jc w:val="right"/>
              <w:rPr>
                <w:rFonts w:ascii="宋体" w:hAnsi="宋体" w:cs="宋体" w:eastAsia="宋体" w:hint="default"/>
                <w:sz w:val="21"/>
                <w:szCs w:val="21"/>
              </w:rPr>
            </w:pPr>
            <w:r>
              <w:rPr>
                <w:rFonts w:ascii="宋体"/>
                <w:sz w:val="21"/>
              </w:rPr>
              <w:t>46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7"/>
              <w:ind w:right="19"/>
              <w:jc w:val="right"/>
              <w:rPr>
                <w:rFonts w:ascii="宋体" w:hAnsi="宋体" w:cs="宋体" w:eastAsia="宋体" w:hint="default"/>
                <w:sz w:val="21"/>
                <w:szCs w:val="21"/>
              </w:rPr>
            </w:pPr>
            <w:r>
              <w:rPr>
                <w:rFonts w:ascii="宋体"/>
                <w:sz w:val="21"/>
              </w:rPr>
              <w:t>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7"/>
              <w:ind w:right="19"/>
              <w:jc w:val="right"/>
              <w:rPr>
                <w:rFonts w:ascii="宋体" w:hAnsi="宋体" w:cs="宋体" w:eastAsia="宋体" w:hint="default"/>
                <w:sz w:val="21"/>
                <w:szCs w:val="21"/>
              </w:rPr>
            </w:pPr>
            <w:r>
              <w:rPr>
                <w:rFonts w:ascii="宋体"/>
                <w:sz w:val="21"/>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7"/>
              <w:ind w:right="23"/>
              <w:jc w:val="right"/>
              <w:rPr>
                <w:rFonts w:ascii="宋体" w:hAnsi="宋体" w:cs="宋体" w:eastAsia="宋体" w:hint="default"/>
                <w:sz w:val="21"/>
                <w:szCs w:val="21"/>
              </w:rPr>
            </w:pPr>
            <w:r>
              <w:rPr>
                <w:rFonts w:ascii="宋体"/>
                <w:sz w:val="21"/>
              </w:rPr>
              <w:t>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7"/>
              <w:ind w:right="23"/>
              <w:jc w:val="right"/>
              <w:rPr>
                <w:rFonts w:ascii="宋体" w:hAnsi="宋体" w:cs="宋体" w:eastAsia="宋体" w:hint="default"/>
                <w:sz w:val="21"/>
                <w:szCs w:val="21"/>
              </w:rPr>
            </w:pPr>
            <w:r>
              <w:rPr>
                <w:rFonts w:ascii="宋体"/>
                <w:sz w:val="21"/>
              </w:rPr>
              <w:t>46</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（1）对子公司投资</w:t>
      </w:r>
    </w:p>
    <w:p>
      <w:pPr>
        <w:spacing w:line="240" w:lineRule="auto" w:before="13"/>
        <w:rPr>
          <w:rFonts w:ascii="宋体" w:hAnsi="宋体" w:cs="宋体" w:eastAsia="宋体" w:hint="default"/>
          <w:sz w:val="22"/>
          <w:szCs w:val="22"/>
        </w:rPr>
      </w:pPr>
    </w:p>
    <w:p>
      <w:pPr>
        <w:pStyle w:val="BodyText"/>
        <w:spacing w:line="240" w:lineRule="auto" w:before="3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7"/>
              <w:jc w:val="right"/>
              <w:rPr>
                <w:rFonts w:ascii="宋体" w:hAnsi="宋体" w:cs="宋体" w:eastAsia="宋体" w:hint="default"/>
                <w:sz w:val="21"/>
                <w:szCs w:val="21"/>
              </w:rPr>
            </w:pPr>
            <w:r>
              <w:rPr>
                <w:rFonts w:ascii="宋体" w:hAnsi="宋体" w:cs="宋体" w:eastAsia="宋体" w:hint="default"/>
                <w:spacing w:val="-1"/>
                <w:sz w:val="21"/>
                <w:szCs w:val="21"/>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0" w:right="55" w:hanging="420"/>
              <w:jc w:val="left"/>
              <w:rPr>
                <w:rFonts w:ascii="宋体" w:hAnsi="宋体" w:cs="宋体" w:eastAsia="宋体" w:hint="default"/>
                <w:sz w:val="21"/>
                <w:szCs w:val="21"/>
              </w:rPr>
            </w:pPr>
            <w:r>
              <w:rPr>
                <w:rFonts w:ascii="宋体" w:hAnsi="宋体" w:cs="宋体" w:eastAsia="宋体" w:hint="default"/>
                <w:sz w:val="21"/>
                <w:szCs w:val="21"/>
              </w:rPr>
              <w:t>本期计提减值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480" w:right="55" w:hanging="420"/>
              <w:jc w:val="left"/>
              <w:rPr>
                <w:rFonts w:ascii="宋体" w:hAnsi="宋体" w:cs="宋体" w:eastAsia="宋体" w:hint="default"/>
                <w:sz w:val="21"/>
                <w:szCs w:val="21"/>
              </w:rPr>
            </w:pPr>
            <w:r>
              <w:rPr>
                <w:rFonts w:ascii="宋体" w:hAnsi="宋体" w:cs="宋体" w:eastAsia="宋体" w:hint="default"/>
                <w:sz w:val="21"/>
                <w:szCs w:val="21"/>
              </w:rPr>
              <w:t>减值准备期末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9"/>
              <w:jc w:val="left"/>
              <w:rPr>
                <w:rFonts w:ascii="宋体" w:hAnsi="宋体" w:cs="宋体" w:eastAsia="宋体" w:hint="default"/>
                <w:sz w:val="21"/>
                <w:szCs w:val="21"/>
              </w:rPr>
            </w:pPr>
            <w:r>
              <w:rPr>
                <w:rFonts w:ascii="宋体" w:hAnsi="宋体" w:cs="宋体" w:eastAsia="宋体" w:hint="default"/>
                <w:sz w:val="21"/>
                <w:szCs w:val="21"/>
              </w:rPr>
              <w:t>重庆鸿海印务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128,431,608.</w:t>
            </w:r>
          </w:p>
          <w:p>
            <w:pPr>
              <w:pStyle w:val="TableParagraph"/>
              <w:spacing w:line="240" w:lineRule="auto" w:before="34"/>
              <w:ind w:right="23"/>
              <w:jc w:val="right"/>
              <w:rPr>
                <w:rFonts w:ascii="宋体" w:hAnsi="宋体" w:cs="宋体" w:eastAsia="宋体" w:hint="default"/>
                <w:sz w:val="21"/>
                <w:szCs w:val="21"/>
              </w:rPr>
            </w:pPr>
            <w:r>
              <w:rPr>
                <w:rFonts w:ascii="宋体"/>
                <w:sz w:val="21"/>
              </w:rPr>
              <w:t>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128,431,608.</w:t>
            </w:r>
          </w:p>
          <w:p>
            <w:pPr>
              <w:pStyle w:val="TableParagraph"/>
              <w:spacing w:line="240" w:lineRule="auto" w:before="34"/>
              <w:ind w:right="19"/>
              <w:jc w:val="right"/>
              <w:rPr>
                <w:rFonts w:ascii="宋体" w:hAnsi="宋体" w:cs="宋体" w:eastAsia="宋体" w:hint="default"/>
                <w:sz w:val="21"/>
                <w:szCs w:val="21"/>
              </w:rPr>
            </w:pPr>
            <w:r>
              <w:rPr>
                <w:rFonts w:ascii="宋体"/>
                <w:sz w:val="21"/>
              </w:rPr>
              <w:t>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9"/>
              <w:jc w:val="left"/>
              <w:rPr>
                <w:rFonts w:ascii="宋体" w:hAnsi="宋体" w:cs="宋体" w:eastAsia="宋体" w:hint="default"/>
                <w:sz w:val="21"/>
                <w:szCs w:val="21"/>
              </w:rPr>
            </w:pPr>
            <w:r>
              <w:rPr>
                <w:rFonts w:ascii="宋体" w:hAnsi="宋体" w:cs="宋体" w:eastAsia="宋体" w:hint="default"/>
                <w:sz w:val="21"/>
                <w:szCs w:val="21"/>
              </w:rPr>
              <w:t>广州鸿博文化</w:t>
            </w:r>
            <w:r>
              <w:rPr>
                <w:rFonts w:ascii="宋体" w:hAnsi="宋体" w:cs="宋体" w:eastAsia="宋体" w:hint="default"/>
                <w:w w:val="100"/>
                <w:sz w:val="21"/>
                <w:szCs w:val="21"/>
              </w:rPr>
              <w:t> </w:t>
            </w:r>
            <w:r>
              <w:rPr>
                <w:rFonts w:ascii="宋体" w:hAnsi="宋体" w:cs="宋体" w:eastAsia="宋体" w:hint="default"/>
                <w:sz w:val="21"/>
                <w:szCs w:val="21"/>
              </w:rPr>
              <w:t>传播有限公司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sz w:val="21"/>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sz w:val="21"/>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49"/>
              <w:jc w:val="left"/>
              <w:rPr>
                <w:rFonts w:ascii="宋体" w:hAnsi="宋体" w:cs="宋体" w:eastAsia="宋体" w:hint="default"/>
                <w:sz w:val="21"/>
                <w:szCs w:val="21"/>
              </w:rPr>
            </w:pPr>
            <w:r>
              <w:rPr>
                <w:rFonts w:ascii="宋体" w:hAnsi="宋体" w:cs="宋体" w:eastAsia="宋体" w:hint="default"/>
                <w:sz w:val="21"/>
                <w:szCs w:val="21"/>
              </w:rPr>
              <w:t>福州港龙贸易</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sz w:val="21"/>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sz w:val="21"/>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3"/>
                <w:sz w:val="21"/>
                <w:szCs w:val="21"/>
              </w:rPr>
              <w:t>鸿博（福建）数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据网络科技股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center"/>
              <w:rPr>
                <w:rFonts w:ascii="宋体" w:hAnsi="宋体" w:cs="宋体" w:eastAsia="宋体" w:hint="default"/>
                <w:sz w:val="21"/>
                <w:szCs w:val="21"/>
              </w:rPr>
            </w:pPr>
            <w:r>
              <w:rPr>
                <w:rFonts w:ascii="宋体"/>
                <w:sz w:val="21"/>
              </w:rPr>
              <w:t>9,900,000.00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center"/>
              <w:rPr>
                <w:rFonts w:ascii="宋体" w:hAnsi="宋体" w:cs="宋体" w:eastAsia="宋体" w:hint="default"/>
                <w:sz w:val="21"/>
                <w:szCs w:val="21"/>
              </w:rPr>
            </w:pPr>
            <w:r>
              <w:rPr>
                <w:rFonts w:ascii="宋体"/>
                <w:sz w:val="21"/>
              </w:rPr>
              <w:t>9,900,000.00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9"/>
              <w:jc w:val="right"/>
              <w:rPr>
                <w:rFonts w:ascii="宋体" w:hAnsi="宋体" w:cs="宋体" w:eastAsia="宋体" w:hint="default"/>
                <w:sz w:val="21"/>
                <w:szCs w:val="21"/>
              </w:rPr>
            </w:pPr>
            <w:r>
              <w:rPr>
                <w:rFonts w:ascii="宋体" w:hAnsi="宋体" w:cs="宋体" w:eastAsia="宋体" w:hint="default"/>
                <w:spacing w:val="-1"/>
                <w:sz w:val="21"/>
                <w:szCs w:val="21"/>
              </w:rPr>
              <w:t>无锡双龙信息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center"/>
              <w:rPr>
                <w:rFonts w:ascii="宋体" w:hAnsi="宋体" w:cs="宋体" w:eastAsia="宋体" w:hint="default"/>
                <w:sz w:val="21"/>
                <w:szCs w:val="21"/>
              </w:rPr>
            </w:pPr>
            <w:r>
              <w:rPr>
                <w:rFonts w:ascii="宋体"/>
                <w:sz w:val="21"/>
              </w:rPr>
              <w:t>53,285,702.7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center"/>
              <w:rPr>
                <w:rFonts w:ascii="宋体" w:hAnsi="宋体" w:cs="宋体" w:eastAsia="宋体" w:hint="default"/>
                <w:sz w:val="21"/>
                <w:szCs w:val="21"/>
              </w:rPr>
            </w:pPr>
            <w:r>
              <w:rPr>
                <w:rFonts w:ascii="宋体"/>
                <w:sz w:val="21"/>
              </w:rPr>
              <w:t>53,285,702.7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纸有限公司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3"/>
                <w:sz w:val="21"/>
                <w:szCs w:val="21"/>
              </w:rPr>
              <w:t>钻研（北京）国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际文化传媒有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鸿博昊天科技</w:t>
            </w:r>
          </w:p>
        </w:tc>
        <w:tc>
          <w:tcPr>
            <w:tcW w:w="13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299,198,256.</w:t>
            </w: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299,198,256.</w:t>
            </w:r>
          </w:p>
        </w:tc>
        <w:tc>
          <w:tcPr>
            <w:tcW w:w="1390"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r>
      <w:tr>
        <w:trPr>
          <w:trHeight w:val="357"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15</w:t>
            </w: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15</w:t>
            </w:r>
          </w:p>
        </w:tc>
        <w:tc>
          <w:tcPr>
            <w:tcW w:w="1390"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r>
      <w:tr>
        <w:trPr>
          <w:trHeight w:val="359"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广州彩创网络</w:t>
            </w:r>
          </w:p>
        </w:tc>
        <w:tc>
          <w:tcPr>
            <w:tcW w:w="13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38,060,000.0</w:t>
            </w:r>
          </w:p>
        </w:tc>
        <w:tc>
          <w:tcPr>
            <w:tcW w:w="1334" w:type="dxa"/>
            <w:vMerge w:val="restart"/>
            <w:tcBorders>
              <w:top w:val="single" w:sz="4" w:space="0" w:color="000000"/>
              <w:left w:val="single" w:sz="4" w:space="0" w:color="000000"/>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38,060,000.0</w:t>
            </w:r>
          </w:p>
        </w:tc>
        <w:tc>
          <w:tcPr>
            <w:tcW w:w="1390" w:type="dxa"/>
            <w:vMerge w:val="restart"/>
            <w:tcBorders>
              <w:top w:val="single" w:sz="4" w:space="0" w:color="000000"/>
              <w:left w:val="single" w:sz="4" w:space="0" w:color="000000"/>
              <w:right w:val="single" w:sz="4" w:space="0" w:color="000000"/>
            </w:tcBorders>
          </w:tcPr>
          <w:p>
            <w:pPr/>
          </w:p>
        </w:tc>
        <w:tc>
          <w:tcPr>
            <w:tcW w:w="1390" w:type="dxa"/>
            <w:vMerge w:val="restart"/>
            <w:tcBorders>
              <w:top w:val="single" w:sz="4" w:space="0" w:color="000000"/>
              <w:left w:val="single" w:sz="4" w:space="0" w:color="000000"/>
              <w:right w:val="single" w:sz="4" w:space="0" w:color="000000"/>
            </w:tcBorders>
          </w:tcPr>
          <w:p>
            <w:pPr/>
          </w:p>
        </w:tc>
      </w:tr>
      <w:tr>
        <w:trPr>
          <w:trHeight w:val="354"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w w:val="100"/>
                <w:sz w:val="21"/>
              </w:rPr>
              <w:t>0</w:t>
            </w:r>
          </w:p>
        </w:tc>
        <w:tc>
          <w:tcPr>
            <w:tcW w:w="1334"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w w:val="100"/>
                <w:sz w:val="21"/>
              </w:rPr>
              <w:t>0</w:t>
            </w:r>
          </w:p>
        </w:tc>
        <w:tc>
          <w:tcPr>
            <w:tcW w:w="1390"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9"/>
              <w:jc w:val="both"/>
              <w:rPr>
                <w:rFonts w:ascii="宋体" w:hAnsi="宋体" w:cs="宋体" w:eastAsia="宋体" w:hint="default"/>
                <w:sz w:val="21"/>
                <w:szCs w:val="21"/>
              </w:rPr>
            </w:pPr>
            <w:r>
              <w:rPr>
                <w:rFonts w:ascii="宋体" w:hAnsi="宋体" w:cs="宋体" w:eastAsia="宋体" w:hint="default"/>
                <w:sz w:val="21"/>
                <w:szCs w:val="21"/>
              </w:rPr>
              <w:t>福建鸿博致远</w:t>
            </w:r>
            <w:r>
              <w:rPr>
                <w:rFonts w:ascii="宋体" w:hAnsi="宋体" w:cs="宋体" w:eastAsia="宋体" w:hint="default"/>
                <w:w w:val="100"/>
                <w:sz w:val="21"/>
                <w:szCs w:val="21"/>
              </w:rPr>
              <w:t> </w:t>
            </w:r>
            <w:r>
              <w:rPr>
                <w:rFonts w:ascii="宋体" w:hAnsi="宋体" w:cs="宋体" w:eastAsia="宋体" w:hint="default"/>
                <w:sz w:val="21"/>
                <w:szCs w:val="21"/>
              </w:rPr>
              <w:t>信息科技有限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9"/>
              <w:jc w:val="both"/>
              <w:rPr>
                <w:rFonts w:ascii="宋体" w:hAnsi="宋体" w:cs="宋体" w:eastAsia="宋体" w:hint="default"/>
                <w:sz w:val="21"/>
                <w:szCs w:val="21"/>
              </w:rPr>
            </w:pPr>
            <w:r>
              <w:rPr>
                <w:rFonts w:ascii="宋体" w:hAnsi="宋体" w:cs="宋体" w:eastAsia="宋体" w:hint="default"/>
                <w:sz w:val="21"/>
                <w:szCs w:val="21"/>
              </w:rPr>
              <w:t>北京青禾阳光</w:t>
            </w:r>
            <w:r>
              <w:rPr>
                <w:rFonts w:ascii="宋体" w:hAnsi="宋体" w:cs="宋体" w:eastAsia="宋体" w:hint="default"/>
                <w:w w:val="100"/>
                <w:sz w:val="21"/>
                <w:szCs w:val="21"/>
              </w:rPr>
              <w:t> </w:t>
            </w:r>
            <w:r>
              <w:rPr>
                <w:rFonts w:ascii="宋体" w:hAnsi="宋体" w:cs="宋体" w:eastAsia="宋体" w:hint="default"/>
                <w:sz w:val="21"/>
                <w:szCs w:val="21"/>
              </w:rPr>
              <w:t>文化传播有限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10,000,000.0</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10,000,000.0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7"/>
              <w:ind w:right="23"/>
              <w:jc w:val="right"/>
              <w:rPr>
                <w:rFonts w:ascii="宋体" w:hAnsi="宋体" w:cs="宋体" w:eastAsia="宋体" w:hint="default"/>
                <w:sz w:val="21"/>
                <w:szCs w:val="21"/>
              </w:rPr>
            </w:pPr>
            <w:r>
              <w:rPr>
                <w:rFonts w:ascii="宋体"/>
                <w:sz w:val="21"/>
              </w:rPr>
              <w:t>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568,875,567.</w:t>
            </w:r>
          </w:p>
          <w:p>
            <w:pPr>
              <w:pStyle w:val="TableParagraph"/>
              <w:spacing w:line="240" w:lineRule="auto" w:before="37"/>
              <w:ind w:right="19"/>
              <w:jc w:val="right"/>
              <w:rPr>
                <w:rFonts w:ascii="宋体" w:hAnsi="宋体" w:cs="宋体" w:eastAsia="宋体" w:hint="default"/>
                <w:sz w:val="21"/>
                <w:szCs w:val="21"/>
              </w:rPr>
            </w:pPr>
            <w:r>
              <w:rPr>
                <w:rFonts w:ascii="宋体"/>
                <w:sz w:val="21"/>
              </w:rPr>
              <w:t>46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（2）对联营、合营企业投资</w:t>
      </w:r>
    </w:p>
    <w:p>
      <w:pPr>
        <w:spacing w:line="240" w:lineRule="auto" w:before="2"/>
        <w:rPr>
          <w:rFonts w:ascii="宋体" w:hAnsi="宋体" w:cs="宋体" w:eastAsia="宋体" w:hint="default"/>
          <w:sz w:val="23"/>
          <w:szCs w:val="23"/>
        </w:rPr>
      </w:pPr>
    </w:p>
    <w:p>
      <w:pPr>
        <w:pStyle w:val="BodyText"/>
        <w:spacing w:line="240" w:lineRule="auto" w:before="36"/>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6" w:right="74" w:hanging="212"/>
              <w:jc w:val="left"/>
              <w:rPr>
                <w:rFonts w:ascii="宋体" w:hAnsi="宋体" w:cs="宋体" w:eastAsia="宋体" w:hint="default"/>
                <w:sz w:val="21"/>
                <w:szCs w:val="21"/>
              </w:rPr>
            </w:pPr>
            <w:r>
              <w:rPr>
                <w:rFonts w:ascii="宋体" w:hAnsi="宋体" w:cs="宋体" w:eastAsia="宋体" w:hint="default"/>
                <w:sz w:val="21"/>
                <w:szCs w:val="21"/>
              </w:rPr>
              <w:t>投资单</w:t>
            </w:r>
            <w:r>
              <w:rPr>
                <w:rFonts w:ascii="宋体" w:hAnsi="宋体" w:cs="宋体" w:eastAsia="宋体" w:hint="default"/>
                <w:spacing w:val="-102"/>
                <w:sz w:val="21"/>
                <w:szCs w:val="21"/>
              </w:rPr>
              <w:t> </w:t>
            </w:r>
            <w:r>
              <w:rPr>
                <w:rFonts w:ascii="宋体" w:hAnsi="宋体" w:cs="宋体" w:eastAsia="宋体" w:hint="default"/>
                <w:sz w:val="21"/>
                <w:szCs w:val="21"/>
              </w:rPr>
              <w:t>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88" w:right="74"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88" w:right="72"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spacing w:line="240" w:lineRule="auto" w:before="3"/>
        <w:rPr>
          <w:rFonts w:ascii="宋体" w:hAnsi="宋体" w:cs="宋体" w:eastAsia="宋体" w:hint="default"/>
          <w:sz w:val="19"/>
          <w:szCs w:val="19"/>
        </w:rPr>
      </w:pPr>
    </w:p>
    <w:p>
      <w:pPr>
        <w:pStyle w:val="BodyText"/>
        <w:spacing w:line="537" w:lineRule="auto" w:before="36"/>
        <w:ind w:right="7566"/>
        <w:jc w:val="left"/>
      </w:pPr>
      <w:r>
        <w:rPr/>
        <w:t>（3）其他说明</w:t>
      </w:r>
      <w:r>
        <w:rPr>
          <w:spacing w:val="-98"/>
        </w:rPr>
        <w:t> </w:t>
      </w:r>
      <w:r>
        <w:rPr/>
        <w:t>4、营业收入和营业成本</w:t>
      </w:r>
    </w:p>
    <w:p>
      <w:pPr>
        <w:pStyle w:val="BodyText"/>
        <w:spacing w:line="240" w:lineRule="auto" w:before="76"/>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214,118,404.52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128,947,970.02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211,259,015.59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119,240,272.12</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844,640.47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780,599.55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551,079.91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490,388.99</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214,963,044.99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129,728,569.57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211,810,095.50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119,730,661.11</w:t>
            </w:r>
          </w:p>
        </w:tc>
      </w:tr>
    </w:tbl>
    <w:p>
      <w:pPr>
        <w:pStyle w:val="BodyText"/>
        <w:spacing w:line="240" w:lineRule="auto" w:before="28"/>
        <w:ind w:right="2880"/>
        <w:jc w:val="left"/>
      </w:pPr>
      <w:r>
        <w:rPr/>
        <w:t>其他说明：</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BodyText"/>
        <w:spacing w:line="535" w:lineRule="auto" w:before="36"/>
        <w:ind w:right="8616"/>
        <w:jc w:val="left"/>
      </w:pPr>
      <w:r>
        <w:rPr/>
        <w:t>无</w:t>
      </w:r>
      <w:r>
        <w:rPr>
          <w:w w:val="100"/>
        </w:rPr>
        <w:t> </w:t>
      </w:r>
      <w:r>
        <w:rPr/>
        <w:t>5、投资收益</w:t>
      </w:r>
    </w:p>
    <w:p>
      <w:pPr>
        <w:pStyle w:val="BodyText"/>
        <w:spacing w:line="240" w:lineRule="auto" w:before="81"/>
        <w:ind w:left="0" w:right="147"/>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11,281,564.08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7,825,530.07</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11,281,564.08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7,825,530.07</w:t>
            </w:r>
          </w:p>
        </w:tc>
      </w:tr>
    </w:tbl>
    <w:p>
      <w:pPr>
        <w:spacing w:line="240" w:lineRule="auto" w:before="3"/>
        <w:rPr>
          <w:rFonts w:ascii="宋体" w:hAnsi="宋体" w:cs="宋体" w:eastAsia="宋体" w:hint="default"/>
          <w:sz w:val="19"/>
          <w:szCs w:val="19"/>
        </w:rPr>
      </w:pPr>
    </w:p>
    <w:p>
      <w:pPr>
        <w:pStyle w:val="BodyText"/>
        <w:spacing w:line="535" w:lineRule="auto" w:before="36"/>
        <w:ind w:right="9036"/>
        <w:jc w:val="left"/>
      </w:pPr>
      <w:r>
        <w:rPr/>
        <w:t>6、其他</w:t>
      </w:r>
      <w:r>
        <w:rPr>
          <w:spacing w:val="-101"/>
        </w:rPr>
        <w:t> </w:t>
      </w:r>
      <w:r>
        <w:rPr/>
        <w:t>无</w:t>
      </w:r>
    </w:p>
    <w:p>
      <w:pPr>
        <w:pStyle w:val="BodyText"/>
        <w:spacing w:line="537" w:lineRule="auto" w:before="79"/>
        <w:ind w:right="7146"/>
        <w:jc w:val="left"/>
      </w:pPr>
      <w:r>
        <w:rPr/>
        <w:t>十八、补充资料</w:t>
      </w:r>
      <w:r>
        <w:rPr>
          <w:spacing w:val="-97"/>
        </w:rPr>
        <w:t> </w:t>
      </w:r>
      <w:r>
        <w:rPr/>
        <w:t>1、当期非经常性损益明细表</w:t>
      </w:r>
    </w:p>
    <w:p>
      <w:pPr>
        <w:pStyle w:val="BodyText"/>
        <w:spacing w:line="240" w:lineRule="auto" w:before="76"/>
        <w:ind w:right="2880"/>
        <w:jc w:val="left"/>
      </w:pPr>
      <w:r>
        <w:rPr/>
        <w:t>√ 适用 □ 不适用</w:t>
      </w:r>
    </w:p>
    <w:p>
      <w:pPr>
        <w:pStyle w:val="BodyText"/>
        <w:spacing w:line="240" w:lineRule="auto" w:before="78"/>
        <w:ind w:left="0" w:right="147"/>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442"/>
              <w:jc w:val="right"/>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1394"/>
              <w:jc w:val="right"/>
              <w:rPr>
                <w:rFonts w:ascii="宋体" w:hAnsi="宋体" w:cs="宋体" w:eastAsia="宋体" w:hint="default"/>
                <w:sz w:val="21"/>
                <w:szCs w:val="21"/>
              </w:rPr>
            </w:pPr>
            <w:r>
              <w:rPr>
                <w:rFonts w:ascii="宋体" w:hAnsi="宋体" w:cs="宋体" w:eastAsia="宋体" w:hint="default"/>
                <w:spacing w:val="-1"/>
                <w:sz w:val="21"/>
                <w:szCs w:val="21"/>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-370,779.99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501"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66" w:right="0"/>
              <w:jc w:val="left"/>
              <w:rPr>
                <w:rFonts w:ascii="宋体" w:hAnsi="宋体" w:cs="宋体" w:eastAsia="宋体" w:hint="default"/>
                <w:sz w:val="21"/>
                <w:szCs w:val="21"/>
              </w:rPr>
            </w:pPr>
            <w:r>
              <w:rPr>
                <w:rFonts w:ascii="宋体"/>
                <w:sz w:val="21"/>
              </w:rPr>
              <w:t>6,241,850.92</w:t>
            </w:r>
          </w:p>
        </w:tc>
        <w:tc>
          <w:tcPr>
            <w:tcW w:w="3185" w:type="dxa"/>
            <w:vMerge w:val="restart"/>
            <w:tcBorders>
              <w:top w:val="single" w:sz="4" w:space="0" w:color="000000"/>
              <w:left w:val="single" w:sz="4" w:space="0" w:color="000000"/>
              <w:right w:val="single" w:sz="4" w:space="0" w:color="000000"/>
            </w:tcBorders>
          </w:tcPr>
          <w:p>
            <w:pPr>
              <w:pStyle w:val="TableParagraph"/>
              <w:spacing w:line="273" w:lineRule="auto" w:before="28"/>
              <w:ind w:left="24" w:right="-3"/>
              <w:jc w:val="left"/>
              <w:rPr>
                <w:rFonts w:ascii="宋体" w:hAnsi="宋体" w:cs="宋体" w:eastAsia="宋体" w:hint="default"/>
                <w:sz w:val="21"/>
                <w:szCs w:val="21"/>
              </w:rPr>
            </w:pPr>
            <w:r>
              <w:rPr>
                <w:rFonts w:ascii="宋体" w:hAnsi="宋体" w:cs="宋体" w:eastAsia="宋体" w:hint="default"/>
                <w:spacing w:val="-3"/>
                <w:sz w:val="21"/>
                <w:szCs w:val="21"/>
              </w:rPr>
              <w:t>主要系：根据中华人民共和国科学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技术部下发的国科发财【2012】</w:t>
            </w:r>
            <w:r>
              <w:rPr>
                <w:rFonts w:ascii="宋体" w:hAnsi="宋体" w:cs="宋体" w:eastAsia="宋体" w:hint="default"/>
                <w:w w:val="100"/>
                <w:sz w:val="21"/>
                <w:szCs w:val="21"/>
              </w:rPr>
              <w:t> 1064</w:t>
            </w:r>
            <w:r>
              <w:rPr>
                <w:rFonts w:ascii="宋体" w:hAnsi="宋体" w:cs="宋体" w:eastAsia="宋体" w:hint="default"/>
                <w:spacing w:val="-65"/>
                <w:w w:val="100"/>
                <w:sz w:val="21"/>
                <w:szCs w:val="21"/>
              </w:rPr>
              <w:t> </w:t>
            </w:r>
            <w:r>
              <w:rPr>
                <w:rFonts w:ascii="宋体" w:hAnsi="宋体" w:cs="宋体" w:eastAsia="宋体" w:hint="default"/>
                <w:spacing w:val="-11"/>
                <w:w w:val="100"/>
                <w:sz w:val="21"/>
                <w:szCs w:val="21"/>
              </w:rPr>
              <w:t>号文件《科技部关于下达</w:t>
            </w:r>
            <w:r>
              <w:rPr>
                <w:rFonts w:ascii="宋体" w:hAnsi="宋体" w:cs="宋体" w:eastAsia="宋体" w:hint="default"/>
                <w:spacing w:val="-65"/>
                <w:w w:val="100"/>
                <w:sz w:val="21"/>
                <w:szCs w:val="21"/>
              </w:rPr>
              <w:t> </w:t>
            </w:r>
            <w:r>
              <w:rPr>
                <w:rFonts w:ascii="宋体" w:hAnsi="宋体" w:cs="宋体" w:eastAsia="宋体" w:hint="default"/>
                <w:w w:val="100"/>
                <w:sz w:val="21"/>
                <w:szCs w:val="21"/>
              </w:rPr>
              <w:t>2012</w:t>
            </w:r>
            <w:r>
              <w:rPr>
                <w:rFonts w:ascii="宋体" w:hAnsi="宋体" w:cs="宋体" w:eastAsia="宋体" w:hint="default"/>
                <w:w w:val="100"/>
                <w:sz w:val="21"/>
                <w:szCs w:val="21"/>
              </w:rPr>
              <w:t> </w:t>
            </w:r>
            <w:r>
              <w:rPr>
                <w:rFonts w:ascii="宋体" w:hAnsi="宋体" w:cs="宋体" w:eastAsia="宋体" w:hint="default"/>
                <w:sz w:val="21"/>
                <w:szCs w:val="21"/>
              </w:rPr>
              <w:t>年国家科技支撑计划项目课题专</w:t>
            </w:r>
            <w:r>
              <w:rPr>
                <w:rFonts w:ascii="宋体" w:hAnsi="宋体" w:cs="宋体" w:eastAsia="宋体" w:hint="default"/>
                <w:w w:val="100"/>
                <w:sz w:val="21"/>
                <w:szCs w:val="21"/>
              </w:rPr>
              <w:t> </w:t>
            </w:r>
            <w:r>
              <w:rPr>
                <w:rFonts w:ascii="宋体" w:hAnsi="宋体" w:cs="宋体" w:eastAsia="宋体" w:hint="default"/>
                <w:spacing w:val="-9"/>
                <w:w w:val="100"/>
                <w:sz w:val="21"/>
                <w:szCs w:val="21"/>
              </w:rPr>
              <w:t>项经费预算的通知》，给予本公司</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“跨媒体数字出版技术集成应用</w:t>
            </w:r>
            <w:r>
              <w:rPr>
                <w:rFonts w:ascii="宋体" w:hAnsi="宋体" w:cs="宋体" w:eastAsia="宋体" w:hint="default"/>
                <w:w w:val="100"/>
                <w:sz w:val="21"/>
                <w:szCs w:val="21"/>
              </w:rPr>
              <w:t> </w:t>
            </w:r>
            <w:r>
              <w:rPr>
                <w:rFonts w:ascii="宋体" w:hAnsi="宋体" w:cs="宋体" w:eastAsia="宋体" w:hint="default"/>
                <w:spacing w:val="-2"/>
                <w:sz w:val="21"/>
                <w:szCs w:val="21"/>
              </w:rPr>
              <w:t>模式、技术集成研发及试点应用”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课题补助，本期确认补助</w:t>
            </w:r>
            <w:r>
              <w:rPr>
                <w:rFonts w:ascii="宋体" w:hAnsi="宋体" w:cs="宋体" w:eastAsia="宋体" w:hint="default"/>
                <w:spacing w:val="-55"/>
                <w:sz w:val="21"/>
                <w:szCs w:val="21"/>
              </w:rPr>
              <w:t> </w:t>
            </w:r>
            <w:r>
              <w:rPr>
                <w:rFonts w:ascii="宋体" w:hAnsi="宋体" w:cs="宋体" w:eastAsia="宋体" w:hint="default"/>
                <w:sz w:val="21"/>
                <w:szCs w:val="21"/>
              </w:rPr>
              <w:t>386.45</w:t>
            </w:r>
            <w:r>
              <w:rPr>
                <w:rFonts w:ascii="宋体" w:hAnsi="宋体" w:cs="宋体" w:eastAsia="宋体" w:hint="default"/>
                <w:w w:val="100"/>
                <w:sz w:val="21"/>
                <w:szCs w:val="21"/>
              </w:rPr>
              <w:t> </w:t>
            </w:r>
            <w:r>
              <w:rPr>
                <w:rFonts w:ascii="宋体" w:hAnsi="宋体" w:cs="宋体" w:eastAsia="宋体" w:hint="default"/>
                <w:spacing w:val="-3"/>
                <w:sz w:val="21"/>
                <w:szCs w:val="21"/>
              </w:rPr>
              <w:t>万元；根据福州市仓山区政府《关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于开展申报</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p>
          <w:p>
            <w:pPr>
              <w:pStyle w:val="TableParagraph"/>
              <w:spacing w:line="273" w:lineRule="auto" w:before="7"/>
              <w:ind w:left="24" w:right="1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月我区工贸企业房产税、土</w:t>
            </w:r>
            <w:r>
              <w:rPr>
                <w:rFonts w:ascii="宋体" w:hAnsi="宋体" w:cs="宋体" w:eastAsia="宋体" w:hint="default"/>
                <w:w w:val="100"/>
                <w:sz w:val="21"/>
                <w:szCs w:val="21"/>
              </w:rPr>
              <w:t> </w:t>
            </w:r>
            <w:r>
              <w:rPr>
                <w:rFonts w:ascii="宋体" w:hAnsi="宋体" w:cs="宋体" w:eastAsia="宋体" w:hint="default"/>
                <w:sz w:val="21"/>
                <w:szCs w:val="21"/>
              </w:rPr>
              <w:t>地使用税即征即奖工作有关问题</w:t>
            </w:r>
            <w:r>
              <w:rPr>
                <w:rFonts w:ascii="宋体" w:hAnsi="宋体" w:cs="宋体" w:eastAsia="宋体" w:hint="default"/>
                <w:w w:val="100"/>
                <w:sz w:val="21"/>
                <w:szCs w:val="21"/>
              </w:rPr>
              <w:t> </w:t>
            </w:r>
            <w:r>
              <w:rPr>
                <w:rFonts w:ascii="宋体" w:hAnsi="宋体" w:cs="宋体" w:eastAsia="宋体" w:hint="default"/>
                <w:spacing w:val="-11"/>
                <w:w w:val="100"/>
                <w:sz w:val="21"/>
                <w:szCs w:val="21"/>
              </w:rPr>
              <w:t>的通知》（仓经[2013]68</w:t>
            </w:r>
            <w:r>
              <w:rPr>
                <w:rFonts w:ascii="宋体" w:hAnsi="宋体" w:cs="宋体" w:eastAsia="宋体" w:hint="default"/>
                <w:spacing w:val="-46"/>
                <w:w w:val="100"/>
                <w:sz w:val="21"/>
                <w:szCs w:val="21"/>
              </w:rPr>
              <w:t> </w:t>
            </w:r>
            <w:r>
              <w:rPr>
                <w:rFonts w:ascii="宋体" w:hAnsi="宋体" w:cs="宋体" w:eastAsia="宋体" w:hint="default"/>
                <w:spacing w:val="-30"/>
                <w:w w:val="100"/>
                <w:sz w:val="21"/>
                <w:szCs w:val="21"/>
              </w:rPr>
              <w:t>号），取得</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房产税、土地使用税即征即奖</w:t>
            </w:r>
            <w:r>
              <w:rPr>
                <w:rFonts w:ascii="宋体" w:hAnsi="宋体" w:cs="宋体" w:eastAsia="宋体" w:hint="default"/>
                <w:w w:val="100"/>
                <w:sz w:val="21"/>
                <w:szCs w:val="21"/>
              </w:rPr>
              <w:t> </w:t>
            </w:r>
            <w:r>
              <w:rPr>
                <w:rFonts w:ascii="宋体" w:hAnsi="宋体" w:cs="宋体" w:eastAsia="宋体" w:hint="default"/>
                <w:sz w:val="21"/>
                <w:szCs w:val="21"/>
              </w:rPr>
              <w:t>80.44</w:t>
            </w:r>
            <w:r>
              <w:rPr>
                <w:rFonts w:ascii="宋体" w:hAnsi="宋体" w:cs="宋体" w:eastAsia="宋体" w:hint="default"/>
                <w:spacing w:val="-54"/>
                <w:sz w:val="21"/>
                <w:szCs w:val="21"/>
              </w:rPr>
              <w:t> </w:t>
            </w:r>
            <w:r>
              <w:rPr>
                <w:rFonts w:ascii="宋体" w:hAnsi="宋体" w:cs="宋体" w:eastAsia="宋体" w:hint="default"/>
                <w:sz w:val="21"/>
                <w:szCs w:val="21"/>
              </w:rPr>
              <w:t>万元；根据中共泸州市人民</w:t>
            </w:r>
            <w:r>
              <w:rPr>
                <w:rFonts w:ascii="宋体" w:hAnsi="宋体" w:cs="宋体" w:eastAsia="宋体" w:hint="default"/>
                <w:w w:val="100"/>
                <w:sz w:val="21"/>
                <w:szCs w:val="21"/>
              </w:rPr>
              <w:t> </w:t>
            </w:r>
            <w:r>
              <w:rPr>
                <w:rFonts w:ascii="宋体" w:hAnsi="宋体" w:cs="宋体" w:eastAsia="宋体" w:hint="default"/>
                <w:spacing w:val="-3"/>
                <w:sz w:val="21"/>
                <w:szCs w:val="21"/>
              </w:rPr>
              <w:t>政府关于印发《关于加快工业经济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w w:val="100"/>
                <w:sz w:val="21"/>
                <w:szCs w:val="21"/>
              </w:rPr>
              <w:t>率先突破政策意见（试行）》的通</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3"/>
                <w:sz w:val="21"/>
                <w:szCs w:val="21"/>
              </w:rPr>
              <w:t>知，取得工业经济率先突破奖励补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助</w:t>
            </w:r>
            <w:r>
              <w:rPr>
                <w:rFonts w:ascii="宋体" w:hAnsi="宋体" w:cs="宋体" w:eastAsia="宋体" w:hint="default"/>
                <w:spacing w:val="-53"/>
                <w:sz w:val="21"/>
                <w:szCs w:val="21"/>
              </w:rPr>
              <w:t> </w:t>
            </w:r>
            <w:r>
              <w:rPr>
                <w:rFonts w:ascii="宋体" w:hAnsi="宋体" w:cs="宋体" w:eastAsia="宋体" w:hint="default"/>
                <w:sz w:val="21"/>
                <w:szCs w:val="21"/>
              </w:rPr>
              <w:t>41.04</w:t>
            </w:r>
            <w:r>
              <w:rPr>
                <w:rFonts w:ascii="宋体" w:hAnsi="宋体" w:cs="宋体" w:eastAsia="宋体" w:hint="default"/>
                <w:spacing w:val="-53"/>
                <w:sz w:val="21"/>
                <w:szCs w:val="21"/>
              </w:rPr>
              <w:t> </w:t>
            </w:r>
            <w:r>
              <w:rPr>
                <w:rFonts w:ascii="宋体" w:hAnsi="宋体" w:cs="宋体" w:eastAsia="宋体" w:hint="default"/>
                <w:sz w:val="21"/>
                <w:szCs w:val="21"/>
              </w:rPr>
              <w:t>万元等等。</w:t>
            </w:r>
          </w:p>
        </w:tc>
      </w:tr>
      <w:tr>
        <w:trPr>
          <w:trHeight w:val="1015"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8"/>
              <w:ind w:left="24" w:right="17"/>
              <w:jc w:val="both"/>
              <w:rPr>
                <w:rFonts w:ascii="宋体" w:hAnsi="宋体" w:cs="宋体" w:eastAsia="宋体" w:hint="default"/>
                <w:sz w:val="21"/>
                <w:szCs w:val="21"/>
              </w:rPr>
            </w:pPr>
            <w:r>
              <w:rPr>
                <w:rFonts w:ascii="宋体" w:hAnsi="宋体" w:cs="宋体" w:eastAsia="宋体" w:hint="default"/>
                <w:spacing w:val="-7"/>
                <w:w w:val="100"/>
                <w:sz w:val="21"/>
                <w:szCs w:val="21"/>
              </w:rPr>
              <w:t>计入当期损益的政府补助（与企业业</w:t>
            </w:r>
            <w:r>
              <w:rPr>
                <w:rFonts w:ascii="宋体" w:hAnsi="宋体" w:cs="宋体" w:eastAsia="宋体" w:hint="default"/>
                <w:w w:val="100"/>
                <w:sz w:val="21"/>
                <w:szCs w:val="21"/>
              </w:rPr>
              <w:t> </w:t>
            </w:r>
            <w:r>
              <w:rPr>
                <w:rFonts w:ascii="宋体" w:hAnsi="宋体" w:cs="宋体" w:eastAsia="宋体" w:hint="default"/>
                <w:spacing w:val="-7"/>
                <w:w w:val="100"/>
                <w:sz w:val="21"/>
                <w:szCs w:val="21"/>
              </w:rPr>
              <w:t>务密切相关，按照国家统一标准定额</w:t>
            </w:r>
            <w:r>
              <w:rPr>
                <w:rFonts w:ascii="宋体" w:hAnsi="宋体" w:cs="宋体" w:eastAsia="宋体" w:hint="default"/>
                <w:w w:val="100"/>
                <w:sz w:val="21"/>
                <w:szCs w:val="21"/>
              </w:rPr>
              <w:t> </w:t>
            </w:r>
            <w:r>
              <w:rPr>
                <w:rFonts w:ascii="宋体" w:hAnsi="宋体" w:cs="宋体" w:eastAsia="宋体" w:hint="default"/>
                <w:sz w:val="21"/>
                <w:szCs w:val="21"/>
              </w:rPr>
              <w:t>或定量享受的政府补助除外）</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250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3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-795,467.74</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802,820.66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7,951.26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4,264,831.27</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left"/>
      </w:pPr>
      <w:r>
        <w:rPr>
          <w:spacing w:val="-2"/>
        </w:rPr>
        <w:t>对公司根据《公开发行证券的公司信息披露解释性公告第</w:t>
      </w:r>
      <w:r>
        <w:rPr/>
        <w:t> 1</w:t>
      </w:r>
      <w:r>
        <w:rPr>
          <w:spacing w:val="-47"/>
        </w:rPr>
        <w:t> </w:t>
      </w:r>
      <w:r>
        <w:rPr>
          <w:spacing w:val="-2"/>
        </w:rPr>
        <w:t>号——非经常性损益》定义界定的非经常性损</w:t>
      </w:r>
    </w:p>
    <w:p>
      <w:pPr>
        <w:pStyle w:val="BodyText"/>
        <w:spacing w:line="273" w:lineRule="auto" w:before="34"/>
        <w:ind w:right="0"/>
        <w:jc w:val="left"/>
      </w:pPr>
      <w:r>
        <w:rPr>
          <w:spacing w:val="-2"/>
        </w:rPr>
        <w:t>益项目，以及把《公开发行证券的公司信息披露解释性公告第</w:t>
      </w:r>
      <w:r>
        <w:rPr>
          <w:spacing w:val="-29"/>
        </w:rPr>
        <w:t> </w:t>
      </w:r>
      <w:r>
        <w:rPr/>
        <w:t>1</w:t>
      </w:r>
      <w:r>
        <w:rPr>
          <w:spacing w:val="-29"/>
        </w:rPr>
        <w:t> </w:t>
      </w:r>
      <w:r>
        <w:rPr>
          <w:spacing w:val="-2"/>
        </w:rPr>
        <w:t>号——非经常性损益》中列举的非经常性</w:t>
      </w:r>
      <w:r>
        <w:rPr>
          <w:spacing w:val="-95"/>
        </w:rPr>
        <w:t> </w:t>
      </w:r>
      <w:r>
        <w:rPr>
          <w:spacing w:val="-95"/>
        </w:rPr>
      </w:r>
      <w:r>
        <w:rPr/>
        <w:t>损益项目界定为经常性损益的项目，应说明原因。</w:t>
      </w:r>
    </w:p>
    <w:p>
      <w:pPr>
        <w:pStyle w:val="BodyText"/>
        <w:spacing w:line="535" w:lineRule="auto" w:before="48"/>
        <w:ind w:right="7146"/>
        <w:jc w:val="left"/>
      </w:pPr>
      <w:r>
        <w:rPr/>
        <w:t>□ 适用 √</w:t>
      </w:r>
      <w:r>
        <w:rPr>
          <w:spacing w:val="-2"/>
        </w:rPr>
        <w:t> </w:t>
      </w:r>
      <w:r>
        <w:rPr/>
        <w:t>不适用</w:t>
      </w:r>
      <w:r>
        <w:rPr>
          <w:w w:val="100"/>
        </w:rPr>
        <w:t> </w:t>
      </w:r>
      <w:r>
        <w:rPr/>
        <w:t>2、净资产收益率及每股收益</w:t>
      </w:r>
    </w:p>
    <w:p>
      <w:pPr>
        <w:spacing w:line="240" w:lineRule="auto" w:before="2"/>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3082"/>
        <w:gridCol w:w="1913"/>
        <w:gridCol w:w="1913"/>
      </w:tblGrid>
      <w:tr>
        <w:trPr>
          <w:trHeight w:val="383"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662" w:type="dxa"/>
            <w:tcBorders>
              <w:top w:val="nil" w:sz="6" w:space="0" w:color="auto"/>
              <w:left w:val="single" w:sz="4" w:space="0" w:color="000000"/>
              <w:bottom w:val="nil" w:sz="6" w:space="0" w:color="auto"/>
              <w:right w:val="single" w:sz="4" w:space="0" w:color="000000"/>
            </w:tcBorders>
          </w:tcPr>
          <w:p>
            <w:pPr>
              <w:pStyle w:val="TableParagraph"/>
              <w:tabs>
                <w:tab w:pos="801" w:val="left" w:leader="none"/>
                <w:tab w:pos="2630" w:val="left" w:leader="none"/>
              </w:tabs>
              <w:spacing w:line="240" w:lineRule="auto" w:before="5"/>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z w:val="21"/>
                <w:szCs w:val="21"/>
                <w:shd w:fill="D3D3D3" w:color="auto" w:val="clear"/>
              </w:rPr>
              <w:t>报告期利润</w:t>
              <w:tab/>
            </w:r>
            <w:r>
              <w:rPr>
                <w:rFonts w:ascii="宋体" w:hAnsi="宋体" w:cs="宋体" w:eastAsia="宋体" w:hint="default"/>
                <w:sz w:val="21"/>
                <w:szCs w:val="21"/>
              </w:rPr>
            </w:r>
          </w:p>
        </w:tc>
        <w:tc>
          <w:tcPr>
            <w:tcW w:w="3082" w:type="dxa"/>
            <w:tcBorders>
              <w:top w:val="nil" w:sz="6" w:space="0" w:color="auto"/>
              <w:left w:val="single" w:sz="4" w:space="0" w:color="000000"/>
              <w:bottom w:val="nil" w:sz="6" w:space="0" w:color="auto"/>
              <w:right w:val="single" w:sz="4" w:space="0" w:color="000000"/>
            </w:tcBorders>
          </w:tcPr>
          <w:p>
            <w:pPr>
              <w:pStyle w:val="TableParagraph"/>
              <w:tabs>
                <w:tab w:pos="460" w:val="left" w:leader="none"/>
                <w:tab w:pos="3023" w:val="left" w:leader="none"/>
              </w:tabs>
              <w:spacing w:line="240" w:lineRule="auto" w:before="5"/>
              <w:ind w:right="22"/>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3D3D3" w:color="auto" w:val="clear"/>
              </w:rPr>
              <w:t> </w:t>
            </w:r>
            <w:r>
              <w:rPr>
                <w:rFonts w:ascii="Times New Roman" w:hAnsi="Times New Roman" w:cs="Times New Roman" w:eastAsia="Times New Roman" w:hint="default"/>
                <w:sz w:val="21"/>
                <w:szCs w:val="21"/>
                <w:shd w:fill="D3D3D3" w:color="auto" w:val="clear"/>
              </w:rPr>
              <w:tab/>
            </w:r>
            <w:r>
              <w:rPr>
                <w:rFonts w:ascii="宋体" w:hAnsi="宋体" w:cs="宋体" w:eastAsia="宋体" w:hint="default"/>
                <w:spacing w:val="-2"/>
                <w:sz w:val="21"/>
                <w:szCs w:val="21"/>
                <w:shd w:fill="D3D3D3" w:color="auto" w:val="clear"/>
              </w:rPr>
              <w:t>加权平均净资产收益率</w:t>
              <w:tab/>
            </w:r>
            <w:r>
              <w:rPr>
                <w:rFonts w:ascii="宋体" w:hAnsi="宋体" w:cs="宋体" w:eastAsia="宋体" w:hint="default"/>
                <w:spacing w:val="-2"/>
                <w:sz w:val="21"/>
                <w:szCs w:val="21"/>
              </w:rPr>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46"/>
              <w:ind w:left="741" w:right="53" w:hanging="682"/>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46"/>
              <w:ind w:left="741" w:right="53" w:hanging="682"/>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362"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归属于公司普通股股东的净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0.0928</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8"/>
              <w:ind w:left="24" w:right="103"/>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公司普通股股东的净利润</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0.0785</w:t>
            </w:r>
          </w:p>
        </w:tc>
      </w:tr>
    </w:tbl>
    <w:p>
      <w:pPr>
        <w:spacing w:line="240" w:lineRule="auto" w:before="3"/>
        <w:rPr>
          <w:rFonts w:ascii="宋体" w:hAnsi="宋体" w:cs="宋体" w:eastAsia="宋体" w:hint="default"/>
          <w:sz w:val="19"/>
          <w:szCs w:val="19"/>
        </w:rPr>
      </w:pPr>
    </w:p>
    <w:p>
      <w:pPr>
        <w:pStyle w:val="BodyText"/>
        <w:spacing w:line="240" w:lineRule="auto" w:before="36"/>
        <w:ind w:right="2880"/>
        <w:jc w:val="left"/>
      </w:pPr>
      <w:r>
        <w:rPr/>
        <w:t>3、境内外会计准则下会计数据差异</w:t>
      </w:r>
    </w:p>
    <w:p>
      <w:pPr>
        <w:spacing w:line="240" w:lineRule="auto" w:before="10"/>
        <w:rPr>
          <w:rFonts w:ascii="宋体" w:hAnsi="宋体" w:cs="宋体" w:eastAsia="宋体" w:hint="default"/>
          <w:sz w:val="25"/>
          <w:szCs w:val="25"/>
        </w:rPr>
      </w:pPr>
    </w:p>
    <w:p>
      <w:pPr>
        <w:pStyle w:val="BodyText"/>
        <w:spacing w:line="240" w:lineRule="auto"/>
        <w:ind w:right="0"/>
        <w:jc w:val="left"/>
      </w:pPr>
      <w:r>
        <w:rPr/>
        <w:t>（1）同时按照国际会计准则与按中国会计准则披露的财务报告中净利润和净资产差异情况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8"/>
        <w:rPr>
          <w:rFonts w:ascii="宋体" w:hAnsi="宋体" w:cs="宋体" w:eastAsia="宋体" w:hint="default"/>
          <w:sz w:val="25"/>
          <w:szCs w:val="25"/>
        </w:rPr>
      </w:pPr>
    </w:p>
    <w:p>
      <w:pPr>
        <w:pStyle w:val="BodyText"/>
        <w:spacing w:line="240" w:lineRule="auto"/>
        <w:ind w:right="0"/>
        <w:jc w:val="left"/>
      </w:pPr>
      <w:r>
        <w:rPr/>
        <w:t>（2）同时按照境外会计准则与按中国会计准则披露的财务报告中净利润和净资产差异情况</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spacing w:line="240" w:lineRule="auto" w:before="10"/>
        <w:rPr>
          <w:rFonts w:ascii="宋体" w:hAnsi="宋体" w:cs="宋体" w:eastAsia="宋体" w:hint="default"/>
          <w:sz w:val="25"/>
          <w:szCs w:val="25"/>
        </w:rPr>
      </w:pPr>
    </w:p>
    <w:p>
      <w:pPr>
        <w:pStyle w:val="BodyText"/>
        <w:spacing w:line="273" w:lineRule="auto"/>
        <w:ind w:right="0"/>
        <w:jc w:val="left"/>
      </w:pPr>
      <w:r>
        <w:rPr/>
        <w:t>（3）境内外会计准则下会计数据差异原因说明，对已经境外审计机构审计的数据进行差异调节的，应注</w:t>
      </w:r>
      <w:r>
        <w:rPr>
          <w:spacing w:val="-27"/>
        </w:rPr>
        <w:t> </w:t>
      </w:r>
      <w:r>
        <w:rPr>
          <w:spacing w:val="-27"/>
        </w:rPr>
      </w:r>
      <w:r>
        <w:rPr/>
        <w:t>明该境外机构的名称</w:t>
      </w:r>
    </w:p>
    <w:p>
      <w:pPr>
        <w:spacing w:line="240" w:lineRule="auto" w:before="7"/>
        <w:rPr>
          <w:rFonts w:ascii="宋体" w:hAnsi="宋体" w:cs="宋体" w:eastAsia="宋体" w:hint="default"/>
          <w:sz w:val="23"/>
          <w:szCs w:val="23"/>
        </w:rPr>
      </w:pPr>
    </w:p>
    <w:p>
      <w:pPr>
        <w:pStyle w:val="BodyText"/>
        <w:spacing w:line="240" w:lineRule="auto"/>
        <w:ind w:right="2880"/>
        <w:jc w:val="left"/>
      </w:pPr>
      <w:r>
        <w:rPr/>
        <w:t>4、会计政策变更相关补充资料</w:t>
      </w:r>
    </w:p>
    <w:p>
      <w:pPr>
        <w:spacing w:line="240" w:lineRule="auto" w:before="12"/>
        <w:rPr>
          <w:rFonts w:ascii="宋体" w:hAnsi="宋体" w:cs="宋体" w:eastAsia="宋体" w:hint="default"/>
          <w:sz w:val="25"/>
          <w:szCs w:val="25"/>
        </w:rPr>
      </w:pPr>
    </w:p>
    <w:p>
      <w:pPr>
        <w:pStyle w:val="BodyText"/>
        <w:spacing w:line="240" w:lineRule="auto"/>
        <w:ind w:right="2880"/>
        <w:jc w:val="left"/>
      </w:pPr>
      <w:r>
        <w:rPr/>
        <w:t>√ 适用 □ 不适用</w:t>
      </w:r>
    </w:p>
    <w:p>
      <w:pPr>
        <w:pStyle w:val="BodyText"/>
        <w:spacing w:line="240" w:lineRule="auto" w:before="78"/>
        <w:ind w:right="0"/>
        <w:jc w:val="left"/>
      </w:pPr>
      <w:r>
        <w:rPr/>
        <w:t>公司根据财政部</w:t>
      </w:r>
      <w:r>
        <w:rPr>
          <w:spacing w:val="-55"/>
        </w:rPr>
        <w:t> </w:t>
      </w:r>
      <w:r>
        <w:rPr/>
        <w:t>2014</w:t>
      </w:r>
      <w:r>
        <w:rPr>
          <w:spacing w:val="-55"/>
        </w:rPr>
        <w:t> </w:t>
      </w:r>
      <w:r>
        <w:rPr/>
        <w:t>年发布的《企业会计准则第</w:t>
      </w:r>
      <w:r>
        <w:rPr>
          <w:spacing w:val="-55"/>
        </w:rPr>
        <w:t> </w:t>
      </w:r>
      <w:r>
        <w:rPr/>
        <w:t>2</w:t>
      </w:r>
      <w:r>
        <w:rPr>
          <w:spacing w:val="-57"/>
        </w:rPr>
        <w:t> </w:t>
      </w:r>
      <w:r>
        <w:rPr/>
        <w:t>号——长期股权投资》等八项会计准则变更了相关会</w:t>
      </w:r>
    </w:p>
    <w:p>
      <w:pPr>
        <w:pStyle w:val="BodyText"/>
        <w:spacing w:line="273" w:lineRule="auto" w:before="37"/>
        <w:ind w:right="0"/>
        <w:jc w:val="left"/>
      </w:pPr>
      <w:r>
        <w:rPr/>
        <w:t>计政策并对比较财务报表进行了追溯重述，重述后的</w:t>
      </w:r>
      <w:r>
        <w:rPr>
          <w:spacing w:val="-54"/>
        </w:rPr>
        <w:t> </w:t>
      </w:r>
      <w:r>
        <w:rPr/>
        <w:t>2013</w:t>
      </w:r>
      <w:r>
        <w:rPr>
          <w:spacing w:val="-54"/>
        </w:rPr>
        <w:t> </w:t>
      </w:r>
      <w:r>
        <w:rPr/>
        <w:t>年</w:t>
      </w:r>
      <w:r>
        <w:rPr>
          <w:spacing w:val="-56"/>
        </w:rPr>
        <w:t> </w:t>
      </w:r>
      <w:r>
        <w:rPr/>
        <w:t>1</w:t>
      </w:r>
      <w:r>
        <w:rPr>
          <w:spacing w:val="-54"/>
        </w:rPr>
        <w:t> </w:t>
      </w:r>
      <w:r>
        <w:rPr/>
        <w:t>月</w:t>
      </w:r>
      <w:r>
        <w:rPr>
          <w:spacing w:val="-56"/>
        </w:rPr>
        <w:t> </w:t>
      </w:r>
      <w:r>
        <w:rPr/>
        <w:t>1</w:t>
      </w:r>
      <w:r>
        <w:rPr>
          <w:spacing w:val="-54"/>
        </w:rPr>
        <w:t> </w:t>
      </w:r>
      <w:r>
        <w:rPr/>
        <w:t>日、2013</w:t>
      </w:r>
      <w:r>
        <w:rPr>
          <w:spacing w:val="-54"/>
        </w:rPr>
        <w:t> </w:t>
      </w:r>
      <w:r>
        <w:rPr/>
        <w:t>年</w:t>
      </w:r>
      <w:r>
        <w:rPr>
          <w:spacing w:val="-54"/>
        </w:rPr>
        <w:t> </w:t>
      </w:r>
      <w:r>
        <w:rPr/>
        <w:t>12</w:t>
      </w:r>
      <w:r>
        <w:rPr>
          <w:spacing w:val="-54"/>
        </w:rPr>
        <w:t> </w:t>
      </w:r>
      <w:r>
        <w:rPr/>
        <w:t>月</w:t>
      </w:r>
      <w:r>
        <w:rPr>
          <w:spacing w:val="-54"/>
        </w:rPr>
        <w:t> </w:t>
      </w:r>
      <w:r>
        <w:rPr/>
        <w:t>31</w:t>
      </w:r>
      <w:r>
        <w:rPr>
          <w:spacing w:val="-54"/>
        </w:rPr>
        <w:t> </w:t>
      </w:r>
      <w:r>
        <w:rPr/>
        <w:t>日合并资产负债</w:t>
      </w:r>
      <w:r>
        <w:rPr>
          <w:w w:val="100"/>
        </w:rPr>
        <w:t> </w:t>
      </w:r>
      <w:r>
        <w:rPr/>
        <w:t>表如下：</w:t>
      </w:r>
    </w:p>
    <w:p>
      <w:pPr>
        <w:pStyle w:val="BodyText"/>
        <w:spacing w:line="240" w:lineRule="auto" w:before="46"/>
        <w:ind w:left="0" w:right="147"/>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06"/>
        <w:gridCol w:w="2453"/>
        <w:gridCol w:w="2455"/>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883"/>
              <w:jc w:val="right"/>
              <w:rPr>
                <w:rFonts w:ascii="宋体" w:hAnsi="宋体" w:cs="宋体" w:eastAsia="宋体" w:hint="default"/>
                <w:sz w:val="21"/>
                <w:szCs w:val="21"/>
              </w:rPr>
            </w:pPr>
            <w:r>
              <w:rPr>
                <w:rFonts w:ascii="宋体" w:hAnsi="宋体" w:cs="宋体" w:eastAsia="宋体" w:hint="default"/>
                <w:sz w:val="21"/>
                <w:szCs w:val="21"/>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6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right="907"/>
              <w:jc w:val="right"/>
              <w:rPr>
                <w:rFonts w:ascii="宋体" w:hAnsi="宋体" w:cs="宋体" w:eastAsia="宋体" w:hint="default"/>
                <w:sz w:val="21"/>
                <w:szCs w:val="21"/>
              </w:rPr>
            </w:pPr>
            <w:r>
              <w:rPr>
                <w:rFonts w:ascii="宋体" w:hAnsi="宋体" w:cs="宋体" w:eastAsia="宋体" w:hint="default"/>
                <w:spacing w:val="-2"/>
                <w:sz w:val="21"/>
                <w:szCs w:val="21"/>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0" w:right="0"/>
              <w:jc w:val="left"/>
              <w:rPr>
                <w:rFonts w:ascii="宋体" w:hAnsi="宋体" w:cs="宋体" w:eastAsia="宋体" w:hint="default"/>
                <w:sz w:val="21"/>
                <w:szCs w:val="21"/>
              </w:rPr>
            </w:pPr>
            <w:r>
              <w:rPr>
                <w:rFonts w:ascii="宋体"/>
                <w:sz w:val="21"/>
              </w:rPr>
              <w:t>162,883,251.38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0" w:right="0"/>
              <w:jc w:val="left"/>
              <w:rPr>
                <w:rFonts w:ascii="宋体" w:hAnsi="宋体" w:cs="宋体" w:eastAsia="宋体" w:hint="default"/>
                <w:sz w:val="21"/>
                <w:szCs w:val="21"/>
              </w:rPr>
            </w:pPr>
            <w:r>
              <w:rPr>
                <w:rFonts w:ascii="宋体"/>
                <w:sz w:val="21"/>
              </w:rPr>
              <w:t>131,368,773.16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50" w:right="0"/>
              <w:jc w:val="left"/>
              <w:rPr>
                <w:rFonts w:ascii="宋体" w:hAnsi="宋体" w:cs="宋体" w:eastAsia="宋体" w:hint="default"/>
                <w:sz w:val="21"/>
                <w:szCs w:val="21"/>
              </w:rPr>
            </w:pPr>
            <w:r>
              <w:rPr>
                <w:rFonts w:ascii="宋体"/>
                <w:sz w:val="21"/>
              </w:rPr>
              <w:t>156,857,096.95</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3"/>
        <w:gridCol w:w="2455"/>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766,704.27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6,298,322.32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1,152,954.00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165,061,868.60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102,752,873.24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160,403,119.91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16,709,061.01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16,342,529.68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10,454,154.22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38,235,543.86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88,103,070.68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116,498,861.56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89,687,611.59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115,004,890.06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130,119,356.01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9,160,419.27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7,283,961.26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473,344,040.71</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469,030,878.41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582,769,503.91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116,060,000.00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116,060,000.00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4,243,369.50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4,036,560.34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3,740,513.77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309,402,036.76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493,650,881.57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505,208,182.02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292,016,398.94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67,488,150.32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48,714,593.45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28,168,458.48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24,596,682.93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61,878,809.10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19,728,402.48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19,728,402.48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19,728,402.48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2,260,415.40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2,656,397.66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4,553,251.42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4,078,308.87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4,947,452.67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23,101,844.34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775,957,390.43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733,164,527.97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782,985,596.58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1,249,301,431.14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1,202,195,406.38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1,365,755,100.49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100,000,000.00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82,500,000.00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167,500,000.00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25,418,601.53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41,039,968.14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35,143,038.38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214,777,538.24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135,637,350.36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163,432,713.56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12,415,990.64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2,732,394.23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29,469,772.60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10,445,052.78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10,190,530.17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9,967,726.11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-450,690.33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7,397,673.06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6,207,733.06</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21,309,760.69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25,805,033.55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42,643,865.03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5,117,925.33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3,514,485.57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389,034,178.88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308,817,435.08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454,364,848.74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3,578,992.32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3,538,775.66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3,166,272.98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3,578,992.32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3,538,775.66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3,166,272.98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392,613,171.20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312,356,210.74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457,531,121.72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298,186,000.00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298,186,000.00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298,186,000.00</w:t>
            </w:r>
          </w:p>
        </w:tc>
      </w:tr>
    </w:tbl>
    <w:p>
      <w:pPr>
        <w:spacing w:after="0" w:line="240" w:lineRule="auto"/>
        <w:jc w:val="righ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2204"/>
        <w:gridCol w:w="2453"/>
        <w:gridCol w:w="2455"/>
        <w:gridCol w:w="2453"/>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335,816,646.98</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334,340,738.20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334,340,738.20</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27,663,425.96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32,056,486.47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35,550,913.34</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151,946,243.96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180,063,672.11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193,805,760.64</w:t>
            </w:r>
          </w:p>
        </w:tc>
      </w:tr>
      <w:tr>
        <w:trPr>
          <w:trHeight w:val="715"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30"/>
              <w:ind w:left="22" w:right="67"/>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813,612,316.90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844,646,896.78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861,883,412.18</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43,075,943.04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45,192,298.86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46,340,566.59</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856,688,259.94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889,839,195.64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908,223,978.77</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1,249,301,431.14</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1,202,195,406.38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1,365,755,100.49</w:t>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right="2880"/>
        <w:jc w:val="left"/>
      </w:pPr>
      <w:r>
        <w:rPr/>
        <w:t>5、其他</w:t>
      </w:r>
    </w:p>
    <w:p>
      <w:pPr>
        <w:spacing w:line="240" w:lineRule="auto" w:before="10"/>
        <w:rPr>
          <w:rFonts w:ascii="宋体" w:hAnsi="宋体" w:cs="宋体" w:eastAsia="宋体" w:hint="default"/>
          <w:sz w:val="25"/>
          <w:szCs w:val="25"/>
        </w:rPr>
      </w:pPr>
    </w:p>
    <w:p>
      <w:pPr>
        <w:pStyle w:val="BodyText"/>
        <w:spacing w:line="240" w:lineRule="auto"/>
        <w:ind w:right="2880"/>
        <w:jc w:val="left"/>
      </w:pPr>
      <w:r>
        <w:rPr/>
        <w:t>（1）应收票据较期初减少81.69%，主要系本年票据结算业务减少所致。</w:t>
      </w:r>
    </w:p>
    <w:p>
      <w:pPr>
        <w:pStyle w:val="BodyText"/>
        <w:spacing w:line="240" w:lineRule="auto" w:before="37"/>
        <w:ind w:right="2880"/>
        <w:jc w:val="left"/>
      </w:pPr>
      <w:r>
        <w:rPr/>
        <w:t>（2）应收帐款较期初增长56.11%，主要系本期营业收入尚未回款所致。</w:t>
      </w:r>
    </w:p>
    <w:p>
      <w:pPr>
        <w:pStyle w:val="BodyText"/>
        <w:spacing w:line="240" w:lineRule="auto" w:before="37"/>
        <w:ind w:right="0"/>
        <w:jc w:val="left"/>
      </w:pPr>
      <w:r>
        <w:rPr/>
        <w:t>（3）预付款项较期初减少36.03%，主要原因系预付款设备款及货款减少所致。</w:t>
      </w:r>
    </w:p>
    <w:p>
      <w:pPr>
        <w:pStyle w:val="BodyText"/>
        <w:spacing w:line="273" w:lineRule="auto" w:before="37"/>
        <w:ind w:right="0"/>
        <w:jc w:val="left"/>
      </w:pPr>
      <w:r>
        <w:rPr>
          <w:spacing w:val="-2"/>
        </w:rPr>
        <w:t>（4）其他应收款较期初增长32.23%，主要系本期彩票无纸化代购业务增长，购票保证金增加。以及控股</w:t>
      </w:r>
      <w:r>
        <w:rPr>
          <w:spacing w:val="-19"/>
        </w:rPr>
        <w:t> </w:t>
      </w:r>
      <w:r>
        <w:rPr>
          <w:spacing w:val="-19"/>
        </w:rPr>
      </w:r>
      <w:r>
        <w:rPr/>
        <w:t>子公司无锡双龙信息纸有限公司本期购入土地所交保证金所致。</w:t>
      </w:r>
    </w:p>
    <w:p>
      <w:pPr>
        <w:pStyle w:val="BodyText"/>
        <w:spacing w:line="273" w:lineRule="auto" w:before="7"/>
        <w:ind w:right="0"/>
        <w:jc w:val="left"/>
      </w:pPr>
      <w:r>
        <w:rPr>
          <w:spacing w:val="-2"/>
        </w:rPr>
        <w:t>（5）无形资产较期初增长151.57%，主要系控股子公司无锡双龙信息纸有限公司和全资孙公司四川鸿海印</w:t>
      </w:r>
      <w:r>
        <w:rPr>
          <w:spacing w:val="-37"/>
        </w:rPr>
        <w:t> </w:t>
      </w:r>
      <w:r>
        <w:rPr>
          <w:spacing w:val="-37"/>
        </w:rPr>
      </w:r>
      <w:r>
        <w:rPr/>
        <w:t>务有限公司本期购入土地所致。</w:t>
      </w:r>
    </w:p>
    <w:p>
      <w:pPr>
        <w:pStyle w:val="BodyText"/>
        <w:spacing w:line="273" w:lineRule="auto" w:before="7"/>
        <w:ind w:right="0"/>
        <w:jc w:val="left"/>
      </w:pPr>
      <w:r>
        <w:rPr>
          <w:spacing w:val="-2"/>
        </w:rPr>
        <w:t>（6）长期待摊费用较期初增长71.41%，主要系全资孙公司四川鸿海印务有限公司本期增加土地营运费用</w:t>
      </w:r>
      <w:r>
        <w:rPr>
          <w:spacing w:val="-17"/>
        </w:rPr>
        <w:t> </w:t>
      </w:r>
      <w:r>
        <w:rPr>
          <w:spacing w:val="-17"/>
        </w:rPr>
      </w:r>
      <w:r>
        <w:rPr/>
        <w:t>所致。</w:t>
      </w:r>
    </w:p>
    <w:p>
      <w:pPr>
        <w:pStyle w:val="BodyText"/>
        <w:spacing w:line="240" w:lineRule="auto" w:before="7"/>
        <w:ind w:right="0"/>
        <w:jc w:val="left"/>
      </w:pPr>
      <w:r>
        <w:rPr/>
        <w:t>（7）递延所得税资产较期初增长366.94%，主要原因系亏损预计可弥补确认递延所得税资产增加所致。</w:t>
      </w:r>
    </w:p>
    <w:p>
      <w:pPr>
        <w:pStyle w:val="BodyText"/>
        <w:spacing w:line="240" w:lineRule="auto" w:before="37"/>
        <w:ind w:right="2880"/>
        <w:jc w:val="left"/>
      </w:pPr>
      <w:r>
        <w:rPr/>
        <w:t>（8）短期借款较期初增长103.03%，主要原因系短期借款增加所致。</w:t>
      </w:r>
    </w:p>
    <w:p>
      <w:pPr>
        <w:pStyle w:val="BodyText"/>
        <w:spacing w:line="240" w:lineRule="auto" w:before="37"/>
        <w:ind w:right="2880"/>
        <w:jc w:val="left"/>
      </w:pPr>
      <w:r>
        <w:rPr/>
        <w:t>（9）预收款项较期初增长978.53%，主要系预收款方式业务增长所致。</w:t>
      </w:r>
    </w:p>
    <w:p>
      <w:pPr>
        <w:pStyle w:val="BodyText"/>
        <w:spacing w:line="273" w:lineRule="auto" w:before="37"/>
        <w:ind w:right="0"/>
        <w:jc w:val="left"/>
      </w:pPr>
      <w:r>
        <w:rPr>
          <w:spacing w:val="-2"/>
        </w:rPr>
        <w:t>（10）其他应付款较期初增长65.25%，主要系本期彩票无纸化代购业务增长，供应商为本公司代垫款增加</w:t>
      </w:r>
      <w:r>
        <w:rPr>
          <w:spacing w:val="-36"/>
        </w:rPr>
        <w:t> </w:t>
      </w:r>
      <w:r>
        <w:rPr>
          <w:spacing w:val="-36"/>
        </w:rPr>
      </w:r>
      <w:r>
        <w:rPr/>
        <w:t>所致。</w:t>
      </w:r>
    </w:p>
    <w:p>
      <w:pPr>
        <w:pStyle w:val="BodyText"/>
        <w:spacing w:line="240" w:lineRule="auto" w:before="7"/>
        <w:ind w:right="0"/>
        <w:jc w:val="left"/>
      </w:pPr>
      <w:r>
        <w:rPr/>
        <w:t>（11）其他流动负债较期初减少100%，主要系政府补助确认的递延收益，本期转入营业外收入所致。</w:t>
      </w:r>
    </w:p>
    <w:p>
      <w:pPr>
        <w:pStyle w:val="BodyText"/>
        <w:spacing w:line="273" w:lineRule="auto" w:before="37"/>
        <w:ind w:right="0"/>
        <w:jc w:val="left"/>
      </w:pPr>
      <w:r>
        <w:rPr>
          <w:spacing w:val="-2"/>
        </w:rPr>
        <w:t>（12）营业成本较上年同期增长35.08%，主要系彩票无纸化业务收入增长较快，其毛利率低于票证业务的</w:t>
      </w:r>
      <w:r>
        <w:rPr>
          <w:spacing w:val="-37"/>
        </w:rPr>
        <w:t> </w:t>
      </w:r>
      <w:r>
        <w:rPr>
          <w:spacing w:val="-37"/>
        </w:rPr>
      </w:r>
      <w:r>
        <w:rPr/>
        <w:t>毛利率，导致营业成本增长高于营业收入的增长</w:t>
      </w:r>
    </w:p>
    <w:p>
      <w:pPr>
        <w:pStyle w:val="BodyText"/>
        <w:spacing w:line="240" w:lineRule="auto" w:before="7"/>
        <w:ind w:right="0"/>
        <w:jc w:val="left"/>
      </w:pPr>
      <w:r>
        <w:rPr/>
        <w:t>（13）资产减值损失较上年同期增长74.60%,主要原因坏帐准备计提较上年同期增加所致。</w:t>
      </w:r>
    </w:p>
    <w:p>
      <w:pPr>
        <w:pStyle w:val="BodyText"/>
        <w:spacing w:line="240" w:lineRule="auto" w:before="37"/>
        <w:ind w:right="0"/>
        <w:jc w:val="left"/>
      </w:pPr>
      <w:r>
        <w:rPr/>
        <w:t>（14）营业外支出较上年同期减少61.02%,主要系固定资产处理损失较上年同期减少所致。</w:t>
      </w:r>
    </w:p>
    <w:p>
      <w:pPr>
        <w:pStyle w:val="BodyText"/>
        <w:spacing w:line="240" w:lineRule="auto" w:before="37"/>
        <w:ind w:right="0"/>
        <w:jc w:val="left"/>
      </w:pPr>
      <w:r>
        <w:rPr/>
        <w:t>（15）所得税费用较上年同期减少114.89%，主要系流动资金贷款净额增加所致。</w:t>
      </w:r>
    </w:p>
    <w:p>
      <w:pPr>
        <w:pStyle w:val="BodyText"/>
        <w:spacing w:line="273" w:lineRule="auto" w:before="37"/>
        <w:ind w:right="0"/>
        <w:jc w:val="left"/>
      </w:pPr>
      <w:r>
        <w:rPr>
          <w:spacing w:val="-2"/>
        </w:rPr>
        <w:t>（16）经营活动产生的现金流量净额较上年同期减少82.67%，主要系购买商品和支付劳务的现金增加以及</w:t>
      </w:r>
      <w:r>
        <w:rPr>
          <w:spacing w:val="-35"/>
        </w:rPr>
        <w:t> </w:t>
      </w:r>
      <w:r>
        <w:rPr>
          <w:spacing w:val="-35"/>
        </w:rPr>
      </w:r>
      <w:r>
        <w:rPr/>
        <w:t>职工薪酬和其他管理费用增加所致。</w:t>
      </w:r>
    </w:p>
    <w:p>
      <w:pPr>
        <w:pStyle w:val="BodyText"/>
        <w:spacing w:line="273" w:lineRule="auto" w:before="7"/>
        <w:ind w:right="0"/>
        <w:jc w:val="left"/>
      </w:pPr>
      <w:r>
        <w:rPr>
          <w:spacing w:val="-2"/>
        </w:rPr>
        <w:t>（17）筹资活动产生的现金流量净额较上年同期增长214.00%，主要系到期的银行贷款较少，导致还款金</w:t>
      </w:r>
      <w:r>
        <w:rPr>
          <w:spacing w:val="-16"/>
        </w:rPr>
        <w:t> </w:t>
      </w:r>
      <w:r>
        <w:rPr>
          <w:spacing w:val="-16"/>
        </w:rPr>
      </w:r>
      <w:r>
        <w:rPr/>
        <w:t>额减少所致。</w:t>
      </w:r>
    </w:p>
    <w:p>
      <w:pPr>
        <w:pStyle w:val="BodyText"/>
        <w:spacing w:line="273" w:lineRule="auto" w:before="7"/>
        <w:ind w:right="0"/>
        <w:jc w:val="left"/>
      </w:pPr>
      <w:r>
        <w:rPr>
          <w:spacing w:val="-2"/>
        </w:rPr>
        <w:t>（18）现金及现金等价物净增加额较上年同期增长173.49%，主要系购建固定资产、无形资产和其他长期</w:t>
      </w:r>
      <w:r>
        <w:rPr>
          <w:spacing w:val="-15"/>
        </w:rPr>
        <w:t> </w:t>
      </w:r>
      <w:r>
        <w:rPr>
          <w:spacing w:val="-15"/>
        </w:rPr>
      </w:r>
      <w:r>
        <w:rPr/>
        <w:t>资产支付的现金减少，以及流动资金贷款净额增加所致。</w:t>
      </w:r>
    </w:p>
    <w:p>
      <w:pPr>
        <w:spacing w:after="0" w:line="273"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1"/>
        <w:spacing w:line="240" w:lineRule="auto"/>
        <w:ind w:left="3709" w:right="2880"/>
        <w:jc w:val="left"/>
      </w:pPr>
      <w:bookmarkStart w:name="_TOC_250000" w:id="12"/>
      <w:r>
        <w:rPr/>
        <w:t>第十二节</w:t>
      </w:r>
      <w:r>
        <w:rPr>
          <w:spacing w:val="7"/>
        </w:rPr>
        <w:t> </w:t>
      </w:r>
      <w:bookmarkEnd w:id="12"/>
      <w:r>
        <w:rPr/>
        <w:t>备查文件目录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BodyText"/>
        <w:spacing w:line="273" w:lineRule="auto"/>
        <w:ind w:right="761"/>
        <w:jc w:val="left"/>
      </w:pPr>
      <w:r>
        <w:rPr/>
        <w:t>一、载有公司负责人、主管会计工作负责人及会计机构负责人签名并盖章的财务报表。</w:t>
      </w:r>
      <w:r>
        <w:rPr>
          <w:w w:val="100"/>
        </w:rPr>
        <w:t> </w:t>
      </w:r>
      <w:r>
        <w:rPr>
          <w:spacing w:val="-2"/>
        </w:rPr>
        <w:t>二、报告期内在中国证监会指定信息披露载体上公开披露过的所有公司文件的正本及公告的原稿。</w:t>
      </w:r>
      <w:r>
        <w:rPr>
          <w:spacing w:val="-25"/>
        </w:rPr>
        <w:t> </w:t>
      </w:r>
      <w:r>
        <w:rPr>
          <w:spacing w:val="-25"/>
        </w:rPr>
      </w:r>
      <w:r>
        <w:rPr/>
        <w:t>三、载有法定代表人签名的公司2014年度报告文本。</w:t>
      </w:r>
      <w:r>
        <w:rPr>
          <w:w w:val="100"/>
        </w:rPr>
        <w:t> </w:t>
      </w:r>
      <w:r>
        <w:rPr/>
        <w:t>四、以上备查文件的备置地点：公司证券部。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07" w:lineRule="auto"/>
        <w:ind w:left="7587" w:right="0" w:firstLine="105"/>
        <w:jc w:val="left"/>
      </w:pPr>
      <w:r>
        <w:rPr/>
        <w:t>鸿博股份有限公司</w:t>
      </w:r>
      <w:r>
        <w:rPr>
          <w:w w:val="100"/>
        </w:rPr>
        <w:t> </w:t>
      </w:r>
      <w:r>
        <w:rPr/>
        <w:t>法定代表人：尤丽娟</w:t>
      </w:r>
    </w:p>
    <w:p>
      <w:pPr>
        <w:spacing w:line="240" w:lineRule="auto" w:before="6"/>
        <w:rPr>
          <w:rFonts w:ascii="宋体" w:hAnsi="宋体" w:cs="宋体" w:eastAsia="宋体" w:hint="default"/>
          <w:sz w:val="28"/>
          <w:szCs w:val="28"/>
        </w:rPr>
      </w:pPr>
    </w:p>
    <w:p>
      <w:pPr>
        <w:pStyle w:val="BodyText"/>
        <w:spacing w:line="240" w:lineRule="auto"/>
        <w:ind w:left="0" w:right="147"/>
        <w:jc w:val="right"/>
      </w:pPr>
      <w:r>
        <w:rPr>
          <w:spacing w:val="-2"/>
        </w:rPr>
        <w:t>二〇一五年三月十八日</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8267pt;margin-top:795.616211pt;width:6.5pt;height:11pt;mso-position-horizontal-relative:page;mso-position-vertical-relative:page;z-index:-888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58252pt;margin-top:781.936218pt;width:17.3pt;height:11pt;mso-position-horizontal-relative:page;mso-position-vertical-relative:page;z-index:-887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8267pt;margin-top:781.936218pt;width:17.650pt;height:11pt;mso-position-horizontal-relative:page;mso-position-vertical-relative:page;z-index:-887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098267pt;margin-top:781.936218pt;width:8.5pt;height:11pt;mso-position-horizontal-relative:page;mso-position-vertical-relative:page;z-index:-888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8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8264pt;margin-top:781.936218pt;width:13.1pt;height:11pt;mso-position-horizontal-relative:page;mso-position-vertical-relative:page;z-index:-887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098267pt;margin-top:36.363907pt;width:159.6pt;height:11.5pt;mso-position-horizontal-relative:page;mso-position-vertical-relative:page;z-index:-888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鸿博股份有限公司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54"/>
    </w:pPr>
    <w:rPr>
      <w:rFonts w:ascii="宋体" w:hAnsi="宋体" w:eastAsia="宋体"/>
      <w:sz w:val="21"/>
      <w:szCs w:val="21"/>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26"/>
      <w:ind w:left="3448"/>
      <w:outlineLvl w:val="1"/>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b-print.com.cn/" TargetMode="External"/><Relationship Id="rId10" Type="http://schemas.openxmlformats.org/officeDocument/2006/relationships/hyperlink" Target="mailto:hongbo-printing@hongbo.net.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2.jpeg"/><Relationship Id="rId17" Type="http://schemas.openxmlformats.org/officeDocument/2006/relationships/footer" Target="footer7.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 Id="rId31"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- 2014年年度报告全文_定稿_.doc</dc:title>
  <dcterms:created xsi:type="dcterms:W3CDTF">2020-05-06T16:26:12Z</dcterms:created>
  <dcterms:modified xsi:type="dcterms:W3CDTF">2020-05-06T16:26:12Z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2015-03-19T00:00:00Z</vt:filetime>
  </property>
  <property fmtid="{D5CDD505-2E9C-101B-9397-08002B2CF9AE}" pid="3" name="Creator">
    <vt:lpwstr>2014年年度报告全文(定稿).doc [兼容模式] - Microsoft Word</vt:lpwstr>
  </property>
  <property fmtid="{D5CDD505-2E9C-101B-9397-08002B2CF9AE}" pid="4" name="LastSaved">
    <vt:filetime>2020-05-06T00:00:00Z</vt:filetime>
  </property>
</Properties>
</file>