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Default Extension="png" ContentType="image/png"/>
  <Override PartName="/word/footer7.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32"/>
        <w:ind w:left="3422" w:right="3426" w:firstLine="0"/>
        <w:jc w:val="center"/>
        <w:rPr>
          <w:rFonts w:ascii="Microsoft JhengHei" w:hAnsi="Microsoft JhengHei" w:cs="Microsoft JhengHei" w:eastAsia="Microsoft JhengHei" w:hint="default"/>
          <w:sz w:val="36"/>
          <w:szCs w:val="36"/>
        </w:rPr>
      </w:pPr>
      <w:r>
        <w:rPr/>
        <w:pict>
          <v:group style="position:absolute;margin-left:55.200001pt;margin-top:-96.0895pt;width:484.8pt;height:.1pt;mso-position-horizontal-relative:page;mso-position-vertical-relative:paragraph;z-index:0" coordorigin="1104,-1922" coordsize="9696,2">
            <v:shape style="position:absolute;left:1104;top:-1922;width:9696;height:2" coordorigin="1104,-1922" coordsize="9696,0" path="m1104,-1922l10800,-1922e" filled="false" stroked="true" strokeweight=".72pt" strokecolor="#000000">
              <v:path arrowok="t"/>
            </v:shape>
            <w10:wrap type="none"/>
          </v:group>
        </w:pict>
      </w:r>
      <w:r>
        <w:rPr>
          <w:rFonts w:ascii="Microsoft JhengHei" w:hAnsi="Microsoft JhengHei" w:cs="Microsoft JhengHei" w:eastAsia="Microsoft JhengHei" w:hint="default"/>
          <w:b/>
          <w:bCs/>
          <w:sz w:val="36"/>
          <w:szCs w:val="36"/>
        </w:rPr>
        <w:t>鸿博股份有限公司</w:t>
      </w:r>
      <w:r>
        <w:rPr>
          <w:rFonts w:ascii="Microsoft JhengHei" w:hAnsi="Microsoft JhengHei" w:cs="Microsoft JhengHei" w:eastAsia="Microsoft JhengHei" w:hint="default"/>
          <w:sz w:val="36"/>
          <w:szCs w:val="36"/>
        </w:rPr>
      </w:r>
    </w:p>
    <w:p>
      <w:pPr>
        <w:spacing w:before="268"/>
        <w:ind w:left="3422" w:right="3423" w:firstLine="0"/>
        <w:jc w:val="center"/>
        <w:rPr>
          <w:rFonts w:ascii="Microsoft JhengHei" w:hAnsi="Microsoft JhengHei" w:cs="Microsoft JhengHei" w:eastAsia="Microsoft JhengHei" w:hint="default"/>
          <w:sz w:val="32"/>
          <w:szCs w:val="32"/>
        </w:rPr>
      </w:pPr>
      <w:r>
        <w:rPr>
          <w:rFonts w:ascii="Times New Roman" w:hAnsi="Times New Roman" w:cs="Times New Roman" w:eastAsia="Times New Roman" w:hint="default"/>
          <w:b/>
          <w:bCs/>
          <w:sz w:val="32"/>
          <w:szCs w:val="32"/>
        </w:rPr>
        <w:t>2015</w:t>
      </w:r>
      <w:r>
        <w:rPr>
          <w:rFonts w:ascii="Times New Roman" w:hAnsi="Times New Roman" w:cs="Times New Roman" w:eastAsia="Times New Roman" w:hint="default"/>
          <w:b/>
          <w:bCs/>
          <w:spacing w:val="5"/>
          <w:sz w:val="32"/>
          <w:szCs w:val="32"/>
        </w:rPr>
        <w:t> </w:t>
      </w:r>
      <w:r>
        <w:rPr>
          <w:rFonts w:ascii="Microsoft JhengHei" w:hAnsi="Microsoft JhengHei" w:cs="Microsoft JhengHei" w:eastAsia="Microsoft JhengHei" w:hint="default"/>
          <w:b/>
          <w:bCs/>
          <w:sz w:val="32"/>
          <w:szCs w:val="32"/>
        </w:rPr>
        <w:t>年年度报告</w:t>
      </w:r>
      <w:r>
        <w:rPr>
          <w:rFonts w:ascii="Microsoft JhengHei" w:hAnsi="Microsoft JhengHei" w:cs="Microsoft JhengHei" w:eastAsia="Microsoft JhengHei" w:hint="default"/>
          <w:sz w:val="32"/>
          <w:szCs w:val="32"/>
        </w:rPr>
      </w:r>
    </w:p>
    <w:p>
      <w:pPr>
        <w:spacing w:line="240" w:lineRule="auto" w:before="8"/>
        <w:rPr>
          <w:rFonts w:ascii="Microsoft JhengHei" w:hAnsi="Microsoft JhengHei" w:cs="Microsoft JhengHei" w:eastAsia="Microsoft JhengHei" w:hint="default"/>
          <w:b/>
          <w:bCs/>
          <w:sz w:val="23"/>
          <w:szCs w:val="23"/>
        </w:rPr>
      </w:pPr>
    </w:p>
    <w:p>
      <w:pPr>
        <w:spacing w:line="6010" w:lineRule="exact"/>
        <w:ind w:left="2135"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119"/>
          <w:sz w:val="20"/>
          <w:szCs w:val="20"/>
        </w:rPr>
        <w:drawing>
          <wp:inline distT="0" distB="0" distL="0" distR="0">
            <wp:extent cx="3605807" cy="3816477"/>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3605807" cy="3816477"/>
                    </a:xfrm>
                    <a:prstGeom prst="rect">
                      <a:avLst/>
                    </a:prstGeom>
                  </pic:spPr>
                </pic:pic>
              </a:graphicData>
            </a:graphic>
          </wp:inline>
        </w:drawing>
      </w:r>
      <w:r>
        <w:rPr>
          <w:rFonts w:ascii="Microsoft JhengHei" w:hAnsi="Microsoft JhengHei" w:cs="Microsoft JhengHei" w:eastAsia="Microsoft JhengHei" w:hint="default"/>
          <w:position w:val="-119"/>
          <w:sz w:val="20"/>
          <w:szCs w:val="2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12"/>
        <w:rPr>
          <w:rFonts w:ascii="Microsoft JhengHei" w:hAnsi="Microsoft JhengHei" w:cs="Microsoft JhengHei" w:eastAsia="Microsoft JhengHei" w:hint="default"/>
          <w:b/>
          <w:bCs/>
          <w:sz w:val="15"/>
          <w:szCs w:val="15"/>
        </w:rPr>
      </w:pPr>
    </w:p>
    <w:p>
      <w:pPr>
        <w:spacing w:line="458" w:lineRule="exact" w:before="0"/>
        <w:ind w:left="3422" w:right="3425" w:firstLine="0"/>
        <w:jc w:val="center"/>
        <w:rPr>
          <w:rFonts w:ascii="Microsoft JhengHei" w:hAnsi="Microsoft JhengHei" w:cs="Microsoft JhengHei" w:eastAsia="Microsoft JhengHei" w:hint="default"/>
          <w:sz w:val="32"/>
          <w:szCs w:val="32"/>
        </w:rPr>
      </w:pPr>
      <w:r>
        <w:rPr>
          <w:rFonts w:ascii="Times New Roman" w:hAnsi="Times New Roman" w:cs="Times New Roman" w:eastAsia="Times New Roman" w:hint="default"/>
          <w:b/>
          <w:bCs/>
          <w:sz w:val="32"/>
          <w:szCs w:val="32"/>
        </w:rPr>
        <w:t>2016 </w:t>
      </w:r>
      <w:r>
        <w:rPr>
          <w:rFonts w:ascii="Microsoft JhengHei" w:hAnsi="Microsoft JhengHei" w:cs="Microsoft JhengHei" w:eastAsia="Microsoft JhengHei" w:hint="default"/>
          <w:b/>
          <w:bCs/>
          <w:sz w:val="32"/>
          <w:szCs w:val="32"/>
        </w:rPr>
        <w:t>年 </w:t>
      </w:r>
      <w:r>
        <w:rPr>
          <w:rFonts w:ascii="Times New Roman" w:hAnsi="Times New Roman" w:cs="Times New Roman" w:eastAsia="Times New Roman" w:hint="default"/>
          <w:b/>
          <w:bCs/>
          <w:sz w:val="32"/>
          <w:szCs w:val="32"/>
        </w:rPr>
        <w:t>03</w:t>
      </w:r>
      <w:r>
        <w:rPr>
          <w:rFonts w:ascii="Times New Roman" w:hAnsi="Times New Roman" w:cs="Times New Roman" w:eastAsia="Times New Roman" w:hint="default"/>
          <w:b/>
          <w:bCs/>
          <w:spacing w:val="-1"/>
          <w:sz w:val="32"/>
          <w:szCs w:val="32"/>
        </w:rPr>
        <w:t> </w:t>
      </w:r>
      <w:r>
        <w:rPr>
          <w:rFonts w:ascii="Microsoft JhengHei" w:hAnsi="Microsoft JhengHei" w:cs="Microsoft JhengHei" w:eastAsia="Microsoft JhengHei" w:hint="default"/>
          <w:b/>
          <w:bCs/>
          <w:sz w:val="32"/>
          <w:szCs w:val="32"/>
        </w:rPr>
        <w:t>月</w:t>
      </w:r>
      <w:r>
        <w:rPr>
          <w:rFonts w:ascii="Microsoft JhengHei" w:hAnsi="Microsoft JhengHei" w:cs="Microsoft JhengHei" w:eastAsia="Microsoft JhengHei" w:hint="default"/>
          <w:sz w:val="32"/>
          <w:szCs w:val="32"/>
        </w:rPr>
      </w:r>
    </w:p>
    <w:p>
      <w:pPr>
        <w:spacing w:after="0" w:line="458" w:lineRule="exact"/>
        <w:jc w:val="center"/>
        <w:rPr>
          <w:rFonts w:ascii="Microsoft JhengHei" w:hAnsi="Microsoft JhengHei" w:cs="Microsoft JhengHei" w:eastAsia="Microsoft JhengHei" w:hint="default"/>
          <w:sz w:val="32"/>
          <w:szCs w:val="32"/>
        </w:rPr>
        <w:sectPr>
          <w:headerReference w:type="default" r:id="rId5"/>
          <w:footerReference w:type="default" r:id="rId6"/>
          <w:type w:val="continuous"/>
          <w:pgSz w:w="11900" w:h="16840"/>
          <w:pgMar w:header="742" w:footer="984" w:top="1060" w:bottom="1180" w:left="980" w:right="980"/>
        </w:sectPr>
      </w:pPr>
    </w:p>
    <w:p>
      <w:pPr>
        <w:spacing w:line="240" w:lineRule="auto" w:before="6"/>
        <w:rPr>
          <w:rFonts w:ascii="Microsoft JhengHei" w:hAnsi="Microsoft JhengHei" w:cs="Microsoft JhengHei" w:eastAsia="Microsoft JhengHei" w:hint="default"/>
          <w:b/>
          <w:bCs/>
          <w:sz w:val="2"/>
          <w:szCs w:val="2"/>
        </w:rPr>
      </w:pPr>
    </w:p>
    <w:p>
      <w:pPr>
        <w:spacing w:line="20" w:lineRule="exact"/>
        <w:ind w:left="116"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85.55pt;height:.75pt;mso-position-horizontal-relative:char;mso-position-vertical-relative:line" coordorigin="0,0" coordsize="9711,15">
            <v:group style="position:absolute;left:7;top:7;width:9696;height:2" coordorigin="7,7" coordsize="9696,2">
              <v:shape style="position:absolute;left:7;top:7;width:9696;height:2" coordorigin="7,7" coordsize="9696,0" path="m7,7l9703,7e" filled="false" stroked="true" strokeweight=".72pt" strokecolor="#000000">
                <v:path arrowok="t"/>
              </v:shape>
            </v:group>
          </v:group>
        </w:pict>
      </w:r>
      <w:r>
        <w:rPr>
          <w:rFonts w:ascii="Microsoft JhengHei" w:hAnsi="Microsoft JhengHei" w:cs="Microsoft JhengHei" w:eastAsia="Microsoft JhengHei" w:hint="default"/>
          <w:sz w:val="2"/>
          <w:szCs w:val="2"/>
        </w:rPr>
      </w:r>
    </w:p>
    <w:p>
      <w:pPr>
        <w:spacing w:line="240" w:lineRule="auto" w:before="0"/>
        <w:rPr>
          <w:rFonts w:ascii="Microsoft JhengHei" w:hAnsi="Microsoft JhengHei" w:cs="Microsoft JhengHei" w:eastAsia="Microsoft JhengHei" w:hint="default"/>
          <w:b/>
          <w:bCs/>
          <w:sz w:val="20"/>
          <w:szCs w:val="20"/>
        </w:rPr>
      </w:pPr>
    </w:p>
    <w:p>
      <w:pPr>
        <w:spacing w:line="240" w:lineRule="auto" w:before="9"/>
        <w:rPr>
          <w:rFonts w:ascii="Microsoft JhengHei" w:hAnsi="Microsoft JhengHei" w:cs="Microsoft JhengHei" w:eastAsia="Microsoft JhengHei" w:hint="default"/>
          <w:b/>
          <w:bCs/>
          <w:sz w:val="24"/>
          <w:szCs w:val="24"/>
        </w:rPr>
      </w:pPr>
    </w:p>
    <w:p>
      <w:pPr>
        <w:pStyle w:val="Heading1"/>
        <w:spacing w:line="458" w:lineRule="exact"/>
        <w:ind w:left="2802" w:right="109"/>
        <w:jc w:val="left"/>
        <w:rPr>
          <w:b w:val="0"/>
          <w:bCs w:val="0"/>
        </w:rPr>
      </w:pPr>
      <w:bookmarkStart w:name="_TOC_250010" w:id="1"/>
      <w:r>
        <w:rPr/>
        <w:t>第一节 </w:t>
      </w:r>
      <w:r>
        <w:rPr>
          <w:spacing w:val="17"/>
        </w:rPr>
        <w:t> </w:t>
      </w:r>
      <w:r>
        <w:rPr/>
        <w:t>重要提示、目录和释义</w:t>
      </w:r>
      <w:bookmarkEnd w:id="1"/>
      <w:r>
        <w:rPr>
          <w:b w:val="0"/>
          <w:bCs w:val="0"/>
        </w:rPr>
      </w:r>
    </w:p>
    <w:p>
      <w:pPr>
        <w:spacing w:line="240" w:lineRule="auto" w:before="15"/>
        <w:rPr>
          <w:rFonts w:ascii="Microsoft JhengHei" w:hAnsi="Microsoft JhengHei" w:cs="Microsoft JhengHei" w:eastAsia="Microsoft JhengHei" w:hint="default"/>
          <w:b/>
          <w:bCs/>
          <w:sz w:val="27"/>
          <w:szCs w:val="27"/>
        </w:rPr>
      </w:pPr>
    </w:p>
    <w:p>
      <w:pPr>
        <w:pStyle w:val="Heading4"/>
        <w:spacing w:line="312" w:lineRule="exact"/>
        <w:ind w:right="109" w:firstLine="422"/>
        <w:jc w:val="left"/>
        <w:rPr>
          <w:b w:val="0"/>
          <w:bCs w:val="0"/>
        </w:rPr>
      </w:pPr>
      <w:r>
        <w:rPr>
          <w:spacing w:val="-2"/>
        </w:rPr>
        <w:t>本公司董事会、监事会及董事、监事、高级管理人员保证年度报告内容的真实、准确、完整，不存在</w:t>
      </w:r>
      <w:r>
        <w:rPr>
          <w:w w:val="100"/>
        </w:rPr>
        <w:t> </w:t>
      </w:r>
      <w:r>
        <w:rPr/>
        <w:t>虚假记载、误导性陈述或重大遗漏，并承担个别和连带的法律责任。</w:t>
      </w:r>
      <w:r>
        <w:rPr>
          <w:b w:val="0"/>
          <w:bCs w:val="0"/>
        </w:rPr>
      </w:r>
    </w:p>
    <w:p>
      <w:pPr>
        <w:pStyle w:val="Heading4"/>
        <w:spacing w:line="312" w:lineRule="exact" w:before="101"/>
        <w:ind w:right="109" w:firstLine="422"/>
        <w:jc w:val="left"/>
        <w:rPr>
          <w:b w:val="0"/>
          <w:bCs w:val="0"/>
        </w:rPr>
      </w:pPr>
      <w:r>
        <w:rPr>
          <w:spacing w:val="-1"/>
        </w:rPr>
        <w:t>公司负责人尤丽娟、主管会计工作负责人高琦及会计机构负责人</w:t>
      </w:r>
      <w:r>
        <w:rPr>
          <w:rFonts w:ascii="Times New Roman" w:hAnsi="Times New Roman" w:cs="Times New Roman" w:eastAsia="Times New Roman" w:hint="default"/>
          <w:spacing w:val="-1"/>
        </w:rPr>
        <w:t>(</w:t>
      </w:r>
      <w:r>
        <w:rPr>
          <w:spacing w:val="-1"/>
        </w:rPr>
        <w:t>会计主管人员</w:t>
      </w:r>
      <w:r>
        <w:rPr>
          <w:rFonts w:ascii="Times New Roman" w:hAnsi="Times New Roman" w:cs="Times New Roman" w:eastAsia="Times New Roman" w:hint="default"/>
          <w:spacing w:val="-1"/>
        </w:rPr>
        <w:t>)</w:t>
      </w:r>
      <w:r>
        <w:rPr>
          <w:spacing w:val="-1"/>
        </w:rPr>
        <w:t>林雄坤声明：保证年</w:t>
      </w:r>
      <w:r>
        <w:rPr>
          <w:w w:val="100"/>
        </w:rPr>
        <w:t> </w:t>
      </w:r>
      <w:r>
        <w:rPr/>
        <w:t>度报告中财务报告的真实、准确、完整。</w:t>
      </w:r>
      <w:r>
        <w:rPr>
          <w:b w:val="0"/>
          <w:bCs w:val="0"/>
        </w:rPr>
      </w:r>
    </w:p>
    <w:p>
      <w:pPr>
        <w:pStyle w:val="Heading4"/>
        <w:spacing w:line="271" w:lineRule="auto" w:before="38"/>
        <w:ind w:left="575" w:right="109"/>
        <w:jc w:val="left"/>
        <w:rPr>
          <w:b w:val="0"/>
          <w:bCs w:val="0"/>
        </w:rPr>
      </w:pPr>
      <w:r>
        <w:rPr/>
        <w:t>所有董事均已出席了审议本报告的董事会会议。</w:t>
      </w:r>
      <w:r>
        <w:rPr>
          <w:spacing w:val="-34"/>
        </w:rPr>
        <w:t> </w:t>
      </w:r>
      <w:r>
        <w:rPr>
          <w:spacing w:val="-34"/>
        </w:rPr>
      </w:r>
      <w:r>
        <w:rPr>
          <w:spacing w:val="-4"/>
        </w:rPr>
        <w:t>本报告中涉及未来计划等前瞻性描述，不构成公司对投资者的实质性承诺，能否实现取决于市场状况、</w:t>
      </w:r>
      <w:r>
        <w:rPr>
          <w:b w:val="0"/>
          <w:bCs w:val="0"/>
          <w:spacing w:val="-4"/>
        </w:rPr>
      </w:r>
    </w:p>
    <w:p>
      <w:pPr>
        <w:pStyle w:val="Heading4"/>
        <w:spacing w:line="276" w:lineRule="exact"/>
        <w:ind w:right="109"/>
        <w:jc w:val="left"/>
        <w:rPr>
          <w:b w:val="0"/>
          <w:bCs w:val="0"/>
        </w:rPr>
      </w:pPr>
      <w:r>
        <w:rPr/>
        <w:t>经营管理团队等多种因素，存在不确定性，请投资者注意投资风险。</w:t>
      </w:r>
      <w:r>
        <w:rPr>
          <w:b w:val="0"/>
          <w:bCs w:val="0"/>
        </w:rPr>
      </w:r>
    </w:p>
    <w:p>
      <w:pPr>
        <w:pStyle w:val="Heading4"/>
        <w:spacing w:line="339" w:lineRule="exact" w:before="42"/>
        <w:ind w:left="575" w:right="109"/>
        <w:jc w:val="left"/>
        <w:rPr>
          <w:b w:val="0"/>
          <w:bCs w:val="0"/>
        </w:rPr>
      </w:pPr>
      <w:r>
        <w:rPr/>
        <w:t>公司经本次董事会审议通过的利润分配预案为：以 </w:t>
      </w:r>
      <w:r>
        <w:rPr>
          <w:rFonts w:ascii="Times New Roman" w:hAnsi="Times New Roman" w:cs="Times New Roman" w:eastAsia="Times New Roman" w:hint="default"/>
        </w:rPr>
        <w:t>298186000 </w:t>
      </w:r>
      <w:r>
        <w:rPr/>
        <w:t>股为基数，向全体股东每 </w:t>
      </w:r>
      <w:r>
        <w:rPr>
          <w:rFonts w:ascii="Times New Roman" w:hAnsi="Times New Roman" w:cs="Times New Roman" w:eastAsia="Times New Roman" w:hint="default"/>
        </w:rPr>
        <w:t>10 </w:t>
      </w:r>
      <w:r>
        <w:rPr>
          <w:rFonts w:ascii="Times New Roman" w:hAnsi="Times New Roman" w:cs="Times New Roman" w:eastAsia="Times New Roman" w:hint="default"/>
          <w:spacing w:val="22"/>
        </w:rPr>
        <w:t> </w:t>
      </w:r>
      <w:r>
        <w:rPr/>
        <w:t>股派发现</w:t>
      </w:r>
      <w:r>
        <w:rPr>
          <w:b w:val="0"/>
          <w:bCs w:val="0"/>
        </w:rPr>
      </w:r>
    </w:p>
    <w:p>
      <w:pPr>
        <w:pStyle w:val="Heading4"/>
        <w:spacing w:line="339" w:lineRule="exact"/>
        <w:ind w:right="109"/>
        <w:jc w:val="left"/>
        <w:rPr>
          <w:b w:val="0"/>
          <w:bCs w:val="0"/>
        </w:rPr>
      </w:pPr>
      <w:r>
        <w:rPr>
          <w:w w:val="100"/>
        </w:rPr>
        <w:t>金红利</w:t>
      </w:r>
      <w:r>
        <w:rPr>
          <w:spacing w:val="5"/>
        </w:rPr>
        <w:t> </w:t>
      </w:r>
      <w:r>
        <w:rPr>
          <w:rFonts w:ascii="Times New Roman" w:hAnsi="Times New Roman" w:cs="Times New Roman" w:eastAsia="Times New Roman" w:hint="default"/>
          <w:w w:val="100"/>
        </w:rPr>
        <w:t>0</w:t>
      </w:r>
      <w:r>
        <w:rPr>
          <w:rFonts w:ascii="Times New Roman" w:hAnsi="Times New Roman" w:cs="Times New Roman" w:eastAsia="Times New Roman" w:hint="default"/>
          <w:spacing w:val="-5"/>
        </w:rPr>
        <w:t> </w:t>
      </w:r>
      <w:r>
        <w:rPr>
          <w:w w:val="100"/>
        </w:rPr>
        <w:t>元（含税</w:t>
      </w:r>
      <w:r>
        <w:rPr>
          <w:spacing w:val="-106"/>
          <w:w w:val="100"/>
        </w:rPr>
        <w:t>）</w:t>
      </w:r>
      <w:r>
        <w:rPr>
          <w:spacing w:val="-1"/>
          <w:w w:val="100"/>
        </w:rPr>
        <w:t>，</w:t>
      </w:r>
      <w:r>
        <w:rPr>
          <w:w w:val="100"/>
        </w:rPr>
        <w:t>送红股</w:t>
      </w:r>
      <w:r>
        <w:rPr/>
        <w:t> </w:t>
      </w:r>
      <w:r>
        <w:rPr>
          <w:rFonts w:ascii="Times New Roman" w:hAnsi="Times New Roman" w:cs="Times New Roman" w:eastAsia="Times New Roman" w:hint="default"/>
          <w:w w:val="100"/>
        </w:rPr>
        <w:t>0</w:t>
      </w:r>
      <w:r>
        <w:rPr>
          <w:rFonts w:ascii="Times New Roman" w:hAnsi="Times New Roman" w:cs="Times New Roman" w:eastAsia="Times New Roman" w:hint="default"/>
          <w:spacing w:val="-5"/>
        </w:rPr>
        <w:t> </w:t>
      </w:r>
      <w:r>
        <w:rPr>
          <w:w w:val="100"/>
        </w:rPr>
        <w:t>股（含税</w:t>
      </w:r>
      <w:r>
        <w:rPr>
          <w:spacing w:val="-106"/>
          <w:w w:val="100"/>
        </w:rPr>
        <w:t>）</w:t>
      </w:r>
      <w:r>
        <w:rPr>
          <w:spacing w:val="-1"/>
          <w:w w:val="100"/>
        </w:rPr>
        <w:t>，</w:t>
      </w:r>
      <w:r>
        <w:rPr>
          <w:w w:val="100"/>
        </w:rPr>
        <w:t>不以公</w:t>
      </w:r>
      <w:r>
        <w:rPr>
          <w:spacing w:val="-5"/>
          <w:w w:val="100"/>
        </w:rPr>
        <w:t>积</w:t>
      </w:r>
      <w:r>
        <w:rPr>
          <w:w w:val="100"/>
        </w:rPr>
        <w:t>金转增股本。</w:t>
      </w:r>
      <w:r>
        <w:rPr>
          <w:b w:val="0"/>
          <w:bCs w:val="0"/>
          <w:w w:val="100"/>
        </w:rPr>
      </w:r>
    </w:p>
    <w:p>
      <w:pPr>
        <w:spacing w:after="0" w:line="339" w:lineRule="exact"/>
        <w:jc w:val="left"/>
        <w:sectPr>
          <w:footerReference w:type="default" r:id="rId8"/>
          <w:pgSz w:w="11900" w:h="16840"/>
          <w:pgMar w:footer="984" w:header="742" w:top="1060" w:bottom="1180" w:left="980" w:right="900"/>
          <w:pgNumType w:start="2"/>
        </w:sectPr>
      </w:pPr>
    </w:p>
    <w:p>
      <w:pPr>
        <w:spacing w:line="240" w:lineRule="auto" w:before="6"/>
        <w:rPr>
          <w:rFonts w:ascii="Microsoft JhengHei" w:hAnsi="Microsoft JhengHei" w:cs="Microsoft JhengHei" w:eastAsia="Microsoft JhengHei" w:hint="default"/>
          <w:b/>
          <w:bCs/>
          <w:sz w:val="2"/>
          <w:szCs w:val="2"/>
        </w:rPr>
      </w:pPr>
    </w:p>
    <w:p>
      <w:pPr>
        <w:spacing w:line="20" w:lineRule="exact"/>
        <w:ind w:left="116"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85.55pt;height:.75pt;mso-position-horizontal-relative:char;mso-position-vertical-relative:line" coordorigin="0,0" coordsize="9711,15">
            <v:group style="position:absolute;left:7;top:7;width:9696;height:2" coordorigin="7,7" coordsize="9696,2">
              <v:shape style="position:absolute;left:7;top:7;width:9696;height:2" coordorigin="7,7" coordsize="9696,0" path="m7,7l9703,7e" filled="false" stroked="true" strokeweight=".72pt" strokecolor="#000000">
                <v:path arrowok="t"/>
              </v:shape>
            </v:group>
          </v:group>
        </w:pict>
      </w:r>
      <w:r>
        <w:rPr>
          <w:rFonts w:ascii="Microsoft JhengHei" w:hAnsi="Microsoft JhengHei" w:cs="Microsoft JhengHei" w:eastAsia="Microsoft JhengHei" w:hint="default"/>
          <w:sz w:val="2"/>
          <w:szCs w:val="2"/>
        </w:rPr>
      </w: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8"/>
        <w:rPr>
          <w:rFonts w:ascii="Microsoft JhengHei" w:hAnsi="Microsoft JhengHei" w:cs="Microsoft JhengHei" w:eastAsia="Microsoft JhengHei" w:hint="default"/>
          <w:b/>
          <w:bCs/>
          <w:sz w:val="14"/>
          <w:szCs w:val="14"/>
        </w:rPr>
      </w:pPr>
    </w:p>
    <w:p>
      <w:pPr>
        <w:spacing w:line="501" w:lineRule="exact" w:before="0"/>
        <w:ind w:left="3422" w:right="3423" w:firstLine="0"/>
        <w:jc w:val="center"/>
        <w:rPr>
          <w:rFonts w:ascii="Microsoft JhengHei" w:hAnsi="Microsoft JhengHei" w:cs="Microsoft JhengHei" w:eastAsia="Microsoft JhengHei" w:hint="default"/>
          <w:sz w:val="36"/>
          <w:szCs w:val="36"/>
        </w:rPr>
      </w:pPr>
      <w:r>
        <w:rPr>
          <w:rFonts w:ascii="Microsoft JhengHei" w:hAnsi="Microsoft JhengHei" w:cs="Microsoft JhengHei" w:eastAsia="Microsoft JhengHei" w:hint="default"/>
          <w:b/>
          <w:bCs/>
          <w:sz w:val="36"/>
          <w:szCs w:val="36"/>
        </w:rPr>
        <w:t>目录</w:t>
      </w:r>
      <w:r>
        <w:rPr>
          <w:rFonts w:ascii="Microsoft JhengHei" w:hAnsi="Microsoft JhengHei" w:cs="Microsoft JhengHei" w:eastAsia="Microsoft JhengHei" w:hint="default"/>
          <w:sz w:val="36"/>
          <w:szCs w:val="36"/>
        </w:rPr>
      </w:r>
    </w:p>
    <w:p>
      <w:pPr>
        <w:spacing w:line="240" w:lineRule="auto" w:before="0"/>
        <w:rPr>
          <w:rFonts w:ascii="Microsoft JhengHei" w:hAnsi="Microsoft JhengHei" w:cs="Microsoft JhengHei" w:eastAsia="Microsoft JhengHei" w:hint="default"/>
          <w:b/>
          <w:bCs/>
          <w:sz w:val="36"/>
          <w:szCs w:val="36"/>
        </w:rPr>
      </w:pPr>
    </w:p>
    <w:p>
      <w:pPr>
        <w:spacing w:line="240" w:lineRule="auto" w:before="1"/>
        <w:rPr>
          <w:rFonts w:ascii="Microsoft JhengHei" w:hAnsi="Microsoft JhengHei" w:cs="Microsoft JhengHei" w:eastAsia="Microsoft JhengHei" w:hint="default"/>
          <w:b/>
          <w:bCs/>
          <w:sz w:val="45"/>
          <w:szCs w:val="45"/>
        </w:rPr>
      </w:pPr>
    </w:p>
    <w:sdt>
      <w:sdtPr>
        <w:docPartObj>
          <w:docPartGallery w:val="Table of Contents"/>
          <w:docPartUnique/>
        </w:docPartObj>
      </w:sdtPr>
      <w:sdtEndPr/>
      <w:sdtContent>
        <w:p>
          <w:pPr>
            <w:pStyle w:val="TOC1"/>
            <w:tabs>
              <w:tab w:pos="9781" w:val="right" w:leader="dot"/>
            </w:tabs>
            <w:spacing w:line="240" w:lineRule="auto" w:before="0"/>
            <w:ind w:right="0"/>
            <w:jc w:val="left"/>
            <w:rPr>
              <w:rFonts w:ascii="Times New Roman" w:hAnsi="Times New Roman" w:cs="Times New Roman" w:eastAsia="Times New Roman" w:hint="default"/>
              <w:b w:val="0"/>
              <w:bCs w:val="0"/>
            </w:rPr>
          </w:pPr>
          <w:r>
            <w:fldChar w:fldCharType="begin"/>
          </w:r>
          <w:r>
            <w:instrText>TOC \o "1-1" \h \z \u </w:instrText>
          </w:r>
          <w:r>
            <w:fldChar w:fldCharType="separate"/>
          </w:r>
          <w:hyperlink w:history="true" w:anchor="_TOC_250010">
            <w:r>
              <w:rPr/>
              <w:t>第一节</w:t>
            </w:r>
            <w:r>
              <w:rPr>
                <w:spacing w:val="33"/>
              </w:rPr>
              <w:t> </w:t>
            </w:r>
            <w:r>
              <w:rPr/>
              <w:t>重要提示、目录和释义</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5</w:t>
            </w:r>
            <w:r>
              <w:rPr>
                <w:rFonts w:ascii="Times New Roman" w:hAnsi="Times New Roman" w:cs="Times New Roman" w:eastAsia="Times New Roman" w:hint="default"/>
                <w:b w:val="0"/>
                <w:bCs w:val="0"/>
              </w:rPr>
            </w:r>
          </w:hyperlink>
        </w:p>
        <w:p>
          <w:pPr>
            <w:pStyle w:val="TOC1"/>
            <w:tabs>
              <w:tab w:pos="9781" w:val="right" w:leader="dot"/>
            </w:tabs>
            <w:spacing w:line="240" w:lineRule="auto" w:before="129"/>
            <w:ind w:right="0"/>
            <w:jc w:val="left"/>
            <w:rPr>
              <w:rFonts w:ascii="Times New Roman" w:hAnsi="Times New Roman" w:cs="Times New Roman" w:eastAsia="Times New Roman" w:hint="default"/>
              <w:b w:val="0"/>
              <w:bCs w:val="0"/>
            </w:rPr>
          </w:pPr>
          <w:hyperlink w:history="true" w:anchor="_TOC_250009">
            <w:r>
              <w:rPr/>
              <w:t>第二节</w:t>
            </w:r>
            <w:r>
              <w:rPr>
                <w:spacing w:val="33"/>
              </w:rPr>
              <w:t> </w:t>
            </w:r>
            <w:r>
              <w:rPr/>
              <w:t>公司简介和主要财务指标</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9</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8">
            <w:r>
              <w:rPr/>
              <w:t>第三节</w:t>
            </w:r>
            <w:r>
              <w:rPr>
                <w:spacing w:val="33"/>
              </w:rPr>
              <w:t> </w:t>
            </w:r>
            <w:r>
              <w:rPr/>
              <w:t>公司业务概要</w:t>
            </w:r>
            <w:r>
              <w:rPr>
                <w:rFonts w:ascii="Times New Roman" w:hAnsi="Times New Roman" w:cs="Times New Roman" w:eastAsia="Times New Roman" w:hint="default"/>
                <w:b w:val="0"/>
                <w:bCs w:val="0"/>
              </w:rPr>
              <w:tab/>
            </w:r>
            <w:r>
              <w:rPr>
                <w:rFonts w:ascii="Times New Roman" w:hAnsi="Times New Roman" w:cs="Times New Roman" w:eastAsia="Times New Roman" w:hint="default"/>
                <w:spacing w:val="-5"/>
              </w:rPr>
              <w:t>11</w:t>
            </w:r>
            <w:r>
              <w:rPr>
                <w:rFonts w:ascii="Times New Roman" w:hAnsi="Times New Roman" w:cs="Times New Roman" w:eastAsia="Times New Roman" w:hint="default"/>
                <w:b w:val="0"/>
                <w:bCs w:val="0"/>
                <w:spacing w:val="-5"/>
              </w:rPr>
            </w:r>
          </w:hyperlink>
        </w:p>
        <w:p>
          <w:pPr>
            <w:pStyle w:val="TOC1"/>
            <w:tabs>
              <w:tab w:pos="9781" w:val="right" w:leader="dot"/>
            </w:tabs>
            <w:spacing w:line="240" w:lineRule="auto" w:before="129"/>
            <w:ind w:right="0"/>
            <w:jc w:val="left"/>
            <w:rPr>
              <w:rFonts w:ascii="Times New Roman" w:hAnsi="Times New Roman" w:cs="Times New Roman" w:eastAsia="Times New Roman" w:hint="default"/>
              <w:b w:val="0"/>
              <w:bCs w:val="0"/>
            </w:rPr>
          </w:pPr>
          <w:hyperlink w:history="true" w:anchor="_TOC_250007">
            <w:r>
              <w:rPr/>
              <w:t>第四节</w:t>
            </w:r>
            <w:r>
              <w:rPr>
                <w:spacing w:val="33"/>
              </w:rPr>
              <w:t> </w:t>
            </w:r>
            <w:r>
              <w:rPr/>
              <w:t>管理层讨论与分析</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26</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6">
            <w:r>
              <w:rPr/>
              <w:t>第五节</w:t>
            </w:r>
            <w:r>
              <w:rPr>
                <w:spacing w:val="33"/>
              </w:rPr>
              <w:t> </w:t>
            </w:r>
            <w:r>
              <w:rPr/>
              <w:t>重要事项</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39</w:t>
            </w:r>
            <w:r>
              <w:rPr>
                <w:rFonts w:ascii="Times New Roman" w:hAnsi="Times New Roman" w:cs="Times New Roman" w:eastAsia="Times New Roman" w:hint="default"/>
                <w:b w:val="0"/>
                <w:bCs w:val="0"/>
              </w:rPr>
            </w:r>
          </w:hyperlink>
        </w:p>
        <w:p>
          <w:pPr>
            <w:pStyle w:val="TOC1"/>
            <w:tabs>
              <w:tab w:pos="9781" w:val="right" w:leader="dot"/>
            </w:tabs>
            <w:spacing w:line="240" w:lineRule="auto" w:before="129"/>
            <w:ind w:right="0"/>
            <w:jc w:val="left"/>
            <w:rPr>
              <w:rFonts w:ascii="Times New Roman" w:hAnsi="Times New Roman" w:cs="Times New Roman" w:eastAsia="Times New Roman" w:hint="default"/>
              <w:b w:val="0"/>
              <w:bCs w:val="0"/>
            </w:rPr>
          </w:pPr>
          <w:hyperlink w:history="true" w:anchor="_TOC_250005">
            <w:r>
              <w:rPr/>
              <w:t>第六节</w:t>
            </w:r>
            <w:r>
              <w:rPr>
                <w:spacing w:val="33"/>
              </w:rPr>
              <w:t> </w:t>
            </w:r>
            <w:r>
              <w:rPr/>
              <w:t>股份变动及股东情况</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45</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4">
            <w:r>
              <w:rPr/>
              <w:t>第七节</w:t>
            </w:r>
            <w:r>
              <w:rPr>
                <w:spacing w:val="33"/>
              </w:rPr>
              <w:t> </w:t>
            </w:r>
            <w:r>
              <w:rPr/>
              <w:t>优先股相关情况</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45</w:t>
            </w:r>
            <w:r>
              <w:rPr>
                <w:rFonts w:ascii="Times New Roman" w:hAnsi="Times New Roman" w:cs="Times New Roman" w:eastAsia="Times New Roman" w:hint="default"/>
                <w:b w:val="0"/>
                <w:bCs w:val="0"/>
              </w:rPr>
            </w:r>
          </w:hyperlink>
        </w:p>
        <w:p>
          <w:pPr>
            <w:pStyle w:val="TOC1"/>
            <w:tabs>
              <w:tab w:pos="9781" w:val="right" w:leader="dot"/>
            </w:tabs>
            <w:spacing w:line="240" w:lineRule="auto" w:before="129"/>
            <w:ind w:right="0"/>
            <w:jc w:val="left"/>
            <w:rPr>
              <w:rFonts w:ascii="Times New Roman" w:hAnsi="Times New Roman" w:cs="Times New Roman" w:eastAsia="Times New Roman" w:hint="default"/>
              <w:b w:val="0"/>
              <w:bCs w:val="0"/>
            </w:rPr>
          </w:pPr>
          <w:hyperlink w:history="true" w:anchor="_TOC_250003">
            <w:r>
              <w:rPr/>
              <w:t>第八节</w:t>
            </w:r>
            <w:r>
              <w:rPr>
                <w:spacing w:val="33"/>
              </w:rPr>
              <w:t> </w:t>
            </w:r>
            <w:r>
              <w:rPr/>
              <w:t>董事、监事、高级管理人员和员工情况</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46</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2">
            <w:r>
              <w:rPr/>
              <w:t>第九节</w:t>
            </w:r>
            <w:r>
              <w:rPr>
                <w:spacing w:val="33"/>
              </w:rPr>
              <w:t> </w:t>
            </w:r>
            <w:r>
              <w:rPr/>
              <w:t>公司治理</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54</w:t>
            </w:r>
            <w:r>
              <w:rPr>
                <w:rFonts w:ascii="Times New Roman" w:hAnsi="Times New Roman" w:cs="Times New Roman" w:eastAsia="Times New Roman" w:hint="default"/>
                <w:b w:val="0"/>
                <w:bCs w:val="0"/>
              </w:rPr>
            </w:r>
          </w:hyperlink>
        </w:p>
        <w:p>
          <w:pPr>
            <w:pStyle w:val="TOC1"/>
            <w:tabs>
              <w:tab w:pos="9781" w:val="right" w:leader="dot"/>
            </w:tabs>
            <w:spacing w:line="240" w:lineRule="auto" w:before="129"/>
            <w:ind w:right="0"/>
            <w:jc w:val="left"/>
            <w:rPr>
              <w:rFonts w:ascii="Times New Roman" w:hAnsi="Times New Roman" w:cs="Times New Roman" w:eastAsia="Times New Roman" w:hint="default"/>
              <w:b w:val="0"/>
              <w:bCs w:val="0"/>
            </w:rPr>
          </w:pPr>
          <w:hyperlink w:history="true" w:anchor="_TOC_250001">
            <w:r>
              <w:rPr/>
              <w:t>第十节</w:t>
            </w:r>
            <w:r>
              <w:rPr>
                <w:spacing w:val="33"/>
              </w:rPr>
              <w:t> </w:t>
            </w:r>
            <w:r>
              <w:rPr/>
              <w:t>财务报告</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59</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0">
            <w:r>
              <w:rPr/>
              <w:t>第十一节</w:t>
            </w:r>
            <w:r>
              <w:rPr>
                <w:spacing w:val="33"/>
              </w:rPr>
              <w:t> </w:t>
            </w:r>
            <w:r>
              <w:rPr/>
              <w:t>备查文件目录</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176</w:t>
            </w:r>
            <w:r>
              <w:rPr>
                <w:rFonts w:ascii="Times New Roman" w:hAnsi="Times New Roman" w:cs="Times New Roman" w:eastAsia="Times New Roman" w:hint="default"/>
                <w:b w:val="0"/>
                <w:bCs w:val="0"/>
              </w:rPr>
            </w:r>
          </w:hyperlink>
        </w:p>
        <w:p>
          <w:pPr/>
          <w:r>
            <w:fldChar w:fldCharType="end"/>
          </w:r>
        </w:p>
      </w:sdtContent>
    </w:sdt>
    <w:p>
      <w:pPr>
        <w:spacing w:after="0"/>
        <w:sectPr>
          <w:pgSz w:w="11900" w:h="16840"/>
          <w:pgMar w:header="742" w:footer="984" w:top="1060" w:bottom="1180" w:left="980" w:right="980"/>
        </w:sectPr>
      </w:pPr>
    </w:p>
    <w:p>
      <w:pPr>
        <w:spacing w:before="852"/>
        <w:ind w:left="3422" w:right="3425" w:firstLine="0"/>
        <w:jc w:val="center"/>
        <w:rPr>
          <w:rFonts w:ascii="Microsoft JhengHei" w:hAnsi="Microsoft JhengHei" w:cs="Microsoft JhengHei" w:eastAsia="Microsoft JhengHei" w:hint="default"/>
          <w:sz w:val="32"/>
          <w:szCs w:val="32"/>
        </w:rPr>
      </w:pPr>
      <w:r>
        <w:rPr>
          <w:rFonts w:ascii="Microsoft JhengHei" w:hAnsi="Microsoft JhengHei" w:cs="Microsoft JhengHei" w:eastAsia="Microsoft JhengHei" w:hint="default"/>
          <w:b/>
          <w:bCs/>
          <w:sz w:val="32"/>
          <w:szCs w:val="32"/>
        </w:rPr>
        <w:t>释义</w:t>
      </w:r>
      <w:r>
        <w:rPr>
          <w:rFonts w:ascii="Microsoft JhengHei" w:hAnsi="Microsoft JhengHei" w:cs="Microsoft JhengHei" w:eastAsia="Microsoft JhengHei" w:hint="default"/>
          <w:sz w:val="32"/>
          <w:szCs w:val="32"/>
        </w:rPr>
      </w:r>
    </w:p>
    <w:p>
      <w:pPr>
        <w:spacing w:line="240" w:lineRule="auto" w:before="0"/>
        <w:rPr>
          <w:rFonts w:ascii="Microsoft JhengHei" w:hAnsi="Microsoft JhengHei" w:cs="Microsoft JhengHei" w:eastAsia="Microsoft JhengHei" w:hint="default"/>
          <w:b/>
          <w:bCs/>
          <w:sz w:val="20"/>
          <w:szCs w:val="20"/>
        </w:rPr>
      </w:pPr>
    </w:p>
    <w:p>
      <w:pPr>
        <w:spacing w:line="240" w:lineRule="auto" w:before="11"/>
        <w:rPr>
          <w:rFonts w:ascii="Microsoft JhengHei" w:hAnsi="Microsoft JhengHei" w:cs="Microsoft JhengHei" w:eastAsia="Microsoft JhengHei" w:hint="default"/>
          <w:b/>
          <w:bCs/>
          <w:sz w:val="26"/>
          <w:szCs w:val="26"/>
        </w:rPr>
      </w:pPr>
    </w:p>
    <w:tbl>
      <w:tblPr>
        <w:tblW w:w="0" w:type="auto"/>
        <w:jc w:val="left"/>
        <w:tblInd w:w="148" w:type="dxa"/>
        <w:tblLayout w:type="fixed"/>
        <w:tblCellMar>
          <w:top w:w="0" w:type="dxa"/>
          <w:left w:w="0" w:type="dxa"/>
          <w:bottom w:w="0" w:type="dxa"/>
          <w:right w:w="0" w:type="dxa"/>
        </w:tblCellMar>
        <w:tblLook w:val="01E0"/>
      </w:tblPr>
      <w:tblGrid>
        <w:gridCol w:w="3535"/>
        <w:gridCol w:w="600"/>
        <w:gridCol w:w="5436"/>
      </w:tblGrid>
      <w:tr>
        <w:trPr>
          <w:trHeight w:val="403" w:hRule="exact"/>
        </w:trPr>
        <w:tc>
          <w:tcPr>
            <w:tcW w:w="35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4"/>
              <w:jc w:val="center"/>
              <w:rPr>
                <w:rFonts w:ascii="宋体" w:hAnsi="宋体" w:cs="宋体" w:eastAsia="宋体" w:hint="default"/>
                <w:sz w:val="18"/>
                <w:szCs w:val="18"/>
              </w:rPr>
            </w:pPr>
            <w:r>
              <w:rPr>
                <w:rFonts w:ascii="宋体" w:hAnsi="宋体" w:cs="宋体" w:eastAsia="宋体" w:hint="default"/>
                <w:sz w:val="18"/>
                <w:szCs w:val="18"/>
              </w:rPr>
              <w:t>释义项</w:t>
            </w:r>
          </w:p>
        </w:tc>
        <w:tc>
          <w:tcPr>
            <w:tcW w:w="6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403" w:hRule="exact"/>
        </w:trPr>
        <w:tc>
          <w:tcPr>
            <w:tcW w:w="3535"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报告期</w:t>
            </w:r>
          </w:p>
        </w:tc>
        <w:tc>
          <w:tcPr>
            <w:tcW w:w="6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 </w:t>
            </w:r>
            <w:r>
              <w:rPr>
                <w:rFonts w:ascii="Times New Roman" w:hAnsi="Times New Roman" w:cs="Times New Roman" w:eastAsia="Times New Roman" w:hint="default"/>
                <w:sz w:val="18"/>
                <w:szCs w:val="18"/>
              </w:rPr>
              <w:t>1  </w:t>
            </w:r>
            <w:r>
              <w:rPr>
                <w:rFonts w:ascii="宋体" w:hAnsi="宋体" w:cs="宋体" w:eastAsia="宋体" w:hint="default"/>
                <w:sz w:val="18"/>
                <w:szCs w:val="18"/>
              </w:rPr>
              <w:t>月 </w:t>
            </w:r>
            <w:r>
              <w:rPr>
                <w:rFonts w:ascii="Times New Roman" w:hAnsi="Times New Roman" w:cs="Times New Roman" w:eastAsia="Times New Roman" w:hint="default"/>
                <w:sz w:val="18"/>
                <w:szCs w:val="18"/>
              </w:rPr>
              <w:t>1  </w:t>
            </w:r>
            <w:r>
              <w:rPr>
                <w:rFonts w:ascii="宋体" w:hAnsi="宋体" w:cs="宋体" w:eastAsia="宋体" w:hint="default"/>
                <w:sz w:val="18"/>
                <w:szCs w:val="18"/>
              </w:rPr>
              <w:t>日</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 </w:t>
            </w:r>
            <w:r>
              <w:rPr>
                <w:rFonts w:ascii="Times New Roman" w:hAnsi="Times New Roman" w:cs="Times New Roman" w:eastAsia="Times New Roman" w:hint="default"/>
                <w:spacing w:val="-3"/>
                <w:sz w:val="18"/>
                <w:szCs w:val="18"/>
              </w:rPr>
              <w:t>12  </w:t>
            </w:r>
            <w:r>
              <w:rPr>
                <w:rFonts w:ascii="宋体" w:hAnsi="宋体" w:cs="宋体" w:eastAsia="宋体" w:hint="default"/>
                <w:sz w:val="18"/>
                <w:szCs w:val="18"/>
              </w:rPr>
              <w:t>月 </w:t>
            </w:r>
            <w:r>
              <w:rPr>
                <w:rFonts w:ascii="Times New Roman" w:hAnsi="Times New Roman" w:cs="Times New Roman" w:eastAsia="Times New Roman" w:hint="default"/>
                <w:sz w:val="18"/>
                <w:szCs w:val="18"/>
              </w:rPr>
              <w:t>31 </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日</w:t>
            </w:r>
          </w:p>
        </w:tc>
      </w:tr>
      <w:tr>
        <w:trPr>
          <w:trHeight w:val="398" w:hRule="exact"/>
        </w:trPr>
        <w:tc>
          <w:tcPr>
            <w:tcW w:w="3535"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公司或本公司</w:t>
            </w:r>
          </w:p>
        </w:tc>
        <w:tc>
          <w:tcPr>
            <w:tcW w:w="6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鸿博股份有限公司</w:t>
            </w:r>
          </w:p>
        </w:tc>
      </w:tr>
      <w:tr>
        <w:trPr>
          <w:trHeight w:val="403" w:hRule="exact"/>
        </w:trPr>
        <w:tc>
          <w:tcPr>
            <w:tcW w:w="3535"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集团或本集团</w:t>
            </w:r>
          </w:p>
        </w:tc>
        <w:tc>
          <w:tcPr>
            <w:tcW w:w="6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pacing w:val="-3"/>
                <w:sz w:val="18"/>
                <w:szCs w:val="18"/>
              </w:rPr>
              <w:t>鸿博股份有限公司及其子（分）公司</w:t>
            </w:r>
          </w:p>
        </w:tc>
      </w:tr>
      <w:tr>
        <w:trPr>
          <w:trHeight w:val="403" w:hRule="exact"/>
        </w:trPr>
        <w:tc>
          <w:tcPr>
            <w:tcW w:w="3535"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元、万元</w:t>
            </w:r>
          </w:p>
        </w:tc>
        <w:tc>
          <w:tcPr>
            <w:tcW w:w="6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人民币元、人民币万元</w:t>
            </w:r>
          </w:p>
        </w:tc>
      </w:tr>
      <w:tr>
        <w:trPr>
          <w:trHeight w:val="403" w:hRule="exact"/>
        </w:trPr>
        <w:tc>
          <w:tcPr>
            <w:tcW w:w="3535"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鸿博昊天</w:t>
            </w:r>
          </w:p>
        </w:tc>
        <w:tc>
          <w:tcPr>
            <w:tcW w:w="6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pacing w:val="-3"/>
                <w:sz w:val="18"/>
                <w:szCs w:val="18"/>
              </w:rPr>
              <w:t>子公司</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鸿博昊天科技有限公司</w:t>
            </w:r>
          </w:p>
        </w:tc>
      </w:tr>
      <w:tr>
        <w:trPr>
          <w:trHeight w:val="398" w:hRule="exact"/>
        </w:trPr>
        <w:tc>
          <w:tcPr>
            <w:tcW w:w="3535"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昊天国彩</w:t>
            </w:r>
          </w:p>
        </w:tc>
        <w:tc>
          <w:tcPr>
            <w:tcW w:w="6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pacing w:val="-3"/>
                <w:sz w:val="18"/>
                <w:szCs w:val="18"/>
              </w:rPr>
              <w:t>孙公司</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北京昊天国彩印刷有限公司</w:t>
            </w:r>
          </w:p>
        </w:tc>
      </w:tr>
      <w:tr>
        <w:trPr>
          <w:trHeight w:val="403" w:hRule="exact"/>
        </w:trPr>
        <w:tc>
          <w:tcPr>
            <w:tcW w:w="3535"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四川鸿海</w:t>
            </w:r>
          </w:p>
        </w:tc>
        <w:tc>
          <w:tcPr>
            <w:tcW w:w="6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pacing w:val="-3"/>
                <w:sz w:val="18"/>
                <w:szCs w:val="18"/>
              </w:rPr>
              <w:t>孙公司</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四川鸿海印务有限公司</w:t>
            </w:r>
          </w:p>
        </w:tc>
      </w:tr>
      <w:tr>
        <w:trPr>
          <w:trHeight w:val="403" w:hRule="exact"/>
        </w:trPr>
        <w:tc>
          <w:tcPr>
            <w:tcW w:w="3535"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鸿博数网</w:t>
            </w:r>
          </w:p>
        </w:tc>
        <w:tc>
          <w:tcPr>
            <w:tcW w:w="6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pacing w:val="-3"/>
                <w:sz w:val="18"/>
                <w:szCs w:val="18"/>
              </w:rPr>
              <w:t>子公司</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鸿博（福建）数据网络科技股份有限公司</w:t>
            </w:r>
          </w:p>
        </w:tc>
      </w:tr>
      <w:tr>
        <w:trPr>
          <w:trHeight w:val="403" w:hRule="exact"/>
        </w:trPr>
        <w:tc>
          <w:tcPr>
            <w:tcW w:w="3535"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鸿博致远</w:t>
            </w:r>
          </w:p>
        </w:tc>
        <w:tc>
          <w:tcPr>
            <w:tcW w:w="6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pacing w:val="-3"/>
                <w:sz w:val="18"/>
                <w:szCs w:val="18"/>
              </w:rPr>
              <w:t>子公司</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福建鸿博致远信息科技有限公司</w:t>
            </w:r>
          </w:p>
        </w:tc>
      </w:tr>
      <w:tr>
        <w:trPr>
          <w:trHeight w:val="398" w:hRule="exact"/>
        </w:trPr>
        <w:tc>
          <w:tcPr>
            <w:tcW w:w="3535"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重庆鸿海</w:t>
            </w:r>
          </w:p>
        </w:tc>
        <w:tc>
          <w:tcPr>
            <w:tcW w:w="6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pacing w:val="-3"/>
                <w:sz w:val="18"/>
                <w:szCs w:val="18"/>
              </w:rPr>
              <w:t>子公司</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重庆市鸿海印务有限公司</w:t>
            </w:r>
          </w:p>
        </w:tc>
      </w:tr>
      <w:tr>
        <w:trPr>
          <w:trHeight w:val="403" w:hRule="exact"/>
        </w:trPr>
        <w:tc>
          <w:tcPr>
            <w:tcW w:w="3535"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无锡双龙</w:t>
            </w:r>
          </w:p>
        </w:tc>
        <w:tc>
          <w:tcPr>
            <w:tcW w:w="6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pacing w:val="-3"/>
                <w:sz w:val="18"/>
                <w:szCs w:val="18"/>
              </w:rPr>
              <w:t>控股子公司</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无锡双龙信息纸有限公司</w:t>
            </w:r>
          </w:p>
        </w:tc>
      </w:tr>
      <w:tr>
        <w:trPr>
          <w:trHeight w:val="403" w:hRule="exact"/>
        </w:trPr>
        <w:tc>
          <w:tcPr>
            <w:tcW w:w="3535"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正栋厂</w:t>
            </w:r>
          </w:p>
        </w:tc>
        <w:tc>
          <w:tcPr>
            <w:tcW w:w="6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pacing w:val="-3"/>
                <w:sz w:val="18"/>
                <w:szCs w:val="18"/>
              </w:rPr>
              <w:t>无锡双龙信息纸有限公司股东</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无锡市正栋电脑纸品厂</w:t>
            </w:r>
          </w:p>
        </w:tc>
      </w:tr>
      <w:tr>
        <w:trPr>
          <w:trHeight w:val="403" w:hRule="exact"/>
        </w:trPr>
        <w:tc>
          <w:tcPr>
            <w:tcW w:w="3535"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广州彩创</w:t>
            </w:r>
          </w:p>
        </w:tc>
        <w:tc>
          <w:tcPr>
            <w:tcW w:w="6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pacing w:val="-3"/>
                <w:sz w:val="18"/>
                <w:szCs w:val="18"/>
              </w:rPr>
              <w:t>子公司</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广州彩创网络技术有限公司</w:t>
            </w:r>
          </w:p>
        </w:tc>
      </w:tr>
      <w:tr>
        <w:trPr>
          <w:trHeight w:val="398" w:hRule="exact"/>
        </w:trPr>
        <w:tc>
          <w:tcPr>
            <w:tcW w:w="3535"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港龙贸易</w:t>
            </w:r>
          </w:p>
        </w:tc>
        <w:tc>
          <w:tcPr>
            <w:tcW w:w="6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pacing w:val="-3"/>
                <w:sz w:val="18"/>
                <w:szCs w:val="18"/>
              </w:rPr>
              <w:t>子公司</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福州港龙贸易有限公司</w:t>
            </w:r>
          </w:p>
        </w:tc>
      </w:tr>
      <w:tr>
        <w:trPr>
          <w:trHeight w:val="403" w:hRule="exact"/>
        </w:trPr>
        <w:tc>
          <w:tcPr>
            <w:tcW w:w="3535"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中科彩</w:t>
            </w:r>
          </w:p>
        </w:tc>
        <w:tc>
          <w:tcPr>
            <w:tcW w:w="6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pacing w:val="-3"/>
                <w:sz w:val="18"/>
                <w:szCs w:val="18"/>
              </w:rPr>
              <w:t>孙公司</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北京中科彩技术有限公司</w:t>
            </w:r>
          </w:p>
        </w:tc>
      </w:tr>
      <w:tr>
        <w:trPr>
          <w:trHeight w:val="403" w:hRule="exact"/>
        </w:trPr>
        <w:tc>
          <w:tcPr>
            <w:tcW w:w="3535"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科信盛彩</w:t>
            </w:r>
          </w:p>
        </w:tc>
        <w:tc>
          <w:tcPr>
            <w:tcW w:w="6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w w:val="101"/>
                <w:sz w:val="18"/>
                <w:szCs w:val="18"/>
              </w:rPr>
              <w:t>指</w:t>
            </w:r>
            <w:r>
              <w:rPr>
                <w:rFonts w:ascii="宋体" w:hAnsi="宋体" w:cs="宋体" w:eastAsia="宋体" w:hint="default"/>
                <w:sz w:val="18"/>
                <w:szCs w:val="18"/>
              </w:rPr>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pacing w:val="-3"/>
                <w:sz w:val="18"/>
                <w:szCs w:val="18"/>
              </w:rPr>
              <w:t>子公司</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北京科信盛彩投资有限公司</w:t>
            </w:r>
          </w:p>
        </w:tc>
      </w:tr>
    </w:tbl>
    <w:p>
      <w:pPr>
        <w:spacing w:after="0" w:line="240" w:lineRule="auto"/>
        <w:jc w:val="left"/>
        <w:rPr>
          <w:rFonts w:ascii="宋体" w:hAnsi="宋体" w:cs="宋体" w:eastAsia="宋体" w:hint="default"/>
          <w:sz w:val="18"/>
          <w:szCs w:val="18"/>
        </w:rPr>
        <w:sectPr>
          <w:pgSz w:w="11900" w:h="16840"/>
          <w:pgMar w:header="742" w:footer="984" w:top="1060" w:bottom="1180" w:left="980" w:right="980"/>
        </w:sectPr>
      </w:pPr>
    </w:p>
    <w:p>
      <w:pPr>
        <w:spacing w:line="240" w:lineRule="auto" w:before="0"/>
        <w:rPr>
          <w:rFonts w:ascii="Microsoft JhengHei" w:hAnsi="Microsoft JhengHei" w:cs="Microsoft JhengHei" w:eastAsia="Microsoft JhengHei" w:hint="default"/>
          <w:b/>
          <w:bCs/>
          <w:sz w:val="20"/>
          <w:szCs w:val="20"/>
        </w:rPr>
      </w:pPr>
      <w:r>
        <w:rPr/>
        <w:pict>
          <v:group style="position:absolute;margin-left:171.119995pt;margin-top:272.119995pt;width:362.65pt;height:20.9pt;mso-position-horizontal-relative:page;mso-position-vertical-relative:page;z-index:-1069816" coordorigin="3422,5442" coordsize="7253,418">
            <v:group style="position:absolute;left:3434;top:5454;width:2;height:394" coordorigin="3434,5454" coordsize="2,394">
              <v:shape style="position:absolute;left:3434;top:5454;width:2;height:394" coordorigin="3434,5454" coordsize="0,394" path="m3434,5454l3434,5848e" filled="false" stroked="true" strokeweight="1.2pt" strokecolor="#ffffff">
                <v:path arrowok="t"/>
              </v:shape>
            </v:group>
            <v:group style="position:absolute;left:3446;top:5454;width:7229;height:394" coordorigin="3446,5454" coordsize="7229,394">
              <v:shape style="position:absolute;left:3446;top:5454;width:7229;height:394" coordorigin="3446,5454" coordsize="7229,394" path="m3446,5848l10675,5848,10675,5454,3446,5454,3446,5848xe" filled="true" fillcolor="#ffffff" stroked="false">
                <v:path arrowok="t"/>
                <v:fill type="solid"/>
              </v:shape>
            </v:group>
            <w10:wrap type="none"/>
          </v:group>
        </w:pict>
      </w:r>
    </w:p>
    <w:p>
      <w:pPr>
        <w:spacing w:line="240" w:lineRule="auto" w:before="10"/>
        <w:rPr>
          <w:rFonts w:ascii="Microsoft JhengHei" w:hAnsi="Microsoft JhengHei" w:cs="Microsoft JhengHei" w:eastAsia="Microsoft JhengHei" w:hint="default"/>
          <w:b/>
          <w:bCs/>
          <w:sz w:val="25"/>
          <w:szCs w:val="25"/>
        </w:rPr>
      </w:pPr>
    </w:p>
    <w:p>
      <w:pPr>
        <w:pStyle w:val="Heading1"/>
        <w:spacing w:line="458" w:lineRule="exact"/>
        <w:ind w:left="2639" w:right="0"/>
        <w:jc w:val="left"/>
        <w:rPr>
          <w:b w:val="0"/>
          <w:bCs w:val="0"/>
        </w:rPr>
      </w:pPr>
      <w:bookmarkStart w:name="_TOC_250009" w:id="2"/>
      <w:r>
        <w:rPr/>
        <w:t>第二节 </w:t>
      </w:r>
      <w:r>
        <w:rPr>
          <w:spacing w:val="19"/>
        </w:rPr>
        <w:t> </w:t>
      </w:r>
      <w:r>
        <w:rPr/>
        <w:t>公司简介和主要财务指标</w:t>
      </w:r>
      <w:bookmarkEnd w:id="2"/>
      <w:r>
        <w:rPr>
          <w:b w:val="0"/>
          <w:bCs w:val="0"/>
        </w:rPr>
      </w:r>
    </w:p>
    <w:p>
      <w:pPr>
        <w:spacing w:line="240" w:lineRule="auto" w:before="3"/>
        <w:rPr>
          <w:rFonts w:ascii="Microsoft JhengHei" w:hAnsi="Microsoft JhengHei" w:cs="Microsoft JhengHei" w:eastAsia="Microsoft JhengHei" w:hint="default"/>
          <w:b/>
          <w:bCs/>
          <w:sz w:val="25"/>
          <w:szCs w:val="25"/>
        </w:rPr>
      </w:pPr>
    </w:p>
    <w:p>
      <w:pPr>
        <w:pStyle w:val="Heading2"/>
        <w:spacing w:line="367" w:lineRule="exact"/>
        <w:ind w:right="0"/>
        <w:jc w:val="left"/>
        <w:rPr>
          <w:b w:val="0"/>
          <w:bCs w:val="0"/>
        </w:rPr>
      </w:pPr>
      <w:r>
        <w:rPr/>
        <w:t>一、公司信息</w:t>
      </w:r>
      <w:r>
        <w:rPr>
          <w:b w:val="0"/>
          <w:bCs w:val="0"/>
        </w:rPr>
      </w:r>
    </w:p>
    <w:p>
      <w:pPr>
        <w:spacing w:line="240" w:lineRule="auto" w:before="5"/>
        <w:rPr>
          <w:rFonts w:ascii="Microsoft JhengHei" w:hAnsi="Microsoft JhengHei" w:cs="Microsoft JhengHei" w:eastAsia="Microsoft JhengHei" w:hint="default"/>
          <w:b/>
          <w:bCs/>
          <w:sz w:val="18"/>
          <w:szCs w:val="18"/>
        </w:rPr>
      </w:pPr>
    </w:p>
    <w:tbl>
      <w:tblPr>
        <w:tblW w:w="0" w:type="auto"/>
        <w:jc w:val="left"/>
        <w:tblInd w:w="160" w:type="dxa"/>
        <w:tblLayout w:type="fixed"/>
        <w:tblCellMar>
          <w:top w:w="0" w:type="dxa"/>
          <w:left w:w="0" w:type="dxa"/>
          <w:bottom w:w="0" w:type="dxa"/>
          <w:right w:w="0" w:type="dxa"/>
        </w:tblCellMar>
        <w:tblLook w:val="01E0"/>
      </w:tblPr>
      <w:tblGrid>
        <w:gridCol w:w="2261"/>
        <w:gridCol w:w="2976"/>
        <w:gridCol w:w="2134"/>
        <w:gridCol w:w="2189"/>
      </w:tblGrid>
      <w:tr>
        <w:trPr>
          <w:trHeight w:val="398"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76"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鸿博股份</w:t>
            </w:r>
          </w:p>
        </w:tc>
        <w:tc>
          <w:tcPr>
            <w:tcW w:w="2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8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002229</w:t>
            </w:r>
          </w:p>
        </w:tc>
      </w:tr>
      <w:tr>
        <w:trPr>
          <w:trHeight w:val="403"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股票上市证券交易所</w:t>
            </w:r>
          </w:p>
        </w:tc>
        <w:tc>
          <w:tcPr>
            <w:tcW w:w="729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pacing w:val="-3"/>
                <w:sz w:val="18"/>
                <w:szCs w:val="18"/>
              </w:rPr>
              <w:t>深圳证券交易所</w:t>
            </w:r>
          </w:p>
        </w:tc>
      </w:tr>
      <w:tr>
        <w:trPr>
          <w:trHeight w:val="403"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公司的中文名称</w:t>
            </w:r>
          </w:p>
        </w:tc>
        <w:tc>
          <w:tcPr>
            <w:tcW w:w="7298"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鸿博股份有限公司</w:t>
            </w:r>
          </w:p>
        </w:tc>
      </w:tr>
      <w:tr>
        <w:trPr>
          <w:trHeight w:val="403"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公司的中文简称</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53"/>
              <w:ind w:left="28" w:right="0"/>
              <w:jc w:val="left"/>
              <w:rPr>
                <w:rFonts w:ascii="宋体" w:hAnsi="宋体" w:cs="宋体" w:eastAsia="宋体" w:hint="default"/>
                <w:sz w:val="18"/>
                <w:szCs w:val="18"/>
              </w:rPr>
            </w:pPr>
            <w:r>
              <w:rPr>
                <w:rFonts w:ascii="宋体" w:hAnsi="宋体" w:cs="宋体" w:eastAsia="宋体" w:hint="default"/>
                <w:sz w:val="18"/>
                <w:szCs w:val="18"/>
              </w:rPr>
              <w:t>鸿博股份</w:t>
            </w:r>
          </w:p>
        </w:tc>
      </w:tr>
      <w:tr>
        <w:trPr>
          <w:trHeight w:val="398"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公司的外文名称（如有）</w:t>
            </w:r>
          </w:p>
        </w:tc>
        <w:tc>
          <w:tcPr>
            <w:tcW w:w="7298"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HONGBO</w:t>
            </w:r>
            <w:r>
              <w:rPr>
                <w:rFonts w:ascii="Times New Roman"/>
                <w:spacing w:val="12"/>
                <w:sz w:val="18"/>
              </w:rPr>
              <w:t> </w:t>
            </w:r>
            <w:r>
              <w:rPr>
                <w:rFonts w:ascii="Times New Roman"/>
                <w:spacing w:val="-4"/>
                <w:sz w:val="18"/>
              </w:rPr>
              <w:t>CO.,LTD.</w:t>
            </w:r>
          </w:p>
        </w:tc>
      </w:tr>
      <w:tr>
        <w:trPr>
          <w:trHeight w:val="403"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5"/>
                <w:sz w:val="18"/>
                <w:szCs w:val="18"/>
              </w:rPr>
              <w:t>公司的外文名称缩写（如有</w:t>
            </w:r>
          </w:p>
        </w:tc>
        <w:tc>
          <w:tcPr>
            <w:tcW w:w="7298"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82" w:right="0"/>
              <w:jc w:val="left"/>
              <w:rPr>
                <w:rFonts w:ascii="Times New Roman" w:hAnsi="Times New Roman" w:cs="Times New Roman" w:eastAsia="Times New Roman" w:hint="default"/>
                <w:sz w:val="18"/>
                <w:szCs w:val="18"/>
              </w:rPr>
            </w:pPr>
            <w:r>
              <w:rPr>
                <w:rFonts w:ascii="宋体" w:hAnsi="宋体" w:cs="宋体" w:eastAsia="宋体" w:hint="default"/>
                <w:spacing w:val="-77"/>
                <w:w w:val="101"/>
                <w:sz w:val="18"/>
                <w:szCs w:val="18"/>
              </w:rPr>
              <w:t>）</w:t>
            </w:r>
            <w:r>
              <w:rPr>
                <w:rFonts w:ascii="Times New Roman" w:hAnsi="Times New Roman" w:cs="Times New Roman" w:eastAsia="Times New Roman" w:hint="default"/>
                <w:spacing w:val="-2"/>
                <w:w w:val="101"/>
                <w:sz w:val="18"/>
                <w:szCs w:val="18"/>
              </w:rPr>
              <w:t>HONG</w:t>
            </w:r>
            <w:r>
              <w:rPr>
                <w:rFonts w:ascii="Times New Roman" w:hAnsi="Times New Roman" w:cs="Times New Roman" w:eastAsia="Times New Roman" w:hint="default"/>
                <w:spacing w:val="-2"/>
                <w:w w:val="101"/>
                <w:sz w:val="18"/>
                <w:szCs w:val="18"/>
              </w:rPr>
              <w:t>B</w:t>
            </w:r>
            <w:r>
              <w:rPr>
                <w:rFonts w:ascii="Times New Roman" w:hAnsi="Times New Roman" w:cs="Times New Roman" w:eastAsia="Times New Roman" w:hint="default"/>
                <w:w w:val="101"/>
                <w:sz w:val="18"/>
                <w:szCs w:val="18"/>
              </w:rPr>
              <w:t>O</w:t>
            </w:r>
            <w:r>
              <w:rPr>
                <w:rFonts w:ascii="Times New Roman" w:hAnsi="Times New Roman" w:cs="Times New Roman" w:eastAsia="Times New Roman" w:hint="default"/>
                <w:sz w:val="18"/>
                <w:szCs w:val="18"/>
              </w:rPr>
            </w:r>
          </w:p>
        </w:tc>
      </w:tr>
      <w:tr>
        <w:trPr>
          <w:trHeight w:val="403"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98"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尤丽娟</w:t>
            </w:r>
          </w:p>
        </w:tc>
      </w:tr>
      <w:tr>
        <w:trPr>
          <w:trHeight w:val="403"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53"/>
              <w:ind w:left="28" w:right="0"/>
              <w:jc w:val="left"/>
              <w:rPr>
                <w:rFonts w:ascii="宋体" w:hAnsi="宋体" w:cs="宋体" w:eastAsia="宋体" w:hint="default"/>
                <w:sz w:val="18"/>
                <w:szCs w:val="18"/>
              </w:rPr>
            </w:pPr>
            <w:r>
              <w:rPr>
                <w:rFonts w:ascii="宋体" w:hAnsi="宋体" w:cs="宋体" w:eastAsia="宋体" w:hint="default"/>
                <w:spacing w:val="-3"/>
                <w:sz w:val="18"/>
                <w:szCs w:val="18"/>
              </w:rPr>
              <w:t>福建省福州市金山开发区金达路 </w:t>
            </w:r>
            <w:r>
              <w:rPr>
                <w:rFonts w:ascii="Times New Roman" w:hAnsi="Times New Roman" w:cs="Times New Roman" w:eastAsia="Times New Roman" w:hint="default"/>
                <w:sz w:val="18"/>
                <w:szCs w:val="18"/>
              </w:rPr>
              <w:t>136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398"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注册地址的邮政编码</w:t>
            </w:r>
          </w:p>
        </w:tc>
        <w:tc>
          <w:tcPr>
            <w:tcW w:w="7298"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350002</w:t>
            </w:r>
          </w:p>
        </w:tc>
      </w:tr>
      <w:tr>
        <w:trPr>
          <w:trHeight w:val="403"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98"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福建省福州市金山开发区金达路 </w:t>
            </w:r>
            <w:r>
              <w:rPr>
                <w:rFonts w:ascii="Times New Roman" w:hAnsi="Times New Roman" w:cs="Times New Roman" w:eastAsia="Times New Roman" w:hint="default"/>
                <w:sz w:val="18"/>
                <w:szCs w:val="18"/>
              </w:rPr>
              <w:t>136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403"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办公地址的邮政编码</w:t>
            </w:r>
          </w:p>
        </w:tc>
        <w:tc>
          <w:tcPr>
            <w:tcW w:w="7298"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350002</w:t>
            </w:r>
          </w:p>
        </w:tc>
      </w:tr>
      <w:tr>
        <w:trPr>
          <w:trHeight w:val="403"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公司网址</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left="28" w:right="0"/>
              <w:jc w:val="left"/>
              <w:rPr>
                <w:rFonts w:ascii="Times New Roman" w:hAnsi="Times New Roman" w:cs="Times New Roman" w:eastAsia="Times New Roman" w:hint="default"/>
                <w:sz w:val="18"/>
                <w:szCs w:val="18"/>
              </w:rPr>
            </w:pPr>
            <w:hyperlink r:id="rId9">
              <w:r>
                <w:rPr>
                  <w:rFonts w:ascii="Times New Roman"/>
                  <w:spacing w:val="-3"/>
                  <w:sz w:val="18"/>
                </w:rPr>
                <w:t>www.hb-print.com.cn</w:t>
              </w:r>
            </w:hyperlink>
          </w:p>
        </w:tc>
      </w:tr>
      <w:tr>
        <w:trPr>
          <w:trHeight w:val="398"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98"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hyperlink r:id="rId10">
              <w:r>
                <w:rPr>
                  <w:rFonts w:ascii="Times New Roman"/>
                  <w:sz w:val="18"/>
                </w:rPr>
                <w:t>hongbo-printing@hongbo.net.cn</w:t>
              </w:r>
            </w:hyperlink>
          </w:p>
        </w:tc>
      </w:tr>
    </w:tbl>
    <w:p>
      <w:pPr>
        <w:spacing w:line="240" w:lineRule="auto" w:before="5"/>
        <w:rPr>
          <w:rFonts w:ascii="Microsoft JhengHei" w:hAnsi="Microsoft JhengHei" w:cs="Microsoft JhengHei" w:eastAsia="Microsoft JhengHei" w:hint="default"/>
          <w:b/>
          <w:bCs/>
          <w:sz w:val="13"/>
          <w:szCs w:val="13"/>
        </w:rPr>
      </w:pPr>
    </w:p>
    <w:p>
      <w:pPr>
        <w:pStyle w:val="Heading2"/>
        <w:spacing w:line="367" w:lineRule="exact"/>
        <w:ind w:right="0"/>
        <w:jc w:val="left"/>
        <w:rPr>
          <w:b w:val="0"/>
          <w:bCs w:val="0"/>
        </w:rPr>
      </w:pPr>
      <w:r>
        <w:rPr/>
        <w:t>二、联系人和联系方式</w:t>
      </w:r>
      <w:r>
        <w:rPr>
          <w:b w:val="0"/>
          <w:bCs w:val="0"/>
        </w:rPr>
      </w:r>
    </w:p>
    <w:p>
      <w:pPr>
        <w:spacing w:line="240" w:lineRule="auto" w:before="5"/>
        <w:rPr>
          <w:rFonts w:ascii="Microsoft JhengHei" w:hAnsi="Microsoft JhengHei" w:cs="Microsoft JhengHei" w:eastAsia="Microsoft JhengHei" w:hint="default"/>
          <w:b/>
          <w:bCs/>
          <w:sz w:val="18"/>
          <w:szCs w:val="18"/>
        </w:rPr>
      </w:pPr>
    </w:p>
    <w:tbl>
      <w:tblPr>
        <w:tblW w:w="0" w:type="auto"/>
        <w:jc w:val="left"/>
        <w:tblInd w:w="160" w:type="dxa"/>
        <w:tblLayout w:type="fixed"/>
        <w:tblCellMar>
          <w:top w:w="0" w:type="dxa"/>
          <w:left w:w="0" w:type="dxa"/>
          <w:bottom w:w="0" w:type="dxa"/>
          <w:right w:w="0" w:type="dxa"/>
        </w:tblCellMar>
        <w:tblLook w:val="01E0"/>
      </w:tblPr>
      <w:tblGrid>
        <w:gridCol w:w="3166"/>
        <w:gridCol w:w="3202"/>
        <w:gridCol w:w="3192"/>
      </w:tblGrid>
      <w:tr>
        <w:trPr>
          <w:trHeight w:val="398"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46"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53"/>
              <w:ind w:left="28" w:right="0"/>
              <w:jc w:val="left"/>
              <w:rPr>
                <w:rFonts w:ascii="宋体" w:hAnsi="宋体" w:cs="宋体" w:eastAsia="宋体" w:hint="default"/>
                <w:sz w:val="18"/>
                <w:szCs w:val="18"/>
              </w:rPr>
            </w:pPr>
            <w:r>
              <w:rPr>
                <w:rFonts w:ascii="宋体" w:hAnsi="宋体" w:cs="宋体" w:eastAsia="宋体" w:hint="default"/>
                <w:sz w:val="18"/>
                <w:szCs w:val="18"/>
              </w:rPr>
              <w:t>李娟</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闫春江</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53"/>
              <w:ind w:left="28" w:right="0"/>
              <w:jc w:val="left"/>
              <w:rPr>
                <w:rFonts w:ascii="宋体" w:hAnsi="宋体" w:cs="宋体" w:eastAsia="宋体" w:hint="default"/>
                <w:sz w:val="18"/>
                <w:szCs w:val="18"/>
              </w:rPr>
            </w:pPr>
            <w:r>
              <w:rPr>
                <w:rFonts w:ascii="宋体" w:hAnsi="宋体" w:cs="宋体" w:eastAsia="宋体" w:hint="default"/>
                <w:spacing w:val="-3"/>
                <w:sz w:val="18"/>
                <w:szCs w:val="18"/>
              </w:rPr>
              <w:t>福建省福州市金山开发区金达路 </w:t>
            </w:r>
            <w:r>
              <w:rPr>
                <w:rFonts w:ascii="Times New Roman" w:hAnsi="Times New Roman" w:cs="Times New Roman" w:eastAsia="Times New Roman" w:hint="default"/>
                <w:sz w:val="18"/>
                <w:szCs w:val="18"/>
              </w:rPr>
              <w:t>136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福建省福州市金山开发区金达路 </w:t>
            </w:r>
            <w:r>
              <w:rPr>
                <w:rFonts w:ascii="Times New Roman" w:hAnsi="Times New Roman" w:cs="Times New Roman" w:eastAsia="Times New Roman" w:hint="default"/>
                <w:sz w:val="18"/>
                <w:szCs w:val="18"/>
              </w:rPr>
              <w:t>136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left="28" w:right="0"/>
              <w:jc w:val="left"/>
              <w:rPr>
                <w:rFonts w:ascii="Times New Roman" w:hAnsi="Times New Roman" w:cs="Times New Roman" w:eastAsia="Times New Roman" w:hint="default"/>
                <w:sz w:val="18"/>
                <w:szCs w:val="18"/>
              </w:rPr>
            </w:pPr>
            <w:r>
              <w:rPr>
                <w:rFonts w:ascii="Times New Roman"/>
                <w:sz w:val="18"/>
              </w:rPr>
              <w:t>0591-88070028</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0591-88070028</w:t>
            </w:r>
          </w:p>
        </w:tc>
      </w:tr>
      <w:tr>
        <w:trPr>
          <w:trHeight w:val="398"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left="28" w:right="0"/>
              <w:jc w:val="left"/>
              <w:rPr>
                <w:rFonts w:ascii="Times New Roman" w:hAnsi="Times New Roman" w:cs="Times New Roman" w:eastAsia="Times New Roman" w:hint="default"/>
                <w:sz w:val="18"/>
                <w:szCs w:val="18"/>
              </w:rPr>
            </w:pPr>
            <w:r>
              <w:rPr>
                <w:rFonts w:ascii="Times New Roman"/>
                <w:sz w:val="18"/>
              </w:rPr>
              <w:t>0591-83840666</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0591-83840666</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left="28" w:right="0"/>
              <w:jc w:val="left"/>
              <w:rPr>
                <w:rFonts w:ascii="Times New Roman" w:hAnsi="Times New Roman" w:cs="Times New Roman" w:eastAsia="Times New Roman" w:hint="default"/>
                <w:sz w:val="18"/>
                <w:szCs w:val="18"/>
              </w:rPr>
            </w:pPr>
            <w:hyperlink r:id="rId10">
              <w:r>
                <w:rPr>
                  <w:rFonts w:ascii="Times New Roman"/>
                  <w:sz w:val="18"/>
                </w:rPr>
                <w:t>hongbo-printing@hongbo.net.cn</w:t>
              </w:r>
            </w:hyperlink>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hyperlink r:id="rId10">
              <w:r>
                <w:rPr>
                  <w:rFonts w:ascii="Times New Roman"/>
                  <w:sz w:val="18"/>
                </w:rPr>
                <w:t>hongbo-printing@hongbo.net.cn</w:t>
              </w:r>
            </w:hyperlink>
          </w:p>
        </w:tc>
      </w:tr>
    </w:tbl>
    <w:p>
      <w:pPr>
        <w:spacing w:line="240" w:lineRule="auto" w:before="5"/>
        <w:rPr>
          <w:rFonts w:ascii="Microsoft JhengHei" w:hAnsi="Microsoft JhengHei" w:cs="Microsoft JhengHei" w:eastAsia="Microsoft JhengHei" w:hint="default"/>
          <w:b/>
          <w:bCs/>
          <w:sz w:val="13"/>
          <w:szCs w:val="13"/>
        </w:rPr>
      </w:pPr>
    </w:p>
    <w:p>
      <w:pPr>
        <w:pStyle w:val="Heading2"/>
        <w:spacing w:line="367" w:lineRule="exact"/>
        <w:ind w:right="0"/>
        <w:jc w:val="left"/>
        <w:rPr>
          <w:b w:val="0"/>
          <w:bCs w:val="0"/>
        </w:rPr>
      </w:pPr>
      <w:r>
        <w:rPr/>
        <w:t>三、信息披露及备置地点</w:t>
      </w:r>
      <w:r>
        <w:rPr>
          <w:b w:val="0"/>
          <w:bCs w:val="0"/>
        </w:rPr>
      </w:r>
    </w:p>
    <w:p>
      <w:pPr>
        <w:spacing w:line="240" w:lineRule="auto" w:before="5"/>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3994"/>
        <w:gridCol w:w="5573"/>
      </w:tblGrid>
      <w:tr>
        <w:trPr>
          <w:trHeight w:val="398" w:hRule="exact"/>
        </w:trPr>
        <w:tc>
          <w:tcPr>
            <w:tcW w:w="3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公司选定的信息披露媒体的名称</w:t>
            </w:r>
          </w:p>
        </w:tc>
        <w:tc>
          <w:tcPr>
            <w:tcW w:w="5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403" w:hRule="exact"/>
        </w:trPr>
        <w:tc>
          <w:tcPr>
            <w:tcW w:w="3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登载年度报告的中国证监会指定网站的网址</w:t>
            </w:r>
          </w:p>
        </w:tc>
        <w:tc>
          <w:tcPr>
            <w:tcW w:w="5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hyperlink r:id="rId11">
              <w:r>
                <w:rPr>
                  <w:rFonts w:ascii="Times New Roman"/>
                  <w:spacing w:val="-3"/>
                  <w:sz w:val="18"/>
                </w:rPr>
                <w:t>www.cninfo.com.cn</w:t>
              </w:r>
            </w:hyperlink>
          </w:p>
        </w:tc>
      </w:tr>
      <w:tr>
        <w:trPr>
          <w:trHeight w:val="403" w:hRule="exact"/>
        </w:trPr>
        <w:tc>
          <w:tcPr>
            <w:tcW w:w="3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福建省福州市金山开发区金达路 </w:t>
            </w:r>
            <w:r>
              <w:rPr>
                <w:rFonts w:ascii="Times New Roman" w:hAnsi="Times New Roman" w:cs="Times New Roman" w:eastAsia="Times New Roman" w:hint="default"/>
                <w:sz w:val="18"/>
                <w:szCs w:val="18"/>
              </w:rPr>
              <w:t>136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号公司证券部</w:t>
            </w:r>
          </w:p>
        </w:tc>
      </w:tr>
    </w:tbl>
    <w:p>
      <w:pPr>
        <w:spacing w:after="0" w:line="240" w:lineRule="auto"/>
        <w:jc w:val="left"/>
        <w:rPr>
          <w:rFonts w:ascii="宋体" w:hAnsi="宋体" w:cs="宋体" w:eastAsia="宋体" w:hint="default"/>
          <w:sz w:val="18"/>
          <w:szCs w:val="18"/>
        </w:rPr>
        <w:sectPr>
          <w:pgSz w:w="11900" w:h="16840"/>
          <w:pgMar w:header="742" w:footer="984" w:top="1060" w:bottom="1180" w:left="980" w:right="980"/>
        </w:sectPr>
      </w:pPr>
    </w:p>
    <w:p>
      <w:pPr>
        <w:spacing w:line="240" w:lineRule="auto" w:before="15"/>
        <w:rPr>
          <w:rFonts w:ascii="Microsoft JhengHei" w:hAnsi="Microsoft JhengHei" w:cs="Microsoft JhengHei" w:eastAsia="Microsoft JhengHei" w:hint="default"/>
          <w:b/>
          <w:bCs/>
          <w:sz w:val="17"/>
          <w:szCs w:val="17"/>
        </w:rPr>
      </w:pPr>
    </w:p>
    <w:p>
      <w:pPr>
        <w:pStyle w:val="Heading2"/>
        <w:spacing w:line="367" w:lineRule="exact"/>
        <w:ind w:right="0"/>
        <w:jc w:val="left"/>
        <w:rPr>
          <w:b w:val="0"/>
          <w:bCs w:val="0"/>
        </w:rPr>
      </w:pPr>
      <w:r>
        <w:rPr/>
        <w:t>四、注册变更情况</w:t>
      </w:r>
      <w:r>
        <w:rPr>
          <w:b w:val="0"/>
          <w:bCs w:val="0"/>
        </w:rPr>
      </w:r>
    </w:p>
    <w:p>
      <w:pPr>
        <w:spacing w:line="240" w:lineRule="auto" w:before="0"/>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3192"/>
        <w:gridCol w:w="6374"/>
      </w:tblGrid>
      <w:tr>
        <w:trPr>
          <w:trHeight w:val="403"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6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9" w:right="0"/>
              <w:jc w:val="left"/>
              <w:rPr>
                <w:rFonts w:ascii="Times New Roman" w:hAnsi="Times New Roman" w:cs="Times New Roman" w:eastAsia="Times New Roman" w:hint="default"/>
                <w:sz w:val="18"/>
                <w:szCs w:val="18"/>
              </w:rPr>
            </w:pPr>
            <w:r>
              <w:rPr>
                <w:rFonts w:ascii="Times New Roman"/>
                <w:sz w:val="18"/>
              </w:rPr>
              <w:t>70510163-7</w:t>
            </w:r>
          </w:p>
        </w:tc>
      </w:tr>
      <w:tr>
        <w:trPr>
          <w:trHeight w:val="710"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94"/>
              <w:jc w:val="left"/>
              <w:rPr>
                <w:rFonts w:ascii="宋体" w:hAnsi="宋体" w:cs="宋体" w:eastAsia="宋体" w:hint="default"/>
                <w:sz w:val="18"/>
                <w:szCs w:val="18"/>
              </w:rPr>
            </w:pPr>
            <w:r>
              <w:rPr>
                <w:rFonts w:ascii="宋体" w:hAnsi="宋体" w:cs="宋体" w:eastAsia="宋体" w:hint="default"/>
                <w:spacing w:val="-3"/>
                <w:sz w:val="18"/>
                <w:szCs w:val="18"/>
              </w:rPr>
              <w:t>公司上市以来主营业务的变化情况（如</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有）</w:t>
            </w:r>
          </w:p>
        </w:tc>
        <w:tc>
          <w:tcPr>
            <w:tcW w:w="6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r>
        <w:trPr>
          <w:trHeight w:val="403"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历次控股股东的变更情况（如有）</w:t>
            </w:r>
          </w:p>
        </w:tc>
        <w:tc>
          <w:tcPr>
            <w:tcW w:w="6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bl>
    <w:p>
      <w:pPr>
        <w:spacing w:line="240" w:lineRule="auto" w:before="5"/>
        <w:rPr>
          <w:rFonts w:ascii="Microsoft JhengHei" w:hAnsi="Microsoft JhengHei" w:cs="Microsoft JhengHei" w:eastAsia="Microsoft JhengHei" w:hint="default"/>
          <w:b/>
          <w:bCs/>
          <w:sz w:val="13"/>
          <w:szCs w:val="13"/>
        </w:rPr>
      </w:pPr>
    </w:p>
    <w:p>
      <w:pPr>
        <w:pStyle w:val="Heading2"/>
        <w:spacing w:line="367" w:lineRule="exact"/>
        <w:ind w:right="0"/>
        <w:jc w:val="left"/>
        <w:rPr>
          <w:b w:val="0"/>
          <w:bCs w:val="0"/>
        </w:rPr>
      </w:pPr>
      <w:r>
        <w:rPr/>
        <w:t>五、其他有关资料</w:t>
      </w:r>
      <w:r>
        <w:rPr>
          <w:b w:val="0"/>
          <w:bCs w:val="0"/>
        </w:rPr>
      </w:r>
    </w:p>
    <w:p>
      <w:pPr>
        <w:spacing w:line="240" w:lineRule="auto" w:before="15"/>
        <w:rPr>
          <w:rFonts w:ascii="Microsoft JhengHei" w:hAnsi="Microsoft JhengHei" w:cs="Microsoft JhengHei" w:eastAsia="Microsoft JhengHei" w:hint="default"/>
          <w:b/>
          <w:bCs/>
          <w:sz w:val="18"/>
          <w:szCs w:val="18"/>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公司聘请的会计师事务所</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652"/>
        <w:gridCol w:w="6914"/>
      </w:tblGrid>
      <w:tr>
        <w:trPr>
          <w:trHeight w:val="398" w:hRule="exact"/>
        </w:trPr>
        <w:tc>
          <w:tcPr>
            <w:tcW w:w="2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致同会计师事务所（特殊普通合伙）</w:t>
            </w:r>
          </w:p>
        </w:tc>
      </w:tr>
      <w:tr>
        <w:trPr>
          <w:trHeight w:val="403" w:hRule="exact"/>
        </w:trPr>
        <w:tc>
          <w:tcPr>
            <w:tcW w:w="2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北京朝阳区建国门外大街 </w:t>
            </w:r>
            <w:r>
              <w:rPr>
                <w:rFonts w:ascii="Times New Roman" w:hAnsi="Times New Roman" w:cs="Times New Roman" w:eastAsia="Times New Roman" w:hint="default"/>
                <w:sz w:val="18"/>
                <w:szCs w:val="18"/>
              </w:rPr>
              <w:t>22  </w:t>
            </w:r>
            <w:r>
              <w:rPr>
                <w:rFonts w:ascii="宋体" w:hAnsi="宋体" w:cs="宋体" w:eastAsia="宋体" w:hint="default"/>
                <w:sz w:val="18"/>
                <w:szCs w:val="18"/>
              </w:rPr>
              <w:t>号赛特广场 </w:t>
            </w:r>
            <w:r>
              <w:rPr>
                <w:rFonts w:ascii="Times New Roman" w:hAnsi="Times New Roman" w:cs="Times New Roman" w:eastAsia="Times New Roman" w:hint="default"/>
                <w:sz w:val="18"/>
                <w:szCs w:val="18"/>
              </w:rPr>
              <w:t>5 </w:t>
            </w:r>
            <w:r>
              <w:rPr>
                <w:rFonts w:ascii="Times New Roman" w:hAnsi="Times New Roman" w:cs="Times New Roman" w:eastAsia="Times New Roman" w:hint="default"/>
                <w:spacing w:val="38"/>
                <w:sz w:val="18"/>
                <w:szCs w:val="18"/>
              </w:rPr>
              <w:t> </w:t>
            </w:r>
            <w:r>
              <w:rPr>
                <w:rFonts w:ascii="宋体" w:hAnsi="宋体" w:cs="宋体" w:eastAsia="宋体" w:hint="default"/>
                <w:sz w:val="18"/>
                <w:szCs w:val="18"/>
              </w:rPr>
              <w:t>层</w:t>
            </w:r>
          </w:p>
        </w:tc>
      </w:tr>
      <w:tr>
        <w:trPr>
          <w:trHeight w:val="403" w:hRule="exact"/>
        </w:trPr>
        <w:tc>
          <w:tcPr>
            <w:tcW w:w="2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签字会计师姓名</w:t>
            </w:r>
          </w:p>
        </w:tc>
        <w:tc>
          <w:tcPr>
            <w:tcW w:w="69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林新田、张孝仲</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公司聘请的报告期内履行持续督导职责的保荐机构</w:t>
      </w:r>
    </w:p>
    <w:p>
      <w:pPr>
        <w:spacing w:line="338" w:lineRule="auto" w:before="119"/>
        <w:ind w:left="152" w:right="528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公司聘请的报告期内履行持续督导职责的财务顾问</w:t>
      </w:r>
    </w:p>
    <w:p>
      <w:pPr>
        <w:spacing w:before="41"/>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line="240" w:lineRule="auto" w:before="6"/>
        <w:rPr>
          <w:rFonts w:ascii="宋体" w:hAnsi="宋体" w:cs="宋体" w:eastAsia="宋体" w:hint="default"/>
          <w:sz w:val="17"/>
          <w:szCs w:val="17"/>
        </w:rPr>
      </w:pPr>
    </w:p>
    <w:p>
      <w:pPr>
        <w:pStyle w:val="Heading2"/>
        <w:spacing w:line="240" w:lineRule="auto"/>
        <w:ind w:right="0"/>
        <w:jc w:val="left"/>
        <w:rPr>
          <w:b w:val="0"/>
          <w:bCs w:val="0"/>
        </w:rPr>
      </w:pPr>
      <w:r>
        <w:rPr/>
        <w:t>六、主要会计数据和财务指标</w:t>
      </w:r>
      <w:r>
        <w:rPr>
          <w:b w:val="0"/>
          <w:bCs w:val="0"/>
        </w:rPr>
      </w:r>
    </w:p>
    <w:p>
      <w:pPr>
        <w:spacing w:line="240" w:lineRule="auto" w:before="3"/>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公司是否因会计政策变更及会计差错更正等追溯调整或重述以前年度会计数据</w:t>
      </w:r>
    </w:p>
    <w:p>
      <w:pPr>
        <w:spacing w:before="115"/>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p>
    <w:p>
      <w:pPr>
        <w:spacing w:line="240" w:lineRule="auto" w:before="7"/>
        <w:rPr>
          <w:rFonts w:ascii="宋体" w:hAnsi="宋体" w:cs="宋体" w:eastAsia="宋体" w:hint="default"/>
          <w:sz w:val="6"/>
          <w:szCs w:val="6"/>
        </w:rPr>
      </w:pPr>
    </w:p>
    <w:tbl>
      <w:tblPr>
        <w:tblW w:w="0" w:type="auto"/>
        <w:jc w:val="left"/>
        <w:tblInd w:w="160" w:type="dxa"/>
        <w:tblLayout w:type="fixed"/>
        <w:tblCellMar>
          <w:top w:w="0" w:type="dxa"/>
          <w:left w:w="0" w:type="dxa"/>
          <w:bottom w:w="0" w:type="dxa"/>
          <w:right w:w="0" w:type="dxa"/>
        </w:tblCellMar>
        <w:tblLook w:val="01E0"/>
      </w:tblPr>
      <w:tblGrid>
        <w:gridCol w:w="2599"/>
        <w:gridCol w:w="1747"/>
        <w:gridCol w:w="1738"/>
        <w:gridCol w:w="1738"/>
        <w:gridCol w:w="1738"/>
      </w:tblGrid>
      <w:tr>
        <w:trPr>
          <w:trHeight w:val="403" w:hRule="exact"/>
        </w:trPr>
        <w:tc>
          <w:tcPr>
            <w:tcW w:w="259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7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6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30" w:right="0"/>
              <w:jc w:val="left"/>
              <w:rPr>
                <w:rFonts w:ascii="宋体" w:hAnsi="宋体" w:cs="宋体" w:eastAsia="宋体" w:hint="default"/>
                <w:sz w:val="18"/>
                <w:szCs w:val="18"/>
              </w:rPr>
            </w:pPr>
            <w:r>
              <w:rPr>
                <w:rFonts w:ascii="宋体" w:hAnsi="宋体" w:cs="宋体" w:eastAsia="宋体" w:hint="default"/>
                <w:spacing w:val="-3"/>
                <w:sz w:val="18"/>
                <w:szCs w:val="18"/>
              </w:rPr>
              <w:t>本年比上年增减</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6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r>
      <w:tr>
        <w:trPr>
          <w:trHeight w:val="403" w:hRule="exact"/>
        </w:trPr>
        <w:tc>
          <w:tcPr>
            <w:tcW w:w="2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营业收入（元）</w:t>
            </w:r>
          </w:p>
        </w:tc>
        <w:tc>
          <w:tcPr>
            <w:tcW w:w="174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660,716,146.75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863,512,984.42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-23.49%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711,050,034.74</w:t>
            </w:r>
          </w:p>
        </w:tc>
      </w:tr>
      <w:tr>
        <w:trPr>
          <w:trHeight w:val="715" w:hRule="exact"/>
        </w:trPr>
        <w:tc>
          <w:tcPr>
            <w:tcW w:w="2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归属于上市公司股东的净利润</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4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9,173,520.42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27,673,025.40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-66.85%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49,089,630.26</w:t>
            </w:r>
          </w:p>
        </w:tc>
      </w:tr>
      <w:tr>
        <w:trPr>
          <w:trHeight w:val="710" w:hRule="exact"/>
        </w:trPr>
        <w:tc>
          <w:tcPr>
            <w:tcW w:w="2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52"/>
              <w:jc w:val="left"/>
              <w:rPr>
                <w:rFonts w:ascii="宋体" w:hAnsi="宋体" w:cs="宋体" w:eastAsia="宋体" w:hint="default"/>
                <w:sz w:val="18"/>
                <w:szCs w:val="18"/>
              </w:rPr>
            </w:pPr>
            <w:r>
              <w:rPr>
                <w:rFonts w:ascii="宋体" w:hAnsi="宋体" w:cs="宋体" w:eastAsia="宋体" w:hint="default"/>
                <w:spacing w:val="-3"/>
                <w:sz w:val="18"/>
                <w:szCs w:val="18"/>
              </w:rPr>
              <w:t>归属于上市公司股东的扣除非经</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pacing w:val="-3"/>
                <w:sz w:val="18"/>
                <w:szCs w:val="18"/>
              </w:rPr>
              <w:t>常性损益的净利润（元）</w:t>
            </w:r>
          </w:p>
        </w:tc>
        <w:tc>
          <w:tcPr>
            <w:tcW w:w="174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-28,896,555.62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23,408,194.13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-223.45%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47,319,848.64</w:t>
            </w:r>
          </w:p>
        </w:tc>
      </w:tr>
      <w:tr>
        <w:trPr>
          <w:trHeight w:val="715" w:hRule="exact"/>
        </w:trPr>
        <w:tc>
          <w:tcPr>
            <w:tcW w:w="2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经营活动产生的现金流量净额</w:t>
            </w:r>
          </w:p>
          <w:p>
            <w:pPr>
              <w:pStyle w:val="TableParagraph"/>
              <w:spacing w:line="240" w:lineRule="auto" w:before="81"/>
              <w:ind w:left="1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4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100,652,059.44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20,837,819.35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2"/>
                <w:sz w:val="18"/>
              </w:rPr>
              <w:t>383.03%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120,212,685.23</w:t>
            </w:r>
          </w:p>
        </w:tc>
      </w:tr>
      <w:tr>
        <w:trPr>
          <w:trHeight w:val="403" w:hRule="exact"/>
        </w:trPr>
        <w:tc>
          <w:tcPr>
            <w:tcW w:w="2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基本每股收益（元</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股）</w:t>
            </w:r>
          </w:p>
        </w:tc>
        <w:tc>
          <w:tcPr>
            <w:tcW w:w="174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0.0308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0.0928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-66.81%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0.1646</w:t>
            </w:r>
          </w:p>
        </w:tc>
      </w:tr>
      <w:tr>
        <w:trPr>
          <w:trHeight w:val="403" w:hRule="exact"/>
        </w:trPr>
        <w:tc>
          <w:tcPr>
            <w:tcW w:w="2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稀释每股收益（元</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股）</w:t>
            </w:r>
          </w:p>
        </w:tc>
        <w:tc>
          <w:tcPr>
            <w:tcW w:w="174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0.0308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0.0928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-66.81%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0.1646</w:t>
            </w:r>
          </w:p>
        </w:tc>
      </w:tr>
      <w:tr>
        <w:trPr>
          <w:trHeight w:val="398" w:hRule="exact"/>
        </w:trPr>
        <w:tc>
          <w:tcPr>
            <w:tcW w:w="2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4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1.06%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3.25%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-2.19%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5.93%</w:t>
            </w:r>
          </w:p>
        </w:tc>
      </w:tr>
      <w:tr>
        <w:trPr>
          <w:trHeight w:val="403" w:hRule="exact"/>
        </w:trPr>
        <w:tc>
          <w:tcPr>
            <w:tcW w:w="259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8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8"/>
                <w:sz w:val="18"/>
                <w:szCs w:val="18"/>
              </w:rPr>
              <w:t> </w:t>
            </w:r>
            <w:r>
              <w:rPr>
                <w:rFonts w:ascii="宋体" w:hAnsi="宋体" w:cs="宋体" w:eastAsia="宋体" w:hint="default"/>
                <w:spacing w:val="-3"/>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8"/>
                <w:sz w:val="18"/>
                <w:szCs w:val="18"/>
              </w:rPr>
              <w:t> </w:t>
            </w:r>
            <w:r>
              <w:rPr>
                <w:rFonts w:ascii="宋体" w:hAnsi="宋体" w:cs="宋体" w:eastAsia="宋体" w:hint="default"/>
                <w:spacing w:val="-3"/>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50"/>
              <w:jc w:val="right"/>
              <w:rPr>
                <w:rFonts w:ascii="宋体" w:hAnsi="宋体" w:cs="宋体" w:eastAsia="宋体" w:hint="default"/>
                <w:sz w:val="18"/>
                <w:szCs w:val="18"/>
              </w:rPr>
            </w:pPr>
            <w:r>
              <w:rPr>
                <w:rFonts w:ascii="宋体" w:hAnsi="宋体" w:cs="宋体" w:eastAsia="宋体" w:hint="default"/>
                <w:spacing w:val="-3"/>
                <w:sz w:val="18"/>
                <w:szCs w:val="18"/>
              </w:rPr>
              <w:t>本年末比上年末增减</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8"/>
                <w:sz w:val="18"/>
                <w:szCs w:val="18"/>
              </w:rPr>
              <w:t> </w:t>
            </w:r>
            <w:r>
              <w:rPr>
                <w:rFonts w:ascii="宋体" w:hAnsi="宋体" w:cs="宋体" w:eastAsia="宋体" w:hint="default"/>
                <w:spacing w:val="-3"/>
                <w:sz w:val="18"/>
                <w:szCs w:val="18"/>
              </w:rPr>
              <w:t>年末</w:t>
            </w:r>
          </w:p>
        </w:tc>
      </w:tr>
      <w:tr>
        <w:trPr>
          <w:trHeight w:val="403" w:hRule="exact"/>
        </w:trPr>
        <w:tc>
          <w:tcPr>
            <w:tcW w:w="2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总资产（元）</w:t>
            </w:r>
          </w:p>
        </w:tc>
        <w:tc>
          <w:tcPr>
            <w:tcW w:w="174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2,045,808,713.60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1,365,755,100.49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49.79%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1,202,195,406.38</w:t>
            </w:r>
          </w:p>
        </w:tc>
      </w:tr>
      <w:tr>
        <w:trPr>
          <w:trHeight w:val="715" w:hRule="exact"/>
        </w:trPr>
        <w:tc>
          <w:tcPr>
            <w:tcW w:w="2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归属于上市公司股东的净资产</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4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871,056,932.60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861,883,412.18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1.06%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844,646,896.78</w:t>
            </w:r>
          </w:p>
        </w:tc>
      </w:tr>
    </w:tbl>
    <w:p>
      <w:pPr>
        <w:spacing w:after="0" w:line="240" w:lineRule="auto"/>
        <w:jc w:val="right"/>
        <w:rPr>
          <w:rFonts w:ascii="Times New Roman" w:hAnsi="Times New Roman" w:cs="Times New Roman" w:eastAsia="Times New Roman" w:hint="default"/>
          <w:sz w:val="18"/>
          <w:szCs w:val="18"/>
        </w:rPr>
        <w:sectPr>
          <w:pgSz w:w="11900" w:h="16840"/>
          <w:pgMar w:header="742" w:footer="984" w:top="1060" w:bottom="1180" w:left="980" w:right="980"/>
        </w:sectPr>
      </w:pPr>
    </w:p>
    <w:p>
      <w:pPr>
        <w:spacing w:line="240" w:lineRule="auto" w:before="10"/>
        <w:rPr>
          <w:rFonts w:ascii="宋体" w:hAnsi="宋体" w:cs="宋体" w:eastAsia="宋体" w:hint="default"/>
          <w:sz w:val="23"/>
          <w:szCs w:val="23"/>
        </w:rPr>
      </w:pPr>
    </w:p>
    <w:p>
      <w:pPr>
        <w:pStyle w:val="Heading2"/>
        <w:spacing w:line="367" w:lineRule="exact"/>
        <w:ind w:right="0"/>
        <w:jc w:val="left"/>
        <w:rPr>
          <w:b w:val="0"/>
          <w:bCs w:val="0"/>
        </w:rPr>
      </w:pPr>
      <w:r>
        <w:rPr/>
        <w:t>七、境内外会计准则下会计数据差异</w:t>
      </w:r>
      <w:r>
        <w:rPr>
          <w:b w:val="0"/>
          <w:bCs w:val="0"/>
        </w:rPr>
      </w:r>
    </w:p>
    <w:p>
      <w:pPr>
        <w:spacing w:line="240" w:lineRule="auto" w:before="5"/>
        <w:rPr>
          <w:rFonts w:ascii="Microsoft JhengHei" w:hAnsi="Microsoft JhengHei" w:cs="Microsoft JhengHei" w:eastAsia="Microsoft JhengHei" w:hint="default"/>
          <w:b/>
          <w:bCs/>
          <w:sz w:val="13"/>
          <w:szCs w:val="13"/>
        </w:rPr>
      </w:pPr>
    </w:p>
    <w:p>
      <w:pPr>
        <w:pStyle w:val="Heading4"/>
        <w:spacing w:line="240" w:lineRule="auto"/>
        <w:ind w:right="0"/>
        <w:jc w:val="left"/>
        <w:rPr>
          <w:b w:val="0"/>
          <w:bCs w:val="0"/>
        </w:rPr>
      </w:pPr>
      <w:r>
        <w:rPr>
          <w:rFonts w:ascii="Times New Roman" w:hAnsi="Times New Roman" w:cs="Times New Roman" w:eastAsia="Times New Roman" w:hint="default"/>
        </w:rPr>
        <w:t>1</w:t>
      </w:r>
      <w:r>
        <w:rPr/>
        <w:t>、同时按照国际会计准则与按照中国会计准则披露的财务报告中净利润和净资产差异情况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line="338" w:lineRule="auto" w:before="0"/>
        <w:ind w:left="152" w:right="124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公司报告期不存在按照国际会计准则与按照中国会计准则披露的财务报告中净利润和净资产差异情况。</w:t>
      </w:r>
    </w:p>
    <w:p>
      <w:pPr>
        <w:spacing w:line="240" w:lineRule="auto" w:before="7"/>
        <w:rPr>
          <w:rFonts w:ascii="宋体" w:hAnsi="宋体" w:cs="宋体" w:eastAsia="宋体" w:hint="default"/>
          <w:sz w:val="15"/>
          <w:szCs w:val="15"/>
        </w:rPr>
      </w:pPr>
    </w:p>
    <w:p>
      <w:pPr>
        <w:pStyle w:val="Heading4"/>
        <w:spacing w:line="240" w:lineRule="auto"/>
        <w:ind w:right="0"/>
        <w:jc w:val="left"/>
        <w:rPr>
          <w:b w:val="0"/>
          <w:bCs w:val="0"/>
        </w:rPr>
      </w:pP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line="338" w:lineRule="auto" w:before="0"/>
        <w:ind w:left="152" w:right="124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公司报告期不存在按照境外会计准则与按照中国会计准则披露的财务报告中净利润和净资产差异情况。</w:t>
      </w:r>
    </w:p>
    <w:p>
      <w:pPr>
        <w:spacing w:line="240" w:lineRule="auto" w:before="11"/>
        <w:rPr>
          <w:rFonts w:ascii="宋体" w:hAnsi="宋体" w:cs="宋体" w:eastAsia="宋体" w:hint="default"/>
          <w:sz w:val="12"/>
          <w:szCs w:val="12"/>
        </w:rPr>
      </w:pPr>
    </w:p>
    <w:p>
      <w:pPr>
        <w:pStyle w:val="Heading2"/>
        <w:spacing w:line="240" w:lineRule="auto"/>
        <w:ind w:right="0"/>
        <w:jc w:val="left"/>
        <w:rPr>
          <w:b w:val="0"/>
          <w:bCs w:val="0"/>
        </w:rPr>
      </w:pPr>
      <w:r>
        <w:rPr/>
        <w:t>八、分季度主要财务指标</w:t>
      </w:r>
      <w:r>
        <w:rPr>
          <w:b w:val="0"/>
          <w:bCs w:val="0"/>
        </w:rPr>
      </w:r>
    </w:p>
    <w:p>
      <w:pPr>
        <w:spacing w:line="240" w:lineRule="auto" w:before="9"/>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pacing w:val="-2"/>
          <w:sz w:val="18"/>
          <w:szCs w:val="18"/>
        </w:rPr>
        <w:t>单位：元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599"/>
        <w:gridCol w:w="1752"/>
        <w:gridCol w:w="1738"/>
        <w:gridCol w:w="1738"/>
        <w:gridCol w:w="1733"/>
      </w:tblGrid>
      <w:tr>
        <w:trPr>
          <w:trHeight w:val="403" w:hRule="exact"/>
        </w:trPr>
        <w:tc>
          <w:tcPr>
            <w:tcW w:w="259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13"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99"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03"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3" w:hRule="exact"/>
        </w:trPr>
        <w:tc>
          <w:tcPr>
            <w:tcW w:w="2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5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181,859,301.71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135,472,350.80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141,797,918.74</w:t>
            </w:r>
          </w:p>
        </w:tc>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201,586,575.50</w:t>
            </w:r>
          </w:p>
        </w:tc>
      </w:tr>
      <w:tr>
        <w:trPr>
          <w:trHeight w:val="398" w:hRule="exact"/>
        </w:trPr>
        <w:tc>
          <w:tcPr>
            <w:tcW w:w="2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归属于上市公司股东的净利润</w:t>
            </w:r>
          </w:p>
        </w:tc>
        <w:tc>
          <w:tcPr>
            <w:tcW w:w="175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-3,671,924.21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-3,112,959.15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-4,610,946.71</w:t>
            </w:r>
          </w:p>
        </w:tc>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20,569,350.49</w:t>
            </w:r>
          </w:p>
        </w:tc>
      </w:tr>
      <w:tr>
        <w:trPr>
          <w:trHeight w:val="715" w:hRule="exact"/>
        </w:trPr>
        <w:tc>
          <w:tcPr>
            <w:tcW w:w="2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1" w:right="52"/>
              <w:jc w:val="left"/>
              <w:rPr>
                <w:rFonts w:ascii="宋体" w:hAnsi="宋体" w:cs="宋体" w:eastAsia="宋体" w:hint="default"/>
                <w:sz w:val="18"/>
                <w:szCs w:val="18"/>
              </w:rPr>
            </w:pPr>
            <w:r>
              <w:rPr>
                <w:rFonts w:ascii="宋体" w:hAnsi="宋体" w:cs="宋体" w:eastAsia="宋体" w:hint="default"/>
                <w:spacing w:val="-3"/>
                <w:sz w:val="18"/>
                <w:szCs w:val="18"/>
              </w:rPr>
              <w:t>归属于上市公司股东的扣除非经</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常性损益的净利润</w:t>
            </w:r>
          </w:p>
        </w:tc>
        <w:tc>
          <w:tcPr>
            <w:tcW w:w="175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-4,070,439.56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-4,783,421.85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-5,492,806.46</w:t>
            </w:r>
          </w:p>
        </w:tc>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-14,549,887.75</w:t>
            </w:r>
          </w:p>
        </w:tc>
      </w:tr>
      <w:tr>
        <w:trPr>
          <w:trHeight w:val="403" w:hRule="exact"/>
        </w:trPr>
        <w:tc>
          <w:tcPr>
            <w:tcW w:w="2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经营活动产生的现金流量净额</w:t>
            </w:r>
          </w:p>
        </w:tc>
        <w:tc>
          <w:tcPr>
            <w:tcW w:w="175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-45,447,673.00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-14,544,358.13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10,548,690.20</w:t>
            </w:r>
          </w:p>
        </w:tc>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150,095,400.37</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上述财务指标或其加总数是否与公司已披露季度报告、半年度报告相关财务指标存在重大差异</w:t>
      </w:r>
    </w:p>
    <w:p>
      <w:pPr>
        <w:spacing w:before="119"/>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p>
    <w:p>
      <w:pPr>
        <w:spacing w:line="240" w:lineRule="auto" w:before="1"/>
        <w:rPr>
          <w:rFonts w:ascii="宋体" w:hAnsi="宋体" w:cs="宋体" w:eastAsia="宋体" w:hint="default"/>
          <w:sz w:val="17"/>
          <w:szCs w:val="17"/>
        </w:rPr>
      </w:pPr>
    </w:p>
    <w:p>
      <w:pPr>
        <w:pStyle w:val="Heading2"/>
        <w:spacing w:line="240" w:lineRule="auto"/>
        <w:ind w:right="0"/>
        <w:jc w:val="left"/>
        <w:rPr>
          <w:b w:val="0"/>
          <w:bCs w:val="0"/>
        </w:rPr>
      </w:pPr>
      <w:r>
        <w:rPr/>
        <w:t>九、非经常性损益项目及金额</w:t>
      </w:r>
      <w:r>
        <w:rPr>
          <w:b w:val="0"/>
          <w:bCs w:val="0"/>
        </w:rPr>
      </w:r>
    </w:p>
    <w:p>
      <w:pPr>
        <w:spacing w:line="240" w:lineRule="auto" w:before="9"/>
        <w:rPr>
          <w:rFonts w:ascii="Microsoft JhengHei" w:hAnsi="Microsoft JhengHei" w:cs="Microsoft JhengHei" w:eastAsia="Microsoft JhengHei" w:hint="default"/>
          <w:b/>
          <w:bCs/>
          <w:sz w:val="16"/>
          <w:szCs w:val="16"/>
        </w:rPr>
      </w:pPr>
    </w:p>
    <w:p>
      <w:pPr>
        <w:spacing w:before="46"/>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不适用</w:t>
      </w:r>
    </w:p>
    <w:p>
      <w:pPr>
        <w:spacing w:before="101"/>
        <w:ind w:left="0" w:right="146" w:firstLine="0"/>
        <w:jc w:val="right"/>
        <w:rPr>
          <w:rFonts w:ascii="宋体" w:hAnsi="宋体" w:cs="宋体" w:eastAsia="宋体" w:hint="default"/>
          <w:sz w:val="18"/>
          <w:szCs w:val="18"/>
        </w:rPr>
      </w:pPr>
      <w:r>
        <w:rPr>
          <w:rFonts w:ascii="宋体" w:hAnsi="宋体" w:cs="宋体" w:eastAsia="宋体" w:hint="default"/>
          <w:spacing w:val="-2"/>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286"/>
        <w:gridCol w:w="1517"/>
        <w:gridCol w:w="1522"/>
        <w:gridCol w:w="1522"/>
        <w:gridCol w:w="1709"/>
      </w:tblGrid>
      <w:tr>
        <w:trPr>
          <w:trHeight w:val="398" w:hRule="exact"/>
        </w:trPr>
        <w:tc>
          <w:tcPr>
            <w:tcW w:w="3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4"/>
              <w:jc w:val="center"/>
              <w:rPr>
                <w:rFonts w:ascii="宋体" w:hAnsi="宋体" w:cs="宋体" w:eastAsia="宋体" w:hint="default"/>
                <w:sz w:val="18"/>
                <w:szCs w:val="18"/>
              </w:rPr>
            </w:pPr>
            <w:r>
              <w:rPr>
                <w:rFonts w:ascii="宋体" w:hAnsi="宋体" w:cs="宋体" w:eastAsia="宋体" w:hint="default"/>
                <w:sz w:val="18"/>
                <w:szCs w:val="18"/>
              </w:rPr>
              <w:t>项目</w:t>
            </w:r>
          </w:p>
        </w:tc>
        <w:tc>
          <w:tcPr>
            <w:tcW w:w="15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7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年金额</w:t>
            </w:r>
          </w:p>
        </w:tc>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7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年金额</w:t>
            </w:r>
          </w:p>
        </w:tc>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7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年金额</w:t>
            </w:r>
          </w:p>
        </w:tc>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782" w:hRule="exact"/>
        </w:trPr>
        <w:tc>
          <w:tcPr>
            <w:tcW w:w="3286" w:type="dxa"/>
            <w:tcBorders>
              <w:top w:val="single" w:sz="4" w:space="0" w:color="000000"/>
              <w:left w:val="single" w:sz="4" w:space="0" w:color="000000"/>
              <w:bottom w:val="nil" w:sz="6" w:space="0" w:color="auto"/>
              <w:right w:val="single" w:sz="4" w:space="0" w:color="000000"/>
            </w:tcBorders>
            <w:shd w:val="clear" w:color="auto" w:fill="D2D2D2"/>
          </w:tcPr>
          <w:p>
            <w:pPr/>
          </w:p>
        </w:tc>
        <w:tc>
          <w:tcPr>
            <w:tcW w:w="1517"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439" w:right="0"/>
              <w:jc w:val="left"/>
              <w:rPr>
                <w:rFonts w:ascii="Times New Roman" w:hAnsi="Times New Roman" w:cs="Times New Roman" w:eastAsia="Times New Roman" w:hint="default"/>
                <w:sz w:val="18"/>
                <w:szCs w:val="18"/>
              </w:rPr>
            </w:pPr>
            <w:r>
              <w:rPr>
                <w:rFonts w:ascii="Times New Roman"/>
                <w:sz w:val="18"/>
              </w:rPr>
              <w:t>41,280,804.09</w:t>
            </w:r>
          </w:p>
        </w:tc>
        <w:tc>
          <w:tcPr>
            <w:tcW w:w="152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614" w:right="0"/>
              <w:jc w:val="left"/>
              <w:rPr>
                <w:rFonts w:ascii="Times New Roman" w:hAnsi="Times New Roman" w:cs="Times New Roman" w:eastAsia="Times New Roman" w:hint="default"/>
                <w:sz w:val="18"/>
                <w:szCs w:val="18"/>
              </w:rPr>
            </w:pPr>
            <w:r>
              <w:rPr>
                <w:rFonts w:ascii="Times New Roman"/>
                <w:sz w:val="18"/>
              </w:rPr>
              <w:t>-370,779.99</w:t>
            </w:r>
          </w:p>
        </w:tc>
        <w:tc>
          <w:tcPr>
            <w:tcW w:w="152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480" w:right="0"/>
              <w:jc w:val="left"/>
              <w:rPr>
                <w:rFonts w:ascii="Times New Roman" w:hAnsi="Times New Roman" w:cs="Times New Roman" w:eastAsia="Times New Roman" w:hint="default"/>
                <w:sz w:val="18"/>
                <w:szCs w:val="18"/>
              </w:rPr>
            </w:pPr>
            <w:r>
              <w:rPr>
                <w:rFonts w:ascii="Times New Roman"/>
                <w:sz w:val="18"/>
              </w:rPr>
              <w:t>-2,707,304.84</w:t>
            </w:r>
          </w:p>
        </w:tc>
        <w:tc>
          <w:tcPr>
            <w:tcW w:w="1709" w:type="dxa"/>
            <w:vMerge w:val="restart"/>
            <w:tcBorders>
              <w:top w:val="single" w:sz="4" w:space="0" w:color="000000"/>
              <w:left w:val="single" w:sz="4" w:space="0" w:color="000000"/>
              <w:right w:val="single" w:sz="4" w:space="0" w:color="000000"/>
            </w:tcBorders>
          </w:tcPr>
          <w:p>
            <w:pPr>
              <w:pStyle w:val="TableParagraph"/>
              <w:spacing w:line="312" w:lineRule="auto" w:before="53"/>
              <w:ind w:left="23" w:right="50"/>
              <w:jc w:val="left"/>
              <w:rPr>
                <w:rFonts w:ascii="宋体" w:hAnsi="宋体" w:cs="宋体" w:eastAsia="宋体" w:hint="default"/>
                <w:sz w:val="18"/>
                <w:szCs w:val="18"/>
              </w:rPr>
            </w:pPr>
            <w:r>
              <w:rPr>
                <w:rFonts w:ascii="宋体" w:hAnsi="宋体" w:cs="宋体" w:eastAsia="宋体" w:hint="default"/>
                <w:spacing w:val="-3"/>
                <w:sz w:val="18"/>
                <w:szCs w:val="18"/>
              </w:rPr>
              <w:t>其中：处置固定资产</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损益</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26.05</w:t>
            </w:r>
            <w:r>
              <w:rPr>
                <w:rFonts w:ascii="Times New Roman" w:hAnsi="Times New Roman" w:cs="Times New Roman" w:eastAsia="Times New Roman" w:hint="default"/>
                <w:spacing w:val="3"/>
                <w:sz w:val="18"/>
                <w:szCs w:val="18"/>
              </w:rPr>
              <w:t> </w:t>
            </w:r>
            <w:r>
              <w:rPr>
                <w:rFonts w:ascii="宋体" w:hAnsi="宋体" w:cs="宋体" w:eastAsia="宋体" w:hint="default"/>
                <w:spacing w:val="-3"/>
                <w:sz w:val="18"/>
                <w:szCs w:val="18"/>
              </w:rPr>
              <w:t>万元，处</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3"/>
                <w:sz w:val="18"/>
                <w:szCs w:val="18"/>
              </w:rPr>
              <w:t>置部分可供出售金融</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3"/>
                <w:sz w:val="18"/>
                <w:szCs w:val="18"/>
              </w:rPr>
              <w:t>资产成都农村商业银</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3"/>
                <w:sz w:val="18"/>
                <w:szCs w:val="18"/>
              </w:rPr>
              <w:t>行股份有限公司股权</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的损益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4,102.03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r>
              <w:rPr>
                <w:rFonts w:ascii="宋体" w:hAnsi="宋体" w:cs="宋体" w:eastAsia="宋体" w:hint="default"/>
                <w:spacing w:val="-86"/>
                <w:sz w:val="18"/>
                <w:szCs w:val="18"/>
              </w:rPr>
              <w:t> </w:t>
            </w:r>
            <w:r>
              <w:rPr>
                <w:rFonts w:ascii="宋体" w:hAnsi="宋体" w:cs="宋体" w:eastAsia="宋体" w:hint="default"/>
                <w:sz w:val="18"/>
                <w:szCs w:val="18"/>
              </w:rPr>
              <w:t>元。</w:t>
            </w:r>
          </w:p>
        </w:tc>
      </w:tr>
      <w:tr>
        <w:trPr>
          <w:trHeight w:val="706" w:hRule="exact"/>
        </w:trPr>
        <w:tc>
          <w:tcPr>
            <w:tcW w:w="328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21" w:lineRule="auto" w:before="53"/>
              <w:ind w:left="11" w:right="17"/>
              <w:jc w:val="left"/>
              <w:rPr>
                <w:rFonts w:ascii="宋体" w:hAnsi="宋体" w:cs="宋体" w:eastAsia="宋体" w:hint="default"/>
                <w:sz w:val="18"/>
                <w:szCs w:val="18"/>
              </w:rPr>
            </w:pPr>
            <w:r>
              <w:rPr>
                <w:rFonts w:ascii="宋体" w:hAnsi="宋体" w:cs="宋体" w:eastAsia="宋体" w:hint="default"/>
                <w:spacing w:val="-3"/>
                <w:sz w:val="18"/>
                <w:szCs w:val="18"/>
              </w:rPr>
              <w:t>非流动资产处置损益（包括已计提资产减</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pacing w:val="-3"/>
                <w:sz w:val="18"/>
                <w:szCs w:val="18"/>
              </w:rPr>
              <w:t>值准备的冲销部分）</w:t>
            </w:r>
          </w:p>
        </w:tc>
        <w:tc>
          <w:tcPr>
            <w:tcW w:w="1517" w:type="dxa"/>
            <w:vMerge/>
            <w:tcBorders>
              <w:left w:val="single" w:sz="10" w:space="0" w:color="D2D2D2"/>
              <w:right w:val="single" w:sz="4" w:space="0" w:color="000000"/>
            </w:tcBorders>
          </w:tcPr>
          <w:p>
            <w:pPr/>
          </w:p>
        </w:tc>
        <w:tc>
          <w:tcPr>
            <w:tcW w:w="1522"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709" w:type="dxa"/>
            <w:vMerge/>
            <w:tcBorders>
              <w:left w:val="single" w:sz="4" w:space="0" w:color="000000"/>
              <w:right w:val="single" w:sz="4" w:space="0" w:color="000000"/>
            </w:tcBorders>
          </w:tcPr>
          <w:p>
            <w:pPr/>
          </w:p>
        </w:tc>
      </w:tr>
      <w:tr>
        <w:trPr>
          <w:trHeight w:val="787" w:hRule="exact"/>
        </w:trPr>
        <w:tc>
          <w:tcPr>
            <w:tcW w:w="3286" w:type="dxa"/>
            <w:tcBorders>
              <w:top w:val="nil" w:sz="6" w:space="0" w:color="auto"/>
              <w:left w:val="single" w:sz="4" w:space="0" w:color="000000"/>
              <w:bottom w:val="single" w:sz="4" w:space="0" w:color="000000"/>
              <w:right w:val="single" w:sz="4" w:space="0" w:color="000000"/>
            </w:tcBorders>
            <w:shd w:val="clear" w:color="auto" w:fill="D2D2D2"/>
          </w:tcPr>
          <w:p>
            <w:pPr/>
          </w:p>
        </w:tc>
        <w:tc>
          <w:tcPr>
            <w:tcW w:w="1517" w:type="dxa"/>
            <w:vMerge/>
            <w:tcBorders>
              <w:left w:val="single" w:sz="10" w:space="0" w:color="D2D2D2"/>
              <w:bottom w:val="single" w:sz="4" w:space="0" w:color="000000"/>
              <w:right w:val="single" w:sz="4" w:space="0" w:color="000000"/>
            </w:tcBorders>
          </w:tcPr>
          <w:p>
            <w:pPr/>
          </w:p>
        </w:tc>
        <w:tc>
          <w:tcPr>
            <w:tcW w:w="1522" w:type="dxa"/>
            <w:vMerge/>
            <w:tcBorders>
              <w:left w:val="single" w:sz="4" w:space="0" w:color="000000"/>
              <w:bottom w:val="single" w:sz="4" w:space="0" w:color="000000"/>
              <w:right w:val="single" w:sz="4" w:space="0" w:color="000000"/>
            </w:tcBorders>
          </w:tcPr>
          <w:p>
            <w:pPr/>
          </w:p>
        </w:tc>
        <w:tc>
          <w:tcPr>
            <w:tcW w:w="1522" w:type="dxa"/>
            <w:vMerge/>
            <w:tcBorders>
              <w:left w:val="single" w:sz="4" w:space="0" w:color="000000"/>
              <w:bottom w:val="single" w:sz="4" w:space="0" w:color="000000"/>
              <w:right w:val="single" w:sz="4" w:space="0" w:color="000000"/>
            </w:tcBorders>
          </w:tcPr>
          <w:p>
            <w:pPr/>
          </w:p>
        </w:tc>
        <w:tc>
          <w:tcPr>
            <w:tcW w:w="1709" w:type="dxa"/>
            <w:vMerge/>
            <w:tcBorders>
              <w:left w:val="single" w:sz="4" w:space="0" w:color="000000"/>
              <w:bottom w:val="single" w:sz="4" w:space="0" w:color="000000"/>
              <w:right w:val="single" w:sz="4" w:space="0" w:color="000000"/>
            </w:tcBorders>
          </w:tcPr>
          <w:p>
            <w:pPr/>
          </w:p>
        </w:tc>
      </w:tr>
      <w:tr>
        <w:trPr>
          <w:trHeight w:val="293" w:hRule="exact"/>
        </w:trPr>
        <w:tc>
          <w:tcPr>
            <w:tcW w:w="3286" w:type="dxa"/>
            <w:tcBorders>
              <w:top w:val="single" w:sz="4" w:space="0" w:color="000000"/>
              <w:left w:val="single" w:sz="4" w:space="0" w:color="000000"/>
              <w:bottom w:val="nil" w:sz="6" w:space="0" w:color="auto"/>
              <w:right w:val="single" w:sz="4" w:space="0" w:color="000000"/>
            </w:tcBorders>
            <w:shd w:val="clear" w:color="auto" w:fill="D2D2D2"/>
          </w:tcPr>
          <w:p>
            <w:pPr/>
          </w:p>
        </w:tc>
        <w:tc>
          <w:tcPr>
            <w:tcW w:w="1517"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530" w:right="0"/>
              <w:jc w:val="left"/>
              <w:rPr>
                <w:rFonts w:ascii="Times New Roman" w:hAnsi="Times New Roman" w:cs="Times New Roman" w:eastAsia="Times New Roman" w:hint="default"/>
                <w:sz w:val="18"/>
                <w:szCs w:val="18"/>
              </w:rPr>
            </w:pPr>
            <w:r>
              <w:rPr>
                <w:rFonts w:ascii="Times New Roman"/>
                <w:sz w:val="18"/>
              </w:rPr>
              <w:t>3,677,319.57</w:t>
            </w:r>
          </w:p>
        </w:tc>
        <w:tc>
          <w:tcPr>
            <w:tcW w:w="152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537" w:right="0"/>
              <w:jc w:val="left"/>
              <w:rPr>
                <w:rFonts w:ascii="Times New Roman" w:hAnsi="Times New Roman" w:cs="Times New Roman" w:eastAsia="Times New Roman" w:hint="default"/>
                <w:sz w:val="18"/>
                <w:szCs w:val="18"/>
              </w:rPr>
            </w:pPr>
            <w:r>
              <w:rPr>
                <w:rFonts w:ascii="Times New Roman"/>
                <w:sz w:val="18"/>
              </w:rPr>
              <w:t>6,241,850.92</w:t>
            </w:r>
          </w:p>
        </w:tc>
        <w:tc>
          <w:tcPr>
            <w:tcW w:w="152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537" w:right="0"/>
              <w:jc w:val="left"/>
              <w:rPr>
                <w:rFonts w:ascii="Times New Roman" w:hAnsi="Times New Roman" w:cs="Times New Roman" w:eastAsia="Times New Roman" w:hint="default"/>
                <w:sz w:val="18"/>
                <w:szCs w:val="18"/>
              </w:rPr>
            </w:pPr>
            <w:r>
              <w:rPr>
                <w:rFonts w:ascii="Times New Roman"/>
                <w:sz w:val="18"/>
              </w:rPr>
              <w:t>7,083,635.45</w:t>
            </w:r>
          </w:p>
        </w:tc>
        <w:tc>
          <w:tcPr>
            <w:tcW w:w="1709" w:type="dxa"/>
            <w:vMerge w:val="restart"/>
            <w:tcBorders>
              <w:top w:val="single" w:sz="4" w:space="0" w:color="000000"/>
              <w:left w:val="single" w:sz="4" w:space="0" w:color="000000"/>
              <w:right w:val="single" w:sz="4" w:space="0" w:color="000000"/>
            </w:tcBorders>
          </w:tcPr>
          <w:p>
            <w:pPr>
              <w:pStyle w:val="TableParagraph"/>
              <w:spacing w:line="307" w:lineRule="auto" w:before="53"/>
              <w:ind w:left="23" w:right="12"/>
              <w:jc w:val="left"/>
              <w:rPr>
                <w:rFonts w:ascii="宋体" w:hAnsi="宋体" w:cs="宋体" w:eastAsia="宋体" w:hint="default"/>
                <w:sz w:val="18"/>
                <w:szCs w:val="18"/>
              </w:rPr>
            </w:pPr>
            <w:r>
              <w:rPr>
                <w:rFonts w:ascii="宋体" w:hAnsi="宋体" w:cs="宋体" w:eastAsia="宋体" w:hint="default"/>
                <w:spacing w:val="-3"/>
                <w:sz w:val="18"/>
                <w:szCs w:val="18"/>
              </w:rPr>
              <w:t>主要包括广州市天河</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区财政局补助</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r>
              <w:rPr>
                <w:rFonts w:ascii="宋体" w:hAnsi="宋体" w:cs="宋体" w:eastAsia="宋体" w:hint="default"/>
                <w:spacing w:val="-85"/>
                <w:sz w:val="18"/>
                <w:szCs w:val="18"/>
              </w:rPr>
              <w:t> </w:t>
            </w:r>
            <w:r>
              <w:rPr>
                <w:rFonts w:ascii="宋体" w:hAnsi="宋体" w:cs="宋体" w:eastAsia="宋体" w:hint="default"/>
                <w:spacing w:val="-3"/>
                <w:sz w:val="18"/>
                <w:szCs w:val="18"/>
              </w:rPr>
              <w:t>元，</w:t>
            </w:r>
            <w:r>
              <w:rPr>
                <w:rFonts w:ascii="Times New Roman" w:hAnsi="Times New Roman" w:cs="Times New Roman" w:eastAsia="Times New Roman" w:hint="default"/>
                <w:spacing w:val="-3"/>
                <w:sz w:val="18"/>
                <w:szCs w:val="18"/>
              </w:rPr>
              <w:t>2015</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年国家科技</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支撑计划课题预算拨</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款 </w:t>
            </w:r>
            <w:r>
              <w:rPr>
                <w:rFonts w:ascii="Times New Roman" w:hAnsi="Times New Roman" w:cs="Times New Roman" w:eastAsia="Times New Roman" w:hint="default"/>
                <w:sz w:val="18"/>
                <w:szCs w:val="18"/>
              </w:rPr>
              <w:t>53</w:t>
            </w:r>
            <w:r>
              <w:rPr>
                <w:rFonts w:ascii="Times New Roman" w:hAnsi="Times New Roman" w:cs="Times New Roman" w:eastAsia="Times New Roman" w:hint="default"/>
                <w:spacing w:val="-26"/>
                <w:sz w:val="18"/>
                <w:szCs w:val="18"/>
              </w:rPr>
              <w:t> </w:t>
            </w:r>
            <w:r>
              <w:rPr>
                <w:rFonts w:ascii="宋体" w:hAnsi="宋体" w:cs="宋体" w:eastAsia="宋体" w:hint="default"/>
                <w:spacing w:val="-10"/>
                <w:sz w:val="18"/>
                <w:szCs w:val="18"/>
              </w:rPr>
              <w:t>万，昊天科技进</w:t>
            </w:r>
          </w:p>
        </w:tc>
      </w:tr>
      <w:tr>
        <w:trPr>
          <w:trHeight w:val="1018" w:hRule="exact"/>
        </w:trPr>
        <w:tc>
          <w:tcPr>
            <w:tcW w:w="328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53"/>
              <w:ind w:left="11" w:right="17"/>
              <w:jc w:val="both"/>
              <w:rPr>
                <w:rFonts w:ascii="宋体" w:hAnsi="宋体" w:cs="宋体" w:eastAsia="宋体" w:hint="default"/>
                <w:sz w:val="18"/>
                <w:szCs w:val="18"/>
              </w:rPr>
            </w:pPr>
            <w:r>
              <w:rPr>
                <w:rFonts w:ascii="宋体" w:hAnsi="宋体" w:cs="宋体" w:eastAsia="宋体" w:hint="default"/>
                <w:spacing w:val="-3"/>
                <w:sz w:val="18"/>
                <w:szCs w:val="18"/>
              </w:rPr>
              <w:t>计入当期损益的政府补助（与企业业务密</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pacing w:val="-3"/>
                <w:sz w:val="18"/>
                <w:szCs w:val="18"/>
              </w:rPr>
              <w:t>切相关，按照国家统一标准定额或定量享</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pacing w:val="-3"/>
                <w:sz w:val="18"/>
                <w:szCs w:val="18"/>
              </w:rPr>
              <w:t>受的政府补助除外）</w:t>
            </w:r>
          </w:p>
        </w:tc>
        <w:tc>
          <w:tcPr>
            <w:tcW w:w="1517" w:type="dxa"/>
            <w:vMerge/>
            <w:tcBorders>
              <w:left w:val="single" w:sz="10" w:space="0" w:color="D2D2D2"/>
              <w:right w:val="single" w:sz="4" w:space="0" w:color="000000"/>
            </w:tcBorders>
          </w:tcPr>
          <w:p>
            <w:pPr/>
          </w:p>
        </w:tc>
        <w:tc>
          <w:tcPr>
            <w:tcW w:w="1522"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709" w:type="dxa"/>
            <w:vMerge/>
            <w:tcBorders>
              <w:left w:val="single" w:sz="4" w:space="0" w:color="000000"/>
              <w:right w:val="single" w:sz="4" w:space="0" w:color="000000"/>
            </w:tcBorders>
          </w:tcPr>
          <w:p>
            <w:pPr/>
          </w:p>
        </w:tc>
      </w:tr>
      <w:tr>
        <w:trPr>
          <w:trHeight w:val="297" w:hRule="exact"/>
        </w:trPr>
        <w:tc>
          <w:tcPr>
            <w:tcW w:w="3286" w:type="dxa"/>
            <w:tcBorders>
              <w:top w:val="nil" w:sz="6" w:space="0" w:color="auto"/>
              <w:left w:val="single" w:sz="4" w:space="0" w:color="000000"/>
              <w:bottom w:val="single" w:sz="4" w:space="0" w:color="000000"/>
              <w:right w:val="single" w:sz="4" w:space="0" w:color="000000"/>
            </w:tcBorders>
            <w:shd w:val="clear" w:color="auto" w:fill="D2D2D2"/>
          </w:tcPr>
          <w:p>
            <w:pPr/>
          </w:p>
        </w:tc>
        <w:tc>
          <w:tcPr>
            <w:tcW w:w="1517" w:type="dxa"/>
            <w:vMerge/>
            <w:tcBorders>
              <w:left w:val="single" w:sz="10" w:space="0" w:color="D2D2D2"/>
              <w:bottom w:val="single" w:sz="4" w:space="0" w:color="000000"/>
              <w:right w:val="single" w:sz="4" w:space="0" w:color="000000"/>
            </w:tcBorders>
          </w:tcPr>
          <w:p>
            <w:pPr/>
          </w:p>
        </w:tc>
        <w:tc>
          <w:tcPr>
            <w:tcW w:w="1522" w:type="dxa"/>
            <w:vMerge/>
            <w:tcBorders>
              <w:left w:val="single" w:sz="4" w:space="0" w:color="000000"/>
              <w:bottom w:val="single" w:sz="4" w:space="0" w:color="000000"/>
              <w:right w:val="single" w:sz="4" w:space="0" w:color="000000"/>
            </w:tcBorders>
          </w:tcPr>
          <w:p>
            <w:pPr/>
          </w:p>
        </w:tc>
        <w:tc>
          <w:tcPr>
            <w:tcW w:w="1522" w:type="dxa"/>
            <w:vMerge/>
            <w:tcBorders>
              <w:left w:val="single" w:sz="4" w:space="0" w:color="000000"/>
              <w:bottom w:val="single" w:sz="4" w:space="0" w:color="000000"/>
              <w:right w:val="single" w:sz="4" w:space="0" w:color="000000"/>
            </w:tcBorders>
          </w:tcPr>
          <w:p>
            <w:pPr/>
          </w:p>
        </w:tc>
        <w:tc>
          <w:tcPr>
            <w:tcW w:w="1709" w:type="dxa"/>
            <w:vMerge/>
            <w:tcBorders>
              <w:left w:val="single" w:sz="4" w:space="0" w:color="000000"/>
              <w:bottom w:val="single" w:sz="4" w:space="0" w:color="000000"/>
              <w:right w:val="single" w:sz="4" w:space="0" w:color="000000"/>
            </w:tcBorders>
          </w:tcPr>
          <w:p>
            <w:pPr/>
          </w:p>
        </w:tc>
      </w:tr>
    </w:tbl>
    <w:p>
      <w:pPr>
        <w:spacing w:after="0"/>
        <w:sectPr>
          <w:pgSz w:w="11900" w:h="16840"/>
          <w:pgMar w:header="74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298"/>
        <w:gridCol w:w="1517"/>
        <w:gridCol w:w="1522"/>
        <w:gridCol w:w="1522"/>
        <w:gridCol w:w="1709"/>
      </w:tblGrid>
      <w:tr>
        <w:trPr>
          <w:trHeight w:val="321" w:hRule="exact"/>
        </w:trPr>
        <w:tc>
          <w:tcPr>
            <w:tcW w:w="3298" w:type="dxa"/>
            <w:vMerge w:val="restart"/>
            <w:tcBorders>
              <w:top w:val="single" w:sz="4" w:space="0" w:color="000000"/>
              <w:left w:val="single" w:sz="4" w:space="0" w:color="000000"/>
              <w:right w:val="single" w:sz="4" w:space="0" w:color="000000"/>
            </w:tcBorders>
            <w:shd w:val="clear" w:color="auto" w:fill="D2D2D2"/>
          </w:tcPr>
          <w:p>
            <w:pPr/>
          </w:p>
        </w:tc>
        <w:tc>
          <w:tcPr>
            <w:tcW w:w="1517" w:type="dxa"/>
            <w:vMerge w:val="restart"/>
            <w:tcBorders>
              <w:top w:val="single" w:sz="4" w:space="0" w:color="000000"/>
              <w:left w:val="single" w:sz="4" w:space="0" w:color="000000"/>
              <w:right w:val="single" w:sz="4" w:space="0" w:color="000000"/>
            </w:tcBorders>
          </w:tcPr>
          <w:p>
            <w:pPr/>
          </w:p>
        </w:tc>
        <w:tc>
          <w:tcPr>
            <w:tcW w:w="1522" w:type="dxa"/>
            <w:vMerge w:val="restart"/>
            <w:tcBorders>
              <w:top w:val="single" w:sz="4" w:space="0" w:color="000000"/>
              <w:left w:val="single" w:sz="4" w:space="0" w:color="000000"/>
              <w:right w:val="single" w:sz="4" w:space="0" w:color="000000"/>
            </w:tcBorders>
          </w:tcPr>
          <w:p>
            <w:pPr/>
          </w:p>
        </w:tc>
        <w:tc>
          <w:tcPr>
            <w:tcW w:w="1522" w:type="dxa"/>
            <w:vMerge w:val="restart"/>
            <w:tcBorders>
              <w:top w:val="single" w:sz="4" w:space="0" w:color="000000"/>
              <w:left w:val="single" w:sz="4" w:space="0" w:color="000000"/>
              <w:right w:val="single" w:sz="4" w:space="0" w:color="000000"/>
            </w:tcBorders>
          </w:tcPr>
          <w:p>
            <w:pPr/>
          </w:p>
        </w:tc>
        <w:tc>
          <w:tcPr>
            <w:tcW w:w="170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口设备贴息</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37.25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tc>
      </w:tr>
      <w:tr>
        <w:trPr>
          <w:trHeight w:val="307" w:hRule="exact"/>
        </w:trPr>
        <w:tc>
          <w:tcPr>
            <w:tcW w:w="3298" w:type="dxa"/>
            <w:vMerge/>
            <w:tcBorders>
              <w:left w:val="single" w:sz="4" w:space="0" w:color="000000"/>
              <w:right w:val="single" w:sz="4" w:space="0" w:color="000000"/>
            </w:tcBorders>
            <w:shd w:val="clear" w:color="auto" w:fill="D2D2D2"/>
          </w:tcPr>
          <w:p>
            <w:pPr/>
          </w:p>
        </w:tc>
        <w:tc>
          <w:tcPr>
            <w:tcW w:w="1517"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pacing w:val="-3"/>
                <w:sz w:val="18"/>
                <w:szCs w:val="18"/>
              </w:rPr>
              <w:t>元，无锡双龙发展扶</w:t>
            </w:r>
          </w:p>
        </w:tc>
      </w:tr>
      <w:tr>
        <w:trPr>
          <w:trHeight w:val="317" w:hRule="exact"/>
        </w:trPr>
        <w:tc>
          <w:tcPr>
            <w:tcW w:w="3298" w:type="dxa"/>
            <w:vMerge/>
            <w:tcBorders>
              <w:left w:val="single" w:sz="4" w:space="0" w:color="000000"/>
              <w:right w:val="single" w:sz="4" w:space="0" w:color="000000"/>
            </w:tcBorders>
            <w:shd w:val="clear" w:color="auto" w:fill="D2D2D2"/>
          </w:tcPr>
          <w:p>
            <w:pPr/>
          </w:p>
        </w:tc>
        <w:tc>
          <w:tcPr>
            <w:tcW w:w="1517"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持资金</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23.94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r>
      <w:tr>
        <w:trPr>
          <w:trHeight w:val="307" w:hRule="exact"/>
        </w:trPr>
        <w:tc>
          <w:tcPr>
            <w:tcW w:w="3298" w:type="dxa"/>
            <w:vMerge/>
            <w:tcBorders>
              <w:left w:val="single" w:sz="4" w:space="0" w:color="000000"/>
              <w:right w:val="single" w:sz="4" w:space="0" w:color="000000"/>
            </w:tcBorders>
            <w:shd w:val="clear" w:color="auto" w:fill="D2D2D2"/>
          </w:tcPr>
          <w:p>
            <w:pPr/>
          </w:p>
        </w:tc>
        <w:tc>
          <w:tcPr>
            <w:tcW w:w="1517"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pacing w:val="-3"/>
                <w:sz w:val="18"/>
                <w:szCs w:val="18"/>
              </w:rPr>
              <w:t>泸州市纳溪区就业服</w:t>
            </w:r>
          </w:p>
        </w:tc>
      </w:tr>
      <w:tr>
        <w:trPr>
          <w:trHeight w:val="312" w:hRule="exact"/>
        </w:trPr>
        <w:tc>
          <w:tcPr>
            <w:tcW w:w="3298" w:type="dxa"/>
            <w:vMerge/>
            <w:tcBorders>
              <w:left w:val="single" w:sz="4" w:space="0" w:color="000000"/>
              <w:right w:val="single" w:sz="4" w:space="0" w:color="000000"/>
            </w:tcBorders>
            <w:shd w:val="clear" w:color="auto" w:fill="D2D2D2"/>
          </w:tcPr>
          <w:p>
            <w:pPr/>
          </w:p>
        </w:tc>
        <w:tc>
          <w:tcPr>
            <w:tcW w:w="1517"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pacing w:val="-3"/>
                <w:sz w:val="18"/>
                <w:szCs w:val="18"/>
              </w:rPr>
              <w:t>务管理局再就业补助</w:t>
            </w:r>
          </w:p>
        </w:tc>
      </w:tr>
      <w:tr>
        <w:trPr>
          <w:trHeight w:val="317" w:hRule="exact"/>
        </w:trPr>
        <w:tc>
          <w:tcPr>
            <w:tcW w:w="3298" w:type="dxa"/>
            <w:vMerge/>
            <w:tcBorders>
              <w:left w:val="single" w:sz="4" w:space="0" w:color="000000"/>
              <w:right w:val="single" w:sz="4" w:space="0" w:color="000000"/>
            </w:tcBorders>
            <w:shd w:val="clear" w:color="auto" w:fill="D2D2D2"/>
          </w:tcPr>
          <w:p>
            <w:pPr/>
          </w:p>
        </w:tc>
        <w:tc>
          <w:tcPr>
            <w:tcW w:w="1517"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22.03 </w:t>
            </w:r>
            <w:r>
              <w:rPr>
                <w:rFonts w:ascii="宋体" w:hAnsi="宋体" w:cs="宋体" w:eastAsia="宋体" w:hint="default"/>
                <w:sz w:val="18"/>
                <w:szCs w:val="18"/>
              </w:rPr>
              <w:t>万元，</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r>
        <w:trPr>
          <w:trHeight w:val="307" w:hRule="exact"/>
        </w:trPr>
        <w:tc>
          <w:tcPr>
            <w:tcW w:w="3298" w:type="dxa"/>
            <w:vMerge/>
            <w:tcBorders>
              <w:left w:val="single" w:sz="4" w:space="0" w:color="000000"/>
              <w:right w:val="single" w:sz="4" w:space="0" w:color="000000"/>
            </w:tcBorders>
            <w:shd w:val="clear" w:color="auto" w:fill="D2D2D2"/>
          </w:tcPr>
          <w:p>
            <w:pPr/>
          </w:p>
        </w:tc>
        <w:tc>
          <w:tcPr>
            <w:tcW w:w="1517"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pacing w:val="-3"/>
                <w:sz w:val="18"/>
                <w:szCs w:val="18"/>
              </w:rPr>
              <w:t>度福建省印刷企业转</w:t>
            </w:r>
          </w:p>
        </w:tc>
      </w:tr>
      <w:tr>
        <w:trPr>
          <w:trHeight w:val="317" w:hRule="exact"/>
        </w:trPr>
        <w:tc>
          <w:tcPr>
            <w:tcW w:w="3298" w:type="dxa"/>
            <w:vMerge/>
            <w:tcBorders>
              <w:left w:val="single" w:sz="4" w:space="0" w:color="000000"/>
              <w:right w:val="single" w:sz="4" w:space="0" w:color="000000"/>
            </w:tcBorders>
            <w:shd w:val="clear" w:color="auto" w:fill="D2D2D2"/>
          </w:tcPr>
          <w:p>
            <w:pPr/>
          </w:p>
        </w:tc>
        <w:tc>
          <w:tcPr>
            <w:tcW w:w="1517"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型升级扶持资金</w:t>
            </w:r>
            <w:r>
              <w:rPr>
                <w:rFonts w:ascii="宋体" w:hAnsi="宋体" w:cs="宋体" w:eastAsia="宋体" w:hint="default"/>
                <w:spacing w:val="-38"/>
                <w:sz w:val="18"/>
                <w:szCs w:val="18"/>
              </w:rPr>
              <w:t> </w:t>
            </w:r>
            <w:r>
              <w:rPr>
                <w:rFonts w:ascii="Times New Roman" w:hAnsi="Times New Roman" w:cs="Times New Roman" w:eastAsia="Times New Roman" w:hint="default"/>
                <w:spacing w:val="-3"/>
                <w:sz w:val="18"/>
                <w:szCs w:val="18"/>
              </w:rPr>
              <w:t>20</w:t>
            </w:r>
          </w:p>
        </w:tc>
      </w:tr>
      <w:tr>
        <w:trPr>
          <w:trHeight w:val="307" w:hRule="exact"/>
        </w:trPr>
        <w:tc>
          <w:tcPr>
            <w:tcW w:w="3298" w:type="dxa"/>
            <w:vMerge/>
            <w:tcBorders>
              <w:left w:val="single" w:sz="4" w:space="0" w:color="000000"/>
              <w:right w:val="single" w:sz="4" w:space="0" w:color="000000"/>
            </w:tcBorders>
            <w:shd w:val="clear" w:color="auto" w:fill="D2D2D2"/>
          </w:tcPr>
          <w:p>
            <w:pPr/>
          </w:p>
        </w:tc>
        <w:tc>
          <w:tcPr>
            <w:tcW w:w="1517"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pacing w:val="-3"/>
                <w:sz w:val="18"/>
                <w:szCs w:val="18"/>
              </w:rPr>
              <w:t>万元，福建省残疾人</w:t>
            </w:r>
          </w:p>
        </w:tc>
      </w:tr>
      <w:tr>
        <w:trPr>
          <w:trHeight w:val="312" w:hRule="exact"/>
        </w:trPr>
        <w:tc>
          <w:tcPr>
            <w:tcW w:w="3298" w:type="dxa"/>
            <w:vMerge/>
            <w:tcBorders>
              <w:left w:val="single" w:sz="4" w:space="0" w:color="000000"/>
              <w:right w:val="single" w:sz="4" w:space="0" w:color="000000"/>
            </w:tcBorders>
            <w:shd w:val="clear" w:color="auto" w:fill="D2D2D2"/>
          </w:tcPr>
          <w:p>
            <w:pPr/>
          </w:p>
        </w:tc>
        <w:tc>
          <w:tcPr>
            <w:tcW w:w="1517"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pacing w:val="-3"/>
                <w:sz w:val="18"/>
                <w:szCs w:val="18"/>
              </w:rPr>
              <w:t>劳动就业服务中心扶</w:t>
            </w:r>
          </w:p>
        </w:tc>
      </w:tr>
      <w:tr>
        <w:trPr>
          <w:trHeight w:val="319" w:hRule="exact"/>
        </w:trPr>
        <w:tc>
          <w:tcPr>
            <w:tcW w:w="3298" w:type="dxa"/>
            <w:vMerge/>
            <w:tcBorders>
              <w:left w:val="single" w:sz="4" w:space="0" w:color="000000"/>
              <w:right w:val="single" w:sz="4" w:space="0" w:color="000000"/>
            </w:tcBorders>
            <w:shd w:val="clear" w:color="auto" w:fill="D2D2D2"/>
          </w:tcPr>
          <w:p>
            <w:pPr/>
          </w:p>
        </w:tc>
        <w:tc>
          <w:tcPr>
            <w:tcW w:w="1517"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残助残奖励费</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19.79</w:t>
            </w:r>
          </w:p>
        </w:tc>
      </w:tr>
      <w:tr>
        <w:trPr>
          <w:trHeight w:val="349" w:hRule="exact"/>
        </w:trPr>
        <w:tc>
          <w:tcPr>
            <w:tcW w:w="3298" w:type="dxa"/>
            <w:vMerge/>
            <w:tcBorders>
              <w:left w:val="single" w:sz="4" w:space="0" w:color="000000"/>
              <w:bottom w:val="single" w:sz="4" w:space="0" w:color="000000"/>
              <w:right w:val="single" w:sz="4" w:space="0" w:color="000000"/>
            </w:tcBorders>
            <w:shd w:val="clear" w:color="auto" w:fill="D2D2D2"/>
          </w:tcPr>
          <w:p>
            <w:pPr/>
          </w:p>
        </w:tc>
        <w:tc>
          <w:tcPr>
            <w:tcW w:w="1517" w:type="dxa"/>
            <w:vMerge/>
            <w:tcBorders>
              <w:left w:val="single" w:sz="4" w:space="0" w:color="000000"/>
              <w:bottom w:val="single" w:sz="4" w:space="0" w:color="000000"/>
              <w:right w:val="single" w:sz="4" w:space="0" w:color="000000"/>
            </w:tcBorders>
          </w:tcPr>
          <w:p>
            <w:pPr/>
          </w:p>
        </w:tc>
        <w:tc>
          <w:tcPr>
            <w:tcW w:w="1522" w:type="dxa"/>
            <w:vMerge/>
            <w:tcBorders>
              <w:left w:val="single" w:sz="4" w:space="0" w:color="000000"/>
              <w:bottom w:val="single" w:sz="4" w:space="0" w:color="000000"/>
              <w:right w:val="single" w:sz="4" w:space="0" w:color="000000"/>
            </w:tcBorders>
          </w:tcPr>
          <w:p>
            <w:pPr/>
          </w:p>
        </w:tc>
        <w:tc>
          <w:tcPr>
            <w:tcW w:w="1522" w:type="dxa"/>
            <w:vMerge/>
            <w:tcBorders>
              <w:left w:val="single" w:sz="4" w:space="0" w:color="000000"/>
              <w:bottom w:val="single" w:sz="4" w:space="0" w:color="000000"/>
              <w:right w:val="single" w:sz="4" w:space="0" w:color="000000"/>
            </w:tcBorders>
          </w:tcPr>
          <w:p>
            <w:pPr/>
          </w:p>
        </w:tc>
        <w:tc>
          <w:tcPr>
            <w:tcW w:w="170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万元等</w:t>
            </w:r>
          </w:p>
        </w:tc>
      </w:tr>
      <w:tr>
        <w:trPr>
          <w:trHeight w:val="403" w:hRule="exact"/>
        </w:trPr>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除上述各项之外的其他营业外收入和支出</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-21,638.08</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-795,467.74</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-364,180.46</w:t>
            </w:r>
          </w:p>
        </w:tc>
        <w:tc>
          <w:tcPr>
            <w:tcW w:w="170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6,558,725.56</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802,820.66</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1,288,471.84</w:t>
            </w:r>
          </w:p>
        </w:tc>
        <w:tc>
          <w:tcPr>
            <w:tcW w:w="170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少数股东权益影响额（税后）</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307,683.98</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7,951.26</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953,896.69</w:t>
            </w:r>
          </w:p>
        </w:tc>
        <w:tc>
          <w:tcPr>
            <w:tcW w:w="1709"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38,070,076.04</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4,264,831.27</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1,769,781.62</w:t>
            </w:r>
          </w:p>
        </w:tc>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3" w:right="0"/>
              <w:jc w:val="center"/>
              <w:rPr>
                <w:rFonts w:ascii="Times New Roman" w:hAnsi="Times New Roman" w:cs="Times New Roman" w:eastAsia="Times New Roman" w:hint="default"/>
                <w:sz w:val="18"/>
                <w:szCs w:val="18"/>
              </w:rPr>
            </w:pPr>
            <w:r>
              <w:rPr>
                <w:rFonts w:ascii="Times New Roman"/>
                <w:sz w:val="18"/>
              </w:rPr>
              <w:t>--</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5"/>
          <w:sz w:val="18"/>
          <w:szCs w:val="18"/>
        </w:rPr>
        <w:t>对公司根据《公开发行证券的公司信息披露解释性公告第 </w:t>
      </w:r>
      <w:r>
        <w:rPr>
          <w:rFonts w:ascii="Times New Roman" w:hAnsi="Times New Roman" w:cs="Times New Roman" w:eastAsia="Times New Roman" w:hint="default"/>
          <w:sz w:val="18"/>
          <w:szCs w:val="18"/>
        </w:rPr>
        <w:t>1  </w:t>
      </w:r>
      <w:r>
        <w:rPr>
          <w:rFonts w:ascii="Times New Roman" w:hAnsi="Times New Roman" w:cs="Times New Roman" w:eastAsia="Times New Roman" w:hint="default"/>
          <w:spacing w:val="19"/>
          <w:sz w:val="18"/>
          <w:szCs w:val="18"/>
        </w:rPr>
        <w:t> </w:t>
      </w:r>
      <w:r>
        <w:rPr>
          <w:rFonts w:ascii="宋体" w:hAnsi="宋体" w:cs="宋体" w:eastAsia="宋体" w:hint="default"/>
          <w:spacing w:val="-10"/>
          <w:sz w:val="18"/>
          <w:szCs w:val="18"/>
        </w:rPr>
        <w:t>号</w:t>
      </w:r>
      <w:r>
        <w:rPr>
          <w:rFonts w:ascii="Times New Roman" w:hAnsi="Times New Roman" w:cs="Times New Roman" w:eastAsia="Times New Roman" w:hint="default"/>
          <w:spacing w:val="-10"/>
          <w:sz w:val="18"/>
          <w:szCs w:val="18"/>
        </w:rPr>
        <w:t>——</w:t>
      </w:r>
      <w:r>
        <w:rPr>
          <w:rFonts w:ascii="宋体" w:hAnsi="宋体" w:cs="宋体" w:eastAsia="宋体" w:hint="default"/>
          <w:spacing w:val="-10"/>
          <w:sz w:val="18"/>
          <w:szCs w:val="18"/>
        </w:rPr>
        <w:t>非经常性损益》定义界定的非经常性损益项目，以及把《公</w:t>
      </w:r>
    </w:p>
    <w:p>
      <w:pPr>
        <w:spacing w:line="304" w:lineRule="auto" w:before="6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开发行证券的公司信息披露解释性公告第 </w:t>
      </w:r>
      <w:r>
        <w:rPr>
          <w:rFonts w:ascii="Times New Roman" w:hAnsi="Times New Roman" w:cs="Times New Roman" w:eastAsia="Times New Roman" w:hint="default"/>
          <w:sz w:val="18"/>
          <w:szCs w:val="18"/>
        </w:rPr>
        <w:t>1 </w:t>
      </w:r>
      <w:r>
        <w:rPr>
          <w:rFonts w:ascii="宋体" w:hAnsi="宋体" w:cs="宋体" w:eastAsia="宋体" w:hint="default"/>
          <w:spacing w:val="-5"/>
          <w:sz w:val="18"/>
          <w:szCs w:val="18"/>
        </w:rPr>
        <w:t>号</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非经常性损益》中列举的非经常性损益项目界定为经常性损益的项目，应</w:t>
      </w:r>
      <w:r>
        <w:rPr>
          <w:rFonts w:ascii="宋体" w:hAnsi="宋体" w:cs="宋体" w:eastAsia="宋体" w:hint="default"/>
          <w:spacing w:val="-38"/>
          <w:sz w:val="18"/>
          <w:szCs w:val="18"/>
        </w:rPr>
        <w:t> </w:t>
      </w:r>
      <w:r>
        <w:rPr>
          <w:rFonts w:ascii="宋体" w:hAnsi="宋体" w:cs="宋体" w:eastAsia="宋体" w:hint="default"/>
          <w:spacing w:val="-38"/>
          <w:sz w:val="18"/>
          <w:szCs w:val="18"/>
        </w:rPr>
      </w:r>
      <w:r>
        <w:rPr>
          <w:rFonts w:ascii="宋体" w:hAnsi="宋体" w:cs="宋体" w:eastAsia="宋体" w:hint="default"/>
          <w:sz w:val="18"/>
          <w:szCs w:val="18"/>
        </w:rPr>
        <w:t>说明原因</w:t>
      </w:r>
    </w:p>
    <w:p>
      <w:pPr>
        <w:spacing w:before="66"/>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line="304" w:lineRule="auto" w:before="96"/>
        <w:ind w:left="152" w:right="0" w:firstLine="0"/>
        <w:jc w:val="left"/>
        <w:rPr>
          <w:rFonts w:ascii="宋体" w:hAnsi="宋体" w:cs="宋体" w:eastAsia="宋体" w:hint="default"/>
          <w:sz w:val="18"/>
          <w:szCs w:val="18"/>
        </w:rPr>
      </w:pPr>
      <w:r>
        <w:rPr>
          <w:rFonts w:ascii="宋体" w:hAnsi="宋体" w:cs="宋体" w:eastAsia="宋体" w:hint="default"/>
          <w:spacing w:val="-4"/>
          <w:sz w:val="18"/>
          <w:szCs w:val="18"/>
        </w:rPr>
        <w:t>公司报告期不存在将根据《公开发行证券的公司信息披露解释性公告第</w:t>
      </w:r>
      <w:r>
        <w:rPr>
          <w:rFonts w:ascii="宋体" w:hAnsi="宋体" w:cs="宋体" w:eastAsia="宋体" w:hint="default"/>
          <w:spacing w:val="21"/>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1"/>
          <w:sz w:val="18"/>
          <w:szCs w:val="18"/>
        </w:rPr>
        <w:t> </w:t>
      </w:r>
      <w:r>
        <w:rPr>
          <w:rFonts w:ascii="宋体" w:hAnsi="宋体" w:cs="宋体" w:eastAsia="宋体" w:hint="default"/>
          <w:spacing w:val="-5"/>
          <w:sz w:val="18"/>
          <w:szCs w:val="18"/>
        </w:rPr>
        <w:t>号</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非经常性损益》定义、列举的非经常性损益</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项目界定为经常性损益的项目的情形。</w:t>
      </w:r>
    </w:p>
    <w:p>
      <w:pPr>
        <w:spacing w:after="0" w:line="304" w:lineRule="auto"/>
        <w:jc w:val="left"/>
        <w:rPr>
          <w:rFonts w:ascii="宋体" w:hAnsi="宋体" w:cs="宋体" w:eastAsia="宋体" w:hint="default"/>
          <w:sz w:val="18"/>
          <w:szCs w:val="18"/>
        </w:rPr>
        <w:sectPr>
          <w:pgSz w:w="11900" w:h="16840"/>
          <w:pgMar w:header="742" w:footer="984" w:top="1060" w:bottom="118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0"/>
          <w:szCs w:val="20"/>
        </w:rPr>
      </w:pPr>
    </w:p>
    <w:p>
      <w:pPr>
        <w:pStyle w:val="Heading1"/>
        <w:spacing w:line="458" w:lineRule="exact"/>
        <w:ind w:right="3427"/>
        <w:jc w:val="center"/>
        <w:rPr>
          <w:b w:val="0"/>
          <w:bCs w:val="0"/>
        </w:rPr>
      </w:pPr>
      <w:bookmarkStart w:name="_TOC_250008" w:id="3"/>
      <w:r>
        <w:rPr/>
        <w:t>第三节 </w:t>
      </w:r>
      <w:r>
        <w:rPr>
          <w:spacing w:val="11"/>
        </w:rPr>
        <w:t> </w:t>
      </w:r>
      <w:r>
        <w:rPr/>
        <w:t>公司业务概要</w:t>
      </w:r>
      <w:bookmarkEnd w:id="3"/>
      <w:r>
        <w:rPr>
          <w:b w:val="0"/>
          <w:bCs w:val="0"/>
        </w:rPr>
      </w:r>
    </w:p>
    <w:p>
      <w:pPr>
        <w:spacing w:line="240" w:lineRule="auto" w:before="5"/>
        <w:rPr>
          <w:rFonts w:ascii="Microsoft JhengHei" w:hAnsi="Microsoft JhengHei" w:cs="Microsoft JhengHei" w:eastAsia="Microsoft JhengHei" w:hint="default"/>
          <w:b/>
          <w:bCs/>
          <w:sz w:val="22"/>
          <w:szCs w:val="22"/>
        </w:rPr>
      </w:pPr>
    </w:p>
    <w:p>
      <w:pPr>
        <w:pStyle w:val="Heading2"/>
        <w:spacing w:line="240" w:lineRule="auto"/>
        <w:ind w:right="0"/>
        <w:jc w:val="left"/>
        <w:rPr>
          <w:b w:val="0"/>
          <w:bCs w:val="0"/>
        </w:rPr>
      </w:pPr>
      <w:r>
        <w:rPr/>
        <w:t>一、报告期内公司从事的主要业务</w:t>
      </w:r>
      <w:r>
        <w:rPr>
          <w:b w:val="0"/>
          <w:bCs w:val="0"/>
        </w:rPr>
      </w:r>
    </w:p>
    <w:p>
      <w:pPr>
        <w:spacing w:line="240" w:lineRule="auto" w:before="7"/>
        <w:rPr>
          <w:rFonts w:ascii="Microsoft JhengHei" w:hAnsi="Microsoft JhengHei" w:cs="Microsoft JhengHei" w:eastAsia="Microsoft JhengHei" w:hint="default"/>
          <w:b/>
          <w:bCs/>
          <w:sz w:val="17"/>
          <w:szCs w:val="17"/>
        </w:rPr>
      </w:pPr>
    </w:p>
    <w:p>
      <w:pPr>
        <w:pStyle w:val="BodyText"/>
        <w:spacing w:line="240" w:lineRule="auto"/>
        <w:ind w:left="575" w:right="0"/>
        <w:jc w:val="left"/>
      </w:pPr>
      <w:r>
        <w:rPr/>
        <w:t>报告期内，公司主要开展票据票证印刷与高端包装印刷、网络技术服务与电子彩票代购及彩种研发、</w:t>
      </w:r>
    </w:p>
    <w:p>
      <w:pPr>
        <w:pStyle w:val="BodyText"/>
        <w:spacing w:line="240" w:lineRule="auto" w:before="37"/>
        <w:ind w:right="0"/>
        <w:jc w:val="left"/>
      </w:pPr>
      <w:r>
        <w:rPr>
          <w:rFonts w:ascii="Times New Roman" w:hAnsi="Times New Roman" w:cs="Times New Roman" w:eastAsia="Times New Roman" w:hint="default"/>
        </w:rPr>
        <w:t>RFID</w:t>
      </w:r>
      <w:r>
        <w:rPr/>
        <w:t>智能标签制作等业务。</w:t>
      </w:r>
    </w:p>
    <w:p>
      <w:pPr>
        <w:pStyle w:val="BodyText"/>
        <w:spacing w:line="240" w:lineRule="auto" w:before="21"/>
        <w:ind w:left="575" w:right="0"/>
        <w:jc w:val="left"/>
      </w:pPr>
      <w:r>
        <w:rPr/>
        <w:t>（一）公司主要产品及用途</w:t>
      </w:r>
    </w:p>
    <w:p>
      <w:pPr>
        <w:pStyle w:val="BodyText"/>
        <w:spacing w:line="264" w:lineRule="auto" w:before="37"/>
        <w:ind w:right="146" w:firstLine="422"/>
        <w:jc w:val="both"/>
      </w:pPr>
      <w:r>
        <w:rPr>
          <w:rFonts w:ascii="Times New Roman" w:hAnsi="Times New Roman" w:cs="Times New Roman" w:eastAsia="Times New Roman" w:hint="default"/>
          <w:spacing w:val="-2"/>
        </w:rPr>
        <w:t>1.</w:t>
      </w:r>
      <w:r>
        <w:rPr>
          <w:spacing w:val="-2"/>
        </w:rPr>
        <w:t>票证产品。主要包括彩票热敏纸票证产品、普通税务发票、证书证件等，产品主要用于彩票发行、</w:t>
      </w:r>
      <w:r>
        <w:rPr>
          <w:w w:val="100"/>
        </w:rPr>
        <w:t> </w:t>
      </w:r>
      <w:r>
        <w:rPr>
          <w:spacing w:val="-2"/>
        </w:rPr>
        <w:t>税务、交通、金融、保险等领域。该类产品业务业绩驱动受政府财政、税收、彩票销量等因素影响。公司</w:t>
      </w:r>
      <w:r>
        <w:rPr>
          <w:spacing w:val="-41"/>
        </w:rPr>
        <w:t> </w:t>
      </w:r>
      <w:r>
        <w:rPr>
          <w:spacing w:val="-41"/>
        </w:rPr>
      </w:r>
      <w:r>
        <w:rPr/>
        <w:t>主要通过招投标模式开展业务，报告期内，公司主要产品业务、经营模式均未发生重大变化。</w:t>
      </w:r>
    </w:p>
    <w:p>
      <w:pPr>
        <w:pStyle w:val="BodyText"/>
        <w:spacing w:line="264" w:lineRule="auto" w:before="16"/>
        <w:ind w:right="142" w:firstLine="422"/>
        <w:jc w:val="both"/>
      </w:pPr>
      <w:r>
        <w:rPr>
          <w:rFonts w:ascii="Times New Roman" w:hAnsi="Times New Roman" w:cs="Times New Roman" w:eastAsia="Times New Roman" w:hint="default"/>
          <w:spacing w:val="-2"/>
        </w:rPr>
        <w:t>2.</w:t>
      </w:r>
      <w:r>
        <w:rPr>
          <w:spacing w:val="-2"/>
        </w:rPr>
        <w:t>包装办公用纸产品。主要包括包装装潢品、办公用纸等产品，产品主要用于包装材料。该类产品业</w:t>
      </w:r>
      <w:r>
        <w:rPr>
          <w:w w:val="100"/>
        </w:rPr>
        <w:t> </w:t>
      </w:r>
      <w:r>
        <w:rPr>
          <w:spacing w:val="-2"/>
        </w:rPr>
        <w:t>绩驱动与白酒行业销售情况关联性较强。公司高档酒盒包装通过招投标开展业务，主要为西南地区几家大</w:t>
      </w:r>
      <w:r>
        <w:rPr>
          <w:spacing w:val="-35"/>
        </w:rPr>
        <w:t> </w:t>
      </w:r>
      <w:r>
        <w:rPr>
          <w:spacing w:val="-35"/>
        </w:rPr>
      </w:r>
      <w:r>
        <w:rPr/>
        <w:t>型酒厂提供包装业务。报告期内，该业务未发生重大变化。</w:t>
      </w:r>
    </w:p>
    <w:p>
      <w:pPr>
        <w:pStyle w:val="BodyText"/>
        <w:spacing w:line="266" w:lineRule="auto" w:before="16"/>
        <w:ind w:right="142" w:firstLine="422"/>
        <w:jc w:val="both"/>
      </w:pPr>
      <w:r>
        <w:rPr>
          <w:rFonts w:ascii="Times New Roman" w:hAnsi="Times New Roman" w:cs="Times New Roman" w:eastAsia="Times New Roman" w:hint="default"/>
          <w:spacing w:val="-2"/>
        </w:rPr>
        <w:t>3.</w:t>
      </w:r>
      <w:r>
        <w:rPr>
          <w:spacing w:val="-2"/>
        </w:rPr>
        <w:t>电子彩票代购、彩种研发及网络技术服务。产品服务主要包括彩票代购、新彩种开发及技术维护。</w:t>
      </w:r>
      <w:r>
        <w:rPr>
          <w:w w:val="100"/>
        </w:rPr>
        <w:t> </w:t>
      </w:r>
      <w:r>
        <w:rPr>
          <w:spacing w:val="-2"/>
        </w:rPr>
        <w:t>业绩驱动为产品服务的质量及市场的认可度等。报告期内，受国家政策影响，公司全面暂停电子彩票代购</w:t>
      </w:r>
      <w:r>
        <w:rPr>
          <w:spacing w:val="-35"/>
        </w:rPr>
        <w:t> </w:t>
      </w:r>
      <w:r>
        <w:rPr>
          <w:spacing w:val="-35"/>
        </w:rPr>
      </w:r>
      <w:r>
        <w:rPr>
          <w:spacing w:val="-2"/>
        </w:rPr>
        <w:t>业务，经营业绩受到一定程度影响。同时，由于彩种审批受市场环境、政策法规影响较大，公司虽成功开</w:t>
      </w:r>
      <w:r>
        <w:rPr>
          <w:spacing w:val="-40"/>
        </w:rPr>
        <w:t> </w:t>
      </w:r>
      <w:r>
        <w:rPr>
          <w:spacing w:val="-40"/>
        </w:rPr>
      </w:r>
      <w:r>
        <w:rPr/>
        <w:t>发了多款手机彩票游戏并积极进行市场推广，但目前尚未正式上线。</w:t>
      </w:r>
    </w:p>
    <w:p>
      <w:pPr>
        <w:pStyle w:val="BodyText"/>
        <w:spacing w:line="261" w:lineRule="auto" w:before="14"/>
        <w:ind w:right="143" w:firstLine="422"/>
        <w:jc w:val="both"/>
      </w:pPr>
      <w:r>
        <w:rPr>
          <w:rFonts w:ascii="Times New Roman" w:hAnsi="Times New Roman" w:cs="Times New Roman" w:eastAsia="Times New Roman" w:hint="default"/>
          <w:spacing w:val="-2"/>
        </w:rPr>
        <w:t>4.RFID</w:t>
      </w:r>
      <w:r>
        <w:rPr>
          <w:spacing w:val="-2"/>
        </w:rPr>
        <w:t>智能标签制作和物联网技术服务。主要生产智能标签、金融</w:t>
      </w:r>
      <w:r>
        <w:rPr>
          <w:rFonts w:ascii="Times New Roman" w:hAnsi="Times New Roman" w:cs="Times New Roman" w:eastAsia="Times New Roman" w:hint="default"/>
          <w:spacing w:val="-2"/>
        </w:rPr>
        <w:t>IC</w:t>
      </w:r>
      <w:r>
        <w:rPr>
          <w:spacing w:val="-2"/>
        </w:rPr>
        <w:t>卡、社保卡等，产品主要应用于</w:t>
      </w:r>
      <w:r>
        <w:rPr>
          <w:w w:val="100"/>
        </w:rPr>
        <w:t> </w:t>
      </w:r>
      <w:r>
        <w:rPr>
          <w:spacing w:val="-2"/>
        </w:rPr>
        <w:t>金融、保险等领域。报告期内，在完成相关资质认证后，公司通过招投标入围了多家中小商业银行金融</w:t>
      </w:r>
      <w:r>
        <w:rPr>
          <w:rFonts w:ascii="Times New Roman" w:hAnsi="Times New Roman" w:cs="Times New Roman" w:eastAsia="Times New Roman" w:hint="default"/>
          <w:spacing w:val="-2"/>
        </w:rPr>
        <w:t>IC</w:t>
      </w:r>
      <w:r>
        <w:rPr>
          <w:rFonts w:ascii="Times New Roman" w:hAnsi="Times New Roman" w:cs="Times New Roman" w:eastAsia="Times New Roman" w:hint="default"/>
          <w:spacing w:val="15"/>
        </w:rPr>
        <w:t> </w:t>
      </w:r>
      <w:r>
        <w:rPr>
          <w:rFonts w:ascii="Times New Roman" w:hAnsi="Times New Roman" w:cs="Times New Roman" w:eastAsia="Times New Roman" w:hint="default"/>
          <w:spacing w:val="15"/>
        </w:rPr>
      </w:r>
      <w:r>
        <w:rPr>
          <w:spacing w:val="-3"/>
        </w:rPr>
        <w:t>卡及部分省市社保卡供应商。物联网技术服务方面，公司基于</w:t>
      </w:r>
      <w:r>
        <w:rPr>
          <w:rFonts w:ascii="Times New Roman" w:hAnsi="Times New Roman" w:cs="Times New Roman" w:eastAsia="Times New Roman" w:hint="default"/>
          <w:spacing w:val="-3"/>
        </w:rPr>
        <w:t>RFID</w:t>
      </w:r>
      <w:r>
        <w:rPr>
          <w:spacing w:val="-3"/>
        </w:rPr>
        <w:t>技术射频识别及物联网技术服务解决方</w:t>
      </w:r>
      <w:r>
        <w:rPr>
          <w:spacing w:val="-49"/>
        </w:rPr>
        <w:t> </w:t>
      </w:r>
      <w:r>
        <w:rPr>
          <w:spacing w:val="-49"/>
        </w:rPr>
      </w:r>
      <w:r>
        <w:rPr>
          <w:spacing w:val="-2"/>
        </w:rPr>
        <w:t>案，开发了</w:t>
      </w:r>
      <w:r>
        <w:rPr>
          <w:rFonts w:ascii="Times New Roman" w:hAnsi="Times New Roman" w:cs="Times New Roman" w:eastAsia="Times New Roman" w:hint="default"/>
          <w:spacing w:val="-2"/>
        </w:rPr>
        <w:t>“</w:t>
      </w:r>
      <w:r>
        <w:rPr>
          <w:spacing w:val="-2"/>
        </w:rPr>
        <w:t>彩票物联网智能化管理及应用项目</w:t>
      </w:r>
      <w:r>
        <w:rPr>
          <w:rFonts w:ascii="Times New Roman" w:hAnsi="Times New Roman" w:cs="Times New Roman" w:eastAsia="Times New Roman" w:hint="default"/>
          <w:spacing w:val="-2"/>
        </w:rPr>
        <w:t>”</w:t>
      </w:r>
      <w:r>
        <w:rPr>
          <w:spacing w:val="-2"/>
        </w:rPr>
        <w:t>并正式在江苏省开展试点。目标是建立一个流畅的、针对</w:t>
      </w:r>
      <w:r>
        <w:rPr>
          <w:spacing w:val="-14"/>
        </w:rPr>
        <w:t> </w:t>
      </w:r>
      <w:r>
        <w:rPr>
          <w:spacing w:val="-14"/>
        </w:rPr>
      </w:r>
      <w:r>
        <w:rPr>
          <w:spacing w:val="-2"/>
        </w:rPr>
        <w:t>彩票热敏纸采购、生产、仓储、物流运输和消耗等各个环节的跟踪管理和统计分析系统，与供应商内部系</w:t>
      </w:r>
      <w:r>
        <w:rPr>
          <w:spacing w:val="-37"/>
        </w:rPr>
        <w:t> </w:t>
      </w:r>
      <w:r>
        <w:rPr>
          <w:spacing w:val="-37"/>
        </w:rPr>
      </w:r>
      <w:r>
        <w:rPr>
          <w:spacing w:val="-2"/>
        </w:rPr>
        <w:t>统、彩票销售管理系统及第三方物流系统密切协同，消除各协作方的信息隔离和数据滞后，为彩票的运营</w:t>
      </w:r>
      <w:r>
        <w:rPr>
          <w:spacing w:val="-35"/>
        </w:rPr>
        <w:t> </w:t>
      </w:r>
      <w:r>
        <w:rPr>
          <w:spacing w:val="-35"/>
        </w:rPr>
      </w:r>
      <w:r>
        <w:rPr/>
        <w:t>提供高效的支持。报告期内，该项目正在积极推进中。</w:t>
      </w:r>
    </w:p>
    <w:p>
      <w:pPr>
        <w:pStyle w:val="BodyText"/>
        <w:spacing w:line="240" w:lineRule="auto" w:before="18"/>
        <w:ind w:left="575" w:right="0"/>
        <w:jc w:val="left"/>
      </w:pPr>
      <w:r>
        <w:rPr/>
        <w:t>（二）公司所属行业的发展阶段、特点和行业地位</w:t>
      </w:r>
    </w:p>
    <w:p>
      <w:pPr>
        <w:pStyle w:val="BodyText"/>
        <w:spacing w:line="256" w:lineRule="auto" w:before="37"/>
        <w:ind w:right="170" w:firstLine="422"/>
        <w:jc w:val="both"/>
      </w:pPr>
      <w:r>
        <w:rPr>
          <w:rFonts w:ascii="Times New Roman" w:hAnsi="Times New Roman" w:cs="Times New Roman" w:eastAsia="Times New Roman" w:hint="default"/>
          <w:spacing w:val="-2"/>
        </w:rPr>
        <w:t>1.</w:t>
      </w:r>
      <w:r>
        <w:rPr>
          <w:spacing w:val="-2"/>
        </w:rPr>
        <w:t>印刷产业属于成熟行业，与国民经济发展景气度相关性强。公司属印刷产业细分领域的特种印刷行</w:t>
      </w:r>
      <w:r>
        <w:rPr>
          <w:w w:val="100"/>
        </w:rPr>
        <w:t> </w:t>
      </w:r>
      <w:r>
        <w:rPr/>
        <w:t>业，该行业对资金、技术门槛要求较高。经过多年发展，公司已成为行业龙头企业之一。</w:t>
      </w:r>
    </w:p>
    <w:p>
      <w:pPr>
        <w:pStyle w:val="BodyText"/>
        <w:spacing w:line="268" w:lineRule="auto" w:before="22"/>
        <w:ind w:right="142" w:firstLine="422"/>
        <w:jc w:val="both"/>
      </w:pPr>
      <w:r>
        <w:rPr>
          <w:rFonts w:ascii="Times New Roman" w:hAnsi="Times New Roman" w:cs="Times New Roman" w:eastAsia="Times New Roman" w:hint="default"/>
          <w:spacing w:val="-2"/>
        </w:rPr>
        <w:t>2.</w:t>
      </w:r>
      <w:r>
        <w:rPr>
          <w:spacing w:val="-2"/>
        </w:rPr>
        <w:t>网络技术服务与电子彩票代购、彩种研发是公司布局彩票产业链的延伸，属于互联网细分行业。电</w:t>
      </w:r>
      <w:r>
        <w:rPr>
          <w:w w:val="100"/>
        </w:rPr>
        <w:t> </w:t>
      </w:r>
      <w:r>
        <w:rPr>
          <w:spacing w:val="-2"/>
        </w:rPr>
        <w:t>子彩票与彩种研发受政策、市场环境影响较大。由于在彩票热敏票印制领域的重要地位，公司积极向彩票</w:t>
      </w:r>
      <w:r>
        <w:rPr>
          <w:spacing w:val="-35"/>
        </w:rPr>
        <w:t> </w:t>
      </w:r>
      <w:r>
        <w:rPr>
          <w:spacing w:val="-35"/>
        </w:rPr>
      </w:r>
      <w:r>
        <w:rPr>
          <w:spacing w:val="-2"/>
        </w:rPr>
        <w:t>上下游产业链延伸。通对玩法、数字设计并融入民族、历史、地域文化积极开发新型彩种，同时利用互联</w:t>
      </w:r>
      <w:r>
        <w:rPr>
          <w:spacing w:val="-40"/>
        </w:rPr>
        <w:t> </w:t>
      </w:r>
      <w:r>
        <w:rPr>
          <w:spacing w:val="-40"/>
        </w:rPr>
      </w:r>
      <w:r>
        <w:rPr>
          <w:spacing w:val="-2"/>
        </w:rPr>
        <w:t>网大发展的机会积极切入线上电子彩票代购业务。公司投入彩种研发及电子彩票业务较早，在行业内占据</w:t>
      </w:r>
      <w:r>
        <w:rPr>
          <w:spacing w:val="-35"/>
        </w:rPr>
        <w:t> </w:t>
      </w:r>
      <w:r>
        <w:rPr>
          <w:spacing w:val="-35"/>
        </w:rPr>
      </w:r>
      <w:r>
        <w:rPr/>
        <w:t>重要地位。</w:t>
      </w:r>
    </w:p>
    <w:p>
      <w:pPr>
        <w:pStyle w:val="BodyText"/>
        <w:spacing w:line="256" w:lineRule="auto" w:before="12"/>
        <w:ind w:right="142" w:firstLine="422"/>
        <w:jc w:val="both"/>
      </w:pPr>
      <w:r>
        <w:rPr>
          <w:rFonts w:ascii="Times New Roman" w:hAnsi="Times New Roman" w:cs="Times New Roman" w:eastAsia="Times New Roman" w:hint="default"/>
          <w:spacing w:val="-2"/>
        </w:rPr>
        <w:t>3.RFID</w:t>
      </w:r>
      <w:r>
        <w:rPr>
          <w:spacing w:val="-2"/>
        </w:rPr>
        <w:t>智能标签制作和物联网技术服务是公司新兴业务布局的重要板块，属于电子信息服务行业。行</w:t>
      </w:r>
      <w:r>
        <w:rPr>
          <w:w w:val="100"/>
        </w:rPr>
        <w:t> </w:t>
      </w:r>
      <w:r>
        <w:rPr/>
        <w:t>业对技术要求高、资金投入大。公司新进入该行业，目前正在积极加大研发投入，增加技术储备。</w:t>
      </w:r>
    </w:p>
    <w:p>
      <w:pPr>
        <w:spacing w:line="240" w:lineRule="auto" w:before="9"/>
        <w:rPr>
          <w:rFonts w:ascii="宋体" w:hAnsi="宋体" w:cs="宋体" w:eastAsia="宋体" w:hint="default"/>
          <w:sz w:val="16"/>
          <w:szCs w:val="16"/>
        </w:rPr>
      </w:pPr>
    </w:p>
    <w:p>
      <w:pPr>
        <w:pStyle w:val="Heading2"/>
        <w:spacing w:line="240" w:lineRule="auto"/>
        <w:ind w:right="0"/>
        <w:jc w:val="left"/>
        <w:rPr>
          <w:b w:val="0"/>
          <w:bCs w:val="0"/>
        </w:rPr>
      </w:pPr>
      <w:r>
        <w:rPr/>
        <w:t>二、主要资产重大变化情况</w:t>
      </w:r>
      <w:r>
        <w:rPr>
          <w:b w:val="0"/>
          <w:bCs w:val="0"/>
        </w:rPr>
      </w:r>
    </w:p>
    <w:p>
      <w:pPr>
        <w:spacing w:line="240" w:lineRule="auto" w:before="5"/>
        <w:rPr>
          <w:rFonts w:ascii="Microsoft JhengHei" w:hAnsi="Microsoft JhengHei" w:cs="Microsoft JhengHei" w:eastAsia="Microsoft JhengHei" w:hint="default"/>
          <w:b/>
          <w:bCs/>
          <w:sz w:val="13"/>
          <w:szCs w:val="13"/>
        </w:rPr>
      </w:pPr>
    </w:p>
    <w:p>
      <w:pPr>
        <w:pStyle w:val="Heading4"/>
        <w:spacing w:line="240" w:lineRule="auto"/>
        <w:ind w:right="0"/>
        <w:jc w:val="left"/>
        <w:rPr>
          <w:b w:val="0"/>
          <w:bCs w:val="0"/>
        </w:rPr>
      </w:pPr>
      <w:r>
        <w:rPr>
          <w:rFonts w:ascii="Times New Roman" w:hAnsi="Times New Roman" w:cs="Times New Roman" w:eastAsia="Times New Roman" w:hint="default"/>
        </w:rPr>
        <w:t>1</w:t>
      </w:r>
      <w:r>
        <w:rPr/>
        <w:t>、主要资产重大变化情况</w:t>
      </w:r>
      <w:r>
        <w:rPr>
          <w:b w:val="0"/>
          <w:bCs w:val="0"/>
        </w:rPr>
      </w:r>
    </w:p>
    <w:p>
      <w:pPr>
        <w:spacing w:line="240" w:lineRule="auto" w:before="12"/>
        <w:rPr>
          <w:rFonts w:ascii="Microsoft JhengHei" w:hAnsi="Microsoft JhengHei" w:cs="Microsoft JhengHei" w:eastAsia="Microsoft JhengHei" w:hint="default"/>
          <w:b/>
          <w:bCs/>
          <w:sz w:val="18"/>
          <w:szCs w:val="18"/>
        </w:rPr>
      </w:pPr>
    </w:p>
    <w:p>
      <w:pPr>
        <w:spacing w:line="782" w:lineRule="exact"/>
        <w:ind w:left="148"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15"/>
          <w:sz w:val="20"/>
          <w:szCs w:val="20"/>
        </w:rPr>
        <w:pict>
          <v:group style="width:478.8pt;height:39.15pt;mso-position-horizontal-relative:char;mso-position-vertical-relative:line" coordorigin="0,0" coordsize="9576,783">
            <v:group style="position:absolute;left:10;top:10;width:3044;height:2" coordorigin="10,10" coordsize="3044,2">
              <v:shape style="position:absolute;left:10;top:10;width:3044;height:2" coordorigin="10,10" coordsize="3044,0" path="m10,10l3053,10e" filled="false" stroked="true" strokeweight=".48pt" strokecolor="#000000">
                <v:path arrowok="t"/>
              </v:shape>
            </v:group>
            <v:group style="position:absolute;left:3062;top:10;width:6504;height:2" coordorigin="3062,10" coordsize="6504,2">
              <v:shape style="position:absolute;left:3062;top:10;width:6504;height:2" coordorigin="3062,10" coordsize="6504,0" path="m3062,10l9566,10e" filled="false" stroked="true" strokeweight=".48pt" strokecolor="#000000">
                <v:path arrowok="t"/>
              </v:shape>
            </v:group>
            <v:group style="position:absolute;left:22;top:188;width:2;height:388" coordorigin="22,188" coordsize="2,388">
              <v:shape style="position:absolute;left:22;top:188;width:2;height:388" coordorigin="22,188" coordsize="0,388" path="m22,188l22,576e" filled="false" stroked="true" strokeweight="1.2pt" strokecolor="#d2d2d2">
                <v:path arrowok="t"/>
              </v:shape>
            </v:group>
            <v:group style="position:absolute;left:10;top:14;width:3044;height:174" coordorigin="10,14" coordsize="3044,174">
              <v:shape style="position:absolute;left:10;top:14;width:3044;height:174" coordorigin="10,14" coordsize="3044,174" path="m10,188l3053,188,3053,14,10,14,10,188xe" filled="true" fillcolor="#d2d2d2" stroked="false">
                <v:path arrowok="t"/>
                <v:fill type="solid"/>
              </v:shape>
            </v:group>
            <v:group style="position:absolute;left:3041;top:187;width:2;height:389" coordorigin="3041,187" coordsize="2,389">
              <v:shape style="position:absolute;left:3041;top:187;width:2;height:389" coordorigin="3041,187" coordsize="0,389" path="m3041,187l3041,576e" filled="false" stroked="true" strokeweight="1.2pt" strokecolor="#d2d2d2">
                <v:path arrowok="t"/>
              </v:shape>
            </v:group>
            <v:group style="position:absolute;left:10;top:576;width:3044;height:192" coordorigin="10,576" coordsize="3044,192">
              <v:shape style="position:absolute;left:10;top:576;width:3044;height:192" coordorigin="10,576" coordsize="3044,192" path="m3053,576l10,576,10,768,3053,768,3053,576xe" filled="true" fillcolor="#d2d2d2" stroked="false">
                <v:path arrowok="t"/>
                <v:fill type="solid"/>
              </v:shape>
            </v:group>
            <v:group style="position:absolute;left:34;top:187;width:2996;height:389" coordorigin="34,187" coordsize="2996,389">
              <v:shape style="position:absolute;left:34;top:187;width:2996;height:389" coordorigin="34,187" coordsize="2996,389" path="m34,576l3029,576,3029,187,34,187,34,576xe" filled="true" fillcolor="#d2d2d2" stroked="false">
                <v:path arrowok="t"/>
                <v:fill type="solid"/>
              </v:shape>
            </v:group>
            <v:group style="position:absolute;left:3072;top:188;width:2;height:388" coordorigin="3072,188" coordsize="2,388">
              <v:shape style="position:absolute;left:3072;top:188;width:2;height:388" coordorigin="3072,188" coordsize="0,388" path="m3072,188l3072,576e" filled="false" stroked="true" strokeweight=".96pt" strokecolor="#d2d2d2">
                <v:path arrowok="t"/>
              </v:shape>
            </v:group>
            <v:group style="position:absolute;left:3062;top:14;width:6504;height:174" coordorigin="3062,14" coordsize="6504,174">
              <v:shape style="position:absolute;left:3062;top:14;width:6504;height:174" coordorigin="3062,14" coordsize="6504,174" path="m3062,188l9566,188,9566,14,3062,14,3062,188xe" filled="true" fillcolor="#d2d2d2" stroked="false">
                <v:path arrowok="t"/>
                <v:fill type="solid"/>
              </v:shape>
            </v:group>
            <v:group style="position:absolute;left:9554;top:187;width:2;height:389" coordorigin="9554,187" coordsize="2,389">
              <v:shape style="position:absolute;left:9554;top:187;width:2;height:389" coordorigin="9554,187" coordsize="0,389" path="m9554,187l9554,576e" filled="false" stroked="true" strokeweight="1.2pt" strokecolor="#d2d2d2">
                <v:path arrowok="t"/>
              </v:shape>
            </v:group>
            <v:group style="position:absolute;left:3062;top:576;width:6504;height:192" coordorigin="3062,576" coordsize="6504,192">
              <v:shape style="position:absolute;left:3062;top:576;width:6504;height:192" coordorigin="3062,576" coordsize="6504,192" path="m9566,576l3062,576,3062,768,9566,768,9566,576xe" filled="true" fillcolor="#d2d2d2" stroked="false">
                <v:path arrowok="t"/>
                <v:fill type="solid"/>
              </v:shape>
            </v:group>
            <v:group style="position:absolute;left:3082;top:187;width:6461;height:389" coordorigin="3082,187" coordsize="6461,389">
              <v:shape style="position:absolute;left:3082;top:187;width:6461;height:389" coordorigin="3082,187" coordsize="6461,389" path="m3082,576l9542,576,9542,187,3082,187,3082,576xe" filled="true" fillcolor="#d2d2d2" stroked="false">
                <v:path arrowok="t"/>
                <v:fill type="solid"/>
              </v:shape>
            </v:group>
            <v:group style="position:absolute;left:5;top:5;width:2;height:773" coordorigin="5,5" coordsize="2,773">
              <v:shape style="position:absolute;left:5;top:5;width:2;height:773" coordorigin="5,5" coordsize="0,773" path="m5,5l5,778e" filled="false" stroked="true" strokeweight=".48pt" strokecolor="#000000">
                <v:path arrowok="t"/>
              </v:shape>
            </v:group>
            <v:group style="position:absolute;left:10;top:773;width:3044;height:2" coordorigin="10,773" coordsize="3044,2">
              <v:shape style="position:absolute;left:10;top:773;width:3044;height:2" coordorigin="10,773" coordsize="3044,0" path="m10,773l3053,773e" filled="false" stroked="true" strokeweight=".48pt" strokecolor="#000000">
                <v:path arrowok="t"/>
              </v:shape>
            </v:group>
            <v:group style="position:absolute;left:3058;top:5;width:2;height:773" coordorigin="3058,5" coordsize="2,773">
              <v:shape style="position:absolute;left:3058;top:5;width:2;height:773" coordorigin="3058,5" coordsize="0,773" path="m3058,5l3058,778e" filled="false" stroked="true" strokeweight=".48pt" strokecolor="#000000">
                <v:path arrowok="t"/>
              </v:shape>
            </v:group>
            <v:group style="position:absolute;left:3062;top:773;width:6504;height:2" coordorigin="3062,773" coordsize="6504,2">
              <v:shape style="position:absolute;left:3062;top:773;width:6504;height:2" coordorigin="3062,773" coordsize="6504,0" path="m3062,773l9566,773e" filled="false" stroked="true" strokeweight=".48pt" strokecolor="#000000">
                <v:path arrowok="t"/>
              </v:shape>
            </v:group>
            <v:group style="position:absolute;left:9571;top:5;width:2;height:773" coordorigin="9571,5" coordsize="2,773">
              <v:shape style="position:absolute;left:9571;top:5;width:2;height:773" coordorigin="9571,5" coordsize="0,773" path="m9571,5l9571,778e" filled="false" stroked="true" strokeweight=".48pt" strokecolor="#000000">
                <v:path arrowok="t"/>
              </v:shape>
              <v:shape style="position:absolute;left:5;top:10;width:3053;height:764" type="#_x0000_t202" filled="false" stroked="false">
                <v:textbox inset="0,0,0,0">
                  <w:txbxContent>
                    <w:p>
                      <w:pPr>
                        <w:spacing w:line="240" w:lineRule="auto" w:before="5"/>
                        <w:rPr>
                          <w:rFonts w:ascii="Microsoft JhengHei" w:hAnsi="Microsoft JhengHei" w:cs="Microsoft JhengHei" w:eastAsia="Microsoft JhengHei" w:hint="default"/>
                          <w:b/>
                          <w:bCs/>
                          <w:sz w:val="13"/>
                          <w:szCs w:val="13"/>
                        </w:rPr>
                      </w:pPr>
                    </w:p>
                    <w:p>
                      <w:pPr>
                        <w:spacing w:before="0"/>
                        <w:ind w:left="0" w:right="2" w:firstLine="0"/>
                        <w:jc w:val="center"/>
                        <w:rPr>
                          <w:rFonts w:ascii="宋体" w:hAnsi="宋体" w:cs="宋体" w:eastAsia="宋体" w:hint="default"/>
                          <w:sz w:val="18"/>
                          <w:szCs w:val="18"/>
                        </w:rPr>
                      </w:pPr>
                      <w:r>
                        <w:rPr>
                          <w:rFonts w:ascii="宋体" w:hAnsi="宋体" w:cs="宋体" w:eastAsia="宋体" w:hint="default"/>
                          <w:sz w:val="18"/>
                          <w:szCs w:val="18"/>
                        </w:rPr>
                        <w:t>主要资产</w:t>
                      </w:r>
                    </w:p>
                  </w:txbxContent>
                </v:textbox>
                <w10:wrap type="none"/>
              </v:shape>
              <v:shape style="position:absolute;left:5770;top:294;width:1085;height:183" type="#_x0000_t202" filled="false" stroked="false">
                <v:textbox inset="0,0,0,0">
                  <w:txbxContent>
                    <w:p>
                      <w:pPr>
                        <w:spacing w:line="182" w:lineRule="exact" w:before="0"/>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重大变化说明</w:t>
                      </w:r>
                    </w:p>
                  </w:txbxContent>
                </v:textbox>
                <w10:wrap type="none"/>
              </v:shape>
            </v:group>
          </v:group>
        </w:pict>
      </w:r>
      <w:r>
        <w:rPr>
          <w:rFonts w:ascii="Microsoft JhengHei" w:hAnsi="Microsoft JhengHei" w:cs="Microsoft JhengHei" w:eastAsia="Microsoft JhengHei" w:hint="default"/>
          <w:position w:val="-15"/>
          <w:sz w:val="20"/>
          <w:szCs w:val="20"/>
        </w:rPr>
      </w:r>
    </w:p>
    <w:p>
      <w:pPr>
        <w:spacing w:after="0" w:line="782" w:lineRule="exact"/>
        <w:rPr>
          <w:rFonts w:ascii="Microsoft JhengHei" w:hAnsi="Microsoft JhengHei" w:cs="Microsoft JhengHei" w:eastAsia="Microsoft JhengHei" w:hint="default"/>
          <w:sz w:val="20"/>
          <w:szCs w:val="20"/>
        </w:rPr>
        <w:sectPr>
          <w:pgSz w:w="11900" w:h="16840"/>
          <w:pgMar w:header="742" w:footer="984" w:top="1060" w:bottom="1180" w:left="980" w:right="980"/>
        </w:sectPr>
      </w:pPr>
    </w:p>
    <w:p>
      <w:pPr>
        <w:spacing w:line="240" w:lineRule="auto" w:before="12"/>
        <w:rPr>
          <w:rFonts w:ascii="Microsoft JhengHei" w:hAnsi="Microsoft JhengHei" w:cs="Microsoft JhengHei" w:eastAsia="Microsoft JhengHei" w:hint="default"/>
          <w:b/>
          <w:bCs/>
          <w:sz w:val="21"/>
          <w:szCs w:val="21"/>
        </w:rPr>
      </w:pPr>
    </w:p>
    <w:tbl>
      <w:tblPr>
        <w:tblW w:w="0" w:type="auto"/>
        <w:jc w:val="left"/>
        <w:tblInd w:w="148" w:type="dxa"/>
        <w:tblLayout w:type="fixed"/>
        <w:tblCellMar>
          <w:top w:w="0" w:type="dxa"/>
          <w:left w:w="0" w:type="dxa"/>
          <w:bottom w:w="0" w:type="dxa"/>
          <w:right w:w="0" w:type="dxa"/>
        </w:tblCellMar>
        <w:tblLook w:val="01E0"/>
      </w:tblPr>
      <w:tblGrid>
        <w:gridCol w:w="3053"/>
        <w:gridCol w:w="6514"/>
      </w:tblGrid>
      <w:tr>
        <w:trPr>
          <w:trHeight w:val="715" w:hRule="exact"/>
        </w:trPr>
        <w:tc>
          <w:tcPr>
            <w:tcW w:w="30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514"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3"/>
              <w:ind w:left="19" w:right="17"/>
              <w:jc w:val="left"/>
              <w:rPr>
                <w:rFonts w:ascii="宋体" w:hAnsi="宋体" w:cs="宋体" w:eastAsia="宋体" w:hint="default"/>
                <w:sz w:val="18"/>
                <w:szCs w:val="18"/>
              </w:rPr>
            </w:pPr>
            <w:r>
              <w:rPr>
                <w:rFonts w:ascii="宋体" w:hAnsi="宋体" w:cs="宋体" w:eastAsia="宋体" w:hint="default"/>
                <w:sz w:val="18"/>
                <w:szCs w:val="18"/>
              </w:rPr>
              <w:t>股权资产较期初增加 </w:t>
            </w:r>
            <w:r>
              <w:rPr>
                <w:rFonts w:ascii="Times New Roman" w:hAnsi="Times New Roman" w:cs="Times New Roman" w:eastAsia="Times New Roman" w:hint="default"/>
                <w:spacing w:val="-4"/>
                <w:sz w:val="18"/>
                <w:szCs w:val="18"/>
              </w:rPr>
              <w:t>54.50%</w:t>
            </w:r>
            <w:r>
              <w:rPr>
                <w:rFonts w:ascii="宋体" w:hAnsi="宋体" w:cs="宋体" w:eastAsia="宋体" w:hint="default"/>
                <w:spacing w:val="-4"/>
                <w:sz w:val="18"/>
                <w:szCs w:val="18"/>
              </w:rPr>
              <w:t>，主要原因系对</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中证信用增进股份有限公司</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进行投资</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Times New Roman" w:hAnsi="Times New Roman" w:cs="Times New Roman" w:eastAsia="Times New Roman" w:hint="default"/>
                <w:sz w:val="18"/>
                <w:szCs w:val="18"/>
              </w:rPr>
              <w:t>1 </w:t>
            </w:r>
            <w:r>
              <w:rPr>
                <w:rFonts w:ascii="Times New Roman" w:hAnsi="Times New Roman" w:cs="Times New Roman" w:eastAsia="Times New Roman" w:hint="default"/>
                <w:spacing w:val="33"/>
                <w:sz w:val="18"/>
                <w:szCs w:val="18"/>
              </w:rPr>
              <w:t> </w:t>
            </w:r>
            <w:r>
              <w:rPr>
                <w:rFonts w:ascii="宋体" w:hAnsi="宋体" w:cs="宋体" w:eastAsia="宋体" w:hint="default"/>
                <w:spacing w:val="-3"/>
                <w:sz w:val="18"/>
                <w:szCs w:val="18"/>
              </w:rPr>
              <w:t>亿元及减少部分成都农村商业银行股份有限公司的股权所致。</w:t>
            </w:r>
          </w:p>
        </w:tc>
      </w:tr>
      <w:tr>
        <w:trPr>
          <w:trHeight w:val="398" w:hRule="exact"/>
        </w:trPr>
        <w:tc>
          <w:tcPr>
            <w:tcW w:w="30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6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固定资产较期初增加</w:t>
            </w:r>
            <w:r>
              <w:rPr>
                <w:rFonts w:ascii="宋体" w:hAnsi="宋体" w:cs="宋体" w:eastAsia="宋体" w:hint="default"/>
                <w:spacing w:val="35"/>
                <w:sz w:val="18"/>
                <w:szCs w:val="18"/>
              </w:rPr>
              <w:t> </w:t>
            </w:r>
            <w:r>
              <w:rPr>
                <w:rFonts w:ascii="Times New Roman" w:hAnsi="Times New Roman" w:cs="Times New Roman" w:eastAsia="Times New Roman" w:hint="default"/>
                <w:spacing w:val="-3"/>
                <w:sz w:val="18"/>
                <w:szCs w:val="18"/>
              </w:rPr>
              <w:t>31.48%</w:t>
            </w:r>
            <w:r>
              <w:rPr>
                <w:rFonts w:ascii="宋体" w:hAnsi="宋体" w:cs="宋体" w:eastAsia="宋体" w:hint="default"/>
                <w:spacing w:val="-3"/>
                <w:sz w:val="18"/>
                <w:szCs w:val="18"/>
              </w:rPr>
              <w:t>，主要系收购合并科信盛彩增加的固定资产所致。</w:t>
            </w:r>
          </w:p>
        </w:tc>
      </w:tr>
      <w:tr>
        <w:trPr>
          <w:trHeight w:val="403" w:hRule="exact"/>
        </w:trPr>
        <w:tc>
          <w:tcPr>
            <w:tcW w:w="30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6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未发生重大变化。</w:t>
            </w:r>
          </w:p>
        </w:tc>
      </w:tr>
      <w:tr>
        <w:trPr>
          <w:trHeight w:val="715" w:hRule="exact"/>
        </w:trPr>
        <w:tc>
          <w:tcPr>
            <w:tcW w:w="30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6514"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53"/>
              <w:ind w:left="19" w:right="22"/>
              <w:jc w:val="left"/>
              <w:rPr>
                <w:rFonts w:ascii="宋体" w:hAnsi="宋体" w:cs="宋体" w:eastAsia="宋体" w:hint="default"/>
                <w:sz w:val="18"/>
                <w:szCs w:val="18"/>
              </w:rPr>
            </w:pPr>
            <w:r>
              <w:rPr>
                <w:rFonts w:ascii="宋体" w:hAnsi="宋体" w:cs="宋体" w:eastAsia="宋体" w:hint="default"/>
                <w:spacing w:val="-2"/>
                <w:w w:val="101"/>
                <w:sz w:val="18"/>
                <w:szCs w:val="18"/>
              </w:rPr>
              <w:t>在建工程较期初减少</w:t>
            </w:r>
            <w:r>
              <w:rPr>
                <w:rFonts w:ascii="宋体" w:hAnsi="宋体" w:cs="宋体" w:eastAsia="宋体" w:hint="default"/>
                <w:spacing w:val="-28"/>
                <w:w w:val="101"/>
                <w:sz w:val="18"/>
                <w:szCs w:val="18"/>
              </w:rPr>
              <w:t> </w:t>
            </w:r>
            <w:r>
              <w:rPr>
                <w:rFonts w:ascii="Times New Roman" w:hAnsi="Times New Roman" w:cs="Times New Roman" w:eastAsia="Times New Roman" w:hint="default"/>
                <w:spacing w:val="-6"/>
                <w:w w:val="101"/>
                <w:sz w:val="18"/>
                <w:szCs w:val="18"/>
              </w:rPr>
              <w:t>77.84%</w:t>
            </w:r>
            <w:r>
              <w:rPr>
                <w:rFonts w:ascii="宋体" w:hAnsi="宋体" w:cs="宋体" w:eastAsia="宋体" w:hint="default"/>
                <w:spacing w:val="-6"/>
                <w:w w:val="101"/>
                <w:sz w:val="18"/>
                <w:szCs w:val="18"/>
              </w:rPr>
              <w:t>，主要系北京数字化印刷基地建设项目按会计准则规定</w:t>
            </w:r>
            <w:r>
              <w:rPr>
                <w:rFonts w:ascii="宋体" w:hAnsi="宋体" w:cs="宋体" w:eastAsia="宋体" w:hint="default"/>
                <w:spacing w:val="-83"/>
                <w:w w:val="101"/>
                <w:sz w:val="18"/>
                <w:szCs w:val="18"/>
              </w:rPr>
              <w:t> </w:t>
            </w:r>
            <w:r>
              <w:rPr>
                <w:rFonts w:ascii="宋体" w:hAnsi="宋体" w:cs="宋体" w:eastAsia="宋体" w:hint="default"/>
                <w:spacing w:val="-83"/>
                <w:w w:val="101"/>
                <w:sz w:val="18"/>
                <w:szCs w:val="18"/>
              </w:rPr>
            </w:r>
            <w:r>
              <w:rPr>
                <w:rFonts w:ascii="宋体" w:hAnsi="宋体" w:cs="宋体" w:eastAsia="宋体" w:hint="default"/>
                <w:spacing w:val="-3"/>
                <w:sz w:val="18"/>
                <w:szCs w:val="18"/>
              </w:rPr>
              <w:t>结转固定资产所致。</w:t>
            </w:r>
          </w:p>
        </w:tc>
      </w:tr>
    </w:tbl>
    <w:p>
      <w:pPr>
        <w:spacing w:line="240" w:lineRule="auto" w:before="8"/>
        <w:rPr>
          <w:rFonts w:ascii="Microsoft JhengHei" w:hAnsi="Microsoft JhengHei" w:cs="Microsoft JhengHei" w:eastAsia="Microsoft JhengHei" w:hint="default"/>
          <w:b/>
          <w:bCs/>
          <w:sz w:val="14"/>
          <w:szCs w:val="14"/>
        </w:rPr>
      </w:pPr>
    </w:p>
    <w:p>
      <w:pPr>
        <w:pStyle w:val="Heading4"/>
        <w:spacing w:line="335" w:lineRule="exact"/>
        <w:ind w:right="109"/>
        <w:jc w:val="left"/>
        <w:rPr>
          <w:b w:val="0"/>
          <w:bCs w:val="0"/>
        </w:rPr>
      </w:pPr>
      <w:r>
        <w:rPr>
          <w:rFonts w:ascii="Times New Roman" w:hAnsi="Times New Roman" w:cs="Times New Roman" w:eastAsia="Times New Roman" w:hint="default"/>
        </w:rPr>
        <w:t>2</w:t>
      </w:r>
      <w:r>
        <w:rPr/>
        <w:t>、主要境外资产情况</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152" w:right="10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line="240" w:lineRule="auto" w:before="6"/>
        <w:rPr>
          <w:rFonts w:ascii="宋体" w:hAnsi="宋体" w:cs="宋体" w:eastAsia="宋体" w:hint="default"/>
          <w:sz w:val="17"/>
          <w:szCs w:val="17"/>
        </w:rPr>
      </w:pPr>
    </w:p>
    <w:p>
      <w:pPr>
        <w:pStyle w:val="Heading2"/>
        <w:spacing w:line="240" w:lineRule="auto"/>
        <w:ind w:right="109"/>
        <w:jc w:val="left"/>
        <w:rPr>
          <w:b w:val="0"/>
          <w:bCs w:val="0"/>
        </w:rPr>
      </w:pPr>
      <w:r>
        <w:rPr/>
        <w:t>三、核心竞争力分析</w:t>
      </w:r>
      <w:r>
        <w:rPr>
          <w:b w:val="0"/>
          <w:bCs w:val="0"/>
        </w:rPr>
      </w:r>
    </w:p>
    <w:p>
      <w:pPr>
        <w:spacing w:line="240" w:lineRule="auto" w:before="12"/>
        <w:rPr>
          <w:rFonts w:ascii="Microsoft JhengHei" w:hAnsi="Microsoft JhengHei" w:cs="Microsoft JhengHei" w:eastAsia="Microsoft JhengHei" w:hint="default"/>
          <w:b/>
          <w:bCs/>
          <w:sz w:val="17"/>
          <w:szCs w:val="17"/>
        </w:rPr>
      </w:pPr>
    </w:p>
    <w:p>
      <w:pPr>
        <w:pStyle w:val="BodyText"/>
        <w:spacing w:line="240" w:lineRule="auto"/>
        <w:ind w:left="575" w:right="109"/>
        <w:jc w:val="left"/>
      </w:pPr>
      <w:r>
        <w:rPr/>
        <w:t>报告期内，公司核心竞争力进一步增强。</w:t>
      </w:r>
    </w:p>
    <w:p>
      <w:pPr>
        <w:pStyle w:val="BodyText"/>
        <w:spacing w:line="273" w:lineRule="auto" w:before="70"/>
        <w:ind w:right="109" w:firstLine="422"/>
        <w:jc w:val="left"/>
      </w:pPr>
      <w:r>
        <w:rPr/>
        <w:t>第一 研发投入</w:t>
      </w:r>
      <w:r>
        <w:rPr>
          <w:spacing w:val="-31"/>
        </w:rPr>
        <w:t> </w:t>
      </w:r>
      <w:r>
        <w:rPr/>
        <w:t>彩种研发作为公司布局彩票链的核心业务，一直是公司研发投入的重点。随着公司研</w:t>
      </w:r>
      <w:r>
        <w:rPr>
          <w:w w:val="100"/>
        </w:rPr>
        <w:t> </w:t>
      </w:r>
      <w:r>
        <w:rPr>
          <w:spacing w:val="-2"/>
        </w:rPr>
        <w:t>发投入的加大，公司新型彩种的推出步伐不断加快，新型彩种玩法储备不断丰富，为公司彩票游戏、彩种</w:t>
      </w:r>
      <w:r>
        <w:rPr>
          <w:spacing w:val="-35"/>
        </w:rPr>
        <w:t> </w:t>
      </w:r>
      <w:r>
        <w:rPr>
          <w:spacing w:val="-35"/>
        </w:rPr>
      </w:r>
      <w:r>
        <w:rPr>
          <w:spacing w:val="-4"/>
        </w:rPr>
        <w:t>玩法的申报奠定了基础。同时公司在高档商业票据、高端包装印刷及智能标签等方面的技术实力不断增强，</w:t>
      </w:r>
      <w:r>
        <w:rPr>
          <w:spacing w:val="-49"/>
        </w:rPr>
        <w:t> </w:t>
      </w:r>
      <w:r>
        <w:rPr>
          <w:spacing w:val="-49"/>
        </w:rPr>
      </w:r>
      <w:r>
        <w:rPr/>
        <w:t>新产品的开发能力、品质控制以及印刷技术得到持续提高，进一步提升了公司的综合竞争力。</w:t>
      </w:r>
    </w:p>
    <w:p>
      <w:pPr>
        <w:pStyle w:val="BodyText"/>
        <w:spacing w:line="266" w:lineRule="auto" w:before="41"/>
        <w:ind w:right="109" w:firstLine="422"/>
        <w:jc w:val="left"/>
      </w:pPr>
      <w:r>
        <w:rPr/>
        <w:t>第二 产品服务</w:t>
      </w:r>
      <w:r>
        <w:rPr>
          <w:spacing w:val="9"/>
        </w:rPr>
        <w:t> </w:t>
      </w:r>
      <w:r>
        <w:rPr>
          <w:spacing w:val="-5"/>
        </w:rPr>
        <w:t>公司积极研发新产品</w:t>
      </w:r>
      <w:r>
        <w:rPr>
          <w:rFonts w:ascii="Times New Roman" w:hAnsi="Times New Roman" w:cs="Times New Roman" w:eastAsia="Times New Roman" w:hint="default"/>
          <w:spacing w:val="-5"/>
        </w:rPr>
        <w:t>,</w:t>
      </w:r>
      <w:r>
        <w:rPr>
          <w:spacing w:val="-5"/>
        </w:rPr>
        <w:t>开展新业务。报告期内，公司新印刷产品、新技术服务不断推出，</w:t>
      </w:r>
      <w:r>
        <w:rPr>
          <w:w w:val="100"/>
        </w:rPr>
        <w:t> </w:t>
      </w:r>
      <w:r>
        <w:rPr/>
        <w:t>新彩种储备进一步丰富。另外，公司通过收购北京中科彩技术有限公司</w:t>
      </w:r>
      <w:r>
        <w:rPr>
          <w:rFonts w:ascii="Times New Roman" w:hAnsi="Times New Roman" w:cs="Times New Roman" w:eastAsia="Times New Roman" w:hint="default"/>
        </w:rPr>
        <w:t>51%</w:t>
      </w:r>
      <w:r>
        <w:rPr/>
        <w:t>股权布局即开型体育彩票印制</w:t>
      </w:r>
      <w:r>
        <w:rPr>
          <w:spacing w:val="-92"/>
        </w:rPr>
        <w:t> </w:t>
      </w:r>
      <w:r>
        <w:rPr>
          <w:spacing w:val="-92"/>
        </w:rPr>
      </w:r>
      <w:r>
        <w:rPr/>
        <w:t>服务，进一步扩大了公司彩票产业链业务，并通过定增计划方案推出彩票物联网服务。使公司产品覆盖从</w:t>
      </w:r>
      <w:r>
        <w:rPr>
          <w:w w:val="100"/>
        </w:rPr>
        <w:t> </w:t>
      </w:r>
      <w:r>
        <w:rPr/>
        <w:t>单一的产品印刷到技术服务方案的解决；从单一的彩票印制到彩票玩法设计、平台搭建以及系统开发；从</w:t>
      </w:r>
      <w:r>
        <w:rPr>
          <w:w w:val="100"/>
        </w:rPr>
        <w:t> </w:t>
      </w:r>
      <w:r>
        <w:rPr/>
        <w:t>包装印刷到高档包装产品防伪</w:t>
      </w:r>
      <w:r>
        <w:rPr>
          <w:rFonts w:ascii="Times New Roman" w:hAnsi="Times New Roman" w:cs="Times New Roman" w:eastAsia="Times New Roman" w:hint="default"/>
        </w:rPr>
        <w:t>,</w:t>
      </w:r>
      <w:r>
        <w:rPr/>
        <w:t>实现了由单一产品提供商向方案解决以及服务提供商转变。</w:t>
      </w:r>
    </w:p>
    <w:p>
      <w:pPr>
        <w:pStyle w:val="BodyText"/>
        <w:spacing w:line="273" w:lineRule="auto" w:before="34"/>
        <w:ind w:right="222" w:firstLine="422"/>
        <w:jc w:val="both"/>
      </w:pPr>
      <w:r>
        <w:rPr/>
        <w:t>第三 业务布局</w:t>
      </w:r>
      <w:r>
        <w:rPr>
          <w:spacing w:val="-25"/>
        </w:rPr>
        <w:t> </w:t>
      </w:r>
      <w:r>
        <w:rPr/>
        <w:t>目前，公司建设了福州、无锡、北京、重庆、泸州五大印刷基地，形成了立足福建，</w:t>
      </w:r>
      <w:r>
        <w:rPr>
          <w:w w:val="100"/>
        </w:rPr>
        <w:t> </w:t>
      </w:r>
      <w:r>
        <w:rPr>
          <w:spacing w:val="-2"/>
        </w:rPr>
        <w:t>布局全国的战略格局，业务范围涵盖华南、华东、华北、西南。公司具备了以最快的速度、最短的交货周</w:t>
      </w:r>
      <w:r>
        <w:rPr>
          <w:spacing w:val="-36"/>
        </w:rPr>
        <w:t> </w:t>
      </w:r>
      <w:r>
        <w:rPr>
          <w:spacing w:val="-36"/>
        </w:rPr>
      </w:r>
      <w:r>
        <w:rPr/>
        <w:t>期为客户提供最好服务的优势。</w:t>
      </w:r>
    </w:p>
    <w:p>
      <w:pPr>
        <w:pStyle w:val="BodyText"/>
        <w:spacing w:line="268" w:lineRule="auto" w:before="41"/>
        <w:ind w:right="109" w:firstLine="422"/>
        <w:jc w:val="left"/>
      </w:pPr>
      <w:r>
        <w:rPr/>
        <w:t>第四 客户优势</w:t>
      </w:r>
      <w:r>
        <w:rPr>
          <w:spacing w:val="-32"/>
        </w:rPr>
        <w:t> </w:t>
      </w:r>
      <w:r>
        <w:rPr/>
        <w:t>公司继续保持与众多金融、保险、财税以及高端白酒客户稳定的合作关系。同时积极</w:t>
      </w:r>
      <w:r>
        <w:rPr>
          <w:w w:val="100"/>
        </w:rPr>
        <w:t> </w:t>
      </w:r>
      <w:r>
        <w:rPr>
          <w:spacing w:val="-4"/>
        </w:rPr>
        <w:t>深耕彩票行业领域客户，通过收购北京中科彩技术有限公司</w:t>
      </w:r>
      <w:r>
        <w:rPr>
          <w:rFonts w:ascii="Times New Roman" w:hAnsi="Times New Roman" w:cs="Times New Roman" w:eastAsia="Times New Roman" w:hint="default"/>
          <w:spacing w:val="-4"/>
        </w:rPr>
        <w:t>51%</w:t>
      </w:r>
      <w:r>
        <w:rPr>
          <w:spacing w:val="-4"/>
        </w:rPr>
        <w:t>股权，切入即开型体育彩票印制服务领域； </w:t>
      </w:r>
      <w:r>
        <w:rPr/>
        <w:t>通过电子彩票代购、彩种研发、彩票平台搭建，切入彩票上游彩种研发和下游销售领域。通过为客户提供</w:t>
      </w:r>
      <w:r>
        <w:rPr>
          <w:w w:val="100"/>
        </w:rPr>
        <w:t> </w:t>
      </w:r>
      <w:r>
        <w:rPr/>
        <w:t>个性化产品需求、系统解决方案，不断提升公司产品和服务附加值，深化与客户合作，进一步打造公司彩</w:t>
      </w:r>
      <w:r>
        <w:rPr>
          <w:w w:val="100"/>
        </w:rPr>
        <w:t> </w:t>
      </w:r>
      <w:r>
        <w:rPr/>
        <w:t>票全产业链布局，形成新的利润增长点。</w:t>
      </w:r>
    </w:p>
    <w:p>
      <w:pPr>
        <w:pStyle w:val="BodyText"/>
        <w:spacing w:line="268" w:lineRule="auto" w:before="45"/>
        <w:ind w:right="222" w:firstLine="422"/>
        <w:jc w:val="both"/>
      </w:pPr>
      <w:r>
        <w:rPr/>
        <w:t>第五 管理优化</w:t>
      </w:r>
      <w:r>
        <w:rPr>
          <w:spacing w:val="-25"/>
        </w:rPr>
        <w:t> </w:t>
      </w:r>
      <w:r>
        <w:rPr/>
        <w:t>报告期内，公司进一步优化管理，一方面整合子公司电子彩票代购业务，由广州彩创</w:t>
      </w:r>
      <w:r>
        <w:rPr>
          <w:w w:val="100"/>
        </w:rPr>
        <w:t> </w:t>
      </w:r>
      <w:r>
        <w:rPr>
          <w:spacing w:val="-1"/>
        </w:rPr>
        <w:t>集中开展电子彩票</w:t>
      </w:r>
      <w:r>
        <w:rPr>
          <w:rFonts w:ascii="Times New Roman" w:hAnsi="Times New Roman" w:cs="Times New Roman" w:eastAsia="Times New Roman" w:hint="default"/>
          <w:spacing w:val="-1"/>
        </w:rPr>
        <w:t>B2B</w:t>
      </w:r>
      <w:r>
        <w:rPr>
          <w:spacing w:val="-1"/>
        </w:rPr>
        <w:t>业务和</w:t>
      </w:r>
      <w:r>
        <w:rPr>
          <w:rFonts w:ascii="Times New Roman" w:hAnsi="Times New Roman" w:cs="Times New Roman" w:eastAsia="Times New Roman" w:hint="default"/>
          <w:spacing w:val="-1"/>
        </w:rPr>
        <w:t>B2C</w:t>
      </w:r>
      <w:r>
        <w:rPr>
          <w:spacing w:val="-1"/>
        </w:rPr>
        <w:t>业务。另一方面加大彩种研发投入，整合彩种研发业务。公司把北京钻</w:t>
      </w:r>
      <w:r>
        <w:rPr>
          <w:spacing w:val="-13"/>
        </w:rPr>
        <w:t> </w:t>
      </w:r>
      <w:r>
        <w:rPr>
          <w:spacing w:val="-2"/>
        </w:rPr>
        <w:t>研部分彩种研发团队并入公司总部彩票事业部，负责国内彩种研发与市场推广。公司业务在业务整合和团</w:t>
      </w:r>
      <w:r>
        <w:rPr>
          <w:spacing w:val="-35"/>
        </w:rPr>
        <w:t> </w:t>
      </w:r>
      <w:r>
        <w:rPr>
          <w:spacing w:val="-35"/>
        </w:rPr>
      </w:r>
      <w:r>
        <w:rPr>
          <w:spacing w:val="-2"/>
        </w:rPr>
        <w:t>队优化，不断提升企业管理层次，提高工作效率，使管理更加科学、合理，保证公司健康、稳定、持续发</w:t>
      </w:r>
      <w:r>
        <w:rPr>
          <w:spacing w:val="-41"/>
        </w:rPr>
        <w:t> </w:t>
      </w:r>
      <w:r>
        <w:rPr>
          <w:spacing w:val="-41"/>
        </w:rPr>
      </w:r>
      <w:r>
        <w:rPr/>
        <w:t>展。</w:t>
      </w:r>
    </w:p>
    <w:p>
      <w:pPr>
        <w:spacing w:after="0" w:line="268" w:lineRule="auto"/>
        <w:jc w:val="both"/>
        <w:sectPr>
          <w:pgSz w:w="11900" w:h="16840"/>
          <w:pgMar w:header="742" w:footer="984" w:top="1060" w:bottom="1180" w:left="980" w:right="9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Heading1"/>
        <w:spacing w:line="458" w:lineRule="exact"/>
        <w:ind w:left="3119" w:right="109"/>
        <w:jc w:val="left"/>
        <w:rPr>
          <w:b w:val="0"/>
          <w:bCs w:val="0"/>
        </w:rPr>
      </w:pPr>
      <w:bookmarkStart w:name="_TOC_250007" w:id="4"/>
      <w:r>
        <w:rPr/>
        <w:t>第四节 </w:t>
      </w:r>
      <w:r>
        <w:rPr>
          <w:spacing w:val="14"/>
        </w:rPr>
        <w:t> </w:t>
      </w:r>
      <w:r>
        <w:rPr/>
        <w:t>管理层讨论与分析</w:t>
      </w:r>
      <w:bookmarkEnd w:id="4"/>
      <w:r>
        <w:rPr>
          <w:b w:val="0"/>
          <w:bCs w:val="0"/>
        </w:rPr>
      </w:r>
    </w:p>
    <w:p>
      <w:pPr>
        <w:spacing w:line="240" w:lineRule="auto" w:before="15"/>
        <w:rPr>
          <w:rFonts w:ascii="Microsoft JhengHei" w:hAnsi="Microsoft JhengHei" w:cs="Microsoft JhengHei" w:eastAsia="Microsoft JhengHei" w:hint="default"/>
          <w:b/>
          <w:bCs/>
          <w:sz w:val="24"/>
          <w:szCs w:val="24"/>
        </w:rPr>
      </w:pPr>
    </w:p>
    <w:p>
      <w:pPr>
        <w:pStyle w:val="Heading2"/>
        <w:spacing w:line="367" w:lineRule="exact"/>
        <w:ind w:right="109"/>
        <w:jc w:val="left"/>
        <w:rPr>
          <w:b w:val="0"/>
          <w:bCs w:val="0"/>
        </w:rPr>
      </w:pPr>
      <w:r>
        <w:rPr/>
        <w:t>一、概述</w:t>
      </w:r>
      <w:r>
        <w:rPr>
          <w:b w:val="0"/>
          <w:bCs w:val="0"/>
        </w:rPr>
      </w:r>
    </w:p>
    <w:p>
      <w:pPr>
        <w:spacing w:line="240" w:lineRule="auto" w:before="7"/>
        <w:rPr>
          <w:rFonts w:ascii="Microsoft JhengHei" w:hAnsi="Microsoft JhengHei" w:cs="Microsoft JhengHei" w:eastAsia="Microsoft JhengHei" w:hint="default"/>
          <w:b/>
          <w:bCs/>
          <w:sz w:val="17"/>
          <w:szCs w:val="17"/>
        </w:rPr>
      </w:pPr>
    </w:p>
    <w:p>
      <w:pPr>
        <w:pStyle w:val="BodyText"/>
        <w:spacing w:line="273" w:lineRule="auto"/>
        <w:ind w:right="222" w:firstLine="422"/>
        <w:jc w:val="both"/>
      </w:pPr>
      <w:r>
        <w:rPr>
          <w:spacing w:val="-2"/>
        </w:rPr>
        <w:t>2015年，公司经营管理层坚持“巩固与提升、拓展与升级”的发展之路，认真贯彻既定的发展战略和</w:t>
      </w:r>
      <w:r>
        <w:rPr>
          <w:w w:val="100"/>
        </w:rPr>
        <w:t> </w:t>
      </w:r>
      <w:r>
        <w:rPr/>
        <w:t>经营发展计划。一方面，巩固和提升公司传统主营业务,积极推广票证智能化和公共服务平台建设；在发</w:t>
      </w:r>
      <w:r>
        <w:rPr>
          <w:spacing w:val="-32"/>
        </w:rPr>
        <w:t> </w:t>
      </w:r>
      <w:r>
        <w:rPr>
          <w:spacing w:val="-32"/>
        </w:rPr>
      </w:r>
      <w:r>
        <w:rPr>
          <w:spacing w:val="-2"/>
        </w:rPr>
        <w:t>展精品书刊印刷的同时，积极探索印刷电子商务平台应用与客户服务模式；同时也通过发展绿色包装、智</w:t>
      </w:r>
      <w:r>
        <w:rPr>
          <w:spacing w:val="-35"/>
        </w:rPr>
        <w:t> </w:t>
      </w:r>
      <w:r>
        <w:rPr>
          <w:spacing w:val="-35"/>
        </w:rPr>
      </w:r>
      <w:r>
        <w:rPr/>
        <w:t>能包装，提升公司产品的竞争力,充分挖掘企业现有资源和经营管理潜能，进一步推动公司主营业务产业</w:t>
      </w:r>
      <w:r>
        <w:rPr>
          <w:spacing w:val="-32"/>
        </w:rPr>
        <w:t> </w:t>
      </w:r>
      <w:r>
        <w:rPr>
          <w:spacing w:val="-32"/>
        </w:rPr>
      </w:r>
      <w:r>
        <w:rPr/>
        <w:t>链的延伸。</w:t>
      </w:r>
    </w:p>
    <w:p>
      <w:pPr>
        <w:pStyle w:val="BodyText"/>
        <w:spacing w:line="273" w:lineRule="auto" w:before="41"/>
        <w:ind w:right="222" w:firstLine="422"/>
        <w:jc w:val="both"/>
      </w:pPr>
      <w:r>
        <w:rPr/>
        <w:t>另一方面，对公司新兴产业业务进行拓展与升级。通过组建COS</w:t>
      </w:r>
      <w:r>
        <w:rPr>
          <w:spacing w:val="67"/>
        </w:rPr>
        <w:t> </w:t>
      </w:r>
      <w:r>
        <w:rPr/>
        <w:t>研发与实施团队,进行技术研发积累</w:t>
      </w:r>
      <w:r>
        <w:rPr>
          <w:w w:val="100"/>
        </w:rPr>
        <w:t> </w:t>
      </w:r>
      <w:r>
        <w:rPr>
          <w:spacing w:val="-2"/>
        </w:rPr>
        <w:t>与支持，拓展智能卡业务；积极开发彩票业务多渠道合作，全力优化彩票无纸化运营平台；加大彩种研发</w:t>
      </w:r>
      <w:r>
        <w:rPr>
          <w:spacing w:val="-35"/>
        </w:rPr>
        <w:t> </w:t>
      </w:r>
      <w:r>
        <w:rPr>
          <w:spacing w:val="-35"/>
        </w:rPr>
      </w:r>
      <w:r>
        <w:rPr>
          <w:spacing w:val="-2"/>
        </w:rPr>
        <w:t>并探索新型彩种游戏的商业模式，推动项目运营的试点和推广。通过在技术研发和创新方面加快步伐，为</w:t>
      </w:r>
      <w:r>
        <w:rPr>
          <w:spacing w:val="-35"/>
        </w:rPr>
        <w:t> </w:t>
      </w:r>
      <w:r>
        <w:rPr>
          <w:spacing w:val="-35"/>
        </w:rPr>
      </w:r>
      <w:r>
        <w:rPr/>
        <w:t>公司业务的转型升级奠定基础。</w:t>
      </w:r>
    </w:p>
    <w:p>
      <w:pPr>
        <w:pStyle w:val="BodyText"/>
        <w:spacing w:line="273" w:lineRule="auto" w:before="46"/>
        <w:ind w:right="223" w:firstLine="422"/>
        <w:jc w:val="both"/>
      </w:pPr>
      <w:r>
        <w:rPr>
          <w:spacing w:val="-2"/>
        </w:rPr>
        <w:t>2015年，公司继续优化传统业务结构，积极进行新兴业务的市场拓展和战略布局。公司通过收购北京</w:t>
      </w:r>
      <w:r>
        <w:rPr>
          <w:w w:val="100"/>
        </w:rPr>
        <w:t> </w:t>
      </w:r>
      <w:r>
        <w:rPr/>
        <w:t>中科彩技术有限公司51%股权，切入即开型体育彩票印刷领域，进一步推进公司打造全彩票产业链的战略</w:t>
      </w:r>
      <w:r>
        <w:rPr>
          <w:spacing w:val="-33"/>
        </w:rPr>
        <w:t> </w:t>
      </w:r>
      <w:r>
        <w:rPr>
          <w:spacing w:val="-33"/>
        </w:rPr>
      </w:r>
      <w:r>
        <w:rPr>
          <w:spacing w:val="-2"/>
        </w:rPr>
        <w:t>布局。通过与福建省体育彩票管理中心就开展电话销售彩票游戏及游戏平台技术服务、电话代理销售体育</w:t>
      </w:r>
      <w:r>
        <w:rPr>
          <w:spacing w:val="-35"/>
        </w:rPr>
        <w:t> </w:t>
      </w:r>
      <w:r>
        <w:rPr>
          <w:spacing w:val="-35"/>
        </w:rPr>
      </w:r>
      <w:r>
        <w:rPr>
          <w:spacing w:val="-2"/>
        </w:rPr>
        <w:t>彩票等相关事宜签订框架协议，使公司电子彩票业务迈出重要一步。公司控股子公司无锡双龙开发的“彩</w:t>
      </w:r>
      <w:r>
        <w:rPr>
          <w:spacing w:val="-35"/>
        </w:rPr>
        <w:t> </w:t>
      </w:r>
      <w:r>
        <w:rPr>
          <w:spacing w:val="-35"/>
        </w:rPr>
      </w:r>
      <w:r>
        <w:rPr>
          <w:spacing w:val="-2"/>
        </w:rPr>
        <w:t>票物联网智能化管理及应用项目”成功在江苏福彩开展试点，为提升公司客户服务能力，拓展公司彩票热</w:t>
      </w:r>
      <w:r>
        <w:rPr>
          <w:spacing w:val="-35"/>
        </w:rPr>
        <w:t> </w:t>
      </w:r>
      <w:r>
        <w:rPr>
          <w:spacing w:val="-35"/>
        </w:rPr>
      </w:r>
      <w:r>
        <w:rPr/>
        <w:t>敏票印刷业务市场奠定基础。</w:t>
      </w:r>
    </w:p>
    <w:p>
      <w:pPr>
        <w:pStyle w:val="BodyText"/>
        <w:spacing w:line="280" w:lineRule="auto" w:before="41"/>
        <w:ind w:right="202" w:firstLine="422"/>
        <w:jc w:val="right"/>
      </w:pPr>
      <w:r>
        <w:rPr>
          <w:spacing w:val="3"/>
        </w:rPr>
        <w:t>报告期内，公司实现营业收入66,071.61万元，同比下降23.49%；实现归属于母公司股东的净利润</w:t>
      </w:r>
      <w:r>
        <w:rPr>
          <w:w w:val="100"/>
        </w:rPr>
        <w:t> </w:t>
      </w:r>
      <w:r>
        <w:rPr/>
        <w:t>917.35万元，同比下降66.85%。下降的主要原因系：1.受政策影响，公司从2015年2月25日起暂停了彩票</w:t>
      </w:r>
      <w:r>
        <w:rPr>
          <w:spacing w:val="-71"/>
        </w:rPr>
        <w:t> </w:t>
      </w:r>
      <w:r>
        <w:rPr>
          <w:spacing w:val="-71"/>
        </w:rPr>
      </w:r>
      <w:r>
        <w:rPr/>
        <w:t>无纸化代购业务，营业收入分类中手续费收入及其他同比下降69%，对公司营业收入和净利润产生较大影</w:t>
      </w:r>
      <w:r>
        <w:rPr>
          <w:spacing w:val="-69"/>
        </w:rPr>
        <w:t> </w:t>
      </w:r>
      <w:r>
        <w:rPr>
          <w:spacing w:val="-69"/>
        </w:rPr>
      </w:r>
      <w:r>
        <w:rPr>
          <w:spacing w:val="-2"/>
        </w:rPr>
        <w:t>响。2.由于票证印刷行业竞争加剧，同时人力成本及生产成本的增加使得该业务产品毛利率进一步下降。</w:t>
      </w:r>
      <w:r>
        <w:rPr>
          <w:spacing w:val="-21"/>
        </w:rPr>
        <w:t> </w:t>
      </w:r>
      <w:r>
        <w:rPr>
          <w:spacing w:val="-21"/>
        </w:rPr>
      </w:r>
      <w:r>
        <w:rPr>
          <w:spacing w:val="-2"/>
        </w:rPr>
        <w:t>展望2016年，公司仍将继续坚持既定的战略和发展目标，并进一步落实。通过优化公司业务结构、转</w:t>
      </w:r>
    </w:p>
    <w:p>
      <w:pPr>
        <w:pStyle w:val="BodyText"/>
        <w:spacing w:line="307" w:lineRule="auto" w:before="6"/>
        <w:ind w:left="575" w:right="109" w:hanging="423"/>
        <w:jc w:val="left"/>
      </w:pPr>
      <w:r>
        <w:rPr/>
        <w:t>换发展动力推动公司“双主营”业务的发展，培育新的利润增长点，推进公司健康可持续发展。</w:t>
      </w:r>
      <w:r>
        <w:rPr>
          <w:w w:val="100"/>
        </w:rPr>
        <w:t> </w:t>
      </w:r>
      <w:r>
        <w:rPr>
          <w:spacing w:val="-4"/>
        </w:rPr>
        <w:t>第一，打造集彩票热敏票与即开票印刷、彩种研发、电子彩票销售与运营为一体的全彩票产业链公司。</w:t>
      </w:r>
    </w:p>
    <w:p>
      <w:pPr>
        <w:pStyle w:val="BodyText"/>
        <w:spacing w:line="253" w:lineRule="exact"/>
        <w:ind w:right="109"/>
        <w:jc w:val="left"/>
      </w:pPr>
      <w:r>
        <w:rPr/>
        <w:t>通过提升彩票印刷防伪和客户服务能力，巩固和拓展公司传统彩票热敏票证和即开票印刷市场；通过系统</w:t>
      </w:r>
    </w:p>
    <w:p>
      <w:pPr>
        <w:pStyle w:val="BodyText"/>
        <w:spacing w:line="276" w:lineRule="auto" w:before="37"/>
        <w:ind w:right="109"/>
        <w:jc w:val="left"/>
      </w:pPr>
      <w:r>
        <w:rPr>
          <w:spacing w:val="-2"/>
        </w:rPr>
        <w:t>平台搭建和电子彩票销售终端建设，积极拓展电子彩票销售业务；通过加大彩种研发投入，储备新彩种、</w:t>
      </w:r>
      <w:r>
        <w:rPr>
          <w:spacing w:val="-15"/>
        </w:rPr>
        <w:t> </w:t>
      </w:r>
      <w:r>
        <w:rPr>
          <w:spacing w:val="-15"/>
        </w:rPr>
      </w:r>
      <w:r>
        <w:rPr/>
        <w:t>新玩法积极向彩票上游产业链拓展。</w:t>
      </w:r>
    </w:p>
    <w:p>
      <w:pPr>
        <w:pStyle w:val="BodyText"/>
        <w:spacing w:line="273" w:lineRule="auto" w:before="39"/>
        <w:ind w:right="221" w:firstLine="422"/>
        <w:jc w:val="both"/>
      </w:pPr>
      <w:r>
        <w:rPr>
          <w:spacing w:val="-2"/>
        </w:rPr>
        <w:t>第二，发展与彩票有协同效应的相关产业，如体育产业、游戏产业等。通过布局与彩票有协同效应的</w:t>
      </w:r>
      <w:r>
        <w:rPr>
          <w:w w:val="100"/>
        </w:rPr>
        <w:t> </w:t>
      </w:r>
      <w:r>
        <w:rPr>
          <w:spacing w:val="-2"/>
        </w:rPr>
        <w:t>相关产业，进行大数据的收集与整理，为公司彩种研发、电子彩票终端销售提供数据支持，同时努力培育</w:t>
      </w:r>
      <w:r>
        <w:rPr>
          <w:spacing w:val="-35"/>
        </w:rPr>
        <w:t> </w:t>
      </w:r>
      <w:r>
        <w:rPr>
          <w:spacing w:val="-35"/>
        </w:rPr>
      </w:r>
      <w:r>
        <w:rPr/>
        <w:t>新的业务增长点，为公司业务的全面转型奠定基础。</w:t>
      </w:r>
    </w:p>
    <w:p>
      <w:pPr>
        <w:spacing w:after="0" w:line="273" w:lineRule="auto"/>
        <w:jc w:val="both"/>
        <w:sectPr>
          <w:pgSz w:w="11900" w:h="16840"/>
          <w:pgMar w:header="742" w:footer="984" w:top="1060" w:bottom="1180" w:left="980" w:right="900"/>
        </w:sectPr>
      </w:pPr>
    </w:p>
    <w:p>
      <w:pPr>
        <w:spacing w:line="240" w:lineRule="auto" w:before="4"/>
        <w:rPr>
          <w:rFonts w:ascii="宋体" w:hAnsi="宋体" w:cs="宋体" w:eastAsia="宋体" w:hint="default"/>
          <w:sz w:val="25"/>
          <w:szCs w:val="25"/>
        </w:rPr>
      </w:pPr>
    </w:p>
    <w:p>
      <w:pPr>
        <w:pStyle w:val="BodyText"/>
        <w:spacing w:line="273" w:lineRule="auto" w:before="36"/>
        <w:ind w:right="0"/>
        <w:jc w:val="left"/>
      </w:pPr>
      <w:r>
        <w:rPr/>
        <w:t>展望 2016</w:t>
      </w:r>
      <w:r>
        <w:rPr>
          <w:spacing w:val="-21"/>
        </w:rPr>
        <w:t> </w:t>
      </w:r>
      <w:r>
        <w:rPr/>
        <w:t>年，国家“十三五规划”的制定为国民经济的发展指明了方向，为社会发展确立了奋斗目标。</w:t>
      </w:r>
      <w:r>
        <w:rPr>
          <w:w w:val="100"/>
        </w:rPr>
        <w:t> </w:t>
      </w:r>
      <w:r>
        <w:rPr>
          <w:spacing w:val="-4"/>
        </w:rPr>
        <w:t>公司经营管理层应牢固树立创新、协调、绿色、开放、共享的发展理念，继续加大研发投入推动产品创新、</w:t>
      </w:r>
      <w:r>
        <w:rPr>
          <w:spacing w:val="-50"/>
        </w:rPr>
        <w:t> </w:t>
      </w:r>
      <w:r>
        <w:rPr>
          <w:spacing w:val="-50"/>
        </w:rPr>
      </w:r>
      <w:r>
        <w:rPr>
          <w:spacing w:val="-2"/>
        </w:rPr>
        <w:t>技术创新；注重环境保护，发展绿色印刷，实现经济和环境协调发展；积极履行公司作为一家福利企业的</w:t>
      </w:r>
      <w:r>
        <w:rPr>
          <w:spacing w:val="-35"/>
        </w:rPr>
        <w:t> </w:t>
      </w:r>
      <w:r>
        <w:rPr>
          <w:spacing w:val="-35"/>
        </w:rPr>
      </w:r>
      <w:r>
        <w:rPr>
          <w:spacing w:val="-2"/>
        </w:rPr>
        <w:t>社会责任，关爱残障人士，践行慈善公益，让社会充分分享公司发展成果，为实现十三五规划提出的百年</w:t>
      </w:r>
      <w:r>
        <w:rPr>
          <w:spacing w:val="-35"/>
        </w:rPr>
        <w:t> </w:t>
      </w:r>
      <w:r>
        <w:rPr>
          <w:spacing w:val="-35"/>
        </w:rPr>
      </w:r>
      <w:r>
        <w:rPr/>
        <w:t>奋斗目标贡献力量。</w:t>
      </w:r>
    </w:p>
    <w:p>
      <w:pPr>
        <w:spacing w:line="240" w:lineRule="auto" w:before="7"/>
        <w:rPr>
          <w:rFonts w:ascii="宋体" w:hAnsi="宋体" w:cs="宋体" w:eastAsia="宋体" w:hint="default"/>
          <w:sz w:val="15"/>
          <w:szCs w:val="15"/>
        </w:rPr>
      </w:pPr>
    </w:p>
    <w:p>
      <w:pPr>
        <w:pStyle w:val="Heading2"/>
        <w:spacing w:line="240" w:lineRule="auto"/>
        <w:ind w:right="0"/>
        <w:jc w:val="left"/>
        <w:rPr>
          <w:b w:val="0"/>
          <w:bCs w:val="0"/>
        </w:rPr>
      </w:pPr>
      <w:r>
        <w:rPr/>
        <w:t>二、主营业务分析</w:t>
      </w:r>
      <w:r>
        <w:rPr>
          <w:b w:val="0"/>
          <w:bCs w:val="0"/>
        </w:rPr>
      </w:r>
    </w:p>
    <w:p>
      <w:pPr>
        <w:spacing w:line="240" w:lineRule="auto" w:before="10"/>
        <w:rPr>
          <w:rFonts w:ascii="Microsoft JhengHei" w:hAnsi="Microsoft JhengHei" w:cs="Microsoft JhengHei" w:eastAsia="Microsoft JhengHei" w:hint="default"/>
          <w:b/>
          <w:bCs/>
          <w:sz w:val="13"/>
          <w:szCs w:val="13"/>
        </w:rPr>
      </w:pPr>
    </w:p>
    <w:p>
      <w:pPr>
        <w:pStyle w:val="Heading4"/>
        <w:spacing w:line="240" w:lineRule="auto"/>
        <w:ind w:right="0"/>
        <w:jc w:val="left"/>
        <w:rPr>
          <w:b w:val="0"/>
          <w:bCs w:val="0"/>
        </w:rPr>
      </w:pPr>
      <w:r>
        <w:rPr>
          <w:rFonts w:ascii="Times New Roman" w:hAnsi="Times New Roman" w:cs="Times New Roman" w:eastAsia="Times New Roman" w:hint="default"/>
        </w:rPr>
        <w:t>1</w:t>
      </w:r>
      <w:r>
        <w:rPr/>
        <w:t>、概述</w:t>
      </w:r>
      <w:r>
        <w:rPr>
          <w:b w:val="0"/>
          <w:bCs w:val="0"/>
        </w:rPr>
      </w:r>
    </w:p>
    <w:p>
      <w:pPr>
        <w:spacing w:line="240" w:lineRule="auto" w:before="6"/>
        <w:rPr>
          <w:rFonts w:ascii="Microsoft JhengHei" w:hAnsi="Microsoft JhengHei" w:cs="Microsoft JhengHei" w:eastAsia="Microsoft JhengHei" w:hint="default"/>
          <w:b/>
          <w:bCs/>
          <w:sz w:val="19"/>
          <w:szCs w:val="19"/>
        </w:rPr>
      </w:pPr>
    </w:p>
    <w:p>
      <w:pPr>
        <w:spacing w:line="307" w:lineRule="auto" w:before="0"/>
        <w:ind w:left="152" w:right="0" w:firstLine="360"/>
        <w:jc w:val="left"/>
        <w:rPr>
          <w:rFonts w:ascii="宋体" w:hAnsi="宋体" w:cs="宋体" w:eastAsia="宋体" w:hint="default"/>
          <w:sz w:val="18"/>
          <w:szCs w:val="18"/>
        </w:rPr>
      </w:pPr>
      <w:r>
        <w:rPr>
          <w:rFonts w:ascii="宋体" w:hAnsi="宋体" w:cs="宋体" w:eastAsia="宋体" w:hint="default"/>
          <w:sz w:val="18"/>
          <w:szCs w:val="18"/>
        </w:rPr>
        <w:t>报告期内，公司实现营业收入</w:t>
      </w:r>
      <w:r>
        <w:rPr>
          <w:rFonts w:ascii="Times New Roman" w:hAnsi="Times New Roman" w:cs="Times New Roman" w:eastAsia="Times New Roman" w:hint="default"/>
          <w:sz w:val="18"/>
          <w:szCs w:val="18"/>
        </w:rPr>
        <w:t>66,071.61</w:t>
      </w:r>
      <w:r>
        <w:rPr>
          <w:rFonts w:ascii="宋体" w:hAnsi="宋体" w:cs="宋体" w:eastAsia="宋体" w:hint="default"/>
          <w:sz w:val="18"/>
          <w:szCs w:val="18"/>
        </w:rPr>
        <w:t>万元，较上年同期减少</w:t>
      </w:r>
      <w:r>
        <w:rPr>
          <w:rFonts w:ascii="Times New Roman" w:hAnsi="Times New Roman" w:cs="Times New Roman" w:eastAsia="Times New Roman" w:hint="default"/>
          <w:sz w:val="18"/>
          <w:szCs w:val="18"/>
        </w:rPr>
        <w:t>23.49%</w:t>
      </w:r>
      <w:r>
        <w:rPr>
          <w:rFonts w:ascii="宋体" w:hAnsi="宋体" w:cs="宋体" w:eastAsia="宋体" w:hint="default"/>
          <w:sz w:val="18"/>
          <w:szCs w:val="18"/>
        </w:rPr>
        <w:t>。由于市场及政策方面的原因，票证产品及彩票</w:t>
      </w:r>
      <w:r>
        <w:rPr>
          <w:rFonts w:ascii="宋体" w:hAnsi="宋体" w:cs="宋体" w:eastAsia="宋体" w:hint="default"/>
          <w:w w:val="101"/>
          <w:sz w:val="18"/>
          <w:szCs w:val="18"/>
        </w:rPr>
        <w:t> </w:t>
      </w:r>
      <w:r>
        <w:rPr>
          <w:rFonts w:ascii="宋体" w:hAnsi="宋体" w:cs="宋体" w:eastAsia="宋体" w:hint="default"/>
          <w:spacing w:val="-3"/>
          <w:sz w:val="18"/>
          <w:szCs w:val="18"/>
        </w:rPr>
        <w:t>无纸化代购业务收入不及预期，但包装办公用纸较去年同期实现</w:t>
      </w:r>
      <w:r>
        <w:rPr>
          <w:rFonts w:ascii="Times New Roman" w:hAnsi="Times New Roman" w:cs="Times New Roman" w:eastAsia="Times New Roman" w:hint="default"/>
          <w:spacing w:val="-3"/>
          <w:sz w:val="18"/>
          <w:szCs w:val="18"/>
        </w:rPr>
        <w:t>36.92%</w:t>
      </w:r>
      <w:r>
        <w:rPr>
          <w:rFonts w:ascii="宋体" w:hAnsi="宋体" w:cs="宋体" w:eastAsia="宋体" w:hint="default"/>
          <w:spacing w:val="-3"/>
          <w:sz w:val="18"/>
          <w:szCs w:val="18"/>
        </w:rPr>
        <w:t>的增长，毛利率水平也逐渐上升，产能进一步释放。</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4"/>
          <w:sz w:val="18"/>
          <w:szCs w:val="18"/>
        </w:rPr>
        <w:t>同时，公司进一步推进全自动智能标签、无纸化售彩平台和彩票游戏研发等新兴业务的发展，并取得了一定的成绩，逐步成</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长为综合型企业集团。</w:t>
      </w:r>
    </w:p>
    <w:p>
      <w:pPr>
        <w:spacing w:before="26"/>
        <w:ind w:left="6359"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4"/>
          <w:sz w:val="18"/>
          <w:szCs w:val="18"/>
        </w:rPr>
        <w:t> </w:t>
      </w:r>
      <w:r>
        <w:rPr>
          <w:rFonts w:ascii="宋体" w:hAnsi="宋体" w:cs="宋体" w:eastAsia="宋体" w:hint="default"/>
          <w:sz w:val="18"/>
          <w:szCs w:val="18"/>
        </w:rPr>
        <w:t>元</w:t>
      </w:r>
    </w:p>
    <w:p>
      <w:pPr>
        <w:spacing w:line="240" w:lineRule="auto" w:before="0"/>
        <w:rPr>
          <w:rFonts w:ascii="宋体" w:hAnsi="宋体" w:cs="宋体" w:eastAsia="宋体"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2330"/>
        <w:gridCol w:w="2323"/>
        <w:gridCol w:w="2318"/>
        <w:gridCol w:w="2242"/>
      </w:tblGrid>
      <w:tr>
        <w:trPr>
          <w:trHeight w:val="338" w:hRule="exact"/>
        </w:trPr>
        <w:tc>
          <w:tcPr>
            <w:tcW w:w="2330" w:type="dxa"/>
            <w:tcBorders>
              <w:top w:val="nil" w:sz="6" w:space="0" w:color="auto"/>
              <w:left w:val="nil" w:sz="6" w:space="0" w:color="auto"/>
              <w:bottom w:val="single" w:sz="6" w:space="0" w:color="000000"/>
              <w:right w:val="single" w:sz="6" w:space="0" w:color="000000"/>
            </w:tcBorders>
          </w:tcPr>
          <w:p>
            <w:pPr>
              <w:pStyle w:val="TableParagraph"/>
              <w:spacing w:line="240" w:lineRule="auto" w:before="15"/>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23" w:type="dxa"/>
            <w:tcBorders>
              <w:top w:val="single" w:sz="4" w:space="0" w:color="FFFFFF"/>
              <w:left w:val="single" w:sz="6" w:space="0" w:color="000000"/>
              <w:bottom w:val="single" w:sz="6" w:space="0" w:color="000000"/>
              <w:right w:val="single" w:sz="6" w:space="0" w:color="000000"/>
            </w:tcBorders>
          </w:tcPr>
          <w:p>
            <w:pPr>
              <w:pStyle w:val="TableParagraph"/>
              <w:spacing w:line="240" w:lineRule="auto" w:before="10"/>
              <w:ind w:left="835" w:right="0"/>
              <w:jc w:val="left"/>
              <w:rPr>
                <w:rFonts w:ascii="宋体" w:hAnsi="宋体" w:cs="宋体" w:eastAsia="宋体" w:hint="default"/>
                <w:sz w:val="18"/>
                <w:szCs w:val="18"/>
              </w:rPr>
            </w:pPr>
            <w:r>
              <w:rPr>
                <w:rFonts w:ascii="宋体" w:hAnsi="宋体" w:cs="宋体" w:eastAsia="宋体" w:hint="default"/>
                <w:spacing w:val="-3"/>
                <w:sz w:val="18"/>
                <w:szCs w:val="18"/>
              </w:rPr>
              <w:t>本报告期</w:t>
            </w:r>
          </w:p>
        </w:tc>
        <w:tc>
          <w:tcPr>
            <w:tcW w:w="2318" w:type="dxa"/>
            <w:tcBorders>
              <w:top w:val="single" w:sz="4" w:space="0" w:color="FFFFFF"/>
              <w:left w:val="single" w:sz="6" w:space="0" w:color="000000"/>
              <w:bottom w:val="single" w:sz="6" w:space="0" w:color="000000"/>
              <w:right w:val="single" w:sz="6" w:space="0" w:color="000000"/>
            </w:tcBorders>
          </w:tcPr>
          <w:p>
            <w:pPr>
              <w:pStyle w:val="TableParagraph"/>
              <w:spacing w:line="240" w:lineRule="auto" w:before="10"/>
              <w:ind w:left="835" w:right="0"/>
              <w:jc w:val="left"/>
              <w:rPr>
                <w:rFonts w:ascii="宋体" w:hAnsi="宋体" w:cs="宋体" w:eastAsia="宋体" w:hint="default"/>
                <w:sz w:val="18"/>
                <w:szCs w:val="18"/>
              </w:rPr>
            </w:pPr>
            <w:r>
              <w:rPr>
                <w:rFonts w:ascii="宋体" w:hAnsi="宋体" w:cs="宋体" w:eastAsia="宋体" w:hint="default"/>
                <w:spacing w:val="-3"/>
                <w:sz w:val="18"/>
                <w:szCs w:val="18"/>
              </w:rPr>
              <w:t>上年同期</w:t>
            </w:r>
          </w:p>
        </w:tc>
        <w:tc>
          <w:tcPr>
            <w:tcW w:w="2242" w:type="dxa"/>
            <w:tcBorders>
              <w:top w:val="single" w:sz="4" w:space="0" w:color="FFFFFF"/>
              <w:left w:val="single" w:sz="6" w:space="0" w:color="000000"/>
              <w:bottom w:val="single" w:sz="6" w:space="0" w:color="000000"/>
              <w:right w:val="single" w:sz="6" w:space="0" w:color="000000"/>
            </w:tcBorders>
          </w:tcPr>
          <w:p>
            <w:pPr>
              <w:pStyle w:val="TableParagraph"/>
              <w:spacing w:line="240" w:lineRule="auto" w:before="10"/>
              <w:ind w:left="499" w:right="0"/>
              <w:jc w:val="left"/>
              <w:rPr>
                <w:rFonts w:ascii="宋体" w:hAnsi="宋体" w:cs="宋体" w:eastAsia="宋体" w:hint="default"/>
                <w:sz w:val="18"/>
                <w:szCs w:val="18"/>
              </w:rPr>
            </w:pPr>
            <w:r>
              <w:rPr>
                <w:rFonts w:ascii="宋体" w:hAnsi="宋体" w:cs="宋体" w:eastAsia="宋体" w:hint="default"/>
                <w:sz w:val="18"/>
                <w:szCs w:val="18"/>
              </w:rPr>
              <w:t>同比增减（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36" w:hRule="exact"/>
        </w:trPr>
        <w:tc>
          <w:tcPr>
            <w:tcW w:w="2330"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23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0"/>
              <w:jc w:val="right"/>
              <w:rPr>
                <w:rFonts w:ascii="Times New Roman" w:hAnsi="Times New Roman" w:cs="Times New Roman" w:eastAsia="Times New Roman" w:hint="default"/>
                <w:sz w:val="18"/>
                <w:szCs w:val="18"/>
              </w:rPr>
            </w:pPr>
            <w:r>
              <w:rPr>
                <w:rFonts w:ascii="Times New Roman"/>
                <w:spacing w:val="-1"/>
                <w:sz w:val="18"/>
              </w:rPr>
              <w:t>660,716,146.75</w:t>
            </w:r>
          </w:p>
        </w:tc>
        <w:tc>
          <w:tcPr>
            <w:tcW w:w="2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0"/>
              <w:jc w:val="right"/>
              <w:rPr>
                <w:rFonts w:ascii="Times New Roman" w:hAnsi="Times New Roman" w:cs="Times New Roman" w:eastAsia="Times New Roman" w:hint="default"/>
                <w:sz w:val="18"/>
                <w:szCs w:val="18"/>
              </w:rPr>
            </w:pPr>
            <w:r>
              <w:rPr>
                <w:rFonts w:ascii="Times New Roman"/>
                <w:spacing w:val="-1"/>
                <w:sz w:val="18"/>
              </w:rPr>
              <w:t>863,512,984.42</w:t>
            </w:r>
          </w:p>
        </w:tc>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
              <w:jc w:val="right"/>
              <w:rPr>
                <w:rFonts w:ascii="Times New Roman" w:hAnsi="Times New Roman" w:cs="Times New Roman" w:eastAsia="Times New Roman" w:hint="default"/>
                <w:sz w:val="18"/>
                <w:szCs w:val="18"/>
              </w:rPr>
            </w:pPr>
            <w:r>
              <w:rPr>
                <w:rFonts w:ascii="Times New Roman"/>
                <w:spacing w:val="-1"/>
                <w:sz w:val="18"/>
              </w:rPr>
              <w:t>-23.49%</w:t>
            </w:r>
          </w:p>
        </w:tc>
      </w:tr>
      <w:tr>
        <w:trPr>
          <w:trHeight w:val="336" w:hRule="exact"/>
        </w:trPr>
        <w:tc>
          <w:tcPr>
            <w:tcW w:w="2330"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23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0"/>
              <w:jc w:val="right"/>
              <w:rPr>
                <w:rFonts w:ascii="Times New Roman" w:hAnsi="Times New Roman" w:cs="Times New Roman" w:eastAsia="Times New Roman" w:hint="default"/>
                <w:sz w:val="18"/>
                <w:szCs w:val="18"/>
              </w:rPr>
            </w:pPr>
            <w:r>
              <w:rPr>
                <w:rFonts w:ascii="Times New Roman"/>
                <w:spacing w:val="-1"/>
                <w:sz w:val="18"/>
              </w:rPr>
              <w:t>501,528,210.42</w:t>
            </w:r>
          </w:p>
        </w:tc>
        <w:tc>
          <w:tcPr>
            <w:tcW w:w="2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0"/>
              <w:jc w:val="right"/>
              <w:rPr>
                <w:rFonts w:ascii="Times New Roman" w:hAnsi="Times New Roman" w:cs="Times New Roman" w:eastAsia="Times New Roman" w:hint="default"/>
                <w:sz w:val="18"/>
                <w:szCs w:val="18"/>
              </w:rPr>
            </w:pPr>
            <w:r>
              <w:rPr>
                <w:rFonts w:ascii="Times New Roman"/>
                <w:spacing w:val="-1"/>
                <w:sz w:val="18"/>
              </w:rPr>
              <w:t>658,516,279.95</w:t>
            </w:r>
          </w:p>
        </w:tc>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
              <w:jc w:val="right"/>
              <w:rPr>
                <w:rFonts w:ascii="Times New Roman" w:hAnsi="Times New Roman" w:cs="Times New Roman" w:eastAsia="Times New Roman" w:hint="default"/>
                <w:sz w:val="18"/>
                <w:szCs w:val="18"/>
              </w:rPr>
            </w:pPr>
            <w:r>
              <w:rPr>
                <w:rFonts w:ascii="Times New Roman"/>
                <w:spacing w:val="-1"/>
                <w:sz w:val="18"/>
              </w:rPr>
              <w:t>-23.84%</w:t>
            </w:r>
          </w:p>
        </w:tc>
      </w:tr>
      <w:tr>
        <w:trPr>
          <w:trHeight w:val="336" w:hRule="exact"/>
        </w:trPr>
        <w:tc>
          <w:tcPr>
            <w:tcW w:w="2330"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23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0"/>
              <w:jc w:val="right"/>
              <w:rPr>
                <w:rFonts w:ascii="Times New Roman" w:hAnsi="Times New Roman" w:cs="Times New Roman" w:eastAsia="Times New Roman" w:hint="default"/>
                <w:sz w:val="18"/>
                <w:szCs w:val="18"/>
              </w:rPr>
            </w:pPr>
            <w:r>
              <w:rPr>
                <w:rFonts w:ascii="Times New Roman"/>
                <w:spacing w:val="-2"/>
                <w:sz w:val="18"/>
              </w:rPr>
              <w:t>57,624,442.38</w:t>
            </w:r>
          </w:p>
        </w:tc>
        <w:tc>
          <w:tcPr>
            <w:tcW w:w="2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0"/>
              <w:jc w:val="right"/>
              <w:rPr>
                <w:rFonts w:ascii="Times New Roman" w:hAnsi="Times New Roman" w:cs="Times New Roman" w:eastAsia="Times New Roman" w:hint="default"/>
                <w:sz w:val="18"/>
                <w:szCs w:val="18"/>
              </w:rPr>
            </w:pPr>
            <w:r>
              <w:rPr>
                <w:rFonts w:ascii="Times New Roman"/>
                <w:spacing w:val="-1"/>
                <w:sz w:val="18"/>
              </w:rPr>
              <w:t>51,528,674.13</w:t>
            </w:r>
          </w:p>
        </w:tc>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
              <w:jc w:val="right"/>
              <w:rPr>
                <w:rFonts w:ascii="Times New Roman" w:hAnsi="Times New Roman" w:cs="Times New Roman" w:eastAsia="Times New Roman" w:hint="default"/>
                <w:sz w:val="18"/>
                <w:szCs w:val="18"/>
              </w:rPr>
            </w:pPr>
            <w:r>
              <w:rPr>
                <w:rFonts w:ascii="Times New Roman"/>
                <w:spacing w:val="-1"/>
                <w:sz w:val="18"/>
              </w:rPr>
              <w:t>11.83%</w:t>
            </w:r>
          </w:p>
        </w:tc>
      </w:tr>
      <w:tr>
        <w:trPr>
          <w:trHeight w:val="336" w:hRule="exact"/>
        </w:trPr>
        <w:tc>
          <w:tcPr>
            <w:tcW w:w="2330"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3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0"/>
              <w:jc w:val="right"/>
              <w:rPr>
                <w:rFonts w:ascii="Times New Roman" w:hAnsi="Times New Roman" w:cs="Times New Roman" w:eastAsia="Times New Roman" w:hint="default"/>
                <w:sz w:val="18"/>
                <w:szCs w:val="18"/>
              </w:rPr>
            </w:pPr>
            <w:r>
              <w:rPr>
                <w:rFonts w:ascii="Times New Roman"/>
                <w:spacing w:val="-1"/>
                <w:sz w:val="18"/>
              </w:rPr>
              <w:t>113,391,393.91</w:t>
            </w:r>
          </w:p>
        </w:tc>
        <w:tc>
          <w:tcPr>
            <w:tcW w:w="2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0"/>
              <w:jc w:val="right"/>
              <w:rPr>
                <w:rFonts w:ascii="Times New Roman" w:hAnsi="Times New Roman" w:cs="Times New Roman" w:eastAsia="Times New Roman" w:hint="default"/>
                <w:sz w:val="18"/>
                <w:szCs w:val="18"/>
              </w:rPr>
            </w:pPr>
            <w:r>
              <w:rPr>
                <w:rFonts w:ascii="Times New Roman"/>
                <w:spacing w:val="-1"/>
                <w:sz w:val="18"/>
              </w:rPr>
              <w:t>99,526,431.37</w:t>
            </w:r>
          </w:p>
        </w:tc>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
              <w:jc w:val="right"/>
              <w:rPr>
                <w:rFonts w:ascii="Times New Roman" w:hAnsi="Times New Roman" w:cs="Times New Roman" w:eastAsia="Times New Roman" w:hint="default"/>
                <w:sz w:val="18"/>
                <w:szCs w:val="18"/>
              </w:rPr>
            </w:pPr>
            <w:r>
              <w:rPr>
                <w:rFonts w:ascii="Times New Roman"/>
                <w:spacing w:val="-1"/>
                <w:sz w:val="18"/>
              </w:rPr>
              <w:t>13.93%</w:t>
            </w:r>
          </w:p>
        </w:tc>
      </w:tr>
      <w:tr>
        <w:trPr>
          <w:trHeight w:val="341" w:hRule="exact"/>
        </w:trPr>
        <w:tc>
          <w:tcPr>
            <w:tcW w:w="2330"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23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0"/>
              <w:jc w:val="right"/>
              <w:rPr>
                <w:rFonts w:ascii="Times New Roman" w:hAnsi="Times New Roman" w:cs="Times New Roman" w:eastAsia="Times New Roman" w:hint="default"/>
                <w:sz w:val="18"/>
                <w:szCs w:val="18"/>
              </w:rPr>
            </w:pPr>
            <w:r>
              <w:rPr>
                <w:rFonts w:ascii="Times New Roman"/>
                <w:spacing w:val="-2"/>
                <w:sz w:val="18"/>
              </w:rPr>
              <w:t>14,559,008.44</w:t>
            </w:r>
          </w:p>
        </w:tc>
        <w:tc>
          <w:tcPr>
            <w:tcW w:w="2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0"/>
              <w:jc w:val="right"/>
              <w:rPr>
                <w:rFonts w:ascii="Times New Roman" w:hAnsi="Times New Roman" w:cs="Times New Roman" w:eastAsia="Times New Roman" w:hint="default"/>
                <w:sz w:val="18"/>
                <w:szCs w:val="18"/>
              </w:rPr>
            </w:pPr>
            <w:r>
              <w:rPr>
                <w:rFonts w:ascii="Times New Roman"/>
                <w:spacing w:val="-1"/>
                <w:sz w:val="18"/>
              </w:rPr>
              <w:t>10,556,920.37</w:t>
            </w:r>
          </w:p>
        </w:tc>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
              <w:jc w:val="right"/>
              <w:rPr>
                <w:rFonts w:ascii="Times New Roman" w:hAnsi="Times New Roman" w:cs="Times New Roman" w:eastAsia="Times New Roman" w:hint="default"/>
                <w:sz w:val="18"/>
                <w:szCs w:val="18"/>
              </w:rPr>
            </w:pPr>
            <w:r>
              <w:rPr>
                <w:rFonts w:ascii="Times New Roman"/>
                <w:spacing w:val="-1"/>
                <w:sz w:val="18"/>
              </w:rPr>
              <w:t>37.91%</w:t>
            </w:r>
          </w:p>
        </w:tc>
      </w:tr>
      <w:tr>
        <w:trPr>
          <w:trHeight w:val="336" w:hRule="exact"/>
        </w:trPr>
        <w:tc>
          <w:tcPr>
            <w:tcW w:w="2330"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23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
              <w:jc w:val="right"/>
              <w:rPr>
                <w:rFonts w:ascii="Times New Roman" w:hAnsi="Times New Roman" w:cs="Times New Roman" w:eastAsia="Times New Roman" w:hint="default"/>
                <w:sz w:val="18"/>
                <w:szCs w:val="18"/>
              </w:rPr>
            </w:pPr>
            <w:r>
              <w:rPr>
                <w:rFonts w:ascii="Times New Roman"/>
                <w:spacing w:val="-2"/>
                <w:sz w:val="18"/>
              </w:rPr>
              <w:t>1,261,646.15</w:t>
            </w:r>
          </w:p>
        </w:tc>
        <w:tc>
          <w:tcPr>
            <w:tcW w:w="2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0"/>
              <w:jc w:val="right"/>
              <w:rPr>
                <w:rFonts w:ascii="Times New Roman" w:hAnsi="Times New Roman" w:cs="Times New Roman" w:eastAsia="Times New Roman" w:hint="default"/>
                <w:sz w:val="18"/>
                <w:szCs w:val="18"/>
              </w:rPr>
            </w:pPr>
            <w:r>
              <w:rPr>
                <w:rFonts w:ascii="Times New Roman"/>
                <w:spacing w:val="-1"/>
                <w:sz w:val="18"/>
              </w:rPr>
              <w:t>-2,520,946.34</w:t>
            </w:r>
          </w:p>
        </w:tc>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
              <w:jc w:val="right"/>
              <w:rPr>
                <w:rFonts w:ascii="Times New Roman" w:hAnsi="Times New Roman" w:cs="Times New Roman" w:eastAsia="Times New Roman" w:hint="default"/>
                <w:sz w:val="18"/>
                <w:szCs w:val="18"/>
              </w:rPr>
            </w:pPr>
            <w:r>
              <w:rPr>
                <w:rFonts w:ascii="Times New Roman"/>
                <w:spacing w:val="-2"/>
                <w:sz w:val="18"/>
              </w:rPr>
              <w:t>150.05%</w:t>
            </w:r>
          </w:p>
        </w:tc>
      </w:tr>
      <w:tr>
        <w:trPr>
          <w:trHeight w:val="336" w:hRule="exact"/>
        </w:trPr>
        <w:tc>
          <w:tcPr>
            <w:tcW w:w="2330"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研发投入</w:t>
            </w:r>
          </w:p>
        </w:tc>
        <w:tc>
          <w:tcPr>
            <w:tcW w:w="23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2"/>
              <w:jc w:val="right"/>
              <w:rPr>
                <w:rFonts w:ascii="Times New Roman" w:hAnsi="Times New Roman" w:cs="Times New Roman" w:eastAsia="Times New Roman" w:hint="default"/>
                <w:sz w:val="18"/>
                <w:szCs w:val="18"/>
              </w:rPr>
            </w:pPr>
            <w:r>
              <w:rPr>
                <w:rFonts w:ascii="Times New Roman"/>
                <w:spacing w:val="-1"/>
                <w:sz w:val="18"/>
              </w:rPr>
              <w:t>24,023,804.82</w:t>
            </w:r>
          </w:p>
        </w:tc>
        <w:tc>
          <w:tcPr>
            <w:tcW w:w="2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0"/>
              <w:jc w:val="right"/>
              <w:rPr>
                <w:rFonts w:ascii="Times New Roman" w:hAnsi="Times New Roman" w:cs="Times New Roman" w:eastAsia="Times New Roman" w:hint="default"/>
                <w:sz w:val="18"/>
                <w:szCs w:val="18"/>
              </w:rPr>
            </w:pPr>
            <w:r>
              <w:rPr>
                <w:rFonts w:ascii="Times New Roman"/>
                <w:spacing w:val="-1"/>
                <w:sz w:val="18"/>
              </w:rPr>
              <w:t>14,892,381.61</w:t>
            </w:r>
          </w:p>
        </w:tc>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
              <w:jc w:val="right"/>
              <w:rPr>
                <w:rFonts w:ascii="Times New Roman" w:hAnsi="Times New Roman" w:cs="Times New Roman" w:eastAsia="Times New Roman" w:hint="default"/>
                <w:sz w:val="18"/>
                <w:szCs w:val="18"/>
              </w:rPr>
            </w:pPr>
            <w:r>
              <w:rPr>
                <w:rFonts w:ascii="Times New Roman"/>
                <w:spacing w:val="-1"/>
                <w:sz w:val="18"/>
              </w:rPr>
              <w:t>61.32%</w:t>
            </w:r>
          </w:p>
        </w:tc>
      </w:tr>
      <w:tr>
        <w:trPr>
          <w:trHeight w:val="648" w:hRule="exact"/>
        </w:trPr>
        <w:tc>
          <w:tcPr>
            <w:tcW w:w="2330" w:type="dxa"/>
            <w:tcBorders>
              <w:top w:val="single" w:sz="6" w:space="0" w:color="000000"/>
              <w:left w:val="nil" w:sz="6" w:space="0" w:color="auto"/>
              <w:bottom w:val="single" w:sz="6" w:space="0" w:color="000000"/>
              <w:right w:val="single" w:sz="6" w:space="0" w:color="000000"/>
            </w:tcBorders>
          </w:tcPr>
          <w:p>
            <w:pPr>
              <w:pStyle w:val="TableParagraph"/>
              <w:spacing w:line="316" w:lineRule="auto" w:before="10"/>
              <w:ind w:left="23" w:right="132"/>
              <w:jc w:val="left"/>
              <w:rPr>
                <w:rFonts w:ascii="宋体" w:hAnsi="宋体" w:cs="宋体" w:eastAsia="宋体" w:hint="default"/>
                <w:sz w:val="18"/>
                <w:szCs w:val="18"/>
              </w:rPr>
            </w:pPr>
            <w:r>
              <w:rPr>
                <w:rFonts w:ascii="宋体" w:hAnsi="宋体" w:cs="宋体" w:eastAsia="宋体" w:hint="default"/>
                <w:spacing w:val="-3"/>
                <w:sz w:val="18"/>
                <w:szCs w:val="18"/>
              </w:rPr>
              <w:t>经营活动产生的现金流量净</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额</w:t>
            </w:r>
          </w:p>
        </w:tc>
        <w:tc>
          <w:tcPr>
            <w:tcW w:w="23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2"/>
              <w:jc w:val="right"/>
              <w:rPr>
                <w:rFonts w:ascii="Times New Roman" w:hAnsi="Times New Roman" w:cs="Times New Roman" w:eastAsia="Times New Roman" w:hint="default"/>
                <w:sz w:val="18"/>
                <w:szCs w:val="18"/>
              </w:rPr>
            </w:pPr>
            <w:r>
              <w:rPr>
                <w:rFonts w:ascii="Times New Roman"/>
                <w:spacing w:val="-1"/>
                <w:sz w:val="18"/>
              </w:rPr>
              <w:t>100,652,059.44</w:t>
            </w:r>
          </w:p>
        </w:tc>
        <w:tc>
          <w:tcPr>
            <w:tcW w:w="2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0"/>
              <w:jc w:val="right"/>
              <w:rPr>
                <w:rFonts w:ascii="Times New Roman" w:hAnsi="Times New Roman" w:cs="Times New Roman" w:eastAsia="Times New Roman" w:hint="default"/>
                <w:sz w:val="18"/>
                <w:szCs w:val="18"/>
              </w:rPr>
            </w:pPr>
            <w:r>
              <w:rPr>
                <w:rFonts w:ascii="Times New Roman"/>
                <w:spacing w:val="-1"/>
                <w:sz w:val="18"/>
              </w:rPr>
              <w:t>20,837,819.35</w:t>
            </w:r>
          </w:p>
        </w:tc>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
              <w:jc w:val="right"/>
              <w:rPr>
                <w:rFonts w:ascii="Times New Roman" w:hAnsi="Times New Roman" w:cs="Times New Roman" w:eastAsia="Times New Roman" w:hint="default"/>
                <w:sz w:val="18"/>
                <w:szCs w:val="18"/>
              </w:rPr>
            </w:pPr>
            <w:r>
              <w:rPr>
                <w:rFonts w:ascii="Times New Roman"/>
                <w:spacing w:val="-2"/>
                <w:sz w:val="18"/>
              </w:rPr>
              <w:t>383.03%</w:t>
            </w:r>
          </w:p>
        </w:tc>
      </w:tr>
      <w:tr>
        <w:trPr>
          <w:trHeight w:val="648" w:hRule="exact"/>
        </w:trPr>
        <w:tc>
          <w:tcPr>
            <w:tcW w:w="2330" w:type="dxa"/>
            <w:tcBorders>
              <w:top w:val="single" w:sz="6" w:space="0" w:color="000000"/>
              <w:left w:val="nil" w:sz="6" w:space="0" w:color="auto"/>
              <w:bottom w:val="single" w:sz="6" w:space="0" w:color="000000"/>
              <w:right w:val="single" w:sz="6" w:space="0" w:color="000000"/>
            </w:tcBorders>
          </w:tcPr>
          <w:p>
            <w:pPr>
              <w:pStyle w:val="TableParagraph"/>
              <w:spacing w:line="316" w:lineRule="auto" w:before="10"/>
              <w:ind w:left="23" w:right="132"/>
              <w:jc w:val="left"/>
              <w:rPr>
                <w:rFonts w:ascii="宋体" w:hAnsi="宋体" w:cs="宋体" w:eastAsia="宋体" w:hint="default"/>
                <w:sz w:val="18"/>
                <w:szCs w:val="18"/>
              </w:rPr>
            </w:pPr>
            <w:r>
              <w:rPr>
                <w:rFonts w:ascii="宋体" w:hAnsi="宋体" w:cs="宋体" w:eastAsia="宋体" w:hint="default"/>
                <w:spacing w:val="-3"/>
                <w:sz w:val="18"/>
                <w:szCs w:val="18"/>
              </w:rPr>
              <w:t>投资活动产生的现金流量净</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额</w:t>
            </w:r>
          </w:p>
        </w:tc>
        <w:tc>
          <w:tcPr>
            <w:tcW w:w="23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0"/>
              <w:jc w:val="right"/>
              <w:rPr>
                <w:rFonts w:ascii="Times New Roman" w:hAnsi="Times New Roman" w:cs="Times New Roman" w:eastAsia="Times New Roman" w:hint="default"/>
                <w:sz w:val="18"/>
                <w:szCs w:val="18"/>
              </w:rPr>
            </w:pPr>
            <w:r>
              <w:rPr>
                <w:rFonts w:ascii="Times New Roman"/>
                <w:spacing w:val="-2"/>
                <w:sz w:val="18"/>
              </w:rPr>
              <w:t>-49,122,396.58</w:t>
            </w:r>
          </w:p>
        </w:tc>
        <w:tc>
          <w:tcPr>
            <w:tcW w:w="2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0"/>
              <w:jc w:val="right"/>
              <w:rPr>
                <w:rFonts w:ascii="Times New Roman" w:hAnsi="Times New Roman" w:cs="Times New Roman" w:eastAsia="Times New Roman" w:hint="default"/>
                <w:sz w:val="18"/>
                <w:szCs w:val="18"/>
              </w:rPr>
            </w:pPr>
            <w:r>
              <w:rPr>
                <w:rFonts w:ascii="Times New Roman"/>
                <w:spacing w:val="-1"/>
                <w:sz w:val="18"/>
              </w:rPr>
              <w:t>-64,076,964.75</w:t>
            </w:r>
          </w:p>
        </w:tc>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
              <w:jc w:val="right"/>
              <w:rPr>
                <w:rFonts w:ascii="Times New Roman" w:hAnsi="Times New Roman" w:cs="Times New Roman" w:eastAsia="Times New Roman" w:hint="default"/>
                <w:sz w:val="18"/>
                <w:szCs w:val="18"/>
              </w:rPr>
            </w:pPr>
            <w:r>
              <w:rPr>
                <w:rFonts w:ascii="Times New Roman"/>
                <w:spacing w:val="-1"/>
                <w:sz w:val="18"/>
              </w:rPr>
              <w:t>23.34%</w:t>
            </w:r>
          </w:p>
        </w:tc>
      </w:tr>
      <w:tr>
        <w:trPr>
          <w:trHeight w:val="653" w:hRule="exact"/>
        </w:trPr>
        <w:tc>
          <w:tcPr>
            <w:tcW w:w="2330" w:type="dxa"/>
            <w:tcBorders>
              <w:top w:val="single" w:sz="6" w:space="0" w:color="000000"/>
              <w:left w:val="nil" w:sz="6" w:space="0" w:color="auto"/>
              <w:bottom w:val="single" w:sz="6" w:space="0" w:color="000000"/>
              <w:right w:val="single" w:sz="6" w:space="0" w:color="000000"/>
            </w:tcBorders>
          </w:tcPr>
          <w:p>
            <w:pPr>
              <w:pStyle w:val="TableParagraph"/>
              <w:spacing w:line="316" w:lineRule="auto" w:before="10"/>
              <w:ind w:left="23" w:right="132"/>
              <w:jc w:val="left"/>
              <w:rPr>
                <w:rFonts w:ascii="宋体" w:hAnsi="宋体" w:cs="宋体" w:eastAsia="宋体" w:hint="default"/>
                <w:sz w:val="18"/>
                <w:szCs w:val="18"/>
              </w:rPr>
            </w:pPr>
            <w:r>
              <w:rPr>
                <w:rFonts w:ascii="宋体" w:hAnsi="宋体" w:cs="宋体" w:eastAsia="宋体" w:hint="default"/>
                <w:spacing w:val="-3"/>
                <w:sz w:val="18"/>
                <w:szCs w:val="18"/>
              </w:rPr>
              <w:t>筹资活动产生的现金流量净</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额</w:t>
            </w:r>
          </w:p>
        </w:tc>
        <w:tc>
          <w:tcPr>
            <w:tcW w:w="23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0"/>
              <w:jc w:val="right"/>
              <w:rPr>
                <w:rFonts w:ascii="Times New Roman" w:hAnsi="Times New Roman" w:cs="Times New Roman" w:eastAsia="Times New Roman" w:hint="default"/>
                <w:sz w:val="18"/>
                <w:szCs w:val="18"/>
              </w:rPr>
            </w:pPr>
            <w:r>
              <w:rPr>
                <w:rFonts w:ascii="Times New Roman"/>
                <w:spacing w:val="-1"/>
                <w:sz w:val="18"/>
              </w:rPr>
              <w:t>242,688,158.14</w:t>
            </w:r>
          </w:p>
        </w:tc>
        <w:tc>
          <w:tcPr>
            <w:tcW w:w="2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0"/>
              <w:jc w:val="right"/>
              <w:rPr>
                <w:rFonts w:ascii="Times New Roman" w:hAnsi="Times New Roman" w:cs="Times New Roman" w:eastAsia="Times New Roman" w:hint="default"/>
                <w:sz w:val="18"/>
                <w:szCs w:val="18"/>
              </w:rPr>
            </w:pPr>
            <w:r>
              <w:rPr>
                <w:rFonts w:ascii="Times New Roman"/>
                <w:spacing w:val="-1"/>
                <w:sz w:val="18"/>
              </w:rPr>
              <w:t>58,428,825.31</w:t>
            </w:r>
          </w:p>
        </w:tc>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
              <w:jc w:val="right"/>
              <w:rPr>
                <w:rFonts w:ascii="Times New Roman" w:hAnsi="Times New Roman" w:cs="Times New Roman" w:eastAsia="Times New Roman" w:hint="default"/>
                <w:sz w:val="18"/>
                <w:szCs w:val="18"/>
              </w:rPr>
            </w:pPr>
            <w:r>
              <w:rPr>
                <w:rFonts w:ascii="Times New Roman"/>
                <w:spacing w:val="-2"/>
                <w:sz w:val="18"/>
              </w:rPr>
              <w:t>315.36%</w:t>
            </w:r>
          </w:p>
        </w:tc>
      </w:tr>
      <w:tr>
        <w:trPr>
          <w:trHeight w:val="336" w:hRule="exact"/>
        </w:trPr>
        <w:tc>
          <w:tcPr>
            <w:tcW w:w="2330"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现金及现金等价物净增加额</w:t>
            </w:r>
          </w:p>
        </w:tc>
        <w:tc>
          <w:tcPr>
            <w:tcW w:w="23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0"/>
              <w:jc w:val="right"/>
              <w:rPr>
                <w:rFonts w:ascii="Times New Roman" w:hAnsi="Times New Roman" w:cs="Times New Roman" w:eastAsia="Times New Roman" w:hint="default"/>
                <w:sz w:val="18"/>
                <w:szCs w:val="18"/>
              </w:rPr>
            </w:pPr>
            <w:r>
              <w:rPr>
                <w:rFonts w:ascii="Times New Roman"/>
                <w:spacing w:val="-1"/>
                <w:sz w:val="18"/>
              </w:rPr>
              <w:t>294,261,864.14</w:t>
            </w:r>
          </w:p>
        </w:tc>
        <w:tc>
          <w:tcPr>
            <w:tcW w:w="2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0"/>
              <w:jc w:val="right"/>
              <w:rPr>
                <w:rFonts w:ascii="Times New Roman" w:hAnsi="Times New Roman" w:cs="Times New Roman" w:eastAsia="Times New Roman" w:hint="default"/>
                <w:sz w:val="18"/>
                <w:szCs w:val="18"/>
              </w:rPr>
            </w:pPr>
            <w:r>
              <w:rPr>
                <w:rFonts w:ascii="Times New Roman"/>
                <w:spacing w:val="-1"/>
                <w:sz w:val="18"/>
              </w:rPr>
              <w:t>15,191,772.94</w:t>
            </w:r>
          </w:p>
        </w:tc>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
              <w:jc w:val="right"/>
              <w:rPr>
                <w:rFonts w:ascii="Times New Roman" w:hAnsi="Times New Roman" w:cs="Times New Roman" w:eastAsia="Times New Roman" w:hint="default"/>
                <w:sz w:val="18"/>
                <w:szCs w:val="18"/>
              </w:rPr>
            </w:pPr>
            <w:r>
              <w:rPr>
                <w:rFonts w:ascii="Times New Roman"/>
                <w:spacing w:val="-1"/>
                <w:sz w:val="18"/>
              </w:rPr>
              <w:t>1836.98%</w:t>
            </w:r>
          </w:p>
        </w:tc>
      </w:tr>
    </w:tbl>
    <w:p>
      <w:pPr>
        <w:spacing w:before="10"/>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）财务费用较上年同期增加</w:t>
      </w:r>
      <w:r>
        <w:rPr>
          <w:rFonts w:ascii="Times New Roman" w:hAnsi="Times New Roman" w:cs="Times New Roman" w:eastAsia="Times New Roman" w:hint="default"/>
          <w:spacing w:val="-3"/>
          <w:sz w:val="18"/>
          <w:szCs w:val="18"/>
        </w:rPr>
        <w:t>37.91%</w:t>
      </w:r>
      <w:r>
        <w:rPr>
          <w:rFonts w:ascii="宋体" w:hAnsi="宋体" w:cs="宋体" w:eastAsia="宋体" w:hint="default"/>
          <w:spacing w:val="-3"/>
          <w:sz w:val="18"/>
          <w:szCs w:val="18"/>
        </w:rPr>
        <w:t>，主要原因系本期短期借款增长导致的利息费用增加所致。</w:t>
      </w:r>
    </w:p>
    <w:p>
      <w:pPr>
        <w:spacing w:before="6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）所得税费用较上年同期增长</w:t>
      </w:r>
      <w:r>
        <w:rPr>
          <w:rFonts w:ascii="Times New Roman" w:hAnsi="Times New Roman" w:cs="Times New Roman" w:eastAsia="Times New Roman" w:hint="default"/>
          <w:spacing w:val="-3"/>
          <w:sz w:val="18"/>
          <w:szCs w:val="18"/>
        </w:rPr>
        <w:t>150.05%</w:t>
      </w:r>
      <w:r>
        <w:rPr>
          <w:rFonts w:ascii="宋体" w:hAnsi="宋体" w:cs="宋体" w:eastAsia="宋体" w:hint="default"/>
          <w:spacing w:val="-3"/>
          <w:sz w:val="18"/>
          <w:szCs w:val="18"/>
        </w:rPr>
        <w:t>，主要系可弥补亏损确认递延所得税资产较上年同期减少所致。</w:t>
      </w:r>
    </w:p>
    <w:p>
      <w:pPr>
        <w:spacing w:before="6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）研发费用较上年同期增加</w:t>
      </w:r>
      <w:r>
        <w:rPr>
          <w:rFonts w:ascii="Times New Roman" w:hAnsi="Times New Roman" w:cs="Times New Roman" w:eastAsia="Times New Roman" w:hint="default"/>
          <w:spacing w:val="-3"/>
          <w:sz w:val="18"/>
          <w:szCs w:val="18"/>
        </w:rPr>
        <w:t>61.32%</w:t>
      </w:r>
      <w:r>
        <w:rPr>
          <w:rFonts w:ascii="宋体" w:hAnsi="宋体" w:cs="宋体" w:eastAsia="宋体" w:hint="default"/>
          <w:spacing w:val="-3"/>
          <w:sz w:val="18"/>
          <w:szCs w:val="18"/>
        </w:rPr>
        <w:t>，主要系对票证项目、智能标签项目以及电子彩票项目加大研发投入所致。</w:t>
      </w:r>
    </w:p>
    <w:p>
      <w:pPr>
        <w:spacing w:before="6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）经营活动产生的现金流量净额较上年同期增加</w:t>
      </w:r>
      <w:r>
        <w:rPr>
          <w:rFonts w:ascii="Times New Roman" w:hAnsi="Times New Roman" w:cs="Times New Roman" w:eastAsia="Times New Roman" w:hint="default"/>
          <w:spacing w:val="-3"/>
          <w:sz w:val="18"/>
          <w:szCs w:val="18"/>
        </w:rPr>
        <w:t>383.03%</w:t>
      </w:r>
      <w:r>
        <w:rPr>
          <w:rFonts w:ascii="宋体" w:hAnsi="宋体" w:cs="宋体" w:eastAsia="宋体" w:hint="default"/>
          <w:spacing w:val="-3"/>
          <w:sz w:val="18"/>
          <w:szCs w:val="18"/>
        </w:rPr>
        <w:t>，主要系货款回笼增加所致。</w:t>
      </w:r>
    </w:p>
    <w:p>
      <w:pPr>
        <w:spacing w:line="300" w:lineRule="auto" w:before="6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）筹资活动产生的现金流量净额较上年同期增长</w:t>
      </w:r>
      <w:r>
        <w:rPr>
          <w:rFonts w:ascii="Times New Roman" w:hAnsi="Times New Roman" w:cs="Times New Roman" w:eastAsia="Times New Roman" w:hint="default"/>
          <w:spacing w:val="-3"/>
          <w:sz w:val="18"/>
          <w:szCs w:val="18"/>
        </w:rPr>
        <w:t>315.36%</w:t>
      </w:r>
      <w:r>
        <w:rPr>
          <w:rFonts w:ascii="宋体" w:hAnsi="宋体" w:cs="宋体" w:eastAsia="宋体" w:hint="default"/>
          <w:spacing w:val="-3"/>
          <w:sz w:val="18"/>
          <w:szCs w:val="18"/>
        </w:rPr>
        <w:t>，主要系控股股东向公司提供无息借款及公司向银行借款增加</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所致。</w:t>
      </w:r>
    </w:p>
    <w:p>
      <w:pPr>
        <w:spacing w:line="300" w:lineRule="auto" w:before="31"/>
        <w:ind w:left="152" w:right="0" w:firstLine="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6</w:t>
      </w:r>
      <w:r>
        <w:rPr>
          <w:rFonts w:ascii="宋体" w:hAnsi="宋体" w:cs="宋体" w:eastAsia="宋体" w:hint="default"/>
          <w:spacing w:val="-4"/>
          <w:sz w:val="18"/>
          <w:szCs w:val="18"/>
        </w:rPr>
        <w:t>）现金及现金等价物净增加额较上年同期增长</w:t>
      </w:r>
      <w:r>
        <w:rPr>
          <w:rFonts w:ascii="Times New Roman" w:hAnsi="Times New Roman" w:cs="Times New Roman" w:eastAsia="Times New Roman" w:hint="default"/>
          <w:spacing w:val="-4"/>
          <w:sz w:val="18"/>
          <w:szCs w:val="18"/>
        </w:rPr>
        <w:t>1,836.98%</w:t>
      </w:r>
      <w:r>
        <w:rPr>
          <w:rFonts w:ascii="宋体" w:hAnsi="宋体" w:cs="宋体" w:eastAsia="宋体" w:hint="default"/>
          <w:spacing w:val="-4"/>
          <w:sz w:val="18"/>
          <w:szCs w:val="18"/>
        </w:rPr>
        <w:t>，主要系本期货款回笼增加、控股股东向公司提供无息借款及借</w:t>
      </w:r>
      <w:r>
        <w:rPr>
          <w:rFonts w:ascii="宋体" w:hAnsi="宋体" w:cs="宋体" w:eastAsia="宋体" w:hint="default"/>
          <w:spacing w:val="3"/>
          <w:sz w:val="18"/>
          <w:szCs w:val="18"/>
        </w:rPr>
        <w:t> </w:t>
      </w:r>
      <w:r>
        <w:rPr>
          <w:rFonts w:ascii="宋体" w:hAnsi="宋体" w:cs="宋体" w:eastAsia="宋体" w:hint="default"/>
          <w:spacing w:val="3"/>
          <w:sz w:val="18"/>
          <w:szCs w:val="18"/>
        </w:rPr>
      </w:r>
      <w:r>
        <w:rPr>
          <w:rFonts w:ascii="宋体" w:hAnsi="宋体" w:cs="宋体" w:eastAsia="宋体" w:hint="default"/>
          <w:sz w:val="18"/>
          <w:szCs w:val="18"/>
        </w:rPr>
        <w:t>款增加所致。</w:t>
      </w:r>
    </w:p>
    <w:p>
      <w:pPr>
        <w:spacing w:line="240" w:lineRule="auto" w:before="6"/>
        <w:rPr>
          <w:rFonts w:ascii="宋体" w:hAnsi="宋体" w:cs="宋体" w:eastAsia="宋体" w:hint="default"/>
          <w:sz w:val="18"/>
          <w:szCs w:val="18"/>
        </w:rPr>
      </w:pPr>
    </w:p>
    <w:p>
      <w:pPr>
        <w:pStyle w:val="Heading4"/>
        <w:spacing w:line="240" w:lineRule="auto"/>
        <w:ind w:right="0"/>
        <w:jc w:val="left"/>
        <w:rPr>
          <w:b w:val="0"/>
          <w:bCs w:val="0"/>
        </w:rPr>
      </w:pPr>
      <w:r>
        <w:rPr>
          <w:rFonts w:ascii="Times New Roman" w:hAnsi="Times New Roman" w:cs="Times New Roman" w:eastAsia="Times New Roman" w:hint="default"/>
        </w:rPr>
        <w:t>2</w:t>
      </w:r>
      <w:r>
        <w:rPr/>
        <w:t>、收入与成本</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）营业收入构成</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0" w:right="206" w:firstLine="0"/>
        <w:jc w:val="right"/>
        <w:rPr>
          <w:rFonts w:ascii="宋体" w:hAnsi="宋体" w:cs="宋体" w:eastAsia="宋体" w:hint="default"/>
          <w:sz w:val="18"/>
          <w:szCs w:val="18"/>
        </w:rPr>
      </w:pPr>
      <w:r>
        <w:rPr>
          <w:rFonts w:ascii="宋体" w:hAnsi="宋体" w:cs="宋体" w:eastAsia="宋体" w:hint="default"/>
          <w:spacing w:val="-2"/>
          <w:sz w:val="18"/>
          <w:szCs w:val="18"/>
        </w:rPr>
        <w:t>单位：元</w:t>
      </w:r>
    </w:p>
    <w:p>
      <w:pPr>
        <w:spacing w:after="0"/>
        <w:jc w:val="right"/>
        <w:rPr>
          <w:rFonts w:ascii="宋体" w:hAnsi="宋体" w:cs="宋体" w:eastAsia="宋体" w:hint="default"/>
          <w:sz w:val="18"/>
          <w:szCs w:val="18"/>
        </w:rPr>
        <w:sectPr>
          <w:pgSz w:w="11900" w:h="16840"/>
          <w:pgMar w:header="742" w:footer="984" w:top="1060" w:bottom="1180" w:left="980" w:right="92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601"/>
        <w:gridCol w:w="1594"/>
        <w:gridCol w:w="1591"/>
        <w:gridCol w:w="1597"/>
        <w:gridCol w:w="1588"/>
        <w:gridCol w:w="1596"/>
      </w:tblGrid>
      <w:tr>
        <w:trPr>
          <w:trHeight w:val="197" w:hRule="exact"/>
        </w:trPr>
        <w:tc>
          <w:tcPr>
            <w:tcW w:w="1601" w:type="dxa"/>
            <w:tcBorders>
              <w:top w:val="single" w:sz="4" w:space="0" w:color="000000"/>
              <w:left w:val="single" w:sz="4" w:space="0" w:color="000000"/>
              <w:bottom w:val="nil" w:sz="6" w:space="0" w:color="auto"/>
              <w:right w:val="single" w:sz="4" w:space="0" w:color="000000"/>
            </w:tcBorders>
            <w:shd w:val="clear" w:color="auto" w:fill="D2D2D2"/>
          </w:tcPr>
          <w:p>
            <w:pPr/>
          </w:p>
        </w:tc>
        <w:tc>
          <w:tcPr>
            <w:tcW w:w="318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318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7"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202" w:hRule="exact"/>
        </w:trPr>
        <w:tc>
          <w:tcPr>
            <w:tcW w:w="1601" w:type="dxa"/>
            <w:vMerge w:val="restart"/>
            <w:tcBorders>
              <w:top w:val="nil" w:sz="6" w:space="0" w:color="auto"/>
              <w:left w:val="single" w:sz="4" w:space="0" w:color="000000"/>
              <w:right w:val="single" w:sz="4" w:space="0" w:color="000000"/>
            </w:tcBorders>
            <w:shd w:val="clear" w:color="auto" w:fill="D2D2D2"/>
          </w:tcPr>
          <w:p>
            <w:pPr/>
          </w:p>
        </w:tc>
        <w:tc>
          <w:tcPr>
            <w:tcW w:w="3185" w:type="dxa"/>
            <w:gridSpan w:val="2"/>
            <w:vMerge/>
            <w:tcBorders>
              <w:left w:val="single" w:sz="4" w:space="0" w:color="000000"/>
              <w:bottom w:val="single" w:sz="4" w:space="0" w:color="000000"/>
              <w:right w:val="single" w:sz="4" w:space="0" w:color="000000"/>
            </w:tcBorders>
            <w:shd w:val="clear" w:color="auto" w:fill="D2D2D2"/>
          </w:tcPr>
          <w:p>
            <w:pPr/>
          </w:p>
        </w:tc>
        <w:tc>
          <w:tcPr>
            <w:tcW w:w="3185" w:type="dxa"/>
            <w:gridSpan w:val="2"/>
            <w:vMerge/>
            <w:tcBorders>
              <w:left w:val="single" w:sz="4" w:space="0" w:color="000000"/>
              <w:bottom w:val="single" w:sz="4" w:space="0" w:color="000000"/>
              <w:right w:val="single" w:sz="4" w:space="0" w:color="000000"/>
            </w:tcBorders>
            <w:shd w:val="clear" w:color="auto" w:fill="D2D2D2"/>
          </w:tcPr>
          <w:p>
            <w:pPr/>
          </w:p>
        </w:tc>
        <w:tc>
          <w:tcPr>
            <w:tcW w:w="159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429"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192" w:hRule="exact"/>
        </w:trPr>
        <w:tc>
          <w:tcPr>
            <w:tcW w:w="1601" w:type="dxa"/>
            <w:vMerge/>
            <w:tcBorders>
              <w:left w:val="single" w:sz="4" w:space="0" w:color="000000"/>
              <w:bottom w:val="nil" w:sz="6" w:space="0" w:color="auto"/>
              <w:right w:val="single" w:sz="4" w:space="0" w:color="000000"/>
            </w:tcBorders>
            <w:shd w:val="clear" w:color="auto" w:fill="D2D2D2"/>
          </w:tcPr>
          <w:p>
            <w:pP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right="12"/>
              <w:jc w:val="center"/>
              <w:rPr>
                <w:rFonts w:ascii="宋体" w:hAnsi="宋体" w:cs="宋体" w:eastAsia="宋体" w:hint="default"/>
                <w:sz w:val="18"/>
                <w:szCs w:val="18"/>
              </w:rPr>
            </w:pPr>
            <w:r>
              <w:rPr>
                <w:rFonts w:ascii="宋体" w:hAnsi="宋体" w:cs="宋体" w:eastAsia="宋体" w:hint="default"/>
                <w:sz w:val="18"/>
                <w:szCs w:val="18"/>
              </w:rPr>
              <w:t>金额</w:t>
            </w:r>
          </w:p>
        </w:tc>
        <w:tc>
          <w:tcPr>
            <w:tcW w:w="15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151" w:right="0"/>
              <w:jc w:val="left"/>
              <w:rPr>
                <w:rFonts w:ascii="宋体" w:hAnsi="宋体" w:cs="宋体" w:eastAsia="宋体" w:hint="default"/>
                <w:sz w:val="18"/>
                <w:szCs w:val="18"/>
              </w:rPr>
            </w:pPr>
            <w:r>
              <w:rPr>
                <w:rFonts w:ascii="宋体" w:hAnsi="宋体" w:cs="宋体" w:eastAsia="宋体" w:hint="default"/>
                <w:spacing w:val="-3"/>
                <w:sz w:val="18"/>
                <w:szCs w:val="18"/>
              </w:rPr>
              <w:t>占营业收入比重</w:t>
            </w:r>
          </w:p>
        </w:tc>
        <w:tc>
          <w:tcPr>
            <w:tcW w:w="15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5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155" w:right="0"/>
              <w:jc w:val="left"/>
              <w:rPr>
                <w:rFonts w:ascii="宋体" w:hAnsi="宋体" w:cs="宋体" w:eastAsia="宋体" w:hint="default"/>
                <w:sz w:val="18"/>
                <w:szCs w:val="18"/>
              </w:rPr>
            </w:pPr>
            <w:r>
              <w:rPr>
                <w:rFonts w:ascii="宋体" w:hAnsi="宋体" w:cs="宋体" w:eastAsia="宋体" w:hint="default"/>
                <w:spacing w:val="-3"/>
                <w:sz w:val="18"/>
                <w:szCs w:val="18"/>
              </w:rPr>
              <w:t>占营业收入比重</w:t>
            </w:r>
          </w:p>
        </w:tc>
        <w:tc>
          <w:tcPr>
            <w:tcW w:w="1596" w:type="dxa"/>
            <w:vMerge/>
            <w:tcBorders>
              <w:left w:val="single" w:sz="4" w:space="0" w:color="000000"/>
              <w:bottom w:val="nil" w:sz="6" w:space="0" w:color="auto"/>
              <w:right w:val="single" w:sz="4" w:space="0" w:color="000000"/>
            </w:tcBorders>
            <w:shd w:val="clear" w:color="auto" w:fill="D2D2D2"/>
          </w:tcPr>
          <w:p>
            <w:pPr/>
          </w:p>
        </w:tc>
      </w:tr>
      <w:tr>
        <w:trPr>
          <w:trHeight w:val="212" w:hRule="exact"/>
        </w:trPr>
        <w:tc>
          <w:tcPr>
            <w:tcW w:w="16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1" w:type="dxa"/>
            <w:vMerge/>
            <w:tcBorders>
              <w:left w:val="single" w:sz="4" w:space="0" w:color="000000"/>
              <w:bottom w:val="single" w:sz="4" w:space="0" w:color="000000"/>
              <w:right w:val="single" w:sz="4" w:space="0" w:color="000000"/>
            </w:tcBorders>
            <w:shd w:val="clear" w:color="auto" w:fill="D2D2D2"/>
          </w:tcPr>
          <w:p>
            <w:pPr/>
          </w:p>
        </w:tc>
        <w:tc>
          <w:tcPr>
            <w:tcW w:w="1597" w:type="dxa"/>
            <w:vMerge/>
            <w:tcBorders>
              <w:left w:val="single" w:sz="4" w:space="0" w:color="000000"/>
              <w:bottom w:val="single" w:sz="4" w:space="0" w:color="000000"/>
              <w:right w:val="single" w:sz="4" w:space="0" w:color="000000"/>
            </w:tcBorders>
            <w:shd w:val="clear" w:color="auto" w:fill="D2D2D2"/>
          </w:tcPr>
          <w:p>
            <w:pPr/>
          </w:p>
        </w:tc>
        <w:tc>
          <w:tcPr>
            <w:tcW w:w="1588" w:type="dxa"/>
            <w:vMerge/>
            <w:tcBorders>
              <w:left w:val="single" w:sz="4" w:space="0" w:color="000000"/>
              <w:bottom w:val="single" w:sz="4" w:space="0" w:color="000000"/>
              <w:right w:val="single" w:sz="4" w:space="0" w:color="000000"/>
            </w:tcBorders>
            <w:shd w:val="clear" w:color="auto" w:fill="D2D2D2"/>
          </w:tcPr>
          <w:p>
            <w:pPr/>
          </w:p>
        </w:tc>
        <w:tc>
          <w:tcPr>
            <w:tcW w:w="1596"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8" w:hRule="exact"/>
        </w:trPr>
        <w:tc>
          <w:tcPr>
            <w:tcW w:w="16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94" w:type="dxa"/>
            <w:tcBorders>
              <w:top w:val="single" w:sz="4" w:space="0" w:color="000000"/>
              <w:left w:val="single" w:sz="13" w:space="0" w:color="D2D2D2"/>
              <w:bottom w:val="single" w:sz="4" w:space="0" w:color="000000"/>
              <w:right w:val="single" w:sz="8" w:space="0" w:color="D2D2D2"/>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pacing w:val="-1"/>
                <w:sz w:val="18"/>
              </w:rPr>
              <w:t>660,716,146.75</w:t>
            </w:r>
          </w:p>
        </w:tc>
        <w:tc>
          <w:tcPr>
            <w:tcW w:w="15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2"/>
                <w:sz w:val="18"/>
              </w:rPr>
              <w:t>100%</w:t>
            </w:r>
          </w:p>
        </w:tc>
        <w:tc>
          <w:tcPr>
            <w:tcW w:w="1597" w:type="dxa"/>
            <w:tcBorders>
              <w:top w:val="single" w:sz="4" w:space="0" w:color="000000"/>
              <w:left w:val="single" w:sz="10" w:space="0" w:color="D2D2D2"/>
              <w:bottom w:val="single" w:sz="4" w:space="0" w:color="000000"/>
              <w:right w:val="single" w:sz="10" w:space="0" w:color="D2D2D2"/>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863,512,984.42</w:t>
            </w:r>
          </w:p>
        </w:tc>
        <w:tc>
          <w:tcPr>
            <w:tcW w:w="15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2"/>
                <w:sz w:val="18"/>
              </w:rPr>
              <w:t>100%</w:t>
            </w:r>
          </w:p>
        </w:tc>
        <w:tc>
          <w:tcPr>
            <w:tcW w:w="159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-23.49%</w:t>
            </w:r>
          </w:p>
        </w:tc>
      </w:tr>
      <w:tr>
        <w:trPr>
          <w:trHeight w:val="398" w:hRule="exact"/>
        </w:trPr>
        <w:tc>
          <w:tcPr>
            <w:tcW w:w="9566"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3" w:hRule="exact"/>
        </w:trPr>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印刷产品</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9"/>
              <w:jc w:val="right"/>
              <w:rPr>
                <w:rFonts w:ascii="Times New Roman" w:hAnsi="Times New Roman" w:cs="Times New Roman" w:eastAsia="Times New Roman" w:hint="default"/>
                <w:sz w:val="18"/>
                <w:szCs w:val="18"/>
              </w:rPr>
            </w:pPr>
            <w:r>
              <w:rPr>
                <w:rFonts w:ascii="Times New Roman"/>
                <w:spacing w:val="-1"/>
                <w:sz w:val="18"/>
              </w:rPr>
              <w:t>474,044,405.09</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71.74%</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482,232,549.69</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1"/>
                <w:sz w:val="18"/>
              </w:rPr>
              <w:t>55.84%</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-1.70%</w:t>
            </w:r>
          </w:p>
        </w:tc>
      </w:tr>
      <w:tr>
        <w:trPr>
          <w:trHeight w:val="398" w:hRule="exact"/>
        </w:trPr>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包装办公用纸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9"/>
              <w:jc w:val="right"/>
              <w:rPr>
                <w:rFonts w:ascii="Times New Roman" w:hAnsi="Times New Roman" w:cs="Times New Roman" w:eastAsia="Times New Roman" w:hint="default"/>
                <w:sz w:val="18"/>
                <w:szCs w:val="18"/>
              </w:rPr>
            </w:pPr>
            <w:r>
              <w:rPr>
                <w:rFonts w:ascii="Times New Roman"/>
                <w:spacing w:val="-1"/>
                <w:sz w:val="18"/>
              </w:rPr>
              <w:t>90,158,996.22</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13.65%</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65,850,266.77</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1"/>
                <w:sz w:val="18"/>
              </w:rPr>
              <w:t>7.63%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36.92%</w:t>
            </w:r>
          </w:p>
        </w:tc>
      </w:tr>
      <w:tr>
        <w:trPr>
          <w:trHeight w:val="403" w:hRule="exact"/>
        </w:trPr>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代销费及其他</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9"/>
              <w:jc w:val="right"/>
              <w:rPr>
                <w:rFonts w:ascii="Times New Roman" w:hAnsi="Times New Roman" w:cs="Times New Roman" w:eastAsia="Times New Roman" w:hint="default"/>
                <w:sz w:val="18"/>
                <w:szCs w:val="18"/>
              </w:rPr>
            </w:pPr>
            <w:r>
              <w:rPr>
                <w:rFonts w:ascii="Times New Roman"/>
                <w:spacing w:val="-1"/>
                <w:sz w:val="18"/>
              </w:rPr>
              <w:t>96,512,745.44</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14.61%</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315,430,167.96</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1"/>
                <w:sz w:val="18"/>
              </w:rPr>
              <w:t>36.53%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-69.40%</w:t>
            </w:r>
          </w:p>
        </w:tc>
      </w:tr>
      <w:tr>
        <w:trPr>
          <w:trHeight w:val="403" w:hRule="exact"/>
        </w:trPr>
        <w:tc>
          <w:tcPr>
            <w:tcW w:w="1601"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0.00%</w:t>
            </w:r>
          </w:p>
        </w:tc>
        <w:tc>
          <w:tcPr>
            <w:tcW w:w="1597" w:type="dxa"/>
            <w:tcBorders>
              <w:top w:val="single" w:sz="4" w:space="0" w:color="000000"/>
              <w:left w:val="single" w:sz="4" w:space="0" w:color="000000"/>
              <w:bottom w:val="single" w:sz="4" w:space="0" w:color="000000"/>
              <w:right w:val="single" w:sz="4" w:space="0" w:color="000000"/>
            </w:tcBorders>
          </w:tcPr>
          <w:p>
            <w:pPr/>
          </w:p>
        </w:tc>
        <w:tc>
          <w:tcPr>
            <w:tcW w:w="1588"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9566"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398" w:hRule="exact"/>
        </w:trPr>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票证产品</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9"/>
              <w:jc w:val="right"/>
              <w:rPr>
                <w:rFonts w:ascii="Times New Roman" w:hAnsi="Times New Roman" w:cs="Times New Roman" w:eastAsia="Times New Roman" w:hint="default"/>
                <w:sz w:val="18"/>
                <w:szCs w:val="18"/>
              </w:rPr>
            </w:pPr>
            <w:r>
              <w:rPr>
                <w:rFonts w:ascii="Times New Roman"/>
                <w:spacing w:val="-1"/>
                <w:sz w:val="18"/>
              </w:rPr>
              <w:t>474,044,405.09</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71.74%</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482,232,549.69</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1"/>
                <w:sz w:val="18"/>
              </w:rPr>
              <w:t>55.84%</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-1.70%</w:t>
            </w:r>
          </w:p>
        </w:tc>
      </w:tr>
      <w:tr>
        <w:trPr>
          <w:trHeight w:val="403" w:hRule="exact"/>
        </w:trPr>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包装办公用纸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9"/>
              <w:jc w:val="right"/>
              <w:rPr>
                <w:rFonts w:ascii="Times New Roman" w:hAnsi="Times New Roman" w:cs="Times New Roman" w:eastAsia="Times New Roman" w:hint="default"/>
                <w:sz w:val="18"/>
                <w:szCs w:val="18"/>
              </w:rPr>
            </w:pPr>
            <w:r>
              <w:rPr>
                <w:rFonts w:ascii="Times New Roman"/>
                <w:spacing w:val="-1"/>
                <w:sz w:val="18"/>
              </w:rPr>
              <w:t>90,158,996.22</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13.65%</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65,850,266.77</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1"/>
                <w:sz w:val="18"/>
              </w:rPr>
              <w:t>7.63%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36.92%</w:t>
            </w:r>
          </w:p>
        </w:tc>
      </w:tr>
      <w:tr>
        <w:trPr>
          <w:trHeight w:val="403" w:hRule="exact"/>
        </w:trPr>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代销费及其他</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9"/>
              <w:jc w:val="right"/>
              <w:rPr>
                <w:rFonts w:ascii="Times New Roman" w:hAnsi="Times New Roman" w:cs="Times New Roman" w:eastAsia="Times New Roman" w:hint="default"/>
                <w:sz w:val="18"/>
                <w:szCs w:val="18"/>
              </w:rPr>
            </w:pPr>
            <w:r>
              <w:rPr>
                <w:rFonts w:ascii="Times New Roman"/>
                <w:spacing w:val="-1"/>
                <w:sz w:val="18"/>
              </w:rPr>
              <w:t>96,512,745.44</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14.61%</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315,430,167.96</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1"/>
                <w:sz w:val="18"/>
              </w:rPr>
              <w:t>36.53%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-69.40%</w:t>
            </w:r>
          </w:p>
        </w:tc>
      </w:tr>
      <w:tr>
        <w:trPr>
          <w:trHeight w:val="403" w:hRule="exact"/>
        </w:trPr>
        <w:tc>
          <w:tcPr>
            <w:tcW w:w="9566"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398" w:hRule="exact"/>
        </w:trPr>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华北地区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9"/>
              <w:jc w:val="right"/>
              <w:rPr>
                <w:rFonts w:ascii="Times New Roman" w:hAnsi="Times New Roman" w:cs="Times New Roman" w:eastAsia="Times New Roman" w:hint="default"/>
                <w:sz w:val="18"/>
                <w:szCs w:val="18"/>
              </w:rPr>
            </w:pPr>
            <w:r>
              <w:rPr>
                <w:rFonts w:ascii="Times New Roman"/>
                <w:spacing w:val="-1"/>
                <w:sz w:val="18"/>
              </w:rPr>
              <w:t>191,713,214.99</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29.02%</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313,265,189.45</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1"/>
                <w:sz w:val="18"/>
              </w:rPr>
              <w:t>36.28%</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-38.80%</w:t>
            </w:r>
          </w:p>
        </w:tc>
      </w:tr>
      <w:tr>
        <w:trPr>
          <w:trHeight w:val="403" w:hRule="exact"/>
        </w:trPr>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东北地区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9"/>
              <w:jc w:val="right"/>
              <w:rPr>
                <w:rFonts w:ascii="Times New Roman" w:hAnsi="Times New Roman" w:cs="Times New Roman" w:eastAsia="Times New Roman" w:hint="default"/>
                <w:sz w:val="18"/>
                <w:szCs w:val="18"/>
              </w:rPr>
            </w:pPr>
            <w:r>
              <w:rPr>
                <w:rFonts w:ascii="Times New Roman"/>
                <w:spacing w:val="-1"/>
                <w:sz w:val="18"/>
              </w:rPr>
              <w:t>22,034,148.99</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3.33%</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50,358,790.94</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1"/>
                <w:sz w:val="18"/>
              </w:rPr>
              <w:t>5.83%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-56.25%</w:t>
            </w:r>
          </w:p>
        </w:tc>
      </w:tr>
      <w:tr>
        <w:trPr>
          <w:trHeight w:val="403" w:hRule="exact"/>
        </w:trPr>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华东地区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9"/>
              <w:jc w:val="right"/>
              <w:rPr>
                <w:rFonts w:ascii="Times New Roman" w:hAnsi="Times New Roman" w:cs="Times New Roman" w:eastAsia="Times New Roman" w:hint="default"/>
                <w:sz w:val="18"/>
                <w:szCs w:val="18"/>
              </w:rPr>
            </w:pPr>
            <w:r>
              <w:rPr>
                <w:rFonts w:ascii="Times New Roman"/>
                <w:spacing w:val="-2"/>
                <w:sz w:val="18"/>
              </w:rPr>
              <w:t>225,082,114.99</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34.07%</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231,963,514.35</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1"/>
                <w:sz w:val="18"/>
              </w:rPr>
              <w:t>26.86%</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-2.97%</w:t>
            </w:r>
          </w:p>
        </w:tc>
      </w:tr>
      <w:tr>
        <w:trPr>
          <w:trHeight w:val="403" w:hRule="exact"/>
        </w:trPr>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华中地区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9"/>
              <w:jc w:val="right"/>
              <w:rPr>
                <w:rFonts w:ascii="Times New Roman" w:hAnsi="Times New Roman" w:cs="Times New Roman" w:eastAsia="Times New Roman" w:hint="default"/>
                <w:sz w:val="18"/>
                <w:szCs w:val="18"/>
              </w:rPr>
            </w:pPr>
            <w:r>
              <w:rPr>
                <w:rFonts w:ascii="Times New Roman"/>
                <w:spacing w:val="-1"/>
                <w:sz w:val="18"/>
              </w:rPr>
              <w:t>46,821,553.44</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7.09%</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61,416,975.16</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3"/>
                <w:sz w:val="18"/>
              </w:rPr>
              <w:t>7.11%</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-23.76%</w:t>
            </w:r>
          </w:p>
        </w:tc>
      </w:tr>
      <w:tr>
        <w:trPr>
          <w:trHeight w:val="398" w:hRule="exact"/>
        </w:trPr>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华南地区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9"/>
              <w:jc w:val="right"/>
              <w:rPr>
                <w:rFonts w:ascii="Times New Roman" w:hAnsi="Times New Roman" w:cs="Times New Roman" w:eastAsia="Times New Roman" w:hint="default"/>
                <w:sz w:val="18"/>
                <w:szCs w:val="18"/>
              </w:rPr>
            </w:pPr>
            <w:r>
              <w:rPr>
                <w:rFonts w:ascii="Times New Roman"/>
                <w:spacing w:val="-1"/>
                <w:sz w:val="18"/>
              </w:rPr>
              <w:t>32,554,900.17</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4.93%</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103,292,763.80</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3"/>
                <w:sz w:val="18"/>
              </w:rPr>
              <w:t>11.96%</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-68.48%</w:t>
            </w:r>
          </w:p>
        </w:tc>
      </w:tr>
      <w:tr>
        <w:trPr>
          <w:trHeight w:val="403" w:hRule="exact"/>
        </w:trPr>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西南地区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9"/>
              <w:jc w:val="right"/>
              <w:rPr>
                <w:rFonts w:ascii="Times New Roman" w:hAnsi="Times New Roman" w:cs="Times New Roman" w:eastAsia="Times New Roman" w:hint="default"/>
                <w:sz w:val="18"/>
                <w:szCs w:val="18"/>
              </w:rPr>
            </w:pPr>
            <w:r>
              <w:rPr>
                <w:rFonts w:ascii="Times New Roman"/>
                <w:spacing w:val="-1"/>
                <w:sz w:val="18"/>
              </w:rPr>
              <w:t>105,876,333.64</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16.02%</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75,539,715.89</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1"/>
                <w:sz w:val="18"/>
              </w:rPr>
              <w:t>8.75%</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40.16%</w:t>
            </w:r>
          </w:p>
        </w:tc>
      </w:tr>
      <w:tr>
        <w:trPr>
          <w:trHeight w:val="403" w:hRule="exact"/>
        </w:trPr>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西北地区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9"/>
              <w:jc w:val="right"/>
              <w:rPr>
                <w:rFonts w:ascii="Times New Roman" w:hAnsi="Times New Roman" w:cs="Times New Roman" w:eastAsia="Times New Roman" w:hint="default"/>
                <w:sz w:val="18"/>
                <w:szCs w:val="18"/>
              </w:rPr>
            </w:pPr>
            <w:r>
              <w:rPr>
                <w:rFonts w:ascii="Times New Roman"/>
                <w:spacing w:val="-1"/>
                <w:sz w:val="18"/>
              </w:rPr>
              <w:t>35,644,006.35</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5.39%</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27,020,215.14</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1"/>
                <w:sz w:val="18"/>
              </w:rPr>
              <w:t>3.13%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31.92%</w:t>
            </w:r>
          </w:p>
        </w:tc>
      </w:tr>
      <w:tr>
        <w:trPr>
          <w:trHeight w:val="403" w:hRule="exact"/>
        </w:trPr>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其他（含出口）</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9"/>
              <w:jc w:val="right"/>
              <w:rPr>
                <w:rFonts w:ascii="Times New Roman" w:hAnsi="Times New Roman" w:cs="Times New Roman" w:eastAsia="Times New Roman" w:hint="default"/>
                <w:sz w:val="18"/>
                <w:szCs w:val="18"/>
              </w:rPr>
            </w:pPr>
            <w:r>
              <w:rPr>
                <w:rFonts w:ascii="Times New Roman"/>
                <w:spacing w:val="-1"/>
                <w:sz w:val="18"/>
              </w:rPr>
              <w:t>989,874.18</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0.15%</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655,819.69</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50.94%</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）占公司营业收入或营业利润</w:t>
      </w:r>
      <w:r>
        <w:rPr>
          <w:spacing w:val="23"/>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before="115"/>
        <w:ind w:left="0" w:right="146" w:firstLine="0"/>
        <w:jc w:val="right"/>
        <w:rPr>
          <w:rFonts w:ascii="宋体" w:hAnsi="宋体" w:cs="宋体" w:eastAsia="宋体" w:hint="default"/>
          <w:sz w:val="18"/>
          <w:szCs w:val="18"/>
        </w:rPr>
      </w:pPr>
      <w:r>
        <w:rPr>
          <w:rFonts w:ascii="宋体" w:hAnsi="宋体" w:cs="宋体" w:eastAsia="宋体" w:hint="default"/>
          <w:spacing w:val="-2"/>
          <w:sz w:val="18"/>
          <w:szCs w:val="18"/>
        </w:rPr>
        <w:t>单位：元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8"/>
        <w:gridCol w:w="1363"/>
        <w:gridCol w:w="1368"/>
        <w:gridCol w:w="1368"/>
        <w:gridCol w:w="1368"/>
        <w:gridCol w:w="1363"/>
        <w:gridCol w:w="1373"/>
      </w:tblGrid>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6"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316" w:right="46" w:hanging="269"/>
              <w:jc w:val="left"/>
              <w:rPr>
                <w:rFonts w:ascii="宋体" w:hAnsi="宋体" w:cs="宋体" w:eastAsia="宋体" w:hint="default"/>
                <w:sz w:val="18"/>
                <w:szCs w:val="18"/>
              </w:rPr>
            </w:pPr>
            <w:r>
              <w:rPr>
                <w:rFonts w:ascii="宋体" w:hAnsi="宋体" w:cs="宋体" w:eastAsia="宋体" w:hint="default"/>
                <w:spacing w:val="-3"/>
                <w:sz w:val="18"/>
                <w:szCs w:val="18"/>
              </w:rPr>
              <w:t>营业收入比上年</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同期增减</w:t>
            </w:r>
          </w:p>
        </w:tc>
        <w:tc>
          <w:tcPr>
            <w:tcW w:w="13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311" w:right="46" w:hanging="269"/>
              <w:jc w:val="left"/>
              <w:rPr>
                <w:rFonts w:ascii="宋体" w:hAnsi="宋体" w:cs="宋体" w:eastAsia="宋体" w:hint="default"/>
                <w:sz w:val="18"/>
                <w:szCs w:val="18"/>
              </w:rPr>
            </w:pPr>
            <w:r>
              <w:rPr>
                <w:rFonts w:ascii="宋体" w:hAnsi="宋体" w:cs="宋体" w:eastAsia="宋体" w:hint="default"/>
                <w:spacing w:val="-3"/>
                <w:sz w:val="18"/>
                <w:szCs w:val="18"/>
              </w:rPr>
              <w:t>营业成本比上年</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同期增减</w:t>
            </w:r>
          </w:p>
        </w:tc>
        <w:tc>
          <w:tcPr>
            <w:tcW w:w="1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407" w:right="46" w:hanging="356"/>
              <w:jc w:val="left"/>
              <w:rPr>
                <w:rFonts w:ascii="宋体" w:hAnsi="宋体" w:cs="宋体" w:eastAsia="宋体" w:hint="default"/>
                <w:sz w:val="18"/>
                <w:szCs w:val="18"/>
              </w:rPr>
            </w:pPr>
            <w:r>
              <w:rPr>
                <w:rFonts w:ascii="宋体" w:hAnsi="宋体" w:cs="宋体" w:eastAsia="宋体" w:hint="default"/>
                <w:spacing w:val="-3"/>
                <w:sz w:val="18"/>
                <w:szCs w:val="18"/>
              </w:rPr>
              <w:t>毛利率比上年同</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期增减</w:t>
            </w:r>
          </w:p>
        </w:tc>
      </w:tr>
      <w:tr>
        <w:trPr>
          <w:trHeight w:val="398"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印刷产品</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474,044,405.09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345,758,934.47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27.06%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-1.70%</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5.17%</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-4.76%</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包装办公用纸</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90,158,996.22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82,706,291.53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8.27%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36.92%</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27.41%</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6.84%</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代销费及其他</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96,512,745.44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73,062,984.42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24.30%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-69.40%</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-72.41%</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8.26%</w:t>
            </w:r>
          </w:p>
        </w:tc>
      </w:tr>
      <w:tr>
        <w:trPr>
          <w:trHeight w:val="398"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票证产品</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474,044,405.09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345,758,934.47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27.06%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-1.70%</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5.17%</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-4.76%</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包装办公用纸</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90,158,996.22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82,706,291.53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8.27%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36.92%</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27.41%</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6.84%</w:t>
            </w:r>
          </w:p>
        </w:tc>
      </w:tr>
    </w:tbl>
    <w:p>
      <w:pPr>
        <w:spacing w:after="0" w:line="240" w:lineRule="auto"/>
        <w:jc w:val="right"/>
        <w:rPr>
          <w:rFonts w:ascii="Times New Roman" w:hAnsi="Times New Roman" w:cs="Times New Roman" w:eastAsia="Times New Roman" w:hint="default"/>
          <w:sz w:val="18"/>
          <w:szCs w:val="18"/>
        </w:rPr>
        <w:sectPr>
          <w:pgSz w:w="11900" w:h="16840"/>
          <w:pgMar w:header="74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368"/>
        <w:gridCol w:w="1363"/>
        <w:gridCol w:w="1368"/>
        <w:gridCol w:w="1368"/>
        <w:gridCol w:w="1368"/>
        <w:gridCol w:w="1363"/>
        <w:gridCol w:w="1373"/>
      </w:tblGrid>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代销费及其他</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96,512,745.44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73,062,984.42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24.30%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-69.40%</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-72.41%</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8.26%</w:t>
            </w:r>
          </w:p>
        </w:tc>
      </w:tr>
      <w:tr>
        <w:trPr>
          <w:trHeight w:val="398"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华北地区</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191,713,214.99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171,770,460.99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10.40%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-38.80%</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-27.80%</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-13.66%</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东北地区</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22,034,148.99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16,741,382.34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24.02%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-56.25%</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-60.49%</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8.16%</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华东地区</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225,082,114.99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145,247,417.83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35.47%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-2.97%</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-9.60%</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4.74%</w:t>
            </w:r>
          </w:p>
        </w:tc>
      </w:tr>
      <w:tr>
        <w:trPr>
          <w:trHeight w:val="398"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华中地区</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46,821,553.44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34,754,061.35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25.77%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-23.76%</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-33.80%</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3"/>
                <w:sz w:val="18"/>
              </w:rPr>
              <w:t>11.25%</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华南地区</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32,554,900.17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24,522,274.23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24.67%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-68.48%</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-71.23%</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7.19%</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西南地区</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105,876,333.64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87,993,639.39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16.89%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40.16%</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39.31%</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0.51%</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西北地区</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35,644,006.35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20,149,379.58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43.47%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31.92%</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21.51%</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4.84%</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其他（含出口）</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989,874.18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349,594.71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64.68%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50.94%</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308.03%</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-22.26%</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公司主营业务数据统计口径在报告期发生调整的情况下，公司最近 </w:t>
      </w:r>
      <w:r>
        <w:rPr>
          <w:rFonts w:ascii="Times New Roman" w:hAnsi="Times New Roman" w:cs="Times New Roman" w:eastAsia="Times New Roman" w:hint="default"/>
          <w:sz w:val="18"/>
          <w:szCs w:val="18"/>
        </w:rPr>
        <w:t>1  </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年按报告期末口径调整后的主营业务数据</w:t>
      </w:r>
    </w:p>
    <w:p>
      <w:pPr>
        <w:spacing w:before="101"/>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3</w:t>
      </w:r>
      <w:r>
        <w:rPr/>
        <w:t>）公司实物销售收入是否大于劳务收入</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2"/>
          <w:sz w:val="18"/>
          <w:szCs w:val="18"/>
        </w:rPr>
        <w:t> </w:t>
      </w:r>
      <w:r>
        <w:rPr>
          <w:rFonts w:ascii="宋体" w:hAnsi="宋体" w:cs="宋体" w:eastAsia="宋体" w:hint="default"/>
          <w:sz w:val="18"/>
          <w:szCs w:val="18"/>
        </w:rPr>
        <w:t>否</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4</w:t>
      </w:r>
      <w:r>
        <w:rPr/>
        <w:t>）公司已签订的重大销售合同截至本报告期的履行情况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5</w:t>
      </w:r>
      <w:r>
        <w:rPr/>
        <w:t>）营业成本构成</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after="0" w:line="240" w:lineRule="auto"/>
        <w:rPr>
          <w:rFonts w:ascii="Microsoft JhengHei" w:hAnsi="Microsoft JhengHei" w:cs="Microsoft JhengHei" w:eastAsia="Microsoft JhengHei" w:hint="default"/>
          <w:sz w:val="17"/>
          <w:szCs w:val="17"/>
        </w:rPr>
        <w:sectPr>
          <w:pgSz w:w="11900" w:h="16840"/>
          <w:pgMar w:header="742" w:footer="984" w:top="1060" w:bottom="1180" w:left="980" w:right="980"/>
        </w:sectPr>
      </w:pPr>
    </w:p>
    <w:p>
      <w:pPr>
        <w:spacing w:line="357" w:lineRule="auto" w:before="46"/>
        <w:ind w:left="152" w:right="-7" w:firstLine="0"/>
        <w:jc w:val="left"/>
        <w:rPr>
          <w:rFonts w:ascii="宋体" w:hAnsi="宋体" w:cs="宋体" w:eastAsia="宋体" w:hint="default"/>
          <w:sz w:val="18"/>
          <w:szCs w:val="18"/>
        </w:rPr>
      </w:pPr>
      <w:r>
        <w:rPr>
          <w:rFonts w:ascii="宋体" w:hAnsi="宋体" w:cs="宋体" w:eastAsia="宋体" w:hint="default"/>
          <w:spacing w:val="-2"/>
          <w:sz w:val="18"/>
          <w:szCs w:val="18"/>
        </w:rPr>
        <w:t>产品分类</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产品分类</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00" w:h="16840"/>
          <w:pgMar w:top="1060" w:bottom="1180" w:left="980" w:right="980"/>
          <w:cols w:num="2" w:equalWidth="0">
            <w:col w:w="878" w:space="8036"/>
            <w:col w:w="1026"/>
          </w:cols>
        </w:sectPr>
      </w:pP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1368"/>
        <w:gridCol w:w="1368"/>
        <w:gridCol w:w="1363"/>
        <w:gridCol w:w="1368"/>
        <w:gridCol w:w="1368"/>
      </w:tblGrid>
      <w:tr>
        <w:trPr>
          <w:trHeight w:val="403"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316" w:right="0"/>
              <w:jc w:val="left"/>
              <w:rPr>
                <w:rFonts w:ascii="宋体" w:hAnsi="宋体" w:cs="宋体" w:eastAsia="宋体" w:hint="default"/>
                <w:sz w:val="18"/>
                <w:szCs w:val="18"/>
              </w:rPr>
            </w:pPr>
            <w:r>
              <w:rPr>
                <w:rFonts w:ascii="宋体" w:hAnsi="宋体" w:cs="宋体" w:eastAsia="宋体" w:hint="default"/>
                <w:sz w:val="18"/>
                <w:szCs w:val="18"/>
              </w:rPr>
              <w:t>产品分类</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273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27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316"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399"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46"/>
              <w:jc w:val="right"/>
              <w:rPr>
                <w:rFonts w:ascii="宋体" w:hAnsi="宋体" w:cs="宋体" w:eastAsia="宋体" w:hint="default"/>
                <w:sz w:val="18"/>
                <w:szCs w:val="18"/>
              </w:rPr>
            </w:pPr>
            <w:r>
              <w:rPr>
                <w:rFonts w:ascii="宋体" w:hAnsi="宋体" w:cs="宋体" w:eastAsia="宋体" w:hint="default"/>
                <w:spacing w:val="-3"/>
                <w:sz w:val="18"/>
                <w:szCs w:val="18"/>
              </w:rPr>
              <w:t>占营业成本比重</w:t>
            </w:r>
          </w:p>
        </w:tc>
        <w:tc>
          <w:tcPr>
            <w:tcW w:w="13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7"/>
              <w:jc w:val="center"/>
              <w:rPr>
                <w:rFonts w:ascii="宋体" w:hAnsi="宋体" w:cs="宋体" w:eastAsia="宋体" w:hint="default"/>
                <w:sz w:val="18"/>
                <w:szCs w:val="18"/>
              </w:rPr>
            </w:pPr>
            <w:r>
              <w:rPr>
                <w:rFonts w:ascii="宋体" w:hAnsi="宋体" w:cs="宋体" w:eastAsia="宋体" w:hint="default"/>
                <w:sz w:val="18"/>
                <w:szCs w:val="18"/>
              </w:rPr>
              <w:t>金额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46"/>
              <w:jc w:val="right"/>
              <w:rPr>
                <w:rFonts w:ascii="宋体" w:hAnsi="宋体" w:cs="宋体" w:eastAsia="宋体" w:hint="default"/>
                <w:sz w:val="18"/>
                <w:szCs w:val="18"/>
              </w:rPr>
            </w:pPr>
            <w:r>
              <w:rPr>
                <w:rFonts w:ascii="宋体" w:hAnsi="宋体" w:cs="宋体" w:eastAsia="宋体" w:hint="default"/>
                <w:spacing w:val="-3"/>
                <w:sz w:val="18"/>
                <w:szCs w:val="18"/>
              </w:rPr>
              <w:t>占营业成本比重</w:t>
            </w: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印刷产品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主营业务成本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2"/>
              <w:jc w:val="right"/>
              <w:rPr>
                <w:rFonts w:ascii="Times New Roman" w:hAnsi="Times New Roman" w:cs="Times New Roman" w:eastAsia="Times New Roman" w:hint="default"/>
                <w:sz w:val="18"/>
                <w:szCs w:val="18"/>
              </w:rPr>
            </w:pPr>
            <w:r>
              <w:rPr>
                <w:rFonts w:ascii="Times New Roman"/>
                <w:spacing w:val="-1"/>
                <w:sz w:val="18"/>
              </w:rPr>
              <w:t>345,758,934.47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3"/>
              <w:jc w:val="right"/>
              <w:rPr>
                <w:rFonts w:ascii="Times New Roman" w:hAnsi="Times New Roman" w:cs="Times New Roman" w:eastAsia="Times New Roman" w:hint="default"/>
                <w:sz w:val="18"/>
                <w:szCs w:val="18"/>
              </w:rPr>
            </w:pPr>
            <w:r>
              <w:rPr>
                <w:rFonts w:ascii="Times New Roman"/>
                <w:spacing w:val="-1"/>
                <w:sz w:val="18"/>
              </w:rPr>
              <w:t>68.94%</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2"/>
              <w:jc w:val="right"/>
              <w:rPr>
                <w:rFonts w:ascii="Times New Roman" w:hAnsi="Times New Roman" w:cs="Times New Roman" w:eastAsia="Times New Roman" w:hint="default"/>
                <w:sz w:val="18"/>
                <w:szCs w:val="18"/>
              </w:rPr>
            </w:pPr>
            <w:r>
              <w:rPr>
                <w:rFonts w:ascii="Times New Roman"/>
                <w:spacing w:val="-1"/>
                <w:sz w:val="18"/>
              </w:rPr>
              <w:t>328,776,843.74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3"/>
              <w:jc w:val="right"/>
              <w:rPr>
                <w:rFonts w:ascii="Times New Roman" w:hAnsi="Times New Roman" w:cs="Times New Roman" w:eastAsia="Times New Roman" w:hint="default"/>
                <w:sz w:val="18"/>
                <w:szCs w:val="18"/>
              </w:rPr>
            </w:pPr>
            <w:r>
              <w:rPr>
                <w:rFonts w:ascii="Times New Roman"/>
                <w:spacing w:val="-1"/>
                <w:sz w:val="18"/>
              </w:rPr>
              <w:t>49.93%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3"/>
              <w:jc w:val="right"/>
              <w:rPr>
                <w:rFonts w:ascii="Times New Roman" w:hAnsi="Times New Roman" w:cs="Times New Roman" w:eastAsia="Times New Roman" w:hint="default"/>
                <w:sz w:val="18"/>
                <w:szCs w:val="18"/>
              </w:rPr>
            </w:pPr>
            <w:r>
              <w:rPr>
                <w:rFonts w:ascii="Times New Roman"/>
                <w:spacing w:val="-1"/>
                <w:sz w:val="18"/>
              </w:rPr>
              <w:t>5.17%</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包装办公用纸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主营业务成本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82,706,291.53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16.49%</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63,049,949.47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9.57%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31.18%</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代销费及其他</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主营业务成本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72,065,960.56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14.37%</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264,828,129.00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40.22%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-72.79%</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6</w:t>
      </w:r>
      <w:r>
        <w:rPr/>
        <w:t>）报告期内合并范围是否发生变动</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2"/>
          <w:sz w:val="18"/>
          <w:szCs w:val="18"/>
        </w:rPr>
        <w:t> </w:t>
      </w:r>
      <w:r>
        <w:rPr>
          <w:rFonts w:ascii="宋体" w:hAnsi="宋体" w:cs="宋体" w:eastAsia="宋体" w:hint="default"/>
          <w:sz w:val="18"/>
          <w:szCs w:val="18"/>
        </w:rPr>
        <w:t>否</w:t>
      </w:r>
    </w:p>
    <w:p>
      <w:pPr>
        <w:pStyle w:val="BodyText"/>
        <w:spacing w:line="273" w:lineRule="auto" w:before="89"/>
        <w:ind w:right="0" w:firstLine="422"/>
        <w:jc w:val="left"/>
      </w:pPr>
      <w:r>
        <w:rPr>
          <w:spacing w:val="-2"/>
        </w:rPr>
        <w:t>1、清算注销全资子公司广州鸿博文化传播有限公司和子公司北京青禾阳光文化传播有限公司导致合</w:t>
      </w:r>
      <w:r>
        <w:rPr>
          <w:w w:val="100"/>
        </w:rPr>
        <w:t> </w:t>
      </w:r>
      <w:r>
        <w:rPr/>
        <w:t>并范围减少。</w:t>
      </w:r>
    </w:p>
    <w:p>
      <w:pPr>
        <w:pStyle w:val="BodyText"/>
        <w:spacing w:line="240" w:lineRule="auto" w:before="7"/>
        <w:ind w:left="575" w:right="0"/>
        <w:jc w:val="left"/>
      </w:pPr>
      <w:r>
        <w:rPr/>
        <w:t>2、公司于2015年11月17日召开第三届董事会第十二次会议以及2015年12月3日召开的2015年第五次临</w:t>
      </w:r>
    </w:p>
    <w:p>
      <w:pPr>
        <w:spacing w:after="0" w:line="240" w:lineRule="auto"/>
        <w:jc w:val="left"/>
        <w:sectPr>
          <w:type w:val="continuous"/>
          <w:pgSz w:w="11900" w:h="16840"/>
          <w:pgMar w:top="1060" w:bottom="1180" w:left="980" w:right="980"/>
        </w:sectPr>
      </w:pPr>
    </w:p>
    <w:p>
      <w:pPr>
        <w:spacing w:line="240" w:lineRule="auto" w:before="12"/>
        <w:rPr>
          <w:rFonts w:ascii="宋体" w:hAnsi="宋体" w:cs="宋体" w:eastAsia="宋体" w:hint="default"/>
          <w:sz w:val="24"/>
          <w:szCs w:val="24"/>
        </w:rPr>
      </w:pPr>
    </w:p>
    <w:p>
      <w:pPr>
        <w:pStyle w:val="BodyText"/>
        <w:spacing w:line="273" w:lineRule="auto" w:before="36"/>
        <w:ind w:right="109"/>
        <w:jc w:val="left"/>
      </w:pPr>
      <w:r>
        <w:rPr>
          <w:spacing w:val="-2"/>
        </w:rPr>
        <w:t>时股东大会审议通过了《关于收购北京科信盛彩投资有限公司》，于2015年12月25日完成了北京科信盛彩</w:t>
      </w:r>
      <w:r>
        <w:rPr>
          <w:spacing w:val="-27"/>
        </w:rPr>
        <w:t> </w:t>
      </w:r>
      <w:r>
        <w:rPr>
          <w:spacing w:val="-27"/>
        </w:rPr>
      </w:r>
      <w:r>
        <w:rPr/>
        <w:t>投资有限公司的工商变更登记手续，本期新增科信盛彩导致合并范围增加。</w:t>
      </w:r>
    </w:p>
    <w:p>
      <w:pPr>
        <w:pStyle w:val="BodyText"/>
        <w:spacing w:line="273" w:lineRule="auto" w:before="7"/>
        <w:ind w:right="109" w:firstLine="422"/>
        <w:jc w:val="left"/>
      </w:pPr>
      <w:r>
        <w:rPr>
          <w:spacing w:val="-6"/>
        </w:rPr>
        <w:t>3、本公司报告期内新设子公司深圳青石软件有限公司，法定代表人为苏凤娇，由本公司持有股权100%，</w:t>
      </w:r>
      <w:r>
        <w:rPr>
          <w:w w:val="100"/>
        </w:rPr>
        <w:t> </w:t>
      </w:r>
      <w:r>
        <w:rPr/>
        <w:t>截至报告日未投入注册资本，公司无经济业务发生。</w:t>
      </w:r>
    </w:p>
    <w:p>
      <w:pPr>
        <w:spacing w:line="240" w:lineRule="auto" w:before="8"/>
        <w:rPr>
          <w:rFonts w:ascii="宋体" w:hAnsi="宋体" w:cs="宋体" w:eastAsia="宋体" w:hint="default"/>
          <w:sz w:val="18"/>
          <w:szCs w:val="18"/>
        </w:rPr>
      </w:pPr>
    </w:p>
    <w:p>
      <w:pPr>
        <w:pStyle w:val="Heading4"/>
        <w:spacing w:line="240" w:lineRule="auto"/>
        <w:ind w:right="109"/>
        <w:jc w:val="left"/>
        <w:rPr>
          <w:b w:val="0"/>
          <w:bCs w:val="0"/>
        </w:rPr>
      </w:pPr>
      <w:r>
        <w:rPr/>
        <w:t>（</w:t>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152" w:right="109"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7"/>
        <w:rPr>
          <w:rFonts w:ascii="宋体" w:hAnsi="宋体" w:cs="宋体" w:eastAsia="宋体" w:hint="default"/>
          <w:sz w:val="21"/>
          <w:szCs w:val="21"/>
        </w:rPr>
      </w:pPr>
    </w:p>
    <w:p>
      <w:pPr>
        <w:pStyle w:val="Heading4"/>
        <w:spacing w:line="240" w:lineRule="auto"/>
        <w:ind w:right="109"/>
        <w:jc w:val="left"/>
        <w:rPr>
          <w:b w:val="0"/>
          <w:bCs w:val="0"/>
        </w:rPr>
      </w:pPr>
      <w:r>
        <w:rPr/>
        <w:t>（</w:t>
      </w:r>
      <w:r>
        <w:rPr>
          <w:rFonts w:ascii="Times New Roman" w:hAnsi="Times New Roman" w:cs="Times New Roman" w:eastAsia="Times New Roman" w:hint="default"/>
        </w:rPr>
        <w:t>8</w:t>
      </w:r>
      <w:r>
        <w:rPr/>
        <w:t>）主要销售客户和主要供应商情况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109" w:firstLine="0"/>
        <w:jc w:val="left"/>
        <w:rPr>
          <w:rFonts w:ascii="宋体" w:hAnsi="宋体" w:cs="宋体" w:eastAsia="宋体" w:hint="default"/>
          <w:sz w:val="18"/>
          <w:szCs w:val="18"/>
        </w:rPr>
      </w:pPr>
      <w:r>
        <w:rPr>
          <w:rFonts w:ascii="宋体" w:hAnsi="宋体" w:cs="宋体" w:eastAsia="宋体" w:hint="default"/>
          <w:sz w:val="18"/>
          <w:szCs w:val="18"/>
        </w:rPr>
        <w:t>公司主要销售客户情况</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258"/>
        <w:gridCol w:w="5309"/>
      </w:tblGrid>
      <w:tr>
        <w:trPr>
          <w:trHeight w:val="403"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前五名客户合计销售金额（元）</w:t>
            </w:r>
          </w:p>
        </w:tc>
        <w:tc>
          <w:tcPr>
            <w:tcW w:w="5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119,789,275.83</w:t>
            </w:r>
          </w:p>
        </w:tc>
      </w:tr>
      <w:tr>
        <w:trPr>
          <w:trHeight w:val="398"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前五名客户合计销售金额占年度销售总额比例</w:t>
            </w:r>
          </w:p>
        </w:tc>
        <w:tc>
          <w:tcPr>
            <w:tcW w:w="5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18.13%</w:t>
            </w:r>
          </w:p>
        </w:tc>
      </w:tr>
    </w:tbl>
    <w:p>
      <w:pPr>
        <w:spacing w:before="53"/>
        <w:ind w:left="152" w:right="109"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大客户资料</w:t>
      </w:r>
    </w:p>
    <w:p>
      <w:pPr>
        <w:spacing w:line="240" w:lineRule="auto" w:before="12"/>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792"/>
        <w:gridCol w:w="3312"/>
        <w:gridCol w:w="2323"/>
        <w:gridCol w:w="3139"/>
      </w:tblGrid>
      <w:tr>
        <w:trPr>
          <w:trHeight w:val="403" w:hRule="exact"/>
        </w:trPr>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11"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14"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48" w:right="0"/>
              <w:jc w:val="left"/>
              <w:rPr>
                <w:rFonts w:ascii="宋体" w:hAnsi="宋体" w:cs="宋体" w:eastAsia="宋体" w:hint="default"/>
                <w:sz w:val="18"/>
                <w:szCs w:val="18"/>
              </w:rPr>
            </w:pPr>
            <w:r>
              <w:rPr>
                <w:rFonts w:ascii="宋体" w:hAnsi="宋体" w:cs="宋体" w:eastAsia="宋体" w:hint="default"/>
                <w:spacing w:val="-3"/>
                <w:sz w:val="18"/>
                <w:szCs w:val="18"/>
              </w:rPr>
              <w:t>占年度销售总额比例</w:t>
            </w:r>
          </w:p>
        </w:tc>
      </w:tr>
      <w:tr>
        <w:trPr>
          <w:trHeight w:val="403" w:hRule="exact"/>
        </w:trPr>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24" w:right="0"/>
              <w:jc w:val="lef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331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A</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31,779,360.37</w:t>
            </w:r>
          </w:p>
        </w:tc>
        <w:tc>
          <w:tcPr>
            <w:tcW w:w="3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4.81%</w:t>
            </w:r>
          </w:p>
        </w:tc>
      </w:tr>
      <w:tr>
        <w:trPr>
          <w:trHeight w:val="398" w:hRule="exact"/>
        </w:trPr>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24" w:right="0"/>
              <w:jc w:val="left"/>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c>
          <w:tcPr>
            <w:tcW w:w="331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B</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29,874,569.23</w:t>
            </w:r>
          </w:p>
        </w:tc>
        <w:tc>
          <w:tcPr>
            <w:tcW w:w="3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4.52%</w:t>
            </w:r>
          </w:p>
        </w:tc>
      </w:tr>
      <w:tr>
        <w:trPr>
          <w:trHeight w:val="403" w:hRule="exact"/>
        </w:trPr>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24" w:right="0"/>
              <w:jc w:val="lef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331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C</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22,345,789.74</w:t>
            </w:r>
          </w:p>
        </w:tc>
        <w:tc>
          <w:tcPr>
            <w:tcW w:w="3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3.38%</w:t>
            </w:r>
          </w:p>
        </w:tc>
      </w:tr>
      <w:tr>
        <w:trPr>
          <w:trHeight w:val="403" w:hRule="exact"/>
        </w:trPr>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24" w:right="0"/>
              <w:jc w:val="lef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331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D</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17,948,717.95</w:t>
            </w:r>
          </w:p>
        </w:tc>
        <w:tc>
          <w:tcPr>
            <w:tcW w:w="3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2.72%</w:t>
            </w:r>
          </w:p>
        </w:tc>
      </w:tr>
      <w:tr>
        <w:trPr>
          <w:trHeight w:val="403" w:hRule="exact"/>
        </w:trPr>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24" w:right="0"/>
              <w:jc w:val="lef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331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E</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17,840,838.54</w:t>
            </w:r>
          </w:p>
        </w:tc>
        <w:tc>
          <w:tcPr>
            <w:tcW w:w="3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2.70%</w:t>
            </w:r>
          </w:p>
        </w:tc>
      </w:tr>
      <w:tr>
        <w:trPr>
          <w:trHeight w:val="398" w:hRule="exact"/>
        </w:trPr>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12" w:right="0"/>
              <w:jc w:val="center"/>
              <w:rPr>
                <w:rFonts w:ascii="Times New Roman" w:hAnsi="Times New Roman" w:cs="Times New Roman" w:eastAsia="Times New Roman" w:hint="default"/>
                <w:sz w:val="18"/>
                <w:szCs w:val="18"/>
              </w:rPr>
            </w:pPr>
            <w:r>
              <w:rPr>
                <w:rFonts w:ascii="Times New Roman"/>
                <w:sz w:val="18"/>
              </w:rPr>
              <w:t>--</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119,789,275.83</w:t>
            </w:r>
          </w:p>
        </w:tc>
        <w:tc>
          <w:tcPr>
            <w:tcW w:w="3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18.13%</w:t>
            </w:r>
          </w:p>
        </w:tc>
      </w:tr>
    </w:tbl>
    <w:p>
      <w:pPr>
        <w:spacing w:before="53"/>
        <w:ind w:left="152" w:right="109" w:firstLine="0"/>
        <w:jc w:val="left"/>
        <w:rPr>
          <w:rFonts w:ascii="宋体" w:hAnsi="宋体" w:cs="宋体" w:eastAsia="宋体" w:hint="default"/>
          <w:sz w:val="18"/>
          <w:szCs w:val="18"/>
        </w:rPr>
      </w:pPr>
      <w:r>
        <w:rPr>
          <w:rFonts w:ascii="宋体" w:hAnsi="宋体" w:cs="宋体" w:eastAsia="宋体" w:hint="default"/>
          <w:sz w:val="18"/>
          <w:szCs w:val="18"/>
        </w:rPr>
        <w:t>主要客户其他情况说明</w:t>
      </w:r>
    </w:p>
    <w:p>
      <w:pPr>
        <w:spacing w:line="357" w:lineRule="auto" w:before="119"/>
        <w:ind w:left="152" w:right="7053"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4"/>
          <w:sz w:val="18"/>
          <w:szCs w:val="18"/>
        </w:rPr>
        <w:t> </w:t>
      </w:r>
      <w:r>
        <w:rPr>
          <w:rFonts w:ascii="宋体" w:hAnsi="宋体" w:cs="宋体" w:eastAsia="宋体" w:hint="default"/>
          <w:spacing w:val="-3"/>
          <w:sz w:val="18"/>
          <w:szCs w:val="18"/>
        </w:rPr>
        <w:t>适用</w:t>
      </w:r>
      <w:r>
        <w:rPr>
          <w:rFonts w:ascii="宋体" w:hAnsi="宋体" w:cs="宋体" w:eastAsia="宋体" w:hint="default"/>
          <w:spacing w:val="-1"/>
          <w:sz w:val="18"/>
          <w:szCs w:val="18"/>
        </w:rPr>
        <w:t> </w:t>
      </w:r>
      <w:r>
        <w:rPr>
          <w:rFonts w:ascii="宋体" w:hAnsi="宋体" w:cs="宋体" w:eastAsia="宋体" w:hint="default"/>
          <w:sz w:val="18"/>
          <w:szCs w:val="18"/>
        </w:rPr>
        <w:t>√</w:t>
      </w:r>
      <w:r>
        <w:rPr>
          <w:rFonts w:ascii="宋体" w:hAnsi="宋体" w:cs="宋体" w:eastAsia="宋体" w:hint="default"/>
          <w:spacing w:val="4"/>
          <w:sz w:val="18"/>
          <w:szCs w:val="18"/>
        </w:rPr>
        <w:t> </w:t>
      </w:r>
      <w:r>
        <w:rPr>
          <w:rFonts w:ascii="宋体" w:hAnsi="宋体" w:cs="宋体" w:eastAsia="宋体" w:hint="default"/>
          <w:sz w:val="18"/>
          <w:szCs w:val="18"/>
        </w:rPr>
        <w:t>不适用</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公司主要供应商情况</w:t>
      </w:r>
    </w:p>
    <w:tbl>
      <w:tblPr>
        <w:tblW w:w="0" w:type="auto"/>
        <w:jc w:val="left"/>
        <w:tblInd w:w="148" w:type="dxa"/>
        <w:tblLayout w:type="fixed"/>
        <w:tblCellMar>
          <w:top w:w="0" w:type="dxa"/>
          <w:left w:w="0" w:type="dxa"/>
          <w:bottom w:w="0" w:type="dxa"/>
          <w:right w:w="0" w:type="dxa"/>
        </w:tblCellMar>
        <w:tblLook w:val="01E0"/>
      </w:tblPr>
      <w:tblGrid>
        <w:gridCol w:w="4258"/>
        <w:gridCol w:w="5309"/>
      </w:tblGrid>
      <w:tr>
        <w:trPr>
          <w:trHeight w:val="403"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前五名供应商合计采购金额（元）</w:t>
            </w:r>
          </w:p>
        </w:tc>
        <w:tc>
          <w:tcPr>
            <w:tcW w:w="5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116,343,459.21</w:t>
            </w:r>
          </w:p>
        </w:tc>
      </w:tr>
      <w:tr>
        <w:trPr>
          <w:trHeight w:val="398"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前五名供应商合计采购金额占年度采购总额比例</w:t>
            </w:r>
          </w:p>
        </w:tc>
        <w:tc>
          <w:tcPr>
            <w:tcW w:w="5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27.22%</w:t>
            </w:r>
          </w:p>
        </w:tc>
      </w:tr>
    </w:tbl>
    <w:p>
      <w:pPr>
        <w:spacing w:before="70"/>
        <w:ind w:left="152" w:right="109"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名供应商资料</w:t>
      </w:r>
    </w:p>
    <w:p>
      <w:pPr>
        <w:spacing w:line="240" w:lineRule="auto" w:before="12"/>
        <w:rPr>
          <w:rFonts w:ascii="宋体" w:hAnsi="宋体" w:cs="宋体" w:eastAsia="宋体" w:hint="default"/>
          <w:sz w:val="6"/>
          <w:szCs w:val="6"/>
        </w:rPr>
      </w:pPr>
    </w:p>
    <w:tbl>
      <w:tblPr>
        <w:tblW w:w="0" w:type="auto"/>
        <w:jc w:val="left"/>
        <w:tblInd w:w="160" w:type="dxa"/>
        <w:tblLayout w:type="fixed"/>
        <w:tblCellMar>
          <w:top w:w="0" w:type="dxa"/>
          <w:left w:w="0" w:type="dxa"/>
          <w:bottom w:w="0" w:type="dxa"/>
          <w:right w:w="0" w:type="dxa"/>
        </w:tblCellMar>
        <w:tblLook w:val="01E0"/>
      </w:tblPr>
      <w:tblGrid>
        <w:gridCol w:w="912"/>
        <w:gridCol w:w="3180"/>
        <w:gridCol w:w="2323"/>
        <w:gridCol w:w="3139"/>
      </w:tblGrid>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66"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14"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48" w:right="0"/>
              <w:jc w:val="left"/>
              <w:rPr>
                <w:rFonts w:ascii="宋体" w:hAnsi="宋体" w:cs="宋体" w:eastAsia="宋体" w:hint="default"/>
                <w:sz w:val="18"/>
                <w:szCs w:val="18"/>
              </w:rPr>
            </w:pPr>
            <w:r>
              <w:rPr>
                <w:rFonts w:ascii="宋体" w:hAnsi="宋体" w:cs="宋体" w:eastAsia="宋体" w:hint="default"/>
                <w:spacing w:val="-3"/>
                <w:sz w:val="18"/>
                <w:szCs w:val="18"/>
              </w:rPr>
              <w:t>占年度采购总额比例</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11" w:right="0"/>
              <w:jc w:val="lef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A</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46,887,218.88</w:t>
            </w:r>
          </w:p>
        </w:tc>
        <w:tc>
          <w:tcPr>
            <w:tcW w:w="3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10.97%</w:t>
            </w:r>
          </w:p>
        </w:tc>
      </w:tr>
      <w:tr>
        <w:trPr>
          <w:trHeight w:val="398"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11" w:right="0"/>
              <w:jc w:val="left"/>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B</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26,130,547.95</w:t>
            </w:r>
          </w:p>
        </w:tc>
        <w:tc>
          <w:tcPr>
            <w:tcW w:w="3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3"/>
                <w:sz w:val="18"/>
              </w:rPr>
              <w:t>6.11%</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11" w:right="0"/>
              <w:jc w:val="lef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C</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14,818,344.97</w:t>
            </w:r>
          </w:p>
        </w:tc>
        <w:tc>
          <w:tcPr>
            <w:tcW w:w="3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3.47%</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11" w:right="0"/>
              <w:jc w:val="lef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D</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14,456,372.40</w:t>
            </w:r>
          </w:p>
        </w:tc>
        <w:tc>
          <w:tcPr>
            <w:tcW w:w="3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3.38%</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11" w:right="0"/>
              <w:jc w:val="lef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E</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14,050,975.01</w:t>
            </w:r>
          </w:p>
        </w:tc>
        <w:tc>
          <w:tcPr>
            <w:tcW w:w="3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3.29%</w:t>
            </w:r>
          </w:p>
        </w:tc>
      </w:tr>
      <w:tr>
        <w:trPr>
          <w:trHeight w:val="398"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15" w:right="0"/>
              <w:jc w:val="center"/>
              <w:rPr>
                <w:rFonts w:ascii="Times New Roman" w:hAnsi="Times New Roman" w:cs="Times New Roman" w:eastAsia="Times New Roman" w:hint="default"/>
                <w:sz w:val="18"/>
                <w:szCs w:val="18"/>
              </w:rPr>
            </w:pPr>
            <w:r>
              <w:rPr>
                <w:rFonts w:ascii="Times New Roman"/>
                <w:sz w:val="18"/>
              </w:rPr>
              <w:t>--</w:t>
            </w:r>
          </w:p>
        </w:tc>
        <w:tc>
          <w:tcPr>
            <w:tcW w:w="232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116,343,459.21</w:t>
            </w:r>
          </w:p>
        </w:tc>
        <w:tc>
          <w:tcPr>
            <w:tcW w:w="3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27.22%</w:t>
            </w:r>
          </w:p>
        </w:tc>
      </w:tr>
    </w:tbl>
    <w:p>
      <w:pPr>
        <w:spacing w:before="53"/>
        <w:ind w:left="152" w:right="109" w:firstLine="0"/>
        <w:jc w:val="left"/>
        <w:rPr>
          <w:rFonts w:ascii="宋体" w:hAnsi="宋体" w:cs="宋体" w:eastAsia="宋体" w:hint="default"/>
          <w:sz w:val="18"/>
          <w:szCs w:val="18"/>
        </w:rPr>
      </w:pPr>
      <w:r>
        <w:rPr>
          <w:rFonts w:ascii="宋体" w:hAnsi="宋体" w:cs="宋体" w:eastAsia="宋体" w:hint="default"/>
          <w:spacing w:val="-3"/>
          <w:sz w:val="18"/>
          <w:szCs w:val="18"/>
        </w:rPr>
        <w:t>主要供应商其他情况说明</w:t>
      </w:r>
    </w:p>
    <w:p>
      <w:pPr>
        <w:spacing w:before="119"/>
        <w:ind w:left="152" w:right="109"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00" w:h="16840"/>
          <w:pgMar w:header="742" w:footer="984" w:top="1060" w:bottom="1180" w:left="980" w:right="900"/>
        </w:sectPr>
      </w:pPr>
    </w:p>
    <w:p>
      <w:pPr>
        <w:spacing w:line="240" w:lineRule="auto" w:before="12"/>
        <w:rPr>
          <w:rFonts w:ascii="宋体" w:hAnsi="宋体" w:cs="宋体" w:eastAsia="宋体" w:hint="default"/>
          <w:sz w:val="24"/>
          <w:szCs w:val="24"/>
        </w:rPr>
      </w:pPr>
    </w:p>
    <w:p>
      <w:pPr>
        <w:pStyle w:val="Heading4"/>
        <w:spacing w:line="335" w:lineRule="exact"/>
        <w:ind w:right="0"/>
        <w:jc w:val="left"/>
        <w:rPr>
          <w:b w:val="0"/>
          <w:bCs w:val="0"/>
        </w:rPr>
      </w:pPr>
      <w:r>
        <w:rPr>
          <w:rFonts w:ascii="Times New Roman" w:hAnsi="Times New Roman" w:cs="Times New Roman" w:eastAsia="Times New Roman" w:hint="default"/>
        </w:rPr>
        <w:t>3</w:t>
      </w:r>
      <w:r>
        <w:rPr/>
        <w:t>、费用</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pacing w:val="-2"/>
          <w:sz w:val="18"/>
          <w:szCs w:val="18"/>
        </w:rPr>
        <w:t>单位：元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5"/>
        <w:gridCol w:w="1637"/>
        <w:gridCol w:w="1637"/>
        <w:gridCol w:w="1459"/>
        <w:gridCol w:w="2918"/>
      </w:tblGrid>
      <w:tr>
        <w:trPr>
          <w:trHeight w:val="403" w:hRule="exact"/>
        </w:trPr>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1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1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4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64"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11"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03" w:hRule="exact"/>
        </w:trPr>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3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57,624,442.38</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51,528,674.13</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3"/>
                <w:sz w:val="18"/>
              </w:rPr>
              <w:t>11.83%</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3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113,391,393.91</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99,526,431.37</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13.93%</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158" w:hRule="exact"/>
        </w:trPr>
        <w:tc>
          <w:tcPr>
            <w:tcW w:w="1915" w:type="dxa"/>
            <w:tcBorders>
              <w:top w:val="single" w:sz="4" w:space="0" w:color="000000"/>
              <w:left w:val="single" w:sz="4" w:space="0" w:color="000000"/>
              <w:bottom w:val="nil" w:sz="6" w:space="0" w:color="auto"/>
              <w:right w:val="single" w:sz="4" w:space="0" w:color="000000"/>
            </w:tcBorders>
            <w:shd w:val="clear" w:color="auto" w:fill="D2D2D2"/>
          </w:tcPr>
          <w:p>
            <w:pPr/>
          </w:p>
        </w:tc>
        <w:tc>
          <w:tcPr>
            <w:tcW w:w="1637" w:type="dxa"/>
            <w:vMerge w:val="restart"/>
            <w:tcBorders>
              <w:top w:val="single" w:sz="4" w:space="0" w:color="000000"/>
              <w:left w:val="single" w:sz="8" w:space="0" w:color="D2D2D2"/>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56" w:right="0"/>
              <w:jc w:val="left"/>
              <w:rPr>
                <w:rFonts w:ascii="Times New Roman" w:hAnsi="Times New Roman" w:cs="Times New Roman" w:eastAsia="Times New Roman" w:hint="default"/>
                <w:sz w:val="18"/>
                <w:szCs w:val="18"/>
              </w:rPr>
            </w:pPr>
            <w:r>
              <w:rPr>
                <w:rFonts w:ascii="Times New Roman"/>
                <w:sz w:val="18"/>
              </w:rPr>
              <w:t>14,559,008.44</w:t>
            </w:r>
          </w:p>
        </w:tc>
        <w:tc>
          <w:tcPr>
            <w:tcW w:w="1637"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61" w:right="0"/>
              <w:jc w:val="left"/>
              <w:rPr>
                <w:rFonts w:ascii="Times New Roman" w:hAnsi="Times New Roman" w:cs="Times New Roman" w:eastAsia="Times New Roman" w:hint="default"/>
                <w:sz w:val="18"/>
                <w:szCs w:val="18"/>
              </w:rPr>
            </w:pPr>
            <w:r>
              <w:rPr>
                <w:rFonts w:ascii="Times New Roman"/>
                <w:sz w:val="18"/>
              </w:rPr>
              <w:t>10,556,920.37</w:t>
            </w:r>
          </w:p>
        </w:tc>
        <w:tc>
          <w:tcPr>
            <w:tcW w:w="1459"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68" w:right="0"/>
              <w:jc w:val="left"/>
              <w:rPr>
                <w:rFonts w:ascii="Times New Roman" w:hAnsi="Times New Roman" w:cs="Times New Roman" w:eastAsia="Times New Roman" w:hint="default"/>
                <w:sz w:val="18"/>
                <w:szCs w:val="18"/>
              </w:rPr>
            </w:pPr>
            <w:r>
              <w:rPr>
                <w:rFonts w:ascii="Times New Roman"/>
                <w:sz w:val="18"/>
              </w:rPr>
              <w:t>37.91%</w:t>
            </w:r>
          </w:p>
        </w:tc>
        <w:tc>
          <w:tcPr>
            <w:tcW w:w="2918" w:type="dxa"/>
            <w:vMerge w:val="restart"/>
            <w:tcBorders>
              <w:top w:val="single" w:sz="4" w:space="0" w:color="000000"/>
              <w:left w:val="single" w:sz="4" w:space="0" w:color="000000"/>
              <w:right w:val="single" w:sz="4" w:space="0" w:color="000000"/>
            </w:tcBorders>
          </w:tcPr>
          <w:p>
            <w:pPr>
              <w:pStyle w:val="TableParagraph"/>
              <w:spacing w:line="321" w:lineRule="auto" w:before="53"/>
              <w:ind w:left="23" w:right="180"/>
              <w:jc w:val="left"/>
              <w:rPr>
                <w:rFonts w:ascii="宋体" w:hAnsi="宋体" w:cs="宋体" w:eastAsia="宋体" w:hint="default"/>
                <w:sz w:val="18"/>
                <w:szCs w:val="18"/>
              </w:rPr>
            </w:pPr>
            <w:r>
              <w:rPr>
                <w:rFonts w:ascii="宋体" w:hAnsi="宋体" w:cs="宋体" w:eastAsia="宋体" w:hint="default"/>
                <w:spacing w:val="-3"/>
                <w:sz w:val="18"/>
                <w:szCs w:val="18"/>
              </w:rPr>
              <w:t>主要原因系本期短期借款增长导致</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pacing w:val="-3"/>
                <w:sz w:val="18"/>
                <w:szCs w:val="18"/>
              </w:rPr>
              <w:t>的利息费用增加所致</w:t>
            </w:r>
          </w:p>
        </w:tc>
      </w:tr>
      <w:tr>
        <w:trPr>
          <w:trHeight w:val="394" w:hRule="exact"/>
        </w:trPr>
        <w:tc>
          <w:tcPr>
            <w:tcW w:w="19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37" w:type="dxa"/>
            <w:vMerge/>
            <w:tcBorders>
              <w:left w:val="single" w:sz="8" w:space="0" w:color="D2D2D2"/>
              <w:right w:val="single" w:sz="4" w:space="0" w:color="000000"/>
            </w:tcBorders>
          </w:tcPr>
          <w:p>
            <w:pPr/>
          </w:p>
        </w:tc>
        <w:tc>
          <w:tcPr>
            <w:tcW w:w="1637" w:type="dxa"/>
            <w:vMerge/>
            <w:tcBorders>
              <w:left w:val="single" w:sz="4" w:space="0" w:color="000000"/>
              <w:right w:val="single" w:sz="4" w:space="0" w:color="000000"/>
            </w:tcBorders>
          </w:tcPr>
          <w:p>
            <w:pPr/>
          </w:p>
        </w:tc>
        <w:tc>
          <w:tcPr>
            <w:tcW w:w="1459"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163" w:hRule="exact"/>
        </w:trPr>
        <w:tc>
          <w:tcPr>
            <w:tcW w:w="1915" w:type="dxa"/>
            <w:tcBorders>
              <w:top w:val="nil" w:sz="6" w:space="0" w:color="auto"/>
              <w:left w:val="single" w:sz="4" w:space="0" w:color="000000"/>
              <w:bottom w:val="single" w:sz="4" w:space="0" w:color="000000"/>
              <w:right w:val="single" w:sz="4" w:space="0" w:color="000000"/>
            </w:tcBorders>
            <w:shd w:val="clear" w:color="auto" w:fill="D2D2D2"/>
          </w:tcPr>
          <w:p>
            <w:pPr/>
          </w:p>
        </w:tc>
        <w:tc>
          <w:tcPr>
            <w:tcW w:w="1637" w:type="dxa"/>
            <w:vMerge/>
            <w:tcBorders>
              <w:left w:val="single" w:sz="8" w:space="0" w:color="D2D2D2"/>
              <w:bottom w:val="single" w:sz="4" w:space="0" w:color="000000"/>
              <w:right w:val="single" w:sz="4" w:space="0" w:color="000000"/>
            </w:tcBorders>
          </w:tcPr>
          <w:p>
            <w:pPr/>
          </w:p>
        </w:tc>
        <w:tc>
          <w:tcPr>
            <w:tcW w:w="1637" w:type="dxa"/>
            <w:vMerge/>
            <w:tcBorders>
              <w:left w:val="single" w:sz="4" w:space="0" w:color="000000"/>
              <w:bottom w:val="single" w:sz="4" w:space="0" w:color="000000"/>
              <w:right w:val="single" w:sz="4" w:space="0" w:color="000000"/>
            </w:tcBorders>
          </w:tcPr>
          <w:p>
            <w:pPr/>
          </w:p>
        </w:tc>
        <w:tc>
          <w:tcPr>
            <w:tcW w:w="1459"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715"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6,275,292.63</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15,135,595.60</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-58.54%</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3" w:right="180"/>
              <w:jc w:val="left"/>
              <w:rPr>
                <w:rFonts w:ascii="宋体" w:hAnsi="宋体" w:cs="宋体" w:eastAsia="宋体" w:hint="default"/>
                <w:sz w:val="18"/>
                <w:szCs w:val="18"/>
              </w:rPr>
            </w:pPr>
            <w:r>
              <w:rPr>
                <w:rFonts w:ascii="宋体" w:hAnsi="宋体" w:cs="宋体" w:eastAsia="宋体" w:hint="default"/>
                <w:spacing w:val="-3"/>
                <w:sz w:val="18"/>
                <w:szCs w:val="18"/>
              </w:rPr>
              <w:t>主要原因系货款回笼坏帐准备计提</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pacing w:val="-3"/>
                <w:sz w:val="18"/>
                <w:szCs w:val="18"/>
              </w:rPr>
              <w:t>较上年同期减少所致</w:t>
            </w:r>
          </w:p>
        </w:tc>
      </w:tr>
      <w:tr>
        <w:trPr>
          <w:trHeight w:val="715"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1,261,646.15</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-2,520,946.34</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2"/>
                <w:sz w:val="18"/>
              </w:rPr>
              <w:t>150.15%</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3" w:right="180"/>
              <w:jc w:val="left"/>
              <w:rPr>
                <w:rFonts w:ascii="宋体" w:hAnsi="宋体" w:cs="宋体" w:eastAsia="宋体" w:hint="default"/>
                <w:sz w:val="18"/>
                <w:szCs w:val="18"/>
              </w:rPr>
            </w:pPr>
            <w:r>
              <w:rPr>
                <w:rFonts w:ascii="宋体" w:hAnsi="宋体" w:cs="宋体" w:eastAsia="宋体" w:hint="default"/>
                <w:spacing w:val="-3"/>
                <w:sz w:val="18"/>
                <w:szCs w:val="18"/>
              </w:rPr>
              <w:t>主要原因系可弥补亏损确认递延所</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pacing w:val="-3"/>
                <w:sz w:val="18"/>
                <w:szCs w:val="18"/>
              </w:rPr>
              <w:t>得税资产较上年同期减少所致</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rFonts w:ascii="Times New Roman" w:hAnsi="Times New Roman" w:cs="Times New Roman" w:eastAsia="Times New Roman" w:hint="default"/>
        </w:rPr>
        <w:t>4</w:t>
      </w:r>
      <w:r>
        <w:rPr/>
        <w:t>、研发投入</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pStyle w:val="BodyText"/>
        <w:spacing w:line="256" w:lineRule="auto" w:before="84"/>
        <w:ind w:right="137" w:firstLine="422"/>
        <w:jc w:val="both"/>
      </w:pPr>
      <w:r>
        <w:rPr>
          <w:rFonts w:ascii="Times New Roman" w:hAnsi="Times New Roman" w:cs="Times New Roman" w:eastAsia="Times New Roman" w:hint="default"/>
          <w:spacing w:val="-2"/>
        </w:rPr>
        <w:t>2015</w:t>
      </w:r>
      <w:r>
        <w:rPr>
          <w:spacing w:val="-2"/>
        </w:rPr>
        <w:t>年公司主要围绕降低生产损耗，提升工艺产能、拓展技术领域及产业战略技术布局等方面开展了</w:t>
      </w:r>
      <w:r>
        <w:rPr>
          <w:w w:val="100"/>
        </w:rPr>
        <w:t> </w:t>
      </w:r>
      <w:r>
        <w:rPr>
          <w:spacing w:val="-2"/>
        </w:rPr>
        <w:t>一系列的技术研发项目。其中</w:t>
      </w:r>
      <w:r>
        <w:rPr>
          <w:rFonts w:ascii="Times New Roman" w:hAnsi="Times New Roman" w:cs="Times New Roman" w:eastAsia="Times New Roman" w:hint="default"/>
          <w:spacing w:val="-2"/>
        </w:rPr>
        <w:t>10</w:t>
      </w:r>
      <w:r>
        <w:rPr>
          <w:spacing w:val="-2"/>
        </w:rPr>
        <w:t>项自主研发项目已完成研发任务，并投入生产应用。该系列技术研发的使</w:t>
      </w:r>
      <w:r>
        <w:rPr>
          <w:spacing w:val="-33"/>
        </w:rPr>
        <w:t> </w:t>
      </w:r>
      <w:r>
        <w:rPr>
          <w:spacing w:val="-33"/>
        </w:rPr>
      </w:r>
      <w:r>
        <w:rPr/>
        <w:t>用，简化了生产工艺过程，提高了生产效率，并取得了相应的知识产权证书。</w:t>
      </w:r>
    </w:p>
    <w:p>
      <w:pPr>
        <w:pStyle w:val="BodyText"/>
        <w:spacing w:line="273" w:lineRule="auto" w:before="22"/>
        <w:ind w:right="122" w:firstLine="422"/>
        <w:jc w:val="both"/>
      </w:pPr>
      <w:r>
        <w:rPr>
          <w:spacing w:val="2"/>
        </w:rPr>
        <w:t>公司在拓展技术领域及产业战略技术布局方向的研发项目主要为彩票物联网智能化管理及应用项目</w:t>
      </w:r>
      <w:r>
        <w:rPr>
          <w:w w:val="100"/>
        </w:rPr>
        <w:t> </w:t>
      </w:r>
      <w:r>
        <w:rPr>
          <w:spacing w:val="-2"/>
        </w:rPr>
        <w:t>及电子彩票研发中心项目。其中彩票物联网智能化管理及应用项目的实施有利于形成彩票热敏纸的采购、</w:t>
      </w:r>
      <w:r>
        <w:rPr>
          <w:spacing w:val="-15"/>
        </w:rPr>
        <w:t> </w:t>
      </w:r>
      <w:r>
        <w:rPr>
          <w:spacing w:val="-15"/>
        </w:rPr>
      </w:r>
      <w:r>
        <w:rPr>
          <w:spacing w:val="-2"/>
        </w:rPr>
        <w:t>生产、运输与消耗管理一体化的信息系统支撑，为国家彩票中心、省彩票中心及各地市彩票中心三级管理</w:t>
      </w:r>
      <w:r>
        <w:rPr>
          <w:spacing w:val="-35"/>
        </w:rPr>
        <w:t> </w:t>
      </w:r>
      <w:r>
        <w:rPr>
          <w:spacing w:val="-35"/>
        </w:rPr>
      </w:r>
      <w:r>
        <w:rPr>
          <w:spacing w:val="-2"/>
        </w:rPr>
        <w:t>节点提供有效的统计、管理和监控，为彩票统计决策提供所需的数据支持。并促进了公司彩票全产业链的</w:t>
      </w:r>
      <w:r>
        <w:rPr>
          <w:spacing w:val="-35"/>
        </w:rPr>
        <w:t> </w:t>
      </w:r>
      <w:r>
        <w:rPr>
          <w:spacing w:val="-35"/>
        </w:rPr>
      </w:r>
      <w:r>
        <w:rPr>
          <w:spacing w:val="-2"/>
        </w:rPr>
        <w:t>战略布局，从单纯的彩票印制业务拓展延伸至彩票的物流运输、消耗管理、销售数据采集及管理等领域；</w:t>
      </w:r>
      <w:r>
        <w:rPr>
          <w:spacing w:val="-15"/>
        </w:rPr>
        <w:t> </w:t>
      </w:r>
      <w:r>
        <w:rPr>
          <w:spacing w:val="-15"/>
        </w:rPr>
      </w:r>
      <w:r>
        <w:rPr>
          <w:spacing w:val="-2"/>
        </w:rPr>
        <w:t>电子彩票研发中心项目进一步为彩票中心开拓新渠道、提供新玩法，大大提升公司原有客户粘性，并拓展</w:t>
      </w:r>
      <w:r>
        <w:rPr>
          <w:spacing w:val="-35"/>
        </w:rPr>
        <w:t> </w:t>
      </w:r>
      <w:r>
        <w:rPr>
          <w:spacing w:val="-35"/>
        </w:rPr>
      </w:r>
      <w:r>
        <w:rPr/>
        <w:t>新客户范围。</w:t>
      </w:r>
    </w:p>
    <w:p>
      <w:pPr>
        <w:spacing w:before="76"/>
        <w:ind w:left="152" w:right="0" w:firstLine="0"/>
        <w:jc w:val="left"/>
        <w:rPr>
          <w:rFonts w:ascii="宋体" w:hAnsi="宋体" w:cs="宋体" w:eastAsia="宋体" w:hint="default"/>
          <w:sz w:val="18"/>
          <w:szCs w:val="18"/>
        </w:rPr>
      </w:pPr>
      <w:r>
        <w:rPr>
          <w:rFonts w:ascii="宋体" w:hAnsi="宋体" w:cs="宋体" w:eastAsia="宋体" w:hint="default"/>
          <w:sz w:val="18"/>
          <w:szCs w:val="18"/>
        </w:rPr>
        <w:t>公司研发投入情况</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369"/>
        <w:gridCol w:w="2405"/>
        <w:gridCol w:w="2390"/>
        <w:gridCol w:w="2390"/>
      </w:tblGrid>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变动比例</w:t>
            </w:r>
          </w:p>
        </w:tc>
      </w:tr>
      <w:tr>
        <w:trPr>
          <w:trHeight w:val="398"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研发人员数量（人）</w:t>
            </w:r>
          </w:p>
        </w:tc>
        <w:tc>
          <w:tcPr>
            <w:tcW w:w="2405"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138</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110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25.45%</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405"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7.54%</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5.78%</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1.76%</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研发投入金额（元）</w:t>
            </w:r>
          </w:p>
        </w:tc>
        <w:tc>
          <w:tcPr>
            <w:tcW w:w="2405"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24,023,804.82</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14,892,381.61</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61.32%</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研发投入占营业收入比例</w:t>
            </w:r>
          </w:p>
        </w:tc>
        <w:tc>
          <w:tcPr>
            <w:tcW w:w="2405"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3.64%</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1.72%</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1.92%</w:t>
            </w:r>
          </w:p>
        </w:tc>
      </w:tr>
      <w:tr>
        <w:trPr>
          <w:trHeight w:val="398"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2"/>
                <w:sz w:val="18"/>
                <w:szCs w:val="18"/>
              </w:rPr>
              <w:t>研发投入资本化的金额（元）</w:t>
            </w:r>
          </w:p>
        </w:tc>
        <w:tc>
          <w:tcPr>
            <w:tcW w:w="2405"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0.00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0.00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1" w:right="180"/>
              <w:jc w:val="left"/>
              <w:rPr>
                <w:rFonts w:ascii="宋体" w:hAnsi="宋体" w:cs="宋体" w:eastAsia="宋体" w:hint="default"/>
                <w:sz w:val="18"/>
                <w:szCs w:val="18"/>
              </w:rPr>
            </w:pPr>
            <w:r>
              <w:rPr>
                <w:rFonts w:ascii="宋体" w:hAnsi="宋体" w:cs="宋体" w:eastAsia="宋体" w:hint="default"/>
                <w:spacing w:val="-3"/>
                <w:sz w:val="18"/>
                <w:szCs w:val="18"/>
              </w:rPr>
              <w:t>资本化研发投入占研发投入</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的比例</w:t>
            </w:r>
          </w:p>
        </w:tc>
        <w:tc>
          <w:tcPr>
            <w:tcW w:w="2405"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0.00%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研发投入总额占营业收入的比重较上年发生显著变化的原因</w:t>
      </w:r>
    </w:p>
    <w:p>
      <w:pPr>
        <w:spacing w:line="357" w:lineRule="auto" w:before="119"/>
        <w:ind w:left="152" w:right="5284"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 不适用</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3"/>
          <w:sz w:val="18"/>
          <w:szCs w:val="18"/>
        </w:rPr>
        <w:t>研发投入资本化率大幅变动的原因及其合理性说明</w:t>
      </w:r>
    </w:p>
    <w:p>
      <w:pPr>
        <w:spacing w:before="31"/>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00" w:h="16840"/>
          <w:pgMar w:header="742" w:footer="984" w:top="1060" w:bottom="1180" w:left="980" w:right="980"/>
        </w:sectPr>
      </w:pPr>
    </w:p>
    <w:p>
      <w:pPr>
        <w:spacing w:line="240" w:lineRule="auto" w:before="12"/>
        <w:rPr>
          <w:rFonts w:ascii="宋体" w:hAnsi="宋体" w:cs="宋体" w:eastAsia="宋体" w:hint="default"/>
          <w:sz w:val="24"/>
          <w:szCs w:val="24"/>
        </w:rPr>
      </w:pPr>
    </w:p>
    <w:p>
      <w:pPr>
        <w:pStyle w:val="Heading4"/>
        <w:spacing w:line="335" w:lineRule="exact"/>
        <w:ind w:right="0"/>
        <w:jc w:val="left"/>
        <w:rPr>
          <w:b w:val="0"/>
          <w:bCs w:val="0"/>
        </w:rPr>
      </w:pPr>
      <w:r>
        <w:rPr>
          <w:rFonts w:ascii="Times New Roman" w:hAnsi="Times New Roman" w:cs="Times New Roman" w:eastAsia="Times New Roman" w:hint="default"/>
        </w:rPr>
        <w:t>5</w:t>
      </w:r>
      <w:r>
        <w:rPr/>
        <w:t>、现金流</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66" w:firstLine="0"/>
        <w:jc w:val="right"/>
        <w:rPr>
          <w:rFonts w:ascii="宋体" w:hAnsi="宋体" w:cs="宋体" w:eastAsia="宋体" w:hint="default"/>
          <w:sz w:val="18"/>
          <w:szCs w:val="18"/>
        </w:rPr>
      </w:pPr>
      <w:r>
        <w:rPr>
          <w:rFonts w:ascii="宋体" w:hAnsi="宋体" w:cs="宋体" w:eastAsia="宋体" w:hint="default"/>
          <w:spacing w:val="-2"/>
          <w:sz w:val="18"/>
          <w:szCs w:val="18"/>
        </w:rPr>
        <w:t>单位：元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369"/>
        <w:gridCol w:w="2405"/>
        <w:gridCol w:w="2390"/>
        <w:gridCol w:w="2390"/>
      </w:tblGrid>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405"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834,302,429.53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963,181,177.48</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-13.38%</w:t>
            </w:r>
          </w:p>
        </w:tc>
      </w:tr>
      <w:tr>
        <w:trPr>
          <w:trHeight w:val="398"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405"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733,650,370.09</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942,343,358.13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-22.15%</w:t>
            </w:r>
          </w:p>
        </w:tc>
      </w:tr>
      <w:tr>
        <w:trPr>
          <w:trHeight w:val="715"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1" w:right="180"/>
              <w:jc w:val="left"/>
              <w:rPr>
                <w:rFonts w:ascii="宋体" w:hAnsi="宋体" w:cs="宋体" w:eastAsia="宋体" w:hint="default"/>
                <w:sz w:val="18"/>
                <w:szCs w:val="18"/>
              </w:rPr>
            </w:pPr>
            <w:r>
              <w:rPr>
                <w:rFonts w:ascii="宋体" w:hAnsi="宋体" w:cs="宋体" w:eastAsia="宋体" w:hint="default"/>
                <w:spacing w:val="-3"/>
                <w:sz w:val="18"/>
                <w:szCs w:val="18"/>
              </w:rPr>
              <w:t>经营活动产生的现金流量净</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额</w:t>
            </w:r>
          </w:p>
        </w:tc>
        <w:tc>
          <w:tcPr>
            <w:tcW w:w="2405"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100,652,059.44</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20,837,819.35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2"/>
                <w:sz w:val="18"/>
              </w:rPr>
              <w:t>383.03%</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405"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141,176,401.76</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5,265,295.31</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2"/>
                <w:sz w:val="18"/>
              </w:rPr>
              <w:t>2,581.26%</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405"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190,298,798.34</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69,342,260.06</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2"/>
                <w:sz w:val="18"/>
              </w:rPr>
              <w:t>174.43%</w:t>
            </w:r>
          </w:p>
        </w:tc>
      </w:tr>
      <w:tr>
        <w:trPr>
          <w:trHeight w:val="710"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180"/>
              <w:jc w:val="left"/>
              <w:rPr>
                <w:rFonts w:ascii="宋体" w:hAnsi="宋体" w:cs="宋体" w:eastAsia="宋体" w:hint="default"/>
                <w:sz w:val="18"/>
                <w:szCs w:val="18"/>
              </w:rPr>
            </w:pPr>
            <w:r>
              <w:rPr>
                <w:rFonts w:ascii="宋体" w:hAnsi="宋体" w:cs="宋体" w:eastAsia="宋体" w:hint="default"/>
                <w:spacing w:val="-3"/>
                <w:sz w:val="18"/>
                <w:szCs w:val="18"/>
              </w:rPr>
              <w:t>投资活动产生的现金流量净</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额</w:t>
            </w:r>
          </w:p>
        </w:tc>
        <w:tc>
          <w:tcPr>
            <w:tcW w:w="2405"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-49,122,396.58</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-64,076,964.75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23.34%</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405"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709,500,000.00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167,500,000.00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2"/>
                <w:sz w:val="18"/>
              </w:rPr>
              <w:t>323.58%</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405"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466,811,841.86</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109,071,174.69</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2"/>
                <w:sz w:val="18"/>
              </w:rPr>
              <w:t>327.99%</w:t>
            </w:r>
          </w:p>
        </w:tc>
      </w:tr>
      <w:tr>
        <w:trPr>
          <w:trHeight w:val="715"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180"/>
              <w:jc w:val="left"/>
              <w:rPr>
                <w:rFonts w:ascii="宋体" w:hAnsi="宋体" w:cs="宋体" w:eastAsia="宋体" w:hint="default"/>
                <w:sz w:val="18"/>
                <w:szCs w:val="18"/>
              </w:rPr>
            </w:pPr>
            <w:r>
              <w:rPr>
                <w:rFonts w:ascii="宋体" w:hAnsi="宋体" w:cs="宋体" w:eastAsia="宋体" w:hint="default"/>
                <w:spacing w:val="-3"/>
                <w:sz w:val="18"/>
                <w:szCs w:val="18"/>
              </w:rPr>
              <w:t>筹资活动产生的现金流量净</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额</w:t>
            </w:r>
          </w:p>
        </w:tc>
        <w:tc>
          <w:tcPr>
            <w:tcW w:w="2405"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242,688,158.14</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58,428,825.31</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2"/>
                <w:sz w:val="18"/>
              </w:rPr>
              <w:t>315.36%</w:t>
            </w:r>
          </w:p>
        </w:tc>
      </w:tr>
      <w:tr>
        <w:trPr>
          <w:trHeight w:val="398"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现金及现金等价物净增加额</w:t>
            </w:r>
          </w:p>
        </w:tc>
        <w:tc>
          <w:tcPr>
            <w:tcW w:w="2405"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294,261,864.14</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15,191,772.94</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2"/>
                <w:sz w:val="18"/>
              </w:rPr>
              <w:t>1,836.98%</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相关数据同比发生重大变动的主要影响因素说明</w:t>
      </w:r>
    </w:p>
    <w:p>
      <w:pPr>
        <w:spacing w:before="119"/>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before="115"/>
        <w:ind w:left="152" w:right="0" w:firstLine="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、经营活动产生的现金流量净额较上年同期增加</w:t>
      </w:r>
      <w:r>
        <w:rPr>
          <w:rFonts w:ascii="Times New Roman" w:hAnsi="Times New Roman" w:cs="Times New Roman" w:eastAsia="Times New Roman" w:hint="default"/>
          <w:spacing w:val="-3"/>
          <w:sz w:val="18"/>
          <w:szCs w:val="18"/>
        </w:rPr>
        <w:t>383.03%</w:t>
      </w:r>
      <w:r>
        <w:rPr>
          <w:rFonts w:ascii="宋体" w:hAnsi="宋体" w:cs="宋体" w:eastAsia="宋体" w:hint="default"/>
          <w:spacing w:val="-3"/>
          <w:sz w:val="18"/>
          <w:szCs w:val="18"/>
        </w:rPr>
        <w:t>，主要系货款回笼增加所致。</w:t>
      </w:r>
    </w:p>
    <w:p>
      <w:pPr>
        <w:spacing w:before="106"/>
        <w:ind w:left="152" w:right="0" w:firstLine="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、投资活动现金流入小计较上年同期增加</w:t>
      </w:r>
      <w:r>
        <w:rPr>
          <w:rFonts w:ascii="Times New Roman" w:hAnsi="Times New Roman" w:cs="Times New Roman" w:eastAsia="Times New Roman" w:hint="default"/>
          <w:spacing w:val="-3"/>
          <w:sz w:val="18"/>
          <w:szCs w:val="18"/>
        </w:rPr>
        <w:t>2,581.26%</w:t>
      </w:r>
      <w:r>
        <w:rPr>
          <w:rFonts w:ascii="宋体" w:hAnsi="宋体" w:cs="宋体" w:eastAsia="宋体" w:hint="default"/>
          <w:spacing w:val="-3"/>
          <w:sz w:val="18"/>
          <w:szCs w:val="18"/>
        </w:rPr>
        <w:t>，主要原因是本期处置部分可供出售金融资产所致。</w:t>
      </w:r>
    </w:p>
    <w:p>
      <w:pPr>
        <w:spacing w:before="101"/>
        <w:ind w:left="152" w:right="0" w:firstLine="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、投资活动活动流出小计较上年同期增加</w:t>
      </w:r>
      <w:r>
        <w:rPr>
          <w:rFonts w:ascii="Times New Roman" w:hAnsi="Times New Roman" w:cs="Times New Roman" w:eastAsia="Times New Roman" w:hint="default"/>
          <w:spacing w:val="-3"/>
          <w:sz w:val="18"/>
          <w:szCs w:val="18"/>
        </w:rPr>
        <w:t>174.43%</w:t>
      </w:r>
      <w:r>
        <w:rPr>
          <w:rFonts w:ascii="宋体" w:hAnsi="宋体" w:cs="宋体" w:eastAsia="宋体" w:hint="default"/>
          <w:spacing w:val="-3"/>
          <w:sz w:val="18"/>
          <w:szCs w:val="18"/>
        </w:rPr>
        <w:t>，主要系投资中证信用增进股份有限公司等可供出售金融资产所致。</w:t>
      </w:r>
    </w:p>
    <w:p>
      <w:pPr>
        <w:spacing w:before="101"/>
        <w:ind w:left="152" w:right="0" w:firstLine="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、筹资活动现金流入小计较上年同期增加</w:t>
      </w:r>
      <w:r>
        <w:rPr>
          <w:rFonts w:ascii="Times New Roman" w:hAnsi="Times New Roman" w:cs="Times New Roman" w:eastAsia="Times New Roman" w:hint="default"/>
          <w:spacing w:val="-3"/>
          <w:sz w:val="18"/>
          <w:szCs w:val="18"/>
        </w:rPr>
        <w:t>323.58%</w:t>
      </w:r>
      <w:r>
        <w:rPr>
          <w:rFonts w:ascii="宋体" w:hAnsi="宋体" w:cs="宋体" w:eastAsia="宋体" w:hint="default"/>
          <w:spacing w:val="-3"/>
          <w:sz w:val="18"/>
          <w:szCs w:val="18"/>
        </w:rPr>
        <w:t>，主要系向控股股东个人无息借款</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亿及银行借款增长所致。</w:t>
      </w:r>
    </w:p>
    <w:p>
      <w:pPr>
        <w:spacing w:before="106"/>
        <w:ind w:left="152" w:right="0" w:firstLine="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、筹资活动现金流出小计较上年同期增加</w:t>
      </w:r>
      <w:r>
        <w:rPr>
          <w:rFonts w:ascii="Times New Roman" w:hAnsi="Times New Roman" w:cs="Times New Roman" w:eastAsia="Times New Roman" w:hint="default"/>
          <w:spacing w:val="-3"/>
          <w:sz w:val="18"/>
          <w:szCs w:val="18"/>
        </w:rPr>
        <w:t>327.99%</w:t>
      </w:r>
      <w:r>
        <w:rPr>
          <w:rFonts w:ascii="宋体" w:hAnsi="宋体" w:cs="宋体" w:eastAsia="宋体" w:hint="default"/>
          <w:spacing w:val="-3"/>
          <w:sz w:val="18"/>
          <w:szCs w:val="18"/>
        </w:rPr>
        <w:t>，主要系归还到期借款增加所致。</w:t>
      </w:r>
    </w:p>
    <w:p>
      <w:pPr>
        <w:spacing w:before="101"/>
        <w:ind w:left="152" w:right="0" w:firstLine="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6</w:t>
      </w:r>
      <w:r>
        <w:rPr>
          <w:rFonts w:ascii="宋体" w:hAnsi="宋体" w:cs="宋体" w:eastAsia="宋体" w:hint="default"/>
          <w:spacing w:val="-3"/>
          <w:sz w:val="18"/>
          <w:szCs w:val="18"/>
        </w:rPr>
        <w:t>、筹资活动产生的现金流量净额增加</w:t>
      </w:r>
      <w:r>
        <w:rPr>
          <w:rFonts w:ascii="Times New Roman" w:hAnsi="Times New Roman" w:cs="Times New Roman" w:eastAsia="Times New Roman" w:hint="default"/>
          <w:spacing w:val="-3"/>
          <w:sz w:val="18"/>
          <w:szCs w:val="18"/>
        </w:rPr>
        <w:t>315.36%</w:t>
      </w:r>
      <w:r>
        <w:rPr>
          <w:rFonts w:ascii="宋体" w:hAnsi="宋体" w:cs="宋体" w:eastAsia="宋体" w:hint="default"/>
          <w:spacing w:val="-3"/>
          <w:sz w:val="18"/>
          <w:szCs w:val="18"/>
        </w:rPr>
        <w:t>，主要系控股股东向公司提供无息借款及公司向银行借款增加所致。</w:t>
      </w:r>
    </w:p>
    <w:p>
      <w:pPr>
        <w:spacing w:line="343" w:lineRule="auto" w:before="101"/>
        <w:ind w:left="152" w:right="0" w:firstLine="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7</w:t>
      </w:r>
      <w:r>
        <w:rPr>
          <w:rFonts w:ascii="宋体" w:hAnsi="宋体" w:cs="宋体" w:eastAsia="宋体" w:hint="default"/>
          <w:spacing w:val="-3"/>
          <w:sz w:val="18"/>
          <w:szCs w:val="18"/>
        </w:rPr>
        <w:t>、现金及现金等价物净增加额增加</w:t>
      </w:r>
      <w:r>
        <w:rPr>
          <w:rFonts w:ascii="Times New Roman" w:hAnsi="Times New Roman" w:cs="Times New Roman" w:eastAsia="Times New Roman" w:hint="default"/>
          <w:spacing w:val="-3"/>
          <w:sz w:val="18"/>
          <w:szCs w:val="18"/>
        </w:rPr>
        <w:t>1,836.98%</w:t>
      </w:r>
      <w:r>
        <w:rPr>
          <w:rFonts w:ascii="宋体" w:hAnsi="宋体" w:cs="宋体" w:eastAsia="宋体" w:hint="default"/>
          <w:spacing w:val="-3"/>
          <w:sz w:val="18"/>
          <w:szCs w:val="18"/>
        </w:rPr>
        <w:t>，主要系本期货款回笼增加、控股股东向公司提供无息借款及借款增加所致。 报告期内公司经营活动产生的现金净流量与本年度净利润存在重大差异的原因说明</w:t>
      </w:r>
    </w:p>
    <w:p>
      <w:pPr>
        <w:spacing w:before="37"/>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17"/>
          <w:szCs w:val="17"/>
        </w:rPr>
      </w:pPr>
    </w:p>
    <w:p>
      <w:pPr>
        <w:pStyle w:val="Heading2"/>
        <w:spacing w:line="240" w:lineRule="auto"/>
        <w:ind w:right="0"/>
        <w:jc w:val="left"/>
        <w:rPr>
          <w:b w:val="0"/>
          <w:bCs w:val="0"/>
        </w:rPr>
      </w:pPr>
      <w:r>
        <w:rPr/>
        <w:t>三、非主营业务分析</w:t>
      </w:r>
      <w:r>
        <w:rPr>
          <w:b w:val="0"/>
          <w:bCs w:val="0"/>
        </w:rPr>
      </w:r>
    </w:p>
    <w:p>
      <w:pPr>
        <w:spacing w:line="240" w:lineRule="auto" w:before="9"/>
        <w:rPr>
          <w:rFonts w:ascii="Microsoft JhengHei" w:hAnsi="Microsoft JhengHei" w:cs="Microsoft JhengHei" w:eastAsia="Microsoft JhengHei" w:hint="default"/>
          <w:b/>
          <w:bCs/>
          <w:sz w:val="16"/>
          <w:szCs w:val="16"/>
        </w:rPr>
      </w:pPr>
    </w:p>
    <w:p>
      <w:pPr>
        <w:spacing w:before="46"/>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不适用</w:t>
      </w:r>
    </w:p>
    <w:p>
      <w:pPr>
        <w:spacing w:before="106"/>
        <w:ind w:left="0" w:right="166" w:firstLine="0"/>
        <w:jc w:val="right"/>
        <w:rPr>
          <w:rFonts w:ascii="宋体" w:hAnsi="宋体" w:cs="宋体" w:eastAsia="宋体" w:hint="default"/>
          <w:sz w:val="18"/>
          <w:szCs w:val="18"/>
        </w:rPr>
      </w:pPr>
      <w:r>
        <w:rPr>
          <w:rFonts w:ascii="宋体" w:hAnsi="宋体" w:cs="宋体" w:eastAsia="宋体" w:hint="default"/>
          <w:spacing w:val="-2"/>
          <w:sz w:val="18"/>
          <w:szCs w:val="18"/>
        </w:rPr>
        <w:t>单位：元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510"/>
        <w:gridCol w:w="1915"/>
        <w:gridCol w:w="1627"/>
        <w:gridCol w:w="2251"/>
        <w:gridCol w:w="2256"/>
      </w:tblGrid>
      <w:tr>
        <w:trPr>
          <w:trHeight w:val="403" w:hRule="exact"/>
        </w:trPr>
        <w:tc>
          <w:tcPr>
            <w:tcW w:w="151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6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72" w:right="0"/>
              <w:jc w:val="left"/>
              <w:rPr>
                <w:rFonts w:ascii="宋体" w:hAnsi="宋体" w:cs="宋体" w:eastAsia="宋体" w:hint="default"/>
                <w:sz w:val="18"/>
                <w:szCs w:val="18"/>
              </w:rPr>
            </w:pPr>
            <w:r>
              <w:rPr>
                <w:rFonts w:ascii="宋体" w:hAnsi="宋体" w:cs="宋体" w:eastAsia="宋体" w:hint="default"/>
                <w:spacing w:val="-3"/>
                <w:sz w:val="18"/>
                <w:szCs w:val="18"/>
              </w:rPr>
              <w:t>占利润总额比例</w:t>
            </w:r>
          </w:p>
        </w:tc>
        <w:tc>
          <w:tcPr>
            <w:tcW w:w="22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形成原因说明</w:t>
            </w:r>
          </w:p>
        </w:tc>
        <w:tc>
          <w:tcPr>
            <w:tcW w:w="22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是否具有可持续性</w:t>
            </w:r>
          </w:p>
        </w:tc>
      </w:tr>
      <w:tr>
        <w:trPr>
          <w:trHeight w:val="357" w:hRule="exact"/>
        </w:trPr>
        <w:tc>
          <w:tcPr>
            <w:tcW w:w="1510" w:type="dxa"/>
            <w:vMerge w:val="restart"/>
            <w:tcBorders>
              <w:top w:val="single" w:sz="4" w:space="0" w:color="000000"/>
              <w:left w:val="single" w:sz="4" w:space="0" w:color="000000"/>
              <w:right w:val="single" w:sz="4" w:space="0" w:color="000000"/>
            </w:tcBorders>
            <w:shd w:val="clear" w:color="auto" w:fill="D2D2D2"/>
          </w:tcPr>
          <w:p>
            <w:pPr/>
          </w:p>
        </w:tc>
        <w:tc>
          <w:tcPr>
            <w:tcW w:w="1915" w:type="dxa"/>
            <w:tcBorders>
              <w:top w:val="single" w:sz="4" w:space="0" w:color="000000"/>
              <w:left w:val="single" w:sz="4" w:space="0" w:color="000000"/>
              <w:bottom w:val="nil" w:sz="6" w:space="0" w:color="auto"/>
              <w:right w:val="single" w:sz="4" w:space="0" w:color="000000"/>
            </w:tcBorders>
          </w:tcPr>
          <w:p>
            <w:pPr/>
          </w:p>
        </w:tc>
        <w:tc>
          <w:tcPr>
            <w:tcW w:w="1627" w:type="dxa"/>
            <w:tcBorders>
              <w:top w:val="single" w:sz="4" w:space="0" w:color="000000"/>
              <w:left w:val="single" w:sz="4" w:space="0" w:color="000000"/>
              <w:bottom w:val="nil" w:sz="6" w:space="0" w:color="auto"/>
              <w:right w:val="single" w:sz="4" w:space="0" w:color="000000"/>
            </w:tcBorders>
          </w:tcPr>
          <w:p>
            <w:pPr/>
          </w:p>
        </w:tc>
        <w:tc>
          <w:tcPr>
            <w:tcW w:w="225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right="36"/>
              <w:jc w:val="center"/>
              <w:rPr>
                <w:rFonts w:ascii="宋体" w:hAnsi="宋体" w:cs="宋体" w:eastAsia="宋体" w:hint="default"/>
                <w:sz w:val="18"/>
                <w:szCs w:val="18"/>
              </w:rPr>
            </w:pPr>
            <w:r>
              <w:rPr>
                <w:rFonts w:ascii="宋体" w:hAnsi="宋体" w:cs="宋体" w:eastAsia="宋体" w:hint="default"/>
                <w:spacing w:val="-3"/>
                <w:sz w:val="18"/>
                <w:szCs w:val="18"/>
              </w:rPr>
              <w:t>主要系转让所持有的部分成</w:t>
            </w:r>
          </w:p>
        </w:tc>
        <w:tc>
          <w:tcPr>
            <w:tcW w:w="2256" w:type="dxa"/>
            <w:tcBorders>
              <w:top w:val="single" w:sz="4" w:space="0" w:color="000000"/>
              <w:left w:val="single" w:sz="4" w:space="0" w:color="000000"/>
              <w:bottom w:val="nil" w:sz="6" w:space="0" w:color="auto"/>
              <w:right w:val="single" w:sz="4" w:space="0" w:color="000000"/>
            </w:tcBorders>
          </w:tcPr>
          <w:p>
            <w:pPr/>
          </w:p>
        </w:tc>
      </w:tr>
      <w:tr>
        <w:trPr>
          <w:trHeight w:val="248" w:hRule="exact"/>
        </w:trPr>
        <w:tc>
          <w:tcPr>
            <w:tcW w:w="1510" w:type="dxa"/>
            <w:vMerge/>
            <w:tcBorders>
              <w:left w:val="single" w:sz="4" w:space="0" w:color="000000"/>
              <w:bottom w:val="nil" w:sz="6" w:space="0" w:color="auto"/>
              <w:right w:val="single" w:sz="4" w:space="0" w:color="000000"/>
            </w:tcBorders>
            <w:shd w:val="clear" w:color="auto" w:fill="D2D2D2"/>
          </w:tcPr>
          <w:p>
            <w:pPr/>
          </w:p>
        </w:tc>
        <w:tc>
          <w:tcPr>
            <w:tcW w:w="1915" w:type="dxa"/>
            <w:tcBorders>
              <w:top w:val="nil" w:sz="6" w:space="0" w:color="auto"/>
              <w:left w:val="single" w:sz="4" w:space="0" w:color="000000"/>
              <w:bottom w:val="nil" w:sz="6" w:space="0" w:color="auto"/>
              <w:right w:val="single" w:sz="4" w:space="0" w:color="000000"/>
            </w:tcBorders>
          </w:tcPr>
          <w:p>
            <w:pPr/>
          </w:p>
        </w:tc>
        <w:tc>
          <w:tcPr>
            <w:tcW w:w="1627" w:type="dxa"/>
            <w:tcBorders>
              <w:top w:val="nil" w:sz="6" w:space="0" w:color="auto"/>
              <w:left w:val="single" w:sz="4" w:space="0" w:color="000000"/>
              <w:bottom w:val="nil" w:sz="6" w:space="0" w:color="auto"/>
              <w:right w:val="single" w:sz="4" w:space="0" w:color="000000"/>
            </w:tcBorders>
          </w:tcPr>
          <w:p>
            <w:pPr/>
          </w:p>
        </w:tc>
        <w:tc>
          <w:tcPr>
            <w:tcW w:w="225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36"/>
              <w:jc w:val="center"/>
              <w:rPr>
                <w:rFonts w:ascii="宋体" w:hAnsi="宋体" w:cs="宋体" w:eastAsia="宋体" w:hint="default"/>
                <w:sz w:val="18"/>
                <w:szCs w:val="18"/>
              </w:rPr>
            </w:pPr>
            <w:r>
              <w:rPr>
                <w:rFonts w:ascii="宋体" w:hAnsi="宋体" w:cs="宋体" w:eastAsia="宋体" w:hint="default"/>
                <w:spacing w:val="-3"/>
                <w:sz w:val="18"/>
                <w:szCs w:val="18"/>
              </w:rPr>
              <w:t>都农村商业银行股份有限公</w:t>
            </w:r>
          </w:p>
        </w:tc>
        <w:tc>
          <w:tcPr>
            <w:tcW w:w="2256" w:type="dxa"/>
            <w:tcBorders>
              <w:top w:val="nil" w:sz="6" w:space="0" w:color="auto"/>
              <w:left w:val="single" w:sz="4" w:space="0" w:color="000000"/>
              <w:bottom w:val="nil" w:sz="6" w:space="0" w:color="auto"/>
              <w:right w:val="single" w:sz="4" w:space="0" w:color="000000"/>
            </w:tcBorders>
          </w:tcPr>
          <w:p>
            <w:pPr/>
          </w:p>
        </w:tc>
      </w:tr>
      <w:tr>
        <w:trPr>
          <w:trHeight w:val="389" w:hRule="exact"/>
        </w:trPr>
        <w:tc>
          <w:tcPr>
            <w:tcW w:w="151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4"/>
              <w:ind w:left="11"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915" w:type="dxa"/>
            <w:tcBorders>
              <w:top w:val="nil" w:sz="6" w:space="0" w:color="auto"/>
              <w:left w:val="single" w:sz="8" w:space="0" w:color="D2D2D2"/>
              <w:bottom w:val="nil" w:sz="6" w:space="0" w:color="auto"/>
              <w:right w:val="single" w:sz="4" w:space="0" w:color="000000"/>
            </w:tcBorders>
          </w:tcPr>
          <w:p>
            <w:pPr>
              <w:pStyle w:val="TableParagraph"/>
              <w:spacing w:line="240" w:lineRule="auto" w:before="96"/>
              <w:ind w:left="840" w:right="0"/>
              <w:jc w:val="left"/>
              <w:rPr>
                <w:rFonts w:ascii="Times New Roman" w:hAnsi="Times New Roman" w:cs="Times New Roman" w:eastAsia="Times New Roman" w:hint="default"/>
                <w:sz w:val="18"/>
                <w:szCs w:val="18"/>
              </w:rPr>
            </w:pPr>
            <w:r>
              <w:rPr>
                <w:rFonts w:ascii="Times New Roman"/>
                <w:sz w:val="18"/>
              </w:rPr>
              <w:t>45,520,265.00</w:t>
            </w:r>
          </w:p>
        </w:tc>
        <w:tc>
          <w:tcPr>
            <w:tcW w:w="1627"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left="940" w:right="0"/>
              <w:jc w:val="left"/>
              <w:rPr>
                <w:rFonts w:ascii="Times New Roman" w:hAnsi="Times New Roman" w:cs="Times New Roman" w:eastAsia="Times New Roman" w:hint="default"/>
                <w:sz w:val="18"/>
                <w:szCs w:val="18"/>
              </w:rPr>
            </w:pPr>
            <w:r>
              <w:rPr>
                <w:rFonts w:ascii="Times New Roman"/>
                <w:sz w:val="18"/>
              </w:rPr>
              <w:t>249.80%</w:t>
            </w:r>
          </w:p>
        </w:tc>
        <w:tc>
          <w:tcPr>
            <w:tcW w:w="2251"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36"/>
              <w:jc w:val="center"/>
              <w:rPr>
                <w:rFonts w:ascii="宋体" w:hAnsi="宋体" w:cs="宋体" w:eastAsia="宋体" w:hint="default"/>
                <w:sz w:val="18"/>
                <w:szCs w:val="18"/>
              </w:rPr>
            </w:pPr>
            <w:r>
              <w:rPr>
                <w:rFonts w:ascii="宋体" w:hAnsi="宋体" w:cs="宋体" w:eastAsia="宋体" w:hint="default"/>
                <w:sz w:val="18"/>
                <w:szCs w:val="18"/>
              </w:rPr>
              <w:t>司股权投资收益</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4,102.03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tc>
        <w:tc>
          <w:tcPr>
            <w:tcW w:w="2256"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297" w:hRule="exact"/>
        </w:trPr>
        <w:tc>
          <w:tcPr>
            <w:tcW w:w="1510" w:type="dxa"/>
            <w:vMerge w:val="restart"/>
            <w:tcBorders>
              <w:top w:val="nil" w:sz="6" w:space="0" w:color="auto"/>
              <w:left w:val="single" w:sz="4" w:space="0" w:color="000000"/>
              <w:right w:val="single" w:sz="4" w:space="0" w:color="000000"/>
            </w:tcBorders>
            <w:shd w:val="clear" w:color="auto" w:fill="D2D2D2"/>
          </w:tcPr>
          <w:p>
            <w:pPr/>
          </w:p>
        </w:tc>
        <w:tc>
          <w:tcPr>
            <w:tcW w:w="1915" w:type="dxa"/>
            <w:tcBorders>
              <w:top w:val="nil" w:sz="6" w:space="0" w:color="auto"/>
              <w:left w:val="single" w:sz="4" w:space="0" w:color="000000"/>
              <w:bottom w:val="nil" w:sz="6" w:space="0" w:color="auto"/>
              <w:right w:val="single" w:sz="4" w:space="0" w:color="000000"/>
            </w:tcBorders>
          </w:tcPr>
          <w:p>
            <w:pPr/>
          </w:p>
        </w:tc>
        <w:tc>
          <w:tcPr>
            <w:tcW w:w="1627" w:type="dxa"/>
            <w:tcBorders>
              <w:top w:val="nil" w:sz="6" w:space="0" w:color="auto"/>
              <w:left w:val="single" w:sz="4" w:space="0" w:color="000000"/>
              <w:bottom w:val="nil" w:sz="6" w:space="0" w:color="auto"/>
              <w:right w:val="single" w:sz="4" w:space="0" w:color="000000"/>
            </w:tcBorders>
          </w:tcPr>
          <w:p>
            <w:pPr/>
          </w:p>
        </w:tc>
        <w:tc>
          <w:tcPr>
            <w:tcW w:w="2251" w:type="dxa"/>
            <w:tcBorders>
              <w:top w:val="nil" w:sz="6" w:space="0" w:color="auto"/>
              <w:left w:val="single" w:sz="4" w:space="0" w:color="000000"/>
              <w:bottom w:val="nil" w:sz="6" w:space="0" w:color="auto"/>
              <w:right w:val="single" w:sz="4" w:space="0" w:color="000000"/>
            </w:tcBorders>
          </w:tcPr>
          <w:p>
            <w:pPr>
              <w:pStyle w:val="TableParagraph"/>
              <w:spacing w:line="232" w:lineRule="exact"/>
              <w:ind w:right="36"/>
              <w:jc w:val="center"/>
              <w:rPr>
                <w:rFonts w:ascii="宋体" w:hAnsi="宋体" w:cs="宋体" w:eastAsia="宋体" w:hint="default"/>
                <w:sz w:val="18"/>
                <w:szCs w:val="18"/>
              </w:rPr>
            </w:pPr>
            <w:r>
              <w:rPr>
                <w:rFonts w:ascii="宋体" w:hAnsi="宋体" w:cs="宋体" w:eastAsia="宋体" w:hint="default"/>
                <w:spacing w:val="-3"/>
                <w:sz w:val="18"/>
                <w:szCs w:val="18"/>
              </w:rPr>
              <w:t>元，以及取得四川融圣投资</w:t>
            </w:r>
          </w:p>
        </w:tc>
        <w:tc>
          <w:tcPr>
            <w:tcW w:w="2256"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1510" w:type="dxa"/>
            <w:vMerge/>
            <w:tcBorders>
              <w:left w:val="single" w:sz="4" w:space="0" w:color="000000"/>
              <w:bottom w:val="single" w:sz="4" w:space="0" w:color="000000"/>
              <w:right w:val="single" w:sz="4" w:space="0" w:color="000000"/>
            </w:tcBorders>
            <w:shd w:val="clear" w:color="auto" w:fill="D2D2D2"/>
          </w:tcPr>
          <w:p>
            <w:pPr/>
          </w:p>
        </w:tc>
        <w:tc>
          <w:tcPr>
            <w:tcW w:w="1915" w:type="dxa"/>
            <w:tcBorders>
              <w:top w:val="nil" w:sz="6" w:space="0" w:color="auto"/>
              <w:left w:val="single" w:sz="4" w:space="0" w:color="000000"/>
              <w:bottom w:val="single" w:sz="4" w:space="0" w:color="000000"/>
              <w:right w:val="single" w:sz="4" w:space="0" w:color="000000"/>
            </w:tcBorders>
          </w:tcPr>
          <w:p>
            <w:pPr/>
          </w:p>
        </w:tc>
        <w:tc>
          <w:tcPr>
            <w:tcW w:w="1627" w:type="dxa"/>
            <w:tcBorders>
              <w:top w:val="nil" w:sz="6" w:space="0" w:color="auto"/>
              <w:left w:val="single" w:sz="4" w:space="0" w:color="000000"/>
              <w:bottom w:val="single" w:sz="4" w:space="0" w:color="000000"/>
              <w:right w:val="single" w:sz="4" w:space="0" w:color="000000"/>
            </w:tcBorders>
          </w:tcPr>
          <w:p>
            <w:pPr/>
          </w:p>
        </w:tc>
        <w:tc>
          <w:tcPr>
            <w:tcW w:w="225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right="36"/>
              <w:jc w:val="center"/>
              <w:rPr>
                <w:rFonts w:ascii="宋体" w:hAnsi="宋体" w:cs="宋体" w:eastAsia="宋体" w:hint="default"/>
                <w:sz w:val="18"/>
                <w:szCs w:val="18"/>
              </w:rPr>
            </w:pPr>
            <w:r>
              <w:rPr>
                <w:rFonts w:ascii="宋体" w:hAnsi="宋体" w:cs="宋体" w:eastAsia="宋体" w:hint="default"/>
                <w:spacing w:val="-3"/>
                <w:sz w:val="18"/>
                <w:szCs w:val="18"/>
              </w:rPr>
              <w:t>管理股份有限公司分红的投</w:t>
            </w:r>
          </w:p>
        </w:tc>
        <w:tc>
          <w:tcPr>
            <w:tcW w:w="2256" w:type="dxa"/>
            <w:tcBorders>
              <w:top w:val="nil" w:sz="6" w:space="0" w:color="auto"/>
              <w:left w:val="single" w:sz="4" w:space="0" w:color="000000"/>
              <w:bottom w:val="single" w:sz="4" w:space="0" w:color="000000"/>
              <w:right w:val="single" w:sz="4" w:space="0" w:color="000000"/>
            </w:tcBorders>
          </w:tcPr>
          <w:p>
            <w:pPr/>
          </w:p>
        </w:tc>
      </w:tr>
    </w:tbl>
    <w:p>
      <w:pPr>
        <w:spacing w:after="0"/>
        <w:sectPr>
          <w:pgSz w:w="11900" w:h="16840"/>
          <w:pgMar w:header="742" w:footer="984" w:top="1060" w:bottom="1180" w:left="980" w:right="96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522"/>
        <w:gridCol w:w="1915"/>
        <w:gridCol w:w="1627"/>
        <w:gridCol w:w="2251"/>
        <w:gridCol w:w="2256"/>
      </w:tblGrid>
      <w:tr>
        <w:trPr>
          <w:trHeight w:val="360" w:hRule="exact"/>
        </w:trPr>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627" w:type="dxa"/>
            <w:tcBorders>
              <w:top w:val="single" w:sz="4" w:space="0" w:color="000000"/>
              <w:left w:val="single" w:sz="4" w:space="0" w:color="000000"/>
              <w:bottom w:val="single" w:sz="4" w:space="0" w:color="000000"/>
              <w:right w:val="single" w:sz="4" w:space="0" w:color="000000"/>
            </w:tcBorders>
          </w:tcPr>
          <w:p>
            <w:pPr/>
          </w:p>
        </w:tc>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9" w:right="0"/>
              <w:jc w:val="left"/>
              <w:rPr>
                <w:rFonts w:ascii="宋体" w:hAnsi="宋体" w:cs="宋体" w:eastAsia="宋体" w:hint="default"/>
                <w:sz w:val="18"/>
                <w:szCs w:val="18"/>
              </w:rPr>
            </w:pPr>
            <w:r>
              <w:rPr>
                <w:rFonts w:ascii="宋体" w:hAnsi="宋体" w:cs="宋体" w:eastAsia="宋体" w:hint="default"/>
                <w:sz w:val="18"/>
                <w:szCs w:val="18"/>
              </w:rPr>
              <w:t>资收益</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450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万元等</w:t>
            </w:r>
          </w:p>
        </w:tc>
        <w:tc>
          <w:tcPr>
            <w:tcW w:w="225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公允价值变动损益</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0.00</w:t>
            </w:r>
          </w:p>
        </w:tc>
        <w:tc>
          <w:tcPr>
            <w:tcW w:w="1627" w:type="dxa"/>
            <w:tcBorders>
              <w:top w:val="single" w:sz="4" w:space="0" w:color="000000"/>
              <w:left w:val="single" w:sz="4" w:space="0" w:color="000000"/>
              <w:bottom w:val="single" w:sz="4" w:space="0" w:color="000000"/>
              <w:right w:val="single" w:sz="4" w:space="0" w:color="000000"/>
            </w:tcBorders>
          </w:tcPr>
          <w:p>
            <w:pPr/>
          </w:p>
        </w:tc>
        <w:tc>
          <w:tcPr>
            <w:tcW w:w="2251" w:type="dxa"/>
            <w:tcBorders>
              <w:top w:val="single" w:sz="4" w:space="0" w:color="000000"/>
              <w:left w:val="single" w:sz="4" w:space="0" w:color="000000"/>
              <w:bottom w:val="single" w:sz="4" w:space="0" w:color="000000"/>
              <w:right w:val="single" w:sz="4" w:space="0" w:color="000000"/>
            </w:tcBorders>
          </w:tcPr>
          <w:p>
            <w:pPr/>
          </w:p>
        </w:tc>
        <w:tc>
          <w:tcPr>
            <w:tcW w:w="225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资产减值</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6,275,292.63</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34.44%</w:t>
            </w:r>
          </w:p>
        </w:tc>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9" w:right="55"/>
              <w:jc w:val="left"/>
              <w:rPr>
                <w:rFonts w:ascii="宋体" w:hAnsi="宋体" w:cs="宋体" w:eastAsia="宋体" w:hint="default"/>
                <w:sz w:val="18"/>
                <w:szCs w:val="18"/>
              </w:rPr>
            </w:pPr>
            <w:r>
              <w:rPr>
                <w:rFonts w:ascii="宋体" w:hAnsi="宋体" w:cs="宋体" w:eastAsia="宋体" w:hint="default"/>
                <w:spacing w:val="-3"/>
                <w:sz w:val="18"/>
                <w:szCs w:val="18"/>
              </w:rPr>
              <w:t>按会计准则相关规定计提坏</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账准备、存货跌价准备</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2275" w:hRule="exact"/>
        </w:trPr>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9,561,764.45</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52.47%</w:t>
            </w:r>
          </w:p>
        </w:tc>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3"/>
              <w:ind w:left="19" w:right="7"/>
              <w:jc w:val="both"/>
              <w:rPr>
                <w:rFonts w:ascii="宋体" w:hAnsi="宋体" w:cs="宋体" w:eastAsia="宋体" w:hint="default"/>
                <w:sz w:val="18"/>
                <w:szCs w:val="18"/>
              </w:rPr>
            </w:pPr>
            <w:r>
              <w:rPr>
                <w:rFonts w:ascii="宋体" w:hAnsi="宋体" w:cs="宋体" w:eastAsia="宋体" w:hint="default"/>
                <w:sz w:val="18"/>
                <w:szCs w:val="18"/>
              </w:rPr>
              <w:t>主要系政府补助</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367.73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w:t>
            </w:r>
            <w:r>
              <w:rPr>
                <w:rFonts w:ascii="宋体" w:hAnsi="宋体" w:cs="宋体" w:eastAsia="宋体" w:hint="default"/>
                <w:w w:val="101"/>
                <w:sz w:val="18"/>
                <w:szCs w:val="18"/>
              </w:rPr>
              <w:t> </w:t>
            </w:r>
            <w:r>
              <w:rPr>
                <w:rFonts w:ascii="宋体" w:hAnsi="宋体" w:cs="宋体" w:eastAsia="宋体" w:hint="default"/>
                <w:spacing w:val="-3"/>
                <w:sz w:val="18"/>
                <w:szCs w:val="18"/>
              </w:rPr>
              <w:t>以及根据财政部和国家税务</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pacing w:val="-3"/>
                <w:sz w:val="18"/>
                <w:szCs w:val="18"/>
              </w:rPr>
              <w:t>总局《关于促进残疾人就业</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pacing w:val="-13"/>
                <w:w w:val="101"/>
                <w:sz w:val="18"/>
                <w:szCs w:val="18"/>
              </w:rPr>
              <w:t>税收优惠政策的通知》（财税</w:t>
            </w:r>
            <w:r>
              <w:rPr>
                <w:rFonts w:ascii="宋体" w:hAnsi="宋体" w:cs="宋体" w:eastAsia="宋体" w:hint="default"/>
                <w:w w:val="101"/>
                <w:sz w:val="18"/>
                <w:szCs w:val="18"/>
              </w:rPr>
              <w:t> </w:t>
            </w:r>
            <w:r>
              <w:rPr>
                <w:rFonts w:ascii="宋体" w:hAnsi="宋体" w:cs="宋体" w:eastAsia="宋体" w:hint="default"/>
                <w:sz w:val="18"/>
                <w:szCs w:val="18"/>
              </w:rPr>
              <w:t>字［</w:t>
            </w:r>
            <w:r>
              <w:rPr>
                <w:rFonts w:ascii="Times New Roman" w:hAnsi="Times New Roman" w:cs="Times New Roman" w:eastAsia="Times New Roman" w:hint="default"/>
                <w:sz w:val="18"/>
                <w:szCs w:val="18"/>
              </w:rPr>
              <w:t>2007</w:t>
            </w:r>
            <w:r>
              <w:rPr>
                <w:rFonts w:ascii="宋体" w:hAnsi="宋体" w:cs="宋体" w:eastAsia="宋体" w:hint="default"/>
                <w:sz w:val="18"/>
                <w:szCs w:val="18"/>
              </w:rPr>
              <w:t>］</w:t>
            </w:r>
            <w:r>
              <w:rPr>
                <w:rFonts w:ascii="Times New Roman" w:hAnsi="Times New Roman" w:cs="Times New Roman" w:eastAsia="Times New Roman" w:hint="default"/>
                <w:sz w:val="18"/>
                <w:szCs w:val="18"/>
              </w:rPr>
              <w:t>92 </w:t>
            </w:r>
            <w:r>
              <w:rPr>
                <w:rFonts w:ascii="宋体" w:hAnsi="宋体" w:cs="宋体" w:eastAsia="宋体" w:hint="default"/>
                <w:spacing w:val="-3"/>
                <w:sz w:val="18"/>
                <w:szCs w:val="18"/>
              </w:rPr>
              <w:t>号）的规定享</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3"/>
                <w:sz w:val="18"/>
                <w:szCs w:val="18"/>
              </w:rPr>
              <w:t>受实行限额即征即退增值税</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税收优惠</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538.48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万元等</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4" w:lineRule="auto"/>
              <w:ind w:left="23" w:right="17"/>
              <w:jc w:val="both"/>
              <w:rPr>
                <w:rFonts w:ascii="宋体" w:hAnsi="宋体" w:cs="宋体" w:eastAsia="宋体" w:hint="default"/>
                <w:sz w:val="18"/>
                <w:szCs w:val="18"/>
              </w:rPr>
            </w:pPr>
            <w:r>
              <w:rPr>
                <w:rFonts w:ascii="宋体" w:hAnsi="宋体" w:cs="宋体" w:eastAsia="宋体" w:hint="default"/>
                <w:spacing w:val="-3"/>
                <w:sz w:val="18"/>
                <w:szCs w:val="18"/>
              </w:rPr>
              <w:t>其中根据财政部和国家税务</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pacing w:val="-3"/>
                <w:sz w:val="18"/>
                <w:szCs w:val="18"/>
              </w:rPr>
              <w:t>总局《关于促进残疾人就业</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pacing w:val="-13"/>
                <w:w w:val="101"/>
                <w:sz w:val="18"/>
                <w:szCs w:val="18"/>
              </w:rPr>
              <w:t>税收优惠政策的通知》（财税</w:t>
            </w:r>
            <w:r>
              <w:rPr>
                <w:rFonts w:ascii="宋体" w:hAnsi="宋体" w:cs="宋体" w:eastAsia="宋体" w:hint="default"/>
                <w:w w:val="101"/>
                <w:sz w:val="18"/>
                <w:szCs w:val="18"/>
              </w:rPr>
              <w:t> </w:t>
            </w:r>
            <w:r>
              <w:rPr>
                <w:rFonts w:ascii="宋体" w:hAnsi="宋体" w:cs="宋体" w:eastAsia="宋体" w:hint="default"/>
                <w:sz w:val="18"/>
                <w:szCs w:val="18"/>
              </w:rPr>
              <w:t>字［</w:t>
            </w:r>
            <w:r>
              <w:rPr>
                <w:rFonts w:ascii="Times New Roman" w:hAnsi="Times New Roman" w:cs="Times New Roman" w:eastAsia="Times New Roman" w:hint="default"/>
                <w:sz w:val="18"/>
                <w:szCs w:val="18"/>
              </w:rPr>
              <w:t>2007</w:t>
            </w:r>
            <w:r>
              <w:rPr>
                <w:rFonts w:ascii="宋体" w:hAnsi="宋体" w:cs="宋体" w:eastAsia="宋体" w:hint="default"/>
                <w:sz w:val="18"/>
                <w:szCs w:val="18"/>
              </w:rPr>
              <w:t>］</w:t>
            </w:r>
            <w:r>
              <w:rPr>
                <w:rFonts w:ascii="Times New Roman" w:hAnsi="Times New Roman" w:cs="Times New Roman" w:eastAsia="Times New Roman" w:hint="default"/>
                <w:sz w:val="18"/>
                <w:szCs w:val="18"/>
              </w:rPr>
              <w:t>92</w:t>
            </w:r>
            <w:r>
              <w:rPr>
                <w:rFonts w:ascii="Times New Roman" w:hAnsi="Times New Roman" w:cs="Times New Roman" w:eastAsia="Times New Roman" w:hint="default"/>
                <w:spacing w:val="10"/>
                <w:sz w:val="18"/>
                <w:szCs w:val="18"/>
              </w:rPr>
              <w:t> </w:t>
            </w:r>
            <w:r>
              <w:rPr>
                <w:rFonts w:ascii="宋体" w:hAnsi="宋体" w:cs="宋体" w:eastAsia="宋体" w:hint="default"/>
                <w:spacing w:val="-3"/>
                <w:sz w:val="18"/>
                <w:szCs w:val="18"/>
              </w:rPr>
              <w:t>号）的规定享</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3"/>
                <w:sz w:val="18"/>
                <w:szCs w:val="18"/>
              </w:rPr>
              <w:t>受实行限额即征即退增值税</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税收优惠具有可持续性</w:t>
            </w:r>
          </w:p>
        </w:tc>
      </w:tr>
      <w:tr>
        <w:trPr>
          <w:trHeight w:val="710" w:hRule="exact"/>
        </w:trPr>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260,790.79</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1.43%</w:t>
            </w:r>
          </w:p>
        </w:tc>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9" w:right="55"/>
              <w:jc w:val="left"/>
              <w:rPr>
                <w:rFonts w:ascii="宋体" w:hAnsi="宋体" w:cs="宋体" w:eastAsia="宋体" w:hint="default"/>
                <w:sz w:val="18"/>
                <w:szCs w:val="18"/>
              </w:rPr>
            </w:pPr>
            <w:r>
              <w:rPr>
                <w:rFonts w:ascii="宋体" w:hAnsi="宋体" w:cs="宋体" w:eastAsia="宋体" w:hint="default"/>
                <w:spacing w:val="-3"/>
                <w:sz w:val="18"/>
                <w:szCs w:val="18"/>
              </w:rPr>
              <w:t>主要是捐赠及其他罚款等支</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出</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bl>
    <w:p>
      <w:pPr>
        <w:spacing w:line="240" w:lineRule="auto" w:before="9"/>
        <w:rPr>
          <w:rFonts w:ascii="宋体" w:hAnsi="宋体" w:cs="宋体" w:eastAsia="宋体" w:hint="default"/>
          <w:sz w:val="17"/>
          <w:szCs w:val="17"/>
        </w:rPr>
      </w:pPr>
    </w:p>
    <w:p>
      <w:pPr>
        <w:pStyle w:val="Heading2"/>
        <w:spacing w:line="367" w:lineRule="exact"/>
        <w:ind w:right="0"/>
        <w:jc w:val="left"/>
        <w:rPr>
          <w:b w:val="0"/>
          <w:bCs w:val="0"/>
        </w:rPr>
      </w:pPr>
      <w:r>
        <w:rPr/>
        <w:t>四、资产及负债状况分析</w:t>
      </w:r>
      <w:r>
        <w:rPr>
          <w:b w:val="0"/>
          <w:bCs w:val="0"/>
        </w:rPr>
      </w:r>
    </w:p>
    <w:p>
      <w:pPr>
        <w:spacing w:line="240" w:lineRule="auto" w:before="10"/>
        <w:rPr>
          <w:rFonts w:ascii="Microsoft JhengHei" w:hAnsi="Microsoft JhengHei" w:cs="Microsoft JhengHei" w:eastAsia="Microsoft JhengHei" w:hint="default"/>
          <w:b/>
          <w:bCs/>
          <w:sz w:val="13"/>
          <w:szCs w:val="13"/>
        </w:rPr>
      </w:pPr>
    </w:p>
    <w:p>
      <w:pPr>
        <w:pStyle w:val="Heading4"/>
        <w:spacing w:line="240" w:lineRule="auto"/>
        <w:ind w:right="0"/>
        <w:jc w:val="left"/>
        <w:rPr>
          <w:b w:val="0"/>
          <w:bCs w:val="0"/>
        </w:rPr>
      </w:pPr>
      <w:r>
        <w:rPr>
          <w:rFonts w:ascii="Times New Roman" w:hAnsi="Times New Roman" w:cs="Times New Roman" w:eastAsia="Times New Roman" w:hint="default"/>
        </w:rPr>
        <w:t>1</w:t>
      </w:r>
      <w:r>
        <w:rPr/>
        <w:t>、资产构成重大变动情况</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pacing w:val="-2"/>
          <w:sz w:val="18"/>
          <w:szCs w:val="18"/>
        </w:rPr>
        <w:t>单位：元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346"/>
        <w:gridCol w:w="1176"/>
        <w:gridCol w:w="1061"/>
        <w:gridCol w:w="1195"/>
        <w:gridCol w:w="1061"/>
        <w:gridCol w:w="802"/>
        <w:gridCol w:w="2918"/>
      </w:tblGrid>
      <w:tr>
        <w:trPr>
          <w:trHeight w:val="376" w:hRule="exact"/>
        </w:trPr>
        <w:tc>
          <w:tcPr>
            <w:tcW w:w="1346" w:type="dxa"/>
            <w:tcBorders>
              <w:top w:val="single" w:sz="4" w:space="0" w:color="000000"/>
              <w:left w:val="single" w:sz="4" w:space="0" w:color="000000"/>
              <w:bottom w:val="single" w:sz="18" w:space="0" w:color="FFFFFF"/>
              <w:right w:val="single" w:sz="4" w:space="0" w:color="000000"/>
            </w:tcBorders>
            <w:shd w:val="clear" w:color="auto" w:fill="D2D2D2"/>
          </w:tcPr>
          <w:p>
            <w:pPr/>
          </w:p>
        </w:tc>
        <w:tc>
          <w:tcPr>
            <w:tcW w:w="2237" w:type="dxa"/>
            <w:gridSpan w:val="2"/>
            <w:tcBorders>
              <w:top w:val="single" w:sz="4" w:space="0" w:color="000000"/>
              <w:left w:val="single" w:sz="4" w:space="0" w:color="000000"/>
              <w:bottom w:val="single" w:sz="18" w:space="0" w:color="FFFFFF"/>
              <w:right w:val="single" w:sz="4" w:space="0" w:color="000000"/>
            </w:tcBorders>
            <w:shd w:val="clear" w:color="auto" w:fill="D2D2D2"/>
          </w:tcPr>
          <w:p>
            <w:pPr>
              <w:pStyle w:val="TableParagraph"/>
              <w:spacing w:line="240" w:lineRule="auto" w:before="53"/>
              <w:ind w:left="7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8"/>
                <w:sz w:val="18"/>
                <w:szCs w:val="18"/>
              </w:rPr>
              <w:t> </w:t>
            </w:r>
            <w:r>
              <w:rPr>
                <w:rFonts w:ascii="宋体" w:hAnsi="宋体" w:cs="宋体" w:eastAsia="宋体" w:hint="default"/>
                <w:spacing w:val="-3"/>
                <w:sz w:val="18"/>
                <w:szCs w:val="18"/>
              </w:rPr>
              <w:t>年末</w:t>
            </w:r>
          </w:p>
        </w:tc>
        <w:tc>
          <w:tcPr>
            <w:tcW w:w="2256" w:type="dxa"/>
            <w:gridSpan w:val="2"/>
            <w:tcBorders>
              <w:top w:val="single" w:sz="4" w:space="0" w:color="000000"/>
              <w:left w:val="single" w:sz="4" w:space="0" w:color="000000"/>
              <w:bottom w:val="single" w:sz="18" w:space="0" w:color="FFFFFF"/>
              <w:right w:val="single" w:sz="4" w:space="0" w:color="000000"/>
            </w:tcBorders>
            <w:shd w:val="clear" w:color="auto" w:fill="D2D2D2"/>
          </w:tcPr>
          <w:p>
            <w:pPr>
              <w:pStyle w:val="TableParagraph"/>
              <w:spacing w:line="240" w:lineRule="auto" w:before="53"/>
              <w:ind w:left="73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8"/>
                <w:sz w:val="18"/>
                <w:szCs w:val="18"/>
              </w:rPr>
              <w:t> </w:t>
            </w:r>
            <w:r>
              <w:rPr>
                <w:rFonts w:ascii="宋体" w:hAnsi="宋体" w:cs="宋体" w:eastAsia="宋体" w:hint="default"/>
                <w:spacing w:val="-3"/>
                <w:sz w:val="18"/>
                <w:szCs w:val="18"/>
              </w:rPr>
              <w:t>年末</w:t>
            </w:r>
          </w:p>
        </w:tc>
        <w:tc>
          <w:tcPr>
            <w:tcW w:w="802" w:type="dxa"/>
            <w:tcBorders>
              <w:top w:val="single" w:sz="4" w:space="0" w:color="000000"/>
              <w:left w:val="single" w:sz="4" w:space="0" w:color="000000"/>
              <w:bottom w:val="single" w:sz="18" w:space="0" w:color="FFFFFF"/>
              <w:right w:val="single" w:sz="4" w:space="0" w:color="000000"/>
            </w:tcBorders>
            <w:shd w:val="clear" w:color="auto" w:fill="D2D2D2"/>
          </w:tcPr>
          <w:p>
            <w:pPr/>
          </w:p>
        </w:tc>
        <w:tc>
          <w:tcPr>
            <w:tcW w:w="2918" w:type="dxa"/>
            <w:tcBorders>
              <w:top w:val="single" w:sz="4" w:space="0" w:color="000000"/>
              <w:left w:val="single" w:sz="4" w:space="0" w:color="000000"/>
              <w:bottom w:val="single" w:sz="18" w:space="0" w:color="FFFFFF"/>
              <w:right w:val="single" w:sz="4" w:space="0" w:color="000000"/>
            </w:tcBorders>
            <w:shd w:val="clear" w:color="auto" w:fill="D2D2D2"/>
          </w:tcPr>
          <w:p>
            <w:pPr/>
          </w:p>
        </w:tc>
      </w:tr>
      <w:tr>
        <w:trPr>
          <w:trHeight w:val="186" w:hRule="exact"/>
        </w:trPr>
        <w:tc>
          <w:tcPr>
            <w:tcW w:w="1346" w:type="dxa"/>
            <w:vMerge w:val="restart"/>
            <w:tcBorders>
              <w:top w:val="single" w:sz="18" w:space="0" w:color="FFFFFF"/>
              <w:left w:val="single" w:sz="4" w:space="0" w:color="000000"/>
              <w:right w:val="single" w:sz="4" w:space="0" w:color="000000"/>
            </w:tcBorders>
            <w:shd w:val="clear" w:color="auto" w:fill="D2D2D2"/>
          </w:tcPr>
          <w:p>
            <w:pPr/>
          </w:p>
        </w:tc>
        <w:tc>
          <w:tcPr>
            <w:tcW w:w="1176" w:type="dxa"/>
            <w:tcBorders>
              <w:top w:val="single" w:sz="18" w:space="0" w:color="FFFFFF"/>
              <w:left w:val="single" w:sz="4" w:space="0" w:color="000000"/>
              <w:bottom w:val="nil" w:sz="6" w:space="0" w:color="auto"/>
              <w:right w:val="single" w:sz="4" w:space="0" w:color="000000"/>
            </w:tcBorders>
            <w:shd w:val="clear" w:color="auto" w:fill="D2D2D2"/>
          </w:tcPr>
          <w:p>
            <w:pPr/>
          </w:p>
        </w:tc>
        <w:tc>
          <w:tcPr>
            <w:tcW w:w="1061" w:type="dxa"/>
            <w:vMerge w:val="restart"/>
            <w:tcBorders>
              <w:top w:val="single" w:sz="18" w:space="0" w:color="FFFFFF"/>
              <w:left w:val="single" w:sz="4" w:space="0" w:color="000000"/>
              <w:right w:val="single" w:sz="4" w:space="0" w:color="000000"/>
            </w:tcBorders>
            <w:shd w:val="clear" w:color="auto" w:fill="D2D2D2"/>
          </w:tcPr>
          <w:p>
            <w:pPr>
              <w:pStyle w:val="TableParagraph"/>
              <w:spacing w:line="316" w:lineRule="auto" w:before="63"/>
              <w:ind w:left="431" w:right="74" w:hanging="360"/>
              <w:jc w:val="left"/>
              <w:rPr>
                <w:rFonts w:ascii="宋体" w:hAnsi="宋体" w:cs="宋体" w:eastAsia="宋体" w:hint="default"/>
                <w:sz w:val="18"/>
                <w:szCs w:val="18"/>
              </w:rPr>
            </w:pPr>
            <w:r>
              <w:rPr>
                <w:rFonts w:ascii="宋体" w:hAnsi="宋体" w:cs="宋体" w:eastAsia="宋体" w:hint="default"/>
                <w:spacing w:val="-2"/>
                <w:sz w:val="18"/>
                <w:szCs w:val="18"/>
              </w:rPr>
              <w:t>占总资产比</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例</w:t>
            </w:r>
          </w:p>
        </w:tc>
        <w:tc>
          <w:tcPr>
            <w:tcW w:w="1195" w:type="dxa"/>
            <w:tcBorders>
              <w:top w:val="single" w:sz="18" w:space="0" w:color="FFFFFF"/>
              <w:left w:val="single" w:sz="4" w:space="0" w:color="000000"/>
              <w:bottom w:val="nil" w:sz="6" w:space="0" w:color="auto"/>
              <w:right w:val="single" w:sz="4" w:space="0" w:color="000000"/>
            </w:tcBorders>
            <w:shd w:val="clear" w:color="auto" w:fill="D2D2D2"/>
          </w:tcPr>
          <w:p>
            <w:pPr/>
          </w:p>
        </w:tc>
        <w:tc>
          <w:tcPr>
            <w:tcW w:w="1061" w:type="dxa"/>
            <w:vMerge w:val="restart"/>
            <w:tcBorders>
              <w:top w:val="single" w:sz="18" w:space="0" w:color="FFFFFF"/>
              <w:left w:val="single" w:sz="4" w:space="0" w:color="000000"/>
              <w:right w:val="single" w:sz="4" w:space="0" w:color="000000"/>
            </w:tcBorders>
            <w:shd w:val="clear" w:color="auto" w:fill="D2D2D2"/>
          </w:tcPr>
          <w:p>
            <w:pPr>
              <w:pStyle w:val="TableParagraph"/>
              <w:spacing w:line="316" w:lineRule="auto" w:before="63"/>
              <w:ind w:left="436" w:right="70" w:hanging="360"/>
              <w:jc w:val="left"/>
              <w:rPr>
                <w:rFonts w:ascii="宋体" w:hAnsi="宋体" w:cs="宋体" w:eastAsia="宋体" w:hint="default"/>
                <w:sz w:val="18"/>
                <w:szCs w:val="18"/>
              </w:rPr>
            </w:pPr>
            <w:r>
              <w:rPr>
                <w:rFonts w:ascii="宋体" w:hAnsi="宋体" w:cs="宋体" w:eastAsia="宋体" w:hint="default"/>
                <w:spacing w:val="-2"/>
                <w:sz w:val="18"/>
                <w:szCs w:val="18"/>
              </w:rPr>
              <w:t>占总资产比</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例</w:t>
            </w:r>
          </w:p>
        </w:tc>
        <w:tc>
          <w:tcPr>
            <w:tcW w:w="802" w:type="dxa"/>
            <w:vMerge w:val="restart"/>
            <w:tcBorders>
              <w:top w:val="single" w:sz="18" w:space="0" w:color="FFFFFF"/>
              <w:left w:val="single" w:sz="4" w:space="0" w:color="000000"/>
              <w:right w:val="single" w:sz="4" w:space="0" w:color="000000"/>
            </w:tcBorders>
            <w:shd w:val="clear" w:color="auto" w:fill="D2D2D2"/>
          </w:tcPr>
          <w:p>
            <w:pPr>
              <w:pStyle w:val="TableParagraph"/>
              <w:spacing w:line="240" w:lineRule="auto" w:before="10"/>
              <w:ind w:left="33" w:right="0"/>
              <w:jc w:val="left"/>
              <w:rPr>
                <w:rFonts w:ascii="宋体" w:hAnsi="宋体" w:cs="宋体" w:eastAsia="宋体" w:hint="default"/>
                <w:sz w:val="18"/>
                <w:szCs w:val="18"/>
              </w:rPr>
            </w:pPr>
            <w:r>
              <w:rPr>
                <w:rFonts w:ascii="宋体" w:hAnsi="宋体" w:cs="宋体" w:eastAsia="宋体" w:hint="default"/>
                <w:sz w:val="18"/>
                <w:szCs w:val="18"/>
              </w:rPr>
              <w:t>比重增减</w:t>
            </w:r>
          </w:p>
        </w:tc>
        <w:tc>
          <w:tcPr>
            <w:tcW w:w="2918" w:type="dxa"/>
            <w:vMerge w:val="restart"/>
            <w:tcBorders>
              <w:top w:val="single" w:sz="18" w:space="0" w:color="FFFFFF"/>
              <w:left w:val="single" w:sz="4" w:space="0" w:color="000000"/>
              <w:right w:val="single" w:sz="4" w:space="0" w:color="000000"/>
            </w:tcBorders>
            <w:shd w:val="clear" w:color="auto" w:fill="D2D2D2"/>
          </w:tcPr>
          <w:p>
            <w:pPr>
              <w:pStyle w:val="TableParagraph"/>
              <w:spacing w:line="240" w:lineRule="auto" w:before="10"/>
              <w:ind w:left="907"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187" w:hRule="exact"/>
        </w:trPr>
        <w:tc>
          <w:tcPr>
            <w:tcW w:w="1346" w:type="dxa"/>
            <w:vMerge/>
            <w:tcBorders>
              <w:left w:val="single" w:sz="4" w:space="0" w:color="000000"/>
              <w:bottom w:val="nil" w:sz="6" w:space="0" w:color="auto"/>
              <w:right w:val="single" w:sz="4" w:space="0" w:color="000000"/>
            </w:tcBorders>
            <w:shd w:val="clear" w:color="auto" w:fill="D2D2D2"/>
          </w:tcPr>
          <w:p>
            <w:pPr/>
          </w:p>
        </w:tc>
        <w:tc>
          <w:tcPr>
            <w:tcW w:w="117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61" w:type="dxa"/>
            <w:vMerge/>
            <w:tcBorders>
              <w:left w:val="single" w:sz="4" w:space="0" w:color="000000"/>
              <w:right w:val="single" w:sz="4" w:space="0" w:color="000000"/>
            </w:tcBorders>
            <w:shd w:val="clear" w:color="auto" w:fill="D2D2D2"/>
          </w:tcPr>
          <w:p>
            <w:pPr/>
          </w:p>
        </w:tc>
        <w:tc>
          <w:tcPr>
            <w:tcW w:w="119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061" w:type="dxa"/>
            <w:vMerge/>
            <w:tcBorders>
              <w:left w:val="single" w:sz="4" w:space="0" w:color="000000"/>
              <w:right w:val="single" w:sz="4" w:space="0" w:color="000000"/>
            </w:tcBorders>
            <w:shd w:val="clear" w:color="auto" w:fill="D2D2D2"/>
          </w:tcPr>
          <w:p>
            <w:pPr/>
          </w:p>
        </w:tc>
        <w:tc>
          <w:tcPr>
            <w:tcW w:w="802" w:type="dxa"/>
            <w:vMerge/>
            <w:tcBorders>
              <w:left w:val="single" w:sz="4" w:space="0" w:color="000000"/>
              <w:bottom w:val="nil" w:sz="6" w:space="0" w:color="auto"/>
              <w:right w:val="single" w:sz="4" w:space="0" w:color="000000"/>
            </w:tcBorders>
            <w:shd w:val="clear" w:color="auto" w:fill="D2D2D2"/>
          </w:tcPr>
          <w:p>
            <w:pPr/>
          </w:p>
        </w:tc>
        <w:tc>
          <w:tcPr>
            <w:tcW w:w="2918"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346" w:type="dxa"/>
            <w:vMerge w:val="restart"/>
            <w:tcBorders>
              <w:top w:val="nil" w:sz="6" w:space="0" w:color="auto"/>
              <w:left w:val="single" w:sz="4" w:space="0" w:color="000000"/>
              <w:right w:val="single" w:sz="4" w:space="0" w:color="000000"/>
            </w:tcBorders>
            <w:shd w:val="clear" w:color="auto" w:fill="D2D2D2"/>
          </w:tcPr>
          <w:p>
            <w:pPr/>
          </w:p>
        </w:tc>
        <w:tc>
          <w:tcPr>
            <w:tcW w:w="1176" w:type="dxa"/>
            <w:vMerge/>
            <w:tcBorders>
              <w:left w:val="single" w:sz="4" w:space="0" w:color="000000"/>
              <w:bottom w:val="nil" w:sz="6" w:space="0" w:color="auto"/>
              <w:right w:val="single" w:sz="4" w:space="0" w:color="000000"/>
            </w:tcBorders>
            <w:shd w:val="clear" w:color="auto" w:fill="D2D2D2"/>
          </w:tcPr>
          <w:p>
            <w:pPr/>
          </w:p>
        </w:tc>
        <w:tc>
          <w:tcPr>
            <w:tcW w:w="1061"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bottom w:val="nil" w:sz="6" w:space="0" w:color="auto"/>
              <w:right w:val="single" w:sz="4" w:space="0" w:color="000000"/>
            </w:tcBorders>
            <w:shd w:val="clear" w:color="auto" w:fill="D2D2D2"/>
          </w:tcPr>
          <w:p>
            <w:pPr/>
          </w:p>
        </w:tc>
        <w:tc>
          <w:tcPr>
            <w:tcW w:w="1061" w:type="dxa"/>
            <w:vMerge/>
            <w:tcBorders>
              <w:left w:val="single" w:sz="4" w:space="0" w:color="000000"/>
              <w:right w:val="single" w:sz="4" w:space="0" w:color="000000"/>
            </w:tcBorders>
            <w:shd w:val="clear" w:color="auto" w:fill="D2D2D2"/>
          </w:tcPr>
          <w:p>
            <w:pPr/>
          </w:p>
        </w:tc>
        <w:tc>
          <w:tcPr>
            <w:tcW w:w="802" w:type="dxa"/>
            <w:vMerge w:val="restart"/>
            <w:tcBorders>
              <w:top w:val="nil" w:sz="6" w:space="0" w:color="auto"/>
              <w:left w:val="single" w:sz="4" w:space="0" w:color="000000"/>
              <w:right w:val="single" w:sz="4" w:space="0" w:color="000000"/>
            </w:tcBorders>
            <w:shd w:val="clear" w:color="auto" w:fill="D2D2D2"/>
          </w:tcPr>
          <w:p>
            <w:pPr/>
          </w:p>
        </w:tc>
        <w:tc>
          <w:tcPr>
            <w:tcW w:w="2918" w:type="dxa"/>
            <w:vMerge w:val="restart"/>
            <w:tcBorders>
              <w:top w:val="nil" w:sz="6" w:space="0" w:color="auto"/>
              <w:left w:val="single" w:sz="4" w:space="0" w:color="000000"/>
              <w:right w:val="single" w:sz="4" w:space="0" w:color="000000"/>
            </w:tcBorders>
            <w:shd w:val="clear" w:color="auto" w:fill="D2D2D2"/>
          </w:tcPr>
          <w:p>
            <w:pPr/>
          </w:p>
        </w:tc>
      </w:tr>
      <w:tr>
        <w:trPr>
          <w:trHeight w:val="163" w:hRule="exact"/>
        </w:trPr>
        <w:tc>
          <w:tcPr>
            <w:tcW w:w="1346" w:type="dxa"/>
            <w:vMerge/>
            <w:tcBorders>
              <w:left w:val="single" w:sz="4" w:space="0" w:color="000000"/>
              <w:bottom w:val="single" w:sz="4" w:space="0" w:color="000000"/>
              <w:right w:val="single" w:sz="4" w:space="0" w:color="000000"/>
            </w:tcBorders>
            <w:shd w:val="clear" w:color="auto" w:fill="D2D2D2"/>
          </w:tcPr>
          <w:p>
            <w:pPr/>
          </w:p>
        </w:tc>
        <w:tc>
          <w:tcPr>
            <w:tcW w:w="1176"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1" w:type="dxa"/>
            <w:vMerge/>
            <w:tcBorders>
              <w:left w:val="single" w:sz="4" w:space="0" w:color="000000"/>
              <w:bottom w:val="single" w:sz="4" w:space="0" w:color="000000"/>
              <w:right w:val="single" w:sz="4" w:space="0" w:color="000000"/>
            </w:tcBorders>
            <w:shd w:val="clear" w:color="auto" w:fill="D2D2D2"/>
          </w:tcPr>
          <w:p>
            <w:pPr/>
          </w:p>
        </w:tc>
        <w:tc>
          <w:tcPr>
            <w:tcW w:w="1195"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1" w:type="dxa"/>
            <w:vMerge/>
            <w:tcBorders>
              <w:left w:val="single" w:sz="4" w:space="0" w:color="000000"/>
              <w:bottom w:val="single" w:sz="4" w:space="0" w:color="000000"/>
              <w:right w:val="single" w:sz="4" w:space="0" w:color="000000"/>
            </w:tcBorders>
            <w:shd w:val="clear" w:color="auto" w:fill="D2D2D2"/>
          </w:tcPr>
          <w:p>
            <w:pPr/>
          </w:p>
        </w:tc>
        <w:tc>
          <w:tcPr>
            <w:tcW w:w="802" w:type="dxa"/>
            <w:vMerge/>
            <w:tcBorders>
              <w:left w:val="single" w:sz="4" w:space="0" w:color="000000"/>
              <w:bottom w:val="single" w:sz="4" w:space="0" w:color="000000"/>
              <w:right w:val="single" w:sz="4" w:space="0" w:color="000000"/>
            </w:tcBorders>
            <w:shd w:val="clear" w:color="auto" w:fill="D2D2D2"/>
          </w:tcPr>
          <w:p>
            <w:pPr/>
          </w:p>
        </w:tc>
        <w:tc>
          <w:tcPr>
            <w:tcW w:w="2918" w:type="dxa"/>
            <w:vMerge/>
            <w:tcBorders>
              <w:left w:val="single" w:sz="4" w:space="0" w:color="000000"/>
              <w:bottom w:val="single" w:sz="4" w:space="0" w:color="000000"/>
              <w:right w:val="single" w:sz="4" w:space="0" w:color="000000"/>
            </w:tcBorders>
            <w:shd w:val="clear" w:color="auto" w:fill="D2D2D2"/>
          </w:tcPr>
          <w:p>
            <w:pPr/>
          </w:p>
        </w:tc>
      </w:tr>
      <w:tr>
        <w:trPr>
          <w:trHeight w:val="159" w:hRule="exact"/>
        </w:trPr>
        <w:tc>
          <w:tcPr>
            <w:tcW w:w="1346" w:type="dxa"/>
            <w:tcBorders>
              <w:top w:val="single" w:sz="4" w:space="0" w:color="000000"/>
              <w:left w:val="single" w:sz="4" w:space="0" w:color="000000"/>
              <w:bottom w:val="nil" w:sz="6" w:space="0" w:color="auto"/>
              <w:right w:val="single" w:sz="4" w:space="0" w:color="000000"/>
            </w:tcBorders>
            <w:shd w:val="clear" w:color="auto" w:fill="D2D2D2"/>
          </w:tcPr>
          <w:p>
            <w:pPr/>
          </w:p>
        </w:tc>
        <w:tc>
          <w:tcPr>
            <w:tcW w:w="1176" w:type="dxa"/>
            <w:vMerge w:val="restart"/>
            <w:tcBorders>
              <w:top w:val="single" w:sz="4" w:space="0" w:color="000000"/>
              <w:left w:val="single" w:sz="8" w:space="0" w:color="D2D2D2"/>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512,170,628.6</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65" w:right="0"/>
              <w:jc w:val="left"/>
              <w:rPr>
                <w:rFonts w:ascii="Times New Roman" w:hAnsi="Times New Roman" w:cs="Times New Roman" w:eastAsia="Times New Roman" w:hint="default"/>
                <w:sz w:val="18"/>
                <w:szCs w:val="18"/>
              </w:rPr>
            </w:pPr>
            <w:r>
              <w:rPr>
                <w:rFonts w:ascii="Times New Roman"/>
                <w:sz w:val="18"/>
              </w:rPr>
              <w:t>25.04%</w:t>
            </w:r>
          </w:p>
        </w:tc>
        <w:tc>
          <w:tcPr>
            <w:tcW w:w="1195"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156,857,096.95</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79" w:right="0"/>
              <w:jc w:val="left"/>
              <w:rPr>
                <w:rFonts w:ascii="Times New Roman" w:hAnsi="Times New Roman" w:cs="Times New Roman" w:eastAsia="Times New Roman" w:hint="default"/>
                <w:sz w:val="18"/>
                <w:szCs w:val="18"/>
              </w:rPr>
            </w:pPr>
            <w:r>
              <w:rPr>
                <w:rFonts w:ascii="Times New Roman"/>
                <w:spacing w:val="-3"/>
                <w:sz w:val="18"/>
              </w:rPr>
              <w:t>11.49%</w:t>
            </w:r>
          </w:p>
        </w:tc>
        <w:tc>
          <w:tcPr>
            <w:tcW w:w="80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13.55%</w:t>
            </w:r>
          </w:p>
        </w:tc>
        <w:tc>
          <w:tcPr>
            <w:tcW w:w="2918" w:type="dxa"/>
            <w:vMerge w:val="restart"/>
            <w:tcBorders>
              <w:top w:val="single" w:sz="4" w:space="0" w:color="000000"/>
              <w:left w:val="single" w:sz="4" w:space="0" w:color="000000"/>
              <w:right w:val="single" w:sz="4" w:space="0" w:color="000000"/>
            </w:tcBorders>
          </w:tcPr>
          <w:p>
            <w:pPr/>
          </w:p>
        </w:tc>
      </w:tr>
      <w:tr>
        <w:trPr>
          <w:trHeight w:val="394" w:hRule="exact"/>
        </w:trPr>
        <w:tc>
          <w:tcPr>
            <w:tcW w:w="134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176" w:type="dxa"/>
            <w:vMerge/>
            <w:tcBorders>
              <w:left w:val="single" w:sz="8" w:space="0" w:color="D2D2D2"/>
              <w:right w:val="single" w:sz="4" w:space="0" w:color="000000"/>
            </w:tcBorders>
          </w:tcPr>
          <w:p>
            <w:pPr/>
          </w:p>
        </w:tc>
        <w:tc>
          <w:tcPr>
            <w:tcW w:w="1061" w:type="dxa"/>
            <w:vMerge/>
            <w:tcBorders>
              <w:left w:val="single" w:sz="4" w:space="0" w:color="000000"/>
              <w:right w:val="single" w:sz="4" w:space="0" w:color="000000"/>
            </w:tcBorders>
          </w:tcPr>
          <w:p>
            <w:pPr/>
          </w:p>
        </w:tc>
        <w:tc>
          <w:tcPr>
            <w:tcW w:w="1195"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802"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163" w:hRule="exact"/>
        </w:trPr>
        <w:tc>
          <w:tcPr>
            <w:tcW w:w="1346" w:type="dxa"/>
            <w:tcBorders>
              <w:top w:val="nil" w:sz="6" w:space="0" w:color="auto"/>
              <w:left w:val="single" w:sz="4" w:space="0" w:color="000000"/>
              <w:bottom w:val="single" w:sz="4" w:space="0" w:color="000000"/>
              <w:right w:val="single" w:sz="4" w:space="0" w:color="000000"/>
            </w:tcBorders>
            <w:shd w:val="clear" w:color="auto" w:fill="D2D2D2"/>
          </w:tcPr>
          <w:p>
            <w:pPr/>
          </w:p>
        </w:tc>
        <w:tc>
          <w:tcPr>
            <w:tcW w:w="1176" w:type="dxa"/>
            <w:vMerge/>
            <w:tcBorders>
              <w:left w:val="single" w:sz="8" w:space="0" w:color="D2D2D2"/>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195"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802"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158" w:hRule="exact"/>
        </w:trPr>
        <w:tc>
          <w:tcPr>
            <w:tcW w:w="1346" w:type="dxa"/>
            <w:tcBorders>
              <w:top w:val="single" w:sz="4" w:space="0" w:color="000000"/>
              <w:left w:val="single" w:sz="4" w:space="0" w:color="000000"/>
              <w:bottom w:val="nil" w:sz="6" w:space="0" w:color="auto"/>
              <w:right w:val="single" w:sz="4" w:space="0" w:color="000000"/>
            </w:tcBorders>
            <w:shd w:val="clear" w:color="auto" w:fill="D2D2D2"/>
          </w:tcPr>
          <w:p>
            <w:pPr/>
          </w:p>
        </w:tc>
        <w:tc>
          <w:tcPr>
            <w:tcW w:w="1176" w:type="dxa"/>
            <w:vMerge w:val="restart"/>
            <w:tcBorders>
              <w:top w:val="single" w:sz="4" w:space="0" w:color="000000"/>
              <w:left w:val="single" w:sz="8" w:space="0" w:color="D2D2D2"/>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187,986,206.8</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56" w:right="0"/>
              <w:jc w:val="left"/>
              <w:rPr>
                <w:rFonts w:ascii="Times New Roman" w:hAnsi="Times New Roman" w:cs="Times New Roman" w:eastAsia="Times New Roman" w:hint="default"/>
                <w:sz w:val="18"/>
                <w:szCs w:val="18"/>
              </w:rPr>
            </w:pPr>
            <w:r>
              <w:rPr>
                <w:rFonts w:ascii="Times New Roman"/>
                <w:sz w:val="18"/>
              </w:rPr>
              <w:t>9.19%</w:t>
            </w:r>
          </w:p>
        </w:tc>
        <w:tc>
          <w:tcPr>
            <w:tcW w:w="1195"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160,403,119.91</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79" w:right="0"/>
              <w:jc w:val="left"/>
              <w:rPr>
                <w:rFonts w:ascii="Times New Roman" w:hAnsi="Times New Roman" w:cs="Times New Roman" w:eastAsia="Times New Roman" w:hint="default"/>
                <w:sz w:val="18"/>
                <w:szCs w:val="18"/>
              </w:rPr>
            </w:pPr>
            <w:r>
              <w:rPr>
                <w:rFonts w:ascii="Times New Roman"/>
                <w:spacing w:val="-3"/>
                <w:sz w:val="18"/>
              </w:rPr>
              <w:t>11.74%</w:t>
            </w:r>
          </w:p>
        </w:tc>
        <w:tc>
          <w:tcPr>
            <w:tcW w:w="80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40" w:right="0"/>
              <w:jc w:val="left"/>
              <w:rPr>
                <w:rFonts w:ascii="Times New Roman" w:hAnsi="Times New Roman" w:cs="Times New Roman" w:eastAsia="Times New Roman" w:hint="default"/>
                <w:sz w:val="18"/>
                <w:szCs w:val="18"/>
              </w:rPr>
            </w:pPr>
            <w:r>
              <w:rPr>
                <w:rFonts w:ascii="Times New Roman"/>
                <w:sz w:val="18"/>
              </w:rPr>
              <w:t>-2.55%</w:t>
            </w:r>
          </w:p>
        </w:tc>
        <w:tc>
          <w:tcPr>
            <w:tcW w:w="2918" w:type="dxa"/>
            <w:vMerge w:val="restart"/>
            <w:tcBorders>
              <w:top w:val="single" w:sz="4" w:space="0" w:color="000000"/>
              <w:left w:val="single" w:sz="4" w:space="0" w:color="000000"/>
              <w:right w:val="single" w:sz="4" w:space="0" w:color="000000"/>
            </w:tcBorders>
          </w:tcPr>
          <w:p>
            <w:pPr/>
          </w:p>
        </w:tc>
      </w:tr>
      <w:tr>
        <w:trPr>
          <w:trHeight w:val="394" w:hRule="exact"/>
        </w:trPr>
        <w:tc>
          <w:tcPr>
            <w:tcW w:w="134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4"/>
              <w:ind w:left="1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176" w:type="dxa"/>
            <w:vMerge/>
            <w:tcBorders>
              <w:left w:val="single" w:sz="8" w:space="0" w:color="D2D2D2"/>
              <w:right w:val="single" w:sz="4" w:space="0" w:color="000000"/>
            </w:tcBorders>
          </w:tcPr>
          <w:p>
            <w:pPr/>
          </w:p>
        </w:tc>
        <w:tc>
          <w:tcPr>
            <w:tcW w:w="1061" w:type="dxa"/>
            <w:vMerge/>
            <w:tcBorders>
              <w:left w:val="single" w:sz="4" w:space="0" w:color="000000"/>
              <w:right w:val="single" w:sz="4" w:space="0" w:color="000000"/>
            </w:tcBorders>
          </w:tcPr>
          <w:p>
            <w:pPr/>
          </w:p>
        </w:tc>
        <w:tc>
          <w:tcPr>
            <w:tcW w:w="1195"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802"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163" w:hRule="exact"/>
        </w:trPr>
        <w:tc>
          <w:tcPr>
            <w:tcW w:w="1346" w:type="dxa"/>
            <w:tcBorders>
              <w:top w:val="nil" w:sz="6" w:space="0" w:color="auto"/>
              <w:left w:val="single" w:sz="4" w:space="0" w:color="000000"/>
              <w:bottom w:val="single" w:sz="4" w:space="0" w:color="000000"/>
              <w:right w:val="single" w:sz="4" w:space="0" w:color="000000"/>
            </w:tcBorders>
            <w:shd w:val="clear" w:color="auto" w:fill="D2D2D2"/>
          </w:tcPr>
          <w:p>
            <w:pPr/>
          </w:p>
        </w:tc>
        <w:tc>
          <w:tcPr>
            <w:tcW w:w="1176" w:type="dxa"/>
            <w:vMerge/>
            <w:tcBorders>
              <w:left w:val="single" w:sz="8" w:space="0" w:color="D2D2D2"/>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195"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802"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158" w:hRule="exact"/>
        </w:trPr>
        <w:tc>
          <w:tcPr>
            <w:tcW w:w="1346" w:type="dxa"/>
            <w:tcBorders>
              <w:top w:val="single" w:sz="4" w:space="0" w:color="000000"/>
              <w:left w:val="single" w:sz="4" w:space="0" w:color="000000"/>
              <w:bottom w:val="nil" w:sz="6" w:space="0" w:color="auto"/>
              <w:right w:val="single" w:sz="4" w:space="0" w:color="000000"/>
            </w:tcBorders>
            <w:shd w:val="clear" w:color="auto" w:fill="D2D2D2"/>
          </w:tcPr>
          <w:p>
            <w:pPr/>
          </w:p>
        </w:tc>
        <w:tc>
          <w:tcPr>
            <w:tcW w:w="1176" w:type="dxa"/>
            <w:vMerge w:val="restart"/>
            <w:tcBorders>
              <w:top w:val="single" w:sz="4" w:space="0" w:color="000000"/>
              <w:left w:val="single" w:sz="8" w:space="0" w:color="D2D2D2"/>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165,602,259.6</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56" w:right="0"/>
              <w:jc w:val="left"/>
              <w:rPr>
                <w:rFonts w:ascii="Times New Roman" w:hAnsi="Times New Roman" w:cs="Times New Roman" w:eastAsia="Times New Roman" w:hint="default"/>
                <w:sz w:val="18"/>
                <w:szCs w:val="18"/>
              </w:rPr>
            </w:pPr>
            <w:r>
              <w:rPr>
                <w:rFonts w:ascii="Times New Roman"/>
                <w:sz w:val="18"/>
              </w:rPr>
              <w:t>8.09%</w:t>
            </w:r>
          </w:p>
        </w:tc>
        <w:tc>
          <w:tcPr>
            <w:tcW w:w="1195"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130,119,356.01</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61" w:right="0"/>
              <w:jc w:val="left"/>
              <w:rPr>
                <w:rFonts w:ascii="Times New Roman" w:hAnsi="Times New Roman" w:cs="Times New Roman" w:eastAsia="Times New Roman" w:hint="default"/>
                <w:sz w:val="18"/>
                <w:szCs w:val="18"/>
              </w:rPr>
            </w:pPr>
            <w:r>
              <w:rPr>
                <w:rFonts w:ascii="Times New Roman"/>
                <w:sz w:val="18"/>
              </w:rPr>
              <w:t>9.53%</w:t>
            </w:r>
          </w:p>
        </w:tc>
        <w:tc>
          <w:tcPr>
            <w:tcW w:w="80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40" w:right="0"/>
              <w:jc w:val="left"/>
              <w:rPr>
                <w:rFonts w:ascii="Times New Roman" w:hAnsi="Times New Roman" w:cs="Times New Roman" w:eastAsia="Times New Roman" w:hint="default"/>
                <w:sz w:val="18"/>
                <w:szCs w:val="18"/>
              </w:rPr>
            </w:pPr>
            <w:r>
              <w:rPr>
                <w:rFonts w:ascii="Times New Roman"/>
                <w:sz w:val="18"/>
              </w:rPr>
              <w:t>-1.44%</w:t>
            </w:r>
          </w:p>
        </w:tc>
        <w:tc>
          <w:tcPr>
            <w:tcW w:w="2918" w:type="dxa"/>
            <w:vMerge w:val="restart"/>
            <w:tcBorders>
              <w:top w:val="single" w:sz="4" w:space="0" w:color="000000"/>
              <w:left w:val="single" w:sz="4" w:space="0" w:color="000000"/>
              <w:right w:val="single" w:sz="4" w:space="0" w:color="000000"/>
            </w:tcBorders>
          </w:tcPr>
          <w:p>
            <w:pPr/>
          </w:p>
        </w:tc>
      </w:tr>
      <w:tr>
        <w:trPr>
          <w:trHeight w:val="394" w:hRule="exact"/>
        </w:trPr>
        <w:tc>
          <w:tcPr>
            <w:tcW w:w="134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176" w:type="dxa"/>
            <w:vMerge/>
            <w:tcBorders>
              <w:left w:val="single" w:sz="8" w:space="0" w:color="D2D2D2"/>
              <w:right w:val="single" w:sz="4" w:space="0" w:color="000000"/>
            </w:tcBorders>
          </w:tcPr>
          <w:p>
            <w:pPr/>
          </w:p>
        </w:tc>
        <w:tc>
          <w:tcPr>
            <w:tcW w:w="1061" w:type="dxa"/>
            <w:vMerge/>
            <w:tcBorders>
              <w:left w:val="single" w:sz="4" w:space="0" w:color="000000"/>
              <w:right w:val="single" w:sz="4" w:space="0" w:color="000000"/>
            </w:tcBorders>
          </w:tcPr>
          <w:p>
            <w:pPr/>
          </w:p>
        </w:tc>
        <w:tc>
          <w:tcPr>
            <w:tcW w:w="1195"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802"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163" w:hRule="exact"/>
        </w:trPr>
        <w:tc>
          <w:tcPr>
            <w:tcW w:w="1346" w:type="dxa"/>
            <w:tcBorders>
              <w:top w:val="nil" w:sz="6" w:space="0" w:color="auto"/>
              <w:left w:val="single" w:sz="4" w:space="0" w:color="000000"/>
              <w:bottom w:val="single" w:sz="4" w:space="0" w:color="000000"/>
              <w:right w:val="single" w:sz="4" w:space="0" w:color="000000"/>
            </w:tcBorders>
            <w:shd w:val="clear" w:color="auto" w:fill="D2D2D2"/>
          </w:tcPr>
          <w:p>
            <w:pPr/>
          </w:p>
        </w:tc>
        <w:tc>
          <w:tcPr>
            <w:tcW w:w="1176" w:type="dxa"/>
            <w:vMerge/>
            <w:tcBorders>
              <w:left w:val="single" w:sz="8" w:space="0" w:color="D2D2D2"/>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195"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802"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398"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17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3,533,751.85</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0.17%</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3,740,513.77</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0.27%</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-0.10%</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176" w:type="dxa"/>
            <w:tcBorders>
              <w:top w:val="single" w:sz="4" w:space="0" w:color="000000"/>
              <w:left w:val="single" w:sz="12" w:space="0" w:color="D2D2D2"/>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0.00%</w:t>
            </w:r>
          </w:p>
        </w:tc>
        <w:tc>
          <w:tcPr>
            <w:tcW w:w="1195"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0.00%</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158" w:hRule="exact"/>
        </w:trPr>
        <w:tc>
          <w:tcPr>
            <w:tcW w:w="1346" w:type="dxa"/>
            <w:tcBorders>
              <w:top w:val="single" w:sz="4" w:space="0" w:color="000000"/>
              <w:left w:val="single" w:sz="4" w:space="0" w:color="000000"/>
              <w:bottom w:val="nil" w:sz="6" w:space="0" w:color="auto"/>
              <w:right w:val="single" w:sz="4" w:space="0" w:color="000000"/>
            </w:tcBorders>
            <w:shd w:val="clear" w:color="auto" w:fill="D2D2D2"/>
          </w:tcPr>
          <w:p>
            <w:pPr/>
          </w:p>
        </w:tc>
        <w:tc>
          <w:tcPr>
            <w:tcW w:w="1176" w:type="dxa"/>
            <w:vMerge w:val="restart"/>
            <w:tcBorders>
              <w:top w:val="single" w:sz="4" w:space="0" w:color="000000"/>
              <w:left w:val="single" w:sz="8" w:space="0" w:color="D2D2D2"/>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664,246,108.5</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65" w:right="0"/>
              <w:jc w:val="left"/>
              <w:rPr>
                <w:rFonts w:ascii="Times New Roman" w:hAnsi="Times New Roman" w:cs="Times New Roman" w:eastAsia="Times New Roman" w:hint="default"/>
                <w:sz w:val="18"/>
                <w:szCs w:val="18"/>
              </w:rPr>
            </w:pPr>
            <w:r>
              <w:rPr>
                <w:rFonts w:ascii="Times New Roman"/>
                <w:sz w:val="18"/>
              </w:rPr>
              <w:t>32.47%</w:t>
            </w:r>
          </w:p>
        </w:tc>
        <w:tc>
          <w:tcPr>
            <w:tcW w:w="1195"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505,208,182.02</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70" w:right="0"/>
              <w:jc w:val="left"/>
              <w:rPr>
                <w:rFonts w:ascii="Times New Roman" w:hAnsi="Times New Roman" w:cs="Times New Roman" w:eastAsia="Times New Roman" w:hint="default"/>
                <w:sz w:val="18"/>
                <w:szCs w:val="18"/>
              </w:rPr>
            </w:pPr>
            <w:r>
              <w:rPr>
                <w:rFonts w:ascii="Times New Roman"/>
                <w:sz w:val="18"/>
              </w:rPr>
              <w:t>36.99%</w:t>
            </w:r>
          </w:p>
        </w:tc>
        <w:tc>
          <w:tcPr>
            <w:tcW w:w="80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40" w:right="0"/>
              <w:jc w:val="left"/>
              <w:rPr>
                <w:rFonts w:ascii="Times New Roman" w:hAnsi="Times New Roman" w:cs="Times New Roman" w:eastAsia="Times New Roman" w:hint="default"/>
                <w:sz w:val="18"/>
                <w:szCs w:val="18"/>
              </w:rPr>
            </w:pPr>
            <w:r>
              <w:rPr>
                <w:rFonts w:ascii="Times New Roman"/>
                <w:sz w:val="18"/>
              </w:rPr>
              <w:t>-4.52%</w:t>
            </w:r>
          </w:p>
        </w:tc>
        <w:tc>
          <w:tcPr>
            <w:tcW w:w="2918" w:type="dxa"/>
            <w:vMerge w:val="restart"/>
            <w:tcBorders>
              <w:top w:val="single" w:sz="4" w:space="0" w:color="000000"/>
              <w:left w:val="single" w:sz="4" w:space="0" w:color="000000"/>
              <w:right w:val="single" w:sz="4" w:space="0" w:color="000000"/>
            </w:tcBorders>
          </w:tcPr>
          <w:p>
            <w:pPr/>
          </w:p>
        </w:tc>
      </w:tr>
      <w:tr>
        <w:trPr>
          <w:trHeight w:val="394" w:hRule="exact"/>
        </w:trPr>
        <w:tc>
          <w:tcPr>
            <w:tcW w:w="134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4"/>
              <w:ind w:left="1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176" w:type="dxa"/>
            <w:vMerge/>
            <w:tcBorders>
              <w:left w:val="single" w:sz="8" w:space="0" w:color="D2D2D2"/>
              <w:right w:val="single" w:sz="4" w:space="0" w:color="000000"/>
            </w:tcBorders>
          </w:tcPr>
          <w:p>
            <w:pPr/>
          </w:p>
        </w:tc>
        <w:tc>
          <w:tcPr>
            <w:tcW w:w="1061" w:type="dxa"/>
            <w:vMerge/>
            <w:tcBorders>
              <w:left w:val="single" w:sz="4" w:space="0" w:color="000000"/>
              <w:right w:val="single" w:sz="4" w:space="0" w:color="000000"/>
            </w:tcBorders>
          </w:tcPr>
          <w:p>
            <w:pPr/>
          </w:p>
        </w:tc>
        <w:tc>
          <w:tcPr>
            <w:tcW w:w="1195"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802"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163" w:hRule="exact"/>
        </w:trPr>
        <w:tc>
          <w:tcPr>
            <w:tcW w:w="1346" w:type="dxa"/>
            <w:tcBorders>
              <w:top w:val="nil" w:sz="6" w:space="0" w:color="auto"/>
              <w:left w:val="single" w:sz="4" w:space="0" w:color="000000"/>
              <w:bottom w:val="single" w:sz="4" w:space="0" w:color="000000"/>
              <w:right w:val="single" w:sz="4" w:space="0" w:color="000000"/>
            </w:tcBorders>
            <w:shd w:val="clear" w:color="auto" w:fill="D2D2D2"/>
          </w:tcPr>
          <w:p>
            <w:pPr/>
          </w:p>
        </w:tc>
        <w:tc>
          <w:tcPr>
            <w:tcW w:w="1176" w:type="dxa"/>
            <w:vMerge/>
            <w:tcBorders>
              <w:left w:val="single" w:sz="8" w:space="0" w:color="D2D2D2"/>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195"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802"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17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10,796,874.84</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0.53%</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48,714,593.45</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3.57%</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-3.04%</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159" w:hRule="exact"/>
        </w:trPr>
        <w:tc>
          <w:tcPr>
            <w:tcW w:w="1346" w:type="dxa"/>
            <w:tcBorders>
              <w:top w:val="single" w:sz="4" w:space="0" w:color="000000"/>
              <w:left w:val="single" w:sz="4" w:space="0" w:color="000000"/>
              <w:bottom w:val="nil" w:sz="6" w:space="0" w:color="auto"/>
              <w:right w:val="single" w:sz="4" w:space="0" w:color="000000"/>
            </w:tcBorders>
            <w:shd w:val="clear" w:color="auto" w:fill="D2D2D2"/>
          </w:tcPr>
          <w:p>
            <w:pPr/>
          </w:p>
        </w:tc>
        <w:tc>
          <w:tcPr>
            <w:tcW w:w="1176" w:type="dxa"/>
            <w:vMerge w:val="restart"/>
            <w:tcBorders>
              <w:top w:val="single" w:sz="4" w:space="0" w:color="000000"/>
              <w:left w:val="single" w:sz="8" w:space="0" w:color="D2D2D2"/>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330,000,000.0</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65" w:right="0"/>
              <w:jc w:val="left"/>
              <w:rPr>
                <w:rFonts w:ascii="Times New Roman" w:hAnsi="Times New Roman" w:cs="Times New Roman" w:eastAsia="Times New Roman" w:hint="default"/>
                <w:sz w:val="18"/>
                <w:szCs w:val="18"/>
              </w:rPr>
            </w:pPr>
            <w:r>
              <w:rPr>
                <w:rFonts w:ascii="Times New Roman"/>
                <w:sz w:val="18"/>
              </w:rPr>
              <w:t>16.13%</w:t>
            </w:r>
          </w:p>
        </w:tc>
        <w:tc>
          <w:tcPr>
            <w:tcW w:w="1195"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167,500,000.00</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70" w:right="0"/>
              <w:jc w:val="left"/>
              <w:rPr>
                <w:rFonts w:ascii="Times New Roman" w:hAnsi="Times New Roman" w:cs="Times New Roman" w:eastAsia="Times New Roman" w:hint="default"/>
                <w:sz w:val="18"/>
                <w:szCs w:val="18"/>
              </w:rPr>
            </w:pPr>
            <w:r>
              <w:rPr>
                <w:rFonts w:ascii="Times New Roman"/>
                <w:sz w:val="18"/>
              </w:rPr>
              <w:t>12.26%</w:t>
            </w:r>
          </w:p>
        </w:tc>
        <w:tc>
          <w:tcPr>
            <w:tcW w:w="80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97" w:right="0"/>
              <w:jc w:val="left"/>
              <w:rPr>
                <w:rFonts w:ascii="Times New Roman" w:hAnsi="Times New Roman" w:cs="Times New Roman" w:eastAsia="Times New Roman" w:hint="default"/>
                <w:sz w:val="18"/>
                <w:szCs w:val="18"/>
              </w:rPr>
            </w:pPr>
            <w:r>
              <w:rPr>
                <w:rFonts w:ascii="Times New Roman"/>
                <w:sz w:val="18"/>
              </w:rPr>
              <w:t>3.87%</w:t>
            </w:r>
          </w:p>
        </w:tc>
        <w:tc>
          <w:tcPr>
            <w:tcW w:w="2918" w:type="dxa"/>
            <w:vMerge w:val="restart"/>
            <w:tcBorders>
              <w:top w:val="single" w:sz="4" w:space="0" w:color="000000"/>
              <w:left w:val="single" w:sz="4" w:space="0" w:color="000000"/>
              <w:right w:val="single" w:sz="4" w:space="0" w:color="000000"/>
            </w:tcBorders>
          </w:tcPr>
          <w:p>
            <w:pPr/>
          </w:p>
        </w:tc>
      </w:tr>
      <w:tr>
        <w:trPr>
          <w:trHeight w:val="388" w:hRule="exact"/>
        </w:trPr>
        <w:tc>
          <w:tcPr>
            <w:tcW w:w="134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176" w:type="dxa"/>
            <w:vMerge/>
            <w:tcBorders>
              <w:left w:val="single" w:sz="8" w:space="0" w:color="D2D2D2"/>
              <w:right w:val="single" w:sz="4" w:space="0" w:color="000000"/>
            </w:tcBorders>
          </w:tcPr>
          <w:p>
            <w:pPr/>
          </w:p>
        </w:tc>
        <w:tc>
          <w:tcPr>
            <w:tcW w:w="1061" w:type="dxa"/>
            <w:vMerge/>
            <w:tcBorders>
              <w:left w:val="single" w:sz="4" w:space="0" w:color="000000"/>
              <w:right w:val="single" w:sz="4" w:space="0" w:color="000000"/>
            </w:tcBorders>
          </w:tcPr>
          <w:p>
            <w:pPr/>
          </w:p>
        </w:tc>
        <w:tc>
          <w:tcPr>
            <w:tcW w:w="1195"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802"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163" w:hRule="exact"/>
        </w:trPr>
        <w:tc>
          <w:tcPr>
            <w:tcW w:w="1346" w:type="dxa"/>
            <w:tcBorders>
              <w:top w:val="nil" w:sz="6" w:space="0" w:color="auto"/>
              <w:left w:val="single" w:sz="4" w:space="0" w:color="000000"/>
              <w:bottom w:val="single" w:sz="4" w:space="0" w:color="000000"/>
              <w:right w:val="single" w:sz="4" w:space="0" w:color="000000"/>
            </w:tcBorders>
            <w:shd w:val="clear" w:color="auto" w:fill="D2D2D2"/>
          </w:tcPr>
          <w:p>
            <w:pPr/>
          </w:p>
        </w:tc>
        <w:tc>
          <w:tcPr>
            <w:tcW w:w="1176" w:type="dxa"/>
            <w:vMerge/>
            <w:tcBorders>
              <w:left w:val="single" w:sz="8" w:space="0" w:color="D2D2D2"/>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195"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802"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159" w:hRule="exact"/>
        </w:trPr>
        <w:tc>
          <w:tcPr>
            <w:tcW w:w="1346" w:type="dxa"/>
            <w:tcBorders>
              <w:top w:val="single" w:sz="4" w:space="0" w:color="000000"/>
              <w:left w:val="single" w:sz="4" w:space="0" w:color="000000"/>
              <w:bottom w:val="nil" w:sz="6" w:space="0" w:color="auto"/>
              <w:right w:val="single" w:sz="4" w:space="0" w:color="000000"/>
            </w:tcBorders>
            <w:shd w:val="clear" w:color="auto" w:fill="D2D2D2"/>
          </w:tcPr>
          <w:p>
            <w:pPr/>
          </w:p>
        </w:tc>
        <w:tc>
          <w:tcPr>
            <w:tcW w:w="1176" w:type="dxa"/>
            <w:vMerge w:val="restart"/>
            <w:tcBorders>
              <w:top w:val="single" w:sz="4" w:space="0" w:color="000000"/>
              <w:left w:val="single" w:sz="8" w:space="0" w:color="D2D2D2"/>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5" w:right="0"/>
              <w:jc w:val="left"/>
              <w:rPr>
                <w:rFonts w:ascii="Times New Roman" w:hAnsi="Times New Roman" w:cs="Times New Roman" w:eastAsia="Times New Roman" w:hint="default"/>
                <w:sz w:val="18"/>
                <w:szCs w:val="18"/>
              </w:rPr>
            </w:pPr>
            <w:r>
              <w:rPr>
                <w:rFonts w:ascii="Times New Roman"/>
                <w:sz w:val="18"/>
              </w:rPr>
              <w:t>70,952,916.83</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56" w:right="0"/>
              <w:jc w:val="left"/>
              <w:rPr>
                <w:rFonts w:ascii="Times New Roman" w:hAnsi="Times New Roman" w:cs="Times New Roman" w:eastAsia="Times New Roman" w:hint="default"/>
                <w:sz w:val="18"/>
                <w:szCs w:val="18"/>
              </w:rPr>
            </w:pPr>
            <w:r>
              <w:rPr>
                <w:rFonts w:ascii="Times New Roman"/>
                <w:sz w:val="18"/>
              </w:rPr>
              <w:t>3.47%</w:t>
            </w:r>
          </w:p>
        </w:tc>
        <w:tc>
          <w:tcPr>
            <w:tcW w:w="1195" w:type="dxa"/>
            <w:vMerge w:val="restart"/>
            <w:tcBorders>
              <w:top w:val="single" w:sz="4" w:space="0" w:color="000000"/>
              <w:left w:val="single" w:sz="4" w:space="0" w:color="000000"/>
              <w:right w:val="single" w:sz="4" w:space="0" w:color="000000"/>
            </w:tcBorders>
          </w:tcPr>
          <w:p>
            <w:pPr/>
          </w:p>
        </w:tc>
        <w:tc>
          <w:tcPr>
            <w:tcW w:w="1061" w:type="dxa"/>
            <w:vMerge w:val="restart"/>
            <w:tcBorders>
              <w:top w:val="single" w:sz="4" w:space="0" w:color="000000"/>
              <w:left w:val="single" w:sz="4" w:space="0" w:color="000000"/>
              <w:right w:val="single" w:sz="4" w:space="0" w:color="000000"/>
            </w:tcBorders>
          </w:tcPr>
          <w:p>
            <w:pPr/>
          </w:p>
        </w:tc>
        <w:tc>
          <w:tcPr>
            <w:tcW w:w="80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97" w:right="0"/>
              <w:jc w:val="left"/>
              <w:rPr>
                <w:rFonts w:ascii="Times New Roman" w:hAnsi="Times New Roman" w:cs="Times New Roman" w:eastAsia="Times New Roman" w:hint="default"/>
                <w:sz w:val="18"/>
                <w:szCs w:val="18"/>
              </w:rPr>
            </w:pPr>
            <w:r>
              <w:rPr>
                <w:rFonts w:ascii="Times New Roman"/>
                <w:sz w:val="18"/>
              </w:rPr>
              <w:t>3.47%</w:t>
            </w:r>
          </w:p>
        </w:tc>
        <w:tc>
          <w:tcPr>
            <w:tcW w:w="2918" w:type="dxa"/>
            <w:vMerge w:val="restart"/>
            <w:tcBorders>
              <w:top w:val="single" w:sz="4" w:space="0" w:color="000000"/>
              <w:left w:val="single" w:sz="4" w:space="0" w:color="000000"/>
              <w:right w:val="single" w:sz="4" w:space="0" w:color="000000"/>
            </w:tcBorders>
          </w:tcPr>
          <w:p>
            <w:pPr>
              <w:pStyle w:val="TableParagraph"/>
              <w:spacing w:line="321" w:lineRule="auto" w:before="53"/>
              <w:ind w:left="19" w:right="185"/>
              <w:jc w:val="left"/>
              <w:rPr>
                <w:rFonts w:ascii="宋体" w:hAnsi="宋体" w:cs="宋体" w:eastAsia="宋体" w:hint="default"/>
                <w:sz w:val="18"/>
                <w:szCs w:val="18"/>
              </w:rPr>
            </w:pPr>
            <w:r>
              <w:rPr>
                <w:rFonts w:ascii="宋体" w:hAnsi="宋体" w:cs="宋体" w:eastAsia="宋体" w:hint="default"/>
                <w:spacing w:val="-3"/>
                <w:sz w:val="18"/>
                <w:szCs w:val="18"/>
              </w:rPr>
              <w:t>主要系收购合并控股孙公司中科彩</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pacing w:val="-3"/>
                <w:sz w:val="18"/>
                <w:szCs w:val="18"/>
              </w:rPr>
              <w:t>的长期抵押借款所致</w:t>
            </w:r>
          </w:p>
        </w:tc>
      </w:tr>
      <w:tr>
        <w:trPr>
          <w:trHeight w:val="394" w:hRule="exact"/>
        </w:trPr>
        <w:tc>
          <w:tcPr>
            <w:tcW w:w="134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176" w:type="dxa"/>
            <w:vMerge/>
            <w:tcBorders>
              <w:left w:val="single" w:sz="8" w:space="0" w:color="D2D2D2"/>
              <w:right w:val="single" w:sz="4" w:space="0" w:color="000000"/>
            </w:tcBorders>
          </w:tcPr>
          <w:p>
            <w:pPr/>
          </w:p>
        </w:tc>
        <w:tc>
          <w:tcPr>
            <w:tcW w:w="1061" w:type="dxa"/>
            <w:vMerge/>
            <w:tcBorders>
              <w:left w:val="single" w:sz="4" w:space="0" w:color="000000"/>
              <w:right w:val="single" w:sz="4" w:space="0" w:color="000000"/>
            </w:tcBorders>
          </w:tcPr>
          <w:p>
            <w:pPr/>
          </w:p>
        </w:tc>
        <w:tc>
          <w:tcPr>
            <w:tcW w:w="1195"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802"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163" w:hRule="exact"/>
        </w:trPr>
        <w:tc>
          <w:tcPr>
            <w:tcW w:w="1346" w:type="dxa"/>
            <w:tcBorders>
              <w:top w:val="nil" w:sz="6" w:space="0" w:color="auto"/>
              <w:left w:val="single" w:sz="4" w:space="0" w:color="000000"/>
              <w:bottom w:val="single" w:sz="4" w:space="0" w:color="000000"/>
              <w:right w:val="single" w:sz="4" w:space="0" w:color="000000"/>
            </w:tcBorders>
            <w:shd w:val="clear" w:color="auto" w:fill="D2D2D2"/>
          </w:tcPr>
          <w:p>
            <w:pPr/>
          </w:p>
        </w:tc>
        <w:tc>
          <w:tcPr>
            <w:tcW w:w="1176" w:type="dxa"/>
            <w:vMerge/>
            <w:tcBorders>
              <w:left w:val="single" w:sz="8" w:space="0" w:color="D2D2D2"/>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195"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802"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bl>
    <w:p>
      <w:pPr>
        <w:spacing w:after="0"/>
        <w:sectPr>
          <w:pgSz w:w="11900" w:h="16840"/>
          <w:pgMar w:header="742" w:footer="984" w:top="1060" w:bottom="1180" w:left="980" w:right="980"/>
        </w:sectPr>
      </w:pPr>
    </w:p>
    <w:p>
      <w:pPr>
        <w:spacing w:line="240" w:lineRule="auto" w:before="4"/>
        <w:rPr>
          <w:rFonts w:ascii="宋体" w:hAnsi="宋体" w:cs="宋体" w:eastAsia="宋体" w:hint="default"/>
          <w:sz w:val="25"/>
          <w:szCs w:val="25"/>
        </w:rPr>
      </w:pPr>
    </w:p>
    <w:p>
      <w:pPr>
        <w:pStyle w:val="Heading4"/>
        <w:spacing w:line="335" w:lineRule="exact"/>
        <w:ind w:right="0"/>
        <w:jc w:val="left"/>
        <w:rPr>
          <w:b w:val="0"/>
          <w:bCs w:val="0"/>
        </w:rPr>
      </w:pPr>
      <w:r>
        <w:rPr>
          <w:rFonts w:ascii="Times New Roman" w:hAnsi="Times New Roman" w:cs="Times New Roman" w:eastAsia="Times New Roman" w:hint="default"/>
        </w:rPr>
        <w:t>2</w:t>
      </w:r>
      <w:r>
        <w:rPr/>
        <w:t>、以公允价值计量的资产和负债</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17"/>
          <w:szCs w:val="17"/>
        </w:rPr>
      </w:pPr>
    </w:p>
    <w:p>
      <w:pPr>
        <w:pStyle w:val="Heading2"/>
        <w:spacing w:line="240" w:lineRule="auto"/>
        <w:ind w:right="0"/>
        <w:jc w:val="left"/>
        <w:rPr>
          <w:b w:val="0"/>
          <w:bCs w:val="0"/>
        </w:rPr>
      </w:pPr>
      <w:r>
        <w:rPr/>
        <w:t>五、投资状况分析</w:t>
      </w:r>
      <w:r>
        <w:rPr>
          <w:b w:val="0"/>
          <w:bCs w:val="0"/>
        </w:rPr>
      </w:r>
    </w:p>
    <w:p>
      <w:pPr>
        <w:spacing w:line="240" w:lineRule="auto" w:before="10"/>
        <w:rPr>
          <w:rFonts w:ascii="Microsoft JhengHei" w:hAnsi="Microsoft JhengHei" w:cs="Microsoft JhengHei" w:eastAsia="Microsoft JhengHei" w:hint="default"/>
          <w:b/>
          <w:bCs/>
          <w:sz w:val="13"/>
          <w:szCs w:val="13"/>
        </w:rPr>
      </w:pPr>
    </w:p>
    <w:p>
      <w:pPr>
        <w:pStyle w:val="Heading4"/>
        <w:spacing w:line="240" w:lineRule="auto"/>
        <w:ind w:right="0"/>
        <w:jc w:val="left"/>
        <w:rPr>
          <w:b w:val="0"/>
          <w:bCs w:val="0"/>
        </w:rPr>
      </w:pPr>
      <w:r>
        <w:rPr>
          <w:rFonts w:ascii="Times New Roman" w:hAnsi="Times New Roman" w:cs="Times New Roman" w:eastAsia="Times New Roman" w:hint="default"/>
        </w:rPr>
        <w:t>1</w:t>
      </w:r>
      <w:r>
        <w:rPr/>
        <w:t>、总体情况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不适用</w:t>
      </w:r>
    </w:p>
    <w:p>
      <w:pPr>
        <w:spacing w:line="240" w:lineRule="auto" w:before="7"/>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77" w:right="0"/>
              <w:jc w:val="left"/>
              <w:rPr>
                <w:rFonts w:ascii="宋体" w:hAnsi="宋体" w:cs="宋体" w:eastAsia="宋体" w:hint="default"/>
                <w:sz w:val="18"/>
                <w:szCs w:val="18"/>
              </w:rPr>
            </w:pPr>
            <w:r>
              <w:rPr>
                <w:rFonts w:ascii="宋体" w:hAnsi="宋体" w:cs="宋体" w:eastAsia="宋体" w:hint="default"/>
                <w:spacing w:val="-3"/>
                <w:sz w:val="18"/>
                <w:szCs w:val="18"/>
              </w:rPr>
              <w:t>报告期投资额（元）</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86"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030" w:right="0"/>
              <w:jc w:val="left"/>
              <w:rPr>
                <w:rFonts w:ascii="Times New Roman" w:hAnsi="Times New Roman" w:cs="Times New Roman" w:eastAsia="Times New Roman" w:hint="default"/>
                <w:sz w:val="18"/>
                <w:szCs w:val="18"/>
              </w:rPr>
            </w:pPr>
            <w:r>
              <w:rPr>
                <w:rFonts w:ascii="Times New Roman"/>
                <w:sz w:val="18"/>
              </w:rPr>
              <w:t>225,850,524.12</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0.00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100.00%</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rFonts w:ascii="Times New Roman" w:hAnsi="Times New Roman" w:cs="Times New Roman" w:eastAsia="Times New Roman" w:hint="default"/>
        </w:rPr>
        <w:t>2</w:t>
      </w:r>
      <w:r>
        <w:rPr/>
        <w:t>、报告期内获取的重大的股权投资情况</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不适用</w:t>
      </w:r>
    </w:p>
    <w:p>
      <w:pPr>
        <w:spacing w:before="101"/>
        <w:ind w:left="0" w:right="146" w:firstLine="0"/>
        <w:jc w:val="right"/>
        <w:rPr>
          <w:rFonts w:ascii="宋体" w:hAnsi="宋体" w:cs="宋体" w:eastAsia="宋体" w:hint="default"/>
          <w:sz w:val="18"/>
          <w:szCs w:val="18"/>
        </w:rPr>
      </w:pPr>
      <w:r>
        <w:rPr>
          <w:rFonts w:ascii="宋体" w:hAnsi="宋体" w:cs="宋体" w:eastAsia="宋体" w:hint="default"/>
          <w:spacing w:val="-2"/>
          <w:sz w:val="18"/>
          <w:szCs w:val="18"/>
        </w:rPr>
        <w:t>单位：元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653"/>
        <w:gridCol w:w="653"/>
        <w:gridCol w:w="624"/>
        <w:gridCol w:w="619"/>
        <w:gridCol w:w="624"/>
        <w:gridCol w:w="619"/>
        <w:gridCol w:w="619"/>
        <w:gridCol w:w="619"/>
        <w:gridCol w:w="614"/>
        <w:gridCol w:w="595"/>
        <w:gridCol w:w="590"/>
        <w:gridCol w:w="691"/>
        <w:gridCol w:w="691"/>
        <w:gridCol w:w="691"/>
        <w:gridCol w:w="667"/>
      </w:tblGrid>
      <w:tr>
        <w:trPr>
          <w:trHeight w:val="357" w:hRule="exact"/>
        </w:trPr>
        <w:tc>
          <w:tcPr>
            <w:tcW w:w="653" w:type="dxa"/>
            <w:tcBorders>
              <w:top w:val="single" w:sz="4" w:space="0" w:color="000000"/>
              <w:left w:val="single" w:sz="4" w:space="0" w:color="000000"/>
              <w:bottom w:val="nil" w:sz="6" w:space="0" w:color="auto"/>
              <w:right w:val="single" w:sz="4" w:space="0" w:color="000000"/>
            </w:tcBorders>
            <w:shd w:val="clear" w:color="auto" w:fill="D2D2D2"/>
          </w:tcPr>
          <w:p>
            <w:pPr/>
          </w:p>
        </w:tc>
        <w:tc>
          <w:tcPr>
            <w:tcW w:w="653" w:type="dxa"/>
            <w:tcBorders>
              <w:top w:val="single" w:sz="4" w:space="0" w:color="000000"/>
              <w:left w:val="single" w:sz="4" w:space="0" w:color="000000"/>
              <w:bottom w:val="nil" w:sz="6" w:space="0" w:color="auto"/>
              <w:right w:val="single" w:sz="4" w:space="0" w:color="000000"/>
            </w:tcBorders>
            <w:shd w:val="clear" w:color="auto" w:fill="D2D2D2"/>
          </w:tcPr>
          <w:p>
            <w:pPr/>
          </w:p>
        </w:tc>
        <w:tc>
          <w:tcPr>
            <w:tcW w:w="624" w:type="dxa"/>
            <w:tcBorders>
              <w:top w:val="single" w:sz="4" w:space="0" w:color="000000"/>
              <w:left w:val="single" w:sz="4" w:space="0" w:color="000000"/>
              <w:bottom w:val="nil" w:sz="6" w:space="0" w:color="auto"/>
              <w:right w:val="single" w:sz="4" w:space="0" w:color="000000"/>
            </w:tcBorders>
            <w:shd w:val="clear" w:color="auto" w:fill="D2D2D2"/>
          </w:tcPr>
          <w:p>
            <w:pPr/>
          </w:p>
        </w:tc>
        <w:tc>
          <w:tcPr>
            <w:tcW w:w="619" w:type="dxa"/>
            <w:tcBorders>
              <w:top w:val="single" w:sz="4" w:space="0" w:color="000000"/>
              <w:left w:val="single" w:sz="4" w:space="0" w:color="000000"/>
              <w:bottom w:val="nil" w:sz="6" w:space="0" w:color="auto"/>
              <w:right w:val="single" w:sz="4" w:space="0" w:color="000000"/>
            </w:tcBorders>
            <w:shd w:val="clear" w:color="auto" w:fill="D2D2D2"/>
          </w:tcPr>
          <w:p>
            <w:pPr/>
          </w:p>
        </w:tc>
        <w:tc>
          <w:tcPr>
            <w:tcW w:w="624" w:type="dxa"/>
            <w:tcBorders>
              <w:top w:val="single" w:sz="4" w:space="0" w:color="000000"/>
              <w:left w:val="single" w:sz="4" w:space="0" w:color="000000"/>
              <w:bottom w:val="nil" w:sz="6" w:space="0" w:color="auto"/>
              <w:right w:val="single" w:sz="4" w:space="0" w:color="000000"/>
            </w:tcBorders>
            <w:shd w:val="clear" w:color="auto" w:fill="D2D2D2"/>
          </w:tcPr>
          <w:p>
            <w:pPr/>
          </w:p>
        </w:tc>
        <w:tc>
          <w:tcPr>
            <w:tcW w:w="619" w:type="dxa"/>
            <w:tcBorders>
              <w:top w:val="single" w:sz="4" w:space="0" w:color="000000"/>
              <w:left w:val="single" w:sz="4" w:space="0" w:color="000000"/>
              <w:bottom w:val="nil" w:sz="6" w:space="0" w:color="auto"/>
              <w:right w:val="single" w:sz="4" w:space="0" w:color="000000"/>
            </w:tcBorders>
            <w:shd w:val="clear" w:color="auto" w:fill="D2D2D2"/>
          </w:tcPr>
          <w:p>
            <w:pPr/>
          </w:p>
        </w:tc>
        <w:tc>
          <w:tcPr>
            <w:tcW w:w="619" w:type="dxa"/>
            <w:tcBorders>
              <w:top w:val="single" w:sz="4" w:space="0" w:color="000000"/>
              <w:left w:val="single" w:sz="4" w:space="0" w:color="000000"/>
              <w:bottom w:val="nil" w:sz="6" w:space="0" w:color="auto"/>
              <w:right w:val="single" w:sz="4" w:space="0" w:color="000000"/>
            </w:tcBorders>
            <w:shd w:val="clear" w:color="auto" w:fill="D2D2D2"/>
          </w:tcPr>
          <w:p>
            <w:pPr/>
          </w:p>
        </w:tc>
        <w:tc>
          <w:tcPr>
            <w:tcW w:w="619" w:type="dxa"/>
            <w:tcBorders>
              <w:top w:val="single" w:sz="4" w:space="0" w:color="000000"/>
              <w:left w:val="single" w:sz="4" w:space="0" w:color="000000"/>
              <w:bottom w:val="nil" w:sz="6" w:space="0" w:color="auto"/>
              <w:right w:val="single" w:sz="4" w:space="0" w:color="000000"/>
            </w:tcBorders>
            <w:shd w:val="clear" w:color="auto" w:fill="D2D2D2"/>
          </w:tcPr>
          <w:p>
            <w:pPr/>
          </w:p>
        </w:tc>
        <w:tc>
          <w:tcPr>
            <w:tcW w:w="614" w:type="dxa"/>
            <w:tcBorders>
              <w:top w:val="single" w:sz="4" w:space="0" w:color="000000"/>
              <w:left w:val="single" w:sz="4" w:space="0" w:color="000000"/>
              <w:bottom w:val="nil" w:sz="6" w:space="0" w:color="auto"/>
              <w:right w:val="single" w:sz="4" w:space="0" w:color="000000"/>
            </w:tcBorders>
            <w:shd w:val="clear" w:color="auto" w:fill="D2D2D2"/>
          </w:tcPr>
          <w:p>
            <w:pPr/>
          </w:p>
        </w:tc>
        <w:tc>
          <w:tcPr>
            <w:tcW w:w="595"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截至</w:t>
            </w:r>
          </w:p>
        </w:tc>
        <w:tc>
          <w:tcPr>
            <w:tcW w:w="590"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tcBorders>
              <w:top w:val="single" w:sz="4" w:space="0" w:color="000000"/>
              <w:left w:val="single" w:sz="4" w:space="0" w:color="000000"/>
              <w:bottom w:val="nil" w:sz="6" w:space="0" w:color="auto"/>
              <w:right w:val="single" w:sz="4" w:space="0" w:color="000000"/>
            </w:tcBorders>
            <w:shd w:val="clear" w:color="auto" w:fill="D2D2D2"/>
          </w:tcPr>
          <w:p>
            <w:pPr/>
          </w:p>
        </w:tc>
        <w:tc>
          <w:tcPr>
            <w:tcW w:w="66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10" w:hRule="exact"/>
        </w:trPr>
        <w:tc>
          <w:tcPr>
            <w:tcW w:w="653" w:type="dxa"/>
            <w:tcBorders>
              <w:top w:val="nil" w:sz="6" w:space="0" w:color="auto"/>
              <w:left w:val="single" w:sz="4" w:space="0" w:color="000000"/>
              <w:bottom w:val="nil" w:sz="6" w:space="0" w:color="auto"/>
              <w:right w:val="single" w:sz="4" w:space="0" w:color="000000"/>
            </w:tcBorders>
            <w:shd w:val="clear" w:color="auto" w:fill="D2D2D2"/>
          </w:tcPr>
          <w:p>
            <w:pPr/>
          </w:p>
        </w:tc>
        <w:tc>
          <w:tcPr>
            <w:tcW w:w="653" w:type="dxa"/>
            <w:tcBorders>
              <w:top w:val="nil" w:sz="6" w:space="0" w:color="auto"/>
              <w:left w:val="single" w:sz="4" w:space="0" w:color="000000"/>
              <w:bottom w:val="nil" w:sz="6" w:space="0" w:color="auto"/>
              <w:right w:val="single" w:sz="4" w:space="0" w:color="000000"/>
            </w:tcBorders>
            <w:shd w:val="clear" w:color="auto" w:fill="D2D2D2"/>
          </w:tcPr>
          <w:p>
            <w:pPr/>
          </w:p>
        </w:tc>
        <w:tc>
          <w:tcPr>
            <w:tcW w:w="624" w:type="dxa"/>
            <w:tcBorders>
              <w:top w:val="nil" w:sz="6" w:space="0" w:color="auto"/>
              <w:left w:val="single" w:sz="4" w:space="0" w:color="000000"/>
              <w:bottom w:val="nil" w:sz="6" w:space="0" w:color="auto"/>
              <w:right w:val="single" w:sz="4" w:space="0" w:color="000000"/>
            </w:tcBorders>
            <w:shd w:val="clear" w:color="auto" w:fill="D2D2D2"/>
          </w:tcPr>
          <w:p>
            <w:pPr/>
          </w:p>
        </w:tc>
        <w:tc>
          <w:tcPr>
            <w:tcW w:w="619" w:type="dxa"/>
            <w:tcBorders>
              <w:top w:val="nil" w:sz="6" w:space="0" w:color="auto"/>
              <w:left w:val="single" w:sz="4" w:space="0" w:color="000000"/>
              <w:bottom w:val="nil" w:sz="6" w:space="0" w:color="auto"/>
              <w:right w:val="single" w:sz="4" w:space="0" w:color="000000"/>
            </w:tcBorders>
            <w:shd w:val="clear" w:color="auto" w:fill="D2D2D2"/>
          </w:tcPr>
          <w:p>
            <w:pPr/>
          </w:p>
        </w:tc>
        <w:tc>
          <w:tcPr>
            <w:tcW w:w="624" w:type="dxa"/>
            <w:tcBorders>
              <w:top w:val="nil" w:sz="6" w:space="0" w:color="auto"/>
              <w:left w:val="single" w:sz="4" w:space="0" w:color="000000"/>
              <w:bottom w:val="nil" w:sz="6" w:space="0" w:color="auto"/>
              <w:right w:val="single" w:sz="4" w:space="0" w:color="000000"/>
            </w:tcBorders>
            <w:shd w:val="clear" w:color="auto" w:fill="D2D2D2"/>
          </w:tcPr>
          <w:p>
            <w:pPr/>
          </w:p>
        </w:tc>
        <w:tc>
          <w:tcPr>
            <w:tcW w:w="619" w:type="dxa"/>
            <w:tcBorders>
              <w:top w:val="nil" w:sz="6" w:space="0" w:color="auto"/>
              <w:left w:val="single" w:sz="4" w:space="0" w:color="000000"/>
              <w:bottom w:val="nil" w:sz="6" w:space="0" w:color="auto"/>
              <w:right w:val="single" w:sz="4" w:space="0" w:color="000000"/>
            </w:tcBorders>
            <w:shd w:val="clear" w:color="auto" w:fill="D2D2D2"/>
          </w:tcPr>
          <w:p>
            <w:pPr/>
          </w:p>
        </w:tc>
        <w:tc>
          <w:tcPr>
            <w:tcW w:w="619" w:type="dxa"/>
            <w:tcBorders>
              <w:top w:val="nil" w:sz="6" w:space="0" w:color="auto"/>
              <w:left w:val="single" w:sz="4" w:space="0" w:color="000000"/>
              <w:bottom w:val="nil" w:sz="6" w:space="0" w:color="auto"/>
              <w:right w:val="single" w:sz="4" w:space="0" w:color="000000"/>
            </w:tcBorders>
            <w:shd w:val="clear" w:color="auto" w:fill="D2D2D2"/>
          </w:tcPr>
          <w:p>
            <w:pPr/>
          </w:p>
        </w:tc>
        <w:tc>
          <w:tcPr>
            <w:tcW w:w="619" w:type="dxa"/>
            <w:tcBorders>
              <w:top w:val="nil" w:sz="6" w:space="0" w:color="auto"/>
              <w:left w:val="single" w:sz="4" w:space="0" w:color="000000"/>
              <w:bottom w:val="nil" w:sz="6" w:space="0" w:color="auto"/>
              <w:right w:val="single" w:sz="4" w:space="0" w:color="000000"/>
            </w:tcBorders>
            <w:shd w:val="clear" w:color="auto" w:fill="D2D2D2"/>
          </w:tcPr>
          <w:p>
            <w:pPr/>
          </w:p>
        </w:tc>
        <w:tc>
          <w:tcPr>
            <w:tcW w:w="614" w:type="dxa"/>
            <w:tcBorders>
              <w:top w:val="nil" w:sz="6" w:space="0" w:color="auto"/>
              <w:left w:val="single" w:sz="4" w:space="0" w:color="000000"/>
              <w:bottom w:val="nil" w:sz="6" w:space="0" w:color="auto"/>
              <w:right w:val="single" w:sz="4" w:space="0" w:color="000000"/>
            </w:tcBorders>
            <w:shd w:val="clear" w:color="auto" w:fill="D2D2D2"/>
          </w:tcPr>
          <w:p>
            <w:pPr/>
          </w:p>
        </w:tc>
        <w:tc>
          <w:tcPr>
            <w:tcW w:w="59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资产</w:t>
            </w:r>
          </w:p>
        </w:tc>
        <w:tc>
          <w:tcPr>
            <w:tcW w:w="590" w:type="dxa"/>
            <w:tcBorders>
              <w:top w:val="nil" w:sz="6" w:space="0" w:color="auto"/>
              <w:left w:val="single" w:sz="4" w:space="0" w:color="000000"/>
              <w:bottom w:val="nil" w:sz="6" w:space="0" w:color="auto"/>
              <w:right w:val="single" w:sz="4" w:space="0" w:color="000000"/>
            </w:tcBorders>
            <w:shd w:val="clear" w:color="auto" w:fill="D2D2D2"/>
          </w:tcPr>
          <w:p>
            <w:pPr/>
          </w:p>
        </w:tc>
        <w:tc>
          <w:tcPr>
            <w:tcW w:w="691" w:type="dxa"/>
            <w:tcBorders>
              <w:top w:val="nil" w:sz="6" w:space="0" w:color="auto"/>
              <w:left w:val="single" w:sz="4" w:space="0" w:color="000000"/>
              <w:bottom w:val="nil" w:sz="6" w:space="0" w:color="auto"/>
              <w:right w:val="single" w:sz="4" w:space="0" w:color="000000"/>
            </w:tcBorders>
            <w:shd w:val="clear" w:color="auto" w:fill="D2D2D2"/>
          </w:tcPr>
          <w:p>
            <w:pPr/>
          </w:p>
        </w:tc>
        <w:tc>
          <w:tcPr>
            <w:tcW w:w="691" w:type="dxa"/>
            <w:tcBorders>
              <w:top w:val="nil" w:sz="6" w:space="0" w:color="auto"/>
              <w:left w:val="single" w:sz="4" w:space="0" w:color="000000"/>
              <w:bottom w:val="nil" w:sz="6" w:space="0" w:color="auto"/>
              <w:right w:val="single" w:sz="4" w:space="0" w:color="000000"/>
            </w:tcBorders>
            <w:shd w:val="clear" w:color="auto" w:fill="D2D2D2"/>
          </w:tcPr>
          <w:p>
            <w:pPr/>
          </w:p>
        </w:tc>
        <w:tc>
          <w:tcPr>
            <w:tcW w:w="691" w:type="dxa"/>
            <w:tcBorders>
              <w:top w:val="nil" w:sz="6" w:space="0" w:color="auto"/>
              <w:left w:val="single" w:sz="4" w:space="0" w:color="000000"/>
              <w:bottom w:val="nil" w:sz="6" w:space="0" w:color="auto"/>
              <w:right w:val="single" w:sz="4" w:space="0" w:color="000000"/>
            </w:tcBorders>
            <w:shd w:val="clear" w:color="auto" w:fill="D2D2D2"/>
          </w:tcPr>
          <w:p>
            <w:pPr/>
          </w:p>
        </w:tc>
        <w:tc>
          <w:tcPr>
            <w:tcW w:w="667" w:type="dxa"/>
            <w:tcBorders>
              <w:top w:val="nil" w:sz="6" w:space="0" w:color="auto"/>
              <w:left w:val="single" w:sz="4" w:space="0" w:color="000000"/>
              <w:bottom w:val="nil" w:sz="6" w:space="0" w:color="auto"/>
              <w:right w:val="single" w:sz="4" w:space="0" w:color="000000"/>
            </w:tcBorders>
            <w:shd w:val="clear" w:color="auto" w:fill="D2D2D2"/>
          </w:tcPr>
          <w:p>
            <w:pPr/>
          </w:p>
        </w:tc>
      </w:tr>
      <w:tr>
        <w:trPr>
          <w:trHeight w:val="938" w:hRule="exact"/>
        </w:trPr>
        <w:tc>
          <w:tcPr>
            <w:tcW w:w="6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6"/>
              <w:ind w:left="52" w:right="46"/>
              <w:jc w:val="center"/>
              <w:rPr>
                <w:rFonts w:ascii="宋体" w:hAnsi="宋体" w:cs="宋体" w:eastAsia="宋体" w:hint="default"/>
                <w:sz w:val="18"/>
                <w:szCs w:val="18"/>
              </w:rPr>
            </w:pPr>
            <w:r>
              <w:rPr>
                <w:rFonts w:ascii="宋体" w:hAnsi="宋体" w:cs="宋体" w:eastAsia="宋体" w:hint="default"/>
                <w:spacing w:val="-2"/>
                <w:sz w:val="18"/>
                <w:szCs w:val="18"/>
              </w:rPr>
              <w:t>被投资</w:t>
            </w:r>
            <w:r>
              <w:rPr>
                <w:rFonts w:ascii="宋体" w:hAnsi="宋体" w:cs="宋体" w:eastAsia="宋体" w:hint="default"/>
                <w:w w:val="101"/>
                <w:sz w:val="18"/>
                <w:szCs w:val="18"/>
              </w:rPr>
              <w:t> </w:t>
            </w:r>
            <w:r>
              <w:rPr>
                <w:rFonts w:ascii="宋体" w:hAnsi="宋体" w:cs="宋体" w:eastAsia="宋体" w:hint="default"/>
                <w:spacing w:val="-2"/>
                <w:sz w:val="18"/>
                <w:szCs w:val="18"/>
              </w:rPr>
              <w:t>公司名</w:t>
            </w:r>
            <w:r>
              <w:rPr>
                <w:rFonts w:ascii="宋体" w:hAnsi="宋体" w:cs="宋体" w:eastAsia="宋体" w:hint="default"/>
                <w:w w:val="101"/>
                <w:sz w:val="18"/>
                <w:szCs w:val="18"/>
              </w:rPr>
              <w:t> </w:t>
            </w:r>
            <w:r>
              <w:rPr>
                <w:rFonts w:ascii="宋体" w:hAnsi="宋体" w:cs="宋体" w:eastAsia="宋体" w:hint="default"/>
                <w:sz w:val="18"/>
                <w:szCs w:val="18"/>
              </w:rPr>
              <w:t>称</w:t>
            </w:r>
          </w:p>
        </w:tc>
        <w:tc>
          <w:tcPr>
            <w:tcW w:w="6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2"/>
                <w:szCs w:val="12"/>
              </w:rPr>
            </w:pPr>
          </w:p>
          <w:p>
            <w:pPr>
              <w:pStyle w:val="TableParagraph"/>
              <w:spacing w:line="316" w:lineRule="auto"/>
              <w:ind w:left="230" w:right="46" w:hanging="178"/>
              <w:jc w:val="left"/>
              <w:rPr>
                <w:rFonts w:ascii="宋体" w:hAnsi="宋体" w:cs="宋体" w:eastAsia="宋体" w:hint="default"/>
                <w:sz w:val="18"/>
                <w:szCs w:val="18"/>
              </w:rPr>
            </w:pPr>
            <w:r>
              <w:rPr>
                <w:rFonts w:ascii="宋体" w:hAnsi="宋体" w:cs="宋体" w:eastAsia="宋体" w:hint="default"/>
                <w:sz w:val="18"/>
                <w:szCs w:val="18"/>
              </w:rPr>
              <w:t>主要业</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务</w:t>
            </w:r>
          </w:p>
        </w:tc>
        <w:tc>
          <w:tcPr>
            <w:tcW w:w="62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2"/>
                <w:szCs w:val="12"/>
              </w:rPr>
            </w:pPr>
          </w:p>
          <w:p>
            <w:pPr>
              <w:pStyle w:val="TableParagraph"/>
              <w:spacing w:line="316" w:lineRule="auto"/>
              <w:ind w:left="215" w:right="31" w:hanging="178"/>
              <w:jc w:val="left"/>
              <w:rPr>
                <w:rFonts w:ascii="宋体" w:hAnsi="宋体" w:cs="宋体" w:eastAsia="宋体" w:hint="default"/>
                <w:sz w:val="18"/>
                <w:szCs w:val="18"/>
              </w:rPr>
            </w:pPr>
            <w:r>
              <w:rPr>
                <w:rFonts w:ascii="宋体" w:hAnsi="宋体" w:cs="宋体" w:eastAsia="宋体" w:hint="default"/>
                <w:sz w:val="18"/>
                <w:szCs w:val="18"/>
              </w:rPr>
              <w:t>投资方</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式</w:t>
            </w:r>
          </w:p>
        </w:tc>
        <w:tc>
          <w:tcPr>
            <w:tcW w:w="61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2"/>
                <w:szCs w:val="12"/>
              </w:rPr>
            </w:pPr>
          </w:p>
          <w:p>
            <w:pPr>
              <w:pStyle w:val="TableParagraph"/>
              <w:spacing w:line="316" w:lineRule="auto"/>
              <w:ind w:left="215" w:right="26" w:hanging="178"/>
              <w:jc w:val="left"/>
              <w:rPr>
                <w:rFonts w:ascii="宋体" w:hAnsi="宋体" w:cs="宋体" w:eastAsia="宋体" w:hint="default"/>
                <w:sz w:val="18"/>
                <w:szCs w:val="18"/>
              </w:rPr>
            </w:pPr>
            <w:r>
              <w:rPr>
                <w:rFonts w:ascii="宋体" w:hAnsi="宋体" w:cs="宋体" w:eastAsia="宋体" w:hint="default"/>
                <w:sz w:val="18"/>
                <w:szCs w:val="18"/>
              </w:rPr>
              <w:t>投资金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额</w:t>
            </w:r>
          </w:p>
        </w:tc>
        <w:tc>
          <w:tcPr>
            <w:tcW w:w="62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2"/>
                <w:szCs w:val="12"/>
              </w:rPr>
            </w:pPr>
          </w:p>
          <w:p>
            <w:pPr>
              <w:pStyle w:val="TableParagraph"/>
              <w:spacing w:line="316" w:lineRule="auto"/>
              <w:ind w:left="216" w:right="31" w:hanging="178"/>
              <w:jc w:val="left"/>
              <w:rPr>
                <w:rFonts w:ascii="宋体" w:hAnsi="宋体" w:cs="宋体" w:eastAsia="宋体" w:hint="default"/>
                <w:sz w:val="18"/>
                <w:szCs w:val="18"/>
              </w:rPr>
            </w:pPr>
            <w:r>
              <w:rPr>
                <w:rFonts w:ascii="宋体" w:hAnsi="宋体" w:cs="宋体" w:eastAsia="宋体" w:hint="default"/>
                <w:sz w:val="18"/>
                <w:szCs w:val="18"/>
              </w:rPr>
              <w:t>持股比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例</w:t>
            </w:r>
          </w:p>
        </w:tc>
        <w:tc>
          <w:tcPr>
            <w:tcW w:w="61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2"/>
                <w:szCs w:val="12"/>
              </w:rPr>
            </w:pPr>
          </w:p>
          <w:p>
            <w:pPr>
              <w:pStyle w:val="TableParagraph"/>
              <w:spacing w:line="316" w:lineRule="auto"/>
              <w:ind w:left="216" w:right="26" w:hanging="178"/>
              <w:jc w:val="left"/>
              <w:rPr>
                <w:rFonts w:ascii="宋体" w:hAnsi="宋体" w:cs="宋体" w:eastAsia="宋体" w:hint="default"/>
                <w:sz w:val="18"/>
                <w:szCs w:val="18"/>
              </w:rPr>
            </w:pPr>
            <w:r>
              <w:rPr>
                <w:rFonts w:ascii="宋体" w:hAnsi="宋体" w:cs="宋体" w:eastAsia="宋体" w:hint="default"/>
                <w:sz w:val="18"/>
                <w:szCs w:val="18"/>
              </w:rPr>
              <w:t>资金来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源</w:t>
            </w:r>
          </w:p>
        </w:tc>
        <w:tc>
          <w:tcPr>
            <w:tcW w:w="61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合作方</w:t>
            </w:r>
          </w:p>
        </w:tc>
        <w:tc>
          <w:tcPr>
            <w:tcW w:w="61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2"/>
                <w:szCs w:val="12"/>
              </w:rPr>
            </w:pPr>
          </w:p>
          <w:p>
            <w:pPr>
              <w:pStyle w:val="TableParagraph"/>
              <w:spacing w:line="316" w:lineRule="auto"/>
              <w:ind w:left="211" w:right="31" w:hanging="178"/>
              <w:jc w:val="left"/>
              <w:rPr>
                <w:rFonts w:ascii="宋体" w:hAnsi="宋体" w:cs="宋体" w:eastAsia="宋体" w:hint="default"/>
                <w:sz w:val="18"/>
                <w:szCs w:val="18"/>
              </w:rPr>
            </w:pPr>
            <w:r>
              <w:rPr>
                <w:rFonts w:ascii="宋体" w:hAnsi="宋体" w:cs="宋体" w:eastAsia="宋体" w:hint="default"/>
                <w:sz w:val="18"/>
                <w:szCs w:val="18"/>
              </w:rPr>
              <w:t>投资期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w:t>
            </w:r>
          </w:p>
        </w:tc>
        <w:tc>
          <w:tcPr>
            <w:tcW w:w="61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2"/>
                <w:szCs w:val="12"/>
              </w:rPr>
            </w:pPr>
          </w:p>
          <w:p>
            <w:pPr>
              <w:pStyle w:val="TableParagraph"/>
              <w:spacing w:line="316" w:lineRule="auto"/>
              <w:ind w:left="206" w:right="31" w:hanging="178"/>
              <w:jc w:val="left"/>
              <w:rPr>
                <w:rFonts w:ascii="宋体" w:hAnsi="宋体" w:cs="宋体" w:eastAsia="宋体" w:hint="default"/>
                <w:sz w:val="18"/>
                <w:szCs w:val="18"/>
              </w:rPr>
            </w:pPr>
            <w:r>
              <w:rPr>
                <w:rFonts w:ascii="宋体" w:hAnsi="宋体" w:cs="宋体" w:eastAsia="宋体" w:hint="default"/>
                <w:sz w:val="18"/>
                <w:szCs w:val="18"/>
              </w:rPr>
              <w:t>产品类</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型</w:t>
            </w:r>
          </w:p>
        </w:tc>
        <w:tc>
          <w:tcPr>
            <w:tcW w:w="59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1"/>
              <w:ind w:left="110" w:right="108"/>
              <w:jc w:val="both"/>
              <w:rPr>
                <w:rFonts w:ascii="宋体" w:hAnsi="宋体" w:cs="宋体" w:eastAsia="宋体" w:hint="default"/>
                <w:sz w:val="18"/>
                <w:szCs w:val="18"/>
              </w:rPr>
            </w:pPr>
            <w:r>
              <w:rPr>
                <w:rFonts w:ascii="宋体" w:hAnsi="宋体" w:cs="宋体" w:eastAsia="宋体" w:hint="default"/>
                <w:sz w:val="18"/>
                <w:szCs w:val="18"/>
              </w:rPr>
              <w:t>负债</w:t>
            </w:r>
            <w:r>
              <w:rPr>
                <w:rFonts w:ascii="宋体" w:hAnsi="宋体" w:cs="宋体" w:eastAsia="宋体" w:hint="default"/>
                <w:spacing w:val="-86"/>
                <w:sz w:val="18"/>
                <w:szCs w:val="18"/>
              </w:rPr>
              <w:t> </w:t>
            </w:r>
            <w:r>
              <w:rPr>
                <w:rFonts w:ascii="宋体" w:hAnsi="宋体" w:cs="宋体" w:eastAsia="宋体" w:hint="default"/>
                <w:sz w:val="18"/>
                <w:szCs w:val="18"/>
              </w:rPr>
              <w:t>表日</w:t>
            </w:r>
            <w:r>
              <w:rPr>
                <w:rFonts w:ascii="宋体" w:hAnsi="宋体" w:cs="宋体" w:eastAsia="宋体" w:hint="default"/>
                <w:spacing w:val="-86"/>
                <w:sz w:val="18"/>
                <w:szCs w:val="18"/>
              </w:rPr>
              <w:t> </w:t>
            </w:r>
            <w:r>
              <w:rPr>
                <w:rFonts w:ascii="宋体" w:hAnsi="宋体" w:cs="宋体" w:eastAsia="宋体" w:hint="default"/>
                <w:sz w:val="18"/>
                <w:szCs w:val="18"/>
              </w:rPr>
              <w:t>的进</w:t>
            </w:r>
          </w:p>
        </w:tc>
        <w:tc>
          <w:tcPr>
            <w:tcW w:w="5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2"/>
                <w:szCs w:val="12"/>
              </w:rPr>
            </w:pPr>
          </w:p>
          <w:p>
            <w:pPr>
              <w:pStyle w:val="TableParagraph"/>
              <w:spacing w:line="316" w:lineRule="auto"/>
              <w:ind w:left="105" w:right="108"/>
              <w:jc w:val="left"/>
              <w:rPr>
                <w:rFonts w:ascii="宋体" w:hAnsi="宋体" w:cs="宋体" w:eastAsia="宋体" w:hint="default"/>
                <w:sz w:val="18"/>
                <w:szCs w:val="18"/>
              </w:rPr>
            </w:pPr>
            <w:r>
              <w:rPr>
                <w:rFonts w:ascii="宋体" w:hAnsi="宋体" w:cs="宋体" w:eastAsia="宋体" w:hint="default"/>
                <w:sz w:val="18"/>
                <w:szCs w:val="18"/>
              </w:rPr>
              <w:t>预计</w:t>
            </w:r>
            <w:r>
              <w:rPr>
                <w:rFonts w:ascii="宋体" w:hAnsi="宋体" w:cs="宋体" w:eastAsia="宋体" w:hint="default"/>
                <w:spacing w:val="-86"/>
                <w:sz w:val="18"/>
                <w:szCs w:val="18"/>
              </w:rPr>
              <w:t> </w:t>
            </w:r>
            <w:r>
              <w:rPr>
                <w:rFonts w:ascii="宋体" w:hAnsi="宋体" w:cs="宋体" w:eastAsia="宋体" w:hint="default"/>
                <w:sz w:val="18"/>
                <w:szCs w:val="18"/>
              </w:rPr>
              <w:t>收益</w:t>
            </w:r>
          </w:p>
        </w:tc>
        <w:tc>
          <w:tcPr>
            <w:tcW w:w="69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2"/>
                <w:szCs w:val="12"/>
              </w:rPr>
            </w:pPr>
          </w:p>
          <w:p>
            <w:pPr>
              <w:pStyle w:val="TableParagraph"/>
              <w:spacing w:line="316" w:lineRule="auto"/>
              <w:ind w:left="71" w:right="65"/>
              <w:jc w:val="left"/>
              <w:rPr>
                <w:rFonts w:ascii="宋体" w:hAnsi="宋体" w:cs="宋体" w:eastAsia="宋体" w:hint="default"/>
                <w:sz w:val="18"/>
                <w:szCs w:val="18"/>
              </w:rPr>
            </w:pPr>
            <w:r>
              <w:rPr>
                <w:rFonts w:ascii="宋体" w:hAnsi="宋体" w:cs="宋体" w:eastAsia="宋体" w:hint="default"/>
                <w:sz w:val="18"/>
                <w:szCs w:val="18"/>
              </w:rPr>
              <w:t>本期投</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资盈亏</w:t>
            </w:r>
          </w:p>
        </w:tc>
        <w:tc>
          <w:tcPr>
            <w:tcW w:w="69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2"/>
                <w:szCs w:val="12"/>
              </w:rPr>
            </w:pPr>
          </w:p>
          <w:p>
            <w:pPr>
              <w:pStyle w:val="TableParagraph"/>
              <w:spacing w:line="316" w:lineRule="auto"/>
              <w:ind w:left="249" w:right="65" w:hanging="178"/>
              <w:jc w:val="left"/>
              <w:rPr>
                <w:rFonts w:ascii="宋体" w:hAnsi="宋体" w:cs="宋体" w:eastAsia="宋体" w:hint="default"/>
                <w:sz w:val="18"/>
                <w:szCs w:val="18"/>
              </w:rPr>
            </w:pPr>
            <w:r>
              <w:rPr>
                <w:rFonts w:ascii="宋体" w:hAnsi="宋体" w:cs="宋体" w:eastAsia="宋体" w:hint="default"/>
                <w:sz w:val="18"/>
                <w:szCs w:val="18"/>
              </w:rPr>
              <w:t>是否涉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诉</w:t>
            </w:r>
          </w:p>
        </w:tc>
        <w:tc>
          <w:tcPr>
            <w:tcW w:w="69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6"/>
              <w:ind w:left="71" w:right="65"/>
              <w:jc w:val="both"/>
              <w:rPr>
                <w:rFonts w:ascii="宋体" w:hAnsi="宋体" w:cs="宋体" w:eastAsia="宋体" w:hint="default"/>
                <w:sz w:val="18"/>
                <w:szCs w:val="18"/>
              </w:rPr>
            </w:pPr>
            <w:r>
              <w:rPr>
                <w:rFonts w:ascii="宋体" w:hAnsi="宋体" w:cs="宋体" w:eastAsia="宋体" w:hint="default"/>
                <w:sz w:val="18"/>
                <w:szCs w:val="18"/>
              </w:rPr>
              <w:t>披露日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期（如</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有）</w:t>
            </w:r>
          </w:p>
        </w:tc>
        <w:tc>
          <w:tcPr>
            <w:tcW w:w="6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6"/>
              <w:ind w:left="62" w:right="50"/>
              <w:jc w:val="both"/>
              <w:rPr>
                <w:rFonts w:ascii="宋体" w:hAnsi="宋体" w:cs="宋体" w:eastAsia="宋体" w:hint="default"/>
                <w:sz w:val="18"/>
                <w:szCs w:val="18"/>
              </w:rPr>
            </w:pPr>
            <w:r>
              <w:rPr>
                <w:rFonts w:ascii="宋体" w:hAnsi="宋体" w:cs="宋体" w:eastAsia="宋体" w:hint="default"/>
                <w:sz w:val="18"/>
                <w:szCs w:val="18"/>
              </w:rPr>
              <w:t>披露索</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引（如</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有）</w:t>
            </w:r>
          </w:p>
        </w:tc>
      </w:tr>
      <w:tr>
        <w:trPr>
          <w:trHeight w:val="312" w:hRule="exact"/>
        </w:trPr>
        <w:tc>
          <w:tcPr>
            <w:tcW w:w="653" w:type="dxa"/>
            <w:tcBorders>
              <w:top w:val="nil" w:sz="6" w:space="0" w:color="auto"/>
              <w:left w:val="single" w:sz="4" w:space="0" w:color="000000"/>
              <w:bottom w:val="nil" w:sz="6" w:space="0" w:color="auto"/>
              <w:right w:val="single" w:sz="4" w:space="0" w:color="000000"/>
            </w:tcBorders>
            <w:shd w:val="clear" w:color="auto" w:fill="D2D2D2"/>
          </w:tcPr>
          <w:p>
            <w:pPr/>
          </w:p>
        </w:tc>
        <w:tc>
          <w:tcPr>
            <w:tcW w:w="653" w:type="dxa"/>
            <w:tcBorders>
              <w:top w:val="nil" w:sz="6" w:space="0" w:color="auto"/>
              <w:left w:val="single" w:sz="4" w:space="0" w:color="000000"/>
              <w:bottom w:val="nil" w:sz="6" w:space="0" w:color="auto"/>
              <w:right w:val="single" w:sz="4" w:space="0" w:color="000000"/>
            </w:tcBorders>
            <w:shd w:val="clear" w:color="auto" w:fill="D2D2D2"/>
          </w:tcPr>
          <w:p>
            <w:pPr/>
          </w:p>
        </w:tc>
        <w:tc>
          <w:tcPr>
            <w:tcW w:w="624" w:type="dxa"/>
            <w:tcBorders>
              <w:top w:val="nil" w:sz="6" w:space="0" w:color="auto"/>
              <w:left w:val="single" w:sz="4" w:space="0" w:color="000000"/>
              <w:bottom w:val="nil" w:sz="6" w:space="0" w:color="auto"/>
              <w:right w:val="single" w:sz="4" w:space="0" w:color="000000"/>
            </w:tcBorders>
            <w:shd w:val="clear" w:color="auto" w:fill="D2D2D2"/>
          </w:tcPr>
          <w:p>
            <w:pPr/>
          </w:p>
        </w:tc>
        <w:tc>
          <w:tcPr>
            <w:tcW w:w="619" w:type="dxa"/>
            <w:tcBorders>
              <w:top w:val="nil" w:sz="6" w:space="0" w:color="auto"/>
              <w:left w:val="single" w:sz="4" w:space="0" w:color="000000"/>
              <w:bottom w:val="nil" w:sz="6" w:space="0" w:color="auto"/>
              <w:right w:val="single" w:sz="4" w:space="0" w:color="000000"/>
            </w:tcBorders>
            <w:shd w:val="clear" w:color="auto" w:fill="D2D2D2"/>
          </w:tcPr>
          <w:p>
            <w:pPr/>
          </w:p>
        </w:tc>
        <w:tc>
          <w:tcPr>
            <w:tcW w:w="624" w:type="dxa"/>
            <w:tcBorders>
              <w:top w:val="nil" w:sz="6" w:space="0" w:color="auto"/>
              <w:left w:val="single" w:sz="4" w:space="0" w:color="000000"/>
              <w:bottom w:val="nil" w:sz="6" w:space="0" w:color="auto"/>
              <w:right w:val="single" w:sz="4" w:space="0" w:color="000000"/>
            </w:tcBorders>
            <w:shd w:val="clear" w:color="auto" w:fill="D2D2D2"/>
          </w:tcPr>
          <w:p>
            <w:pPr/>
          </w:p>
        </w:tc>
        <w:tc>
          <w:tcPr>
            <w:tcW w:w="619" w:type="dxa"/>
            <w:tcBorders>
              <w:top w:val="nil" w:sz="6" w:space="0" w:color="auto"/>
              <w:left w:val="single" w:sz="4" w:space="0" w:color="000000"/>
              <w:bottom w:val="nil" w:sz="6" w:space="0" w:color="auto"/>
              <w:right w:val="single" w:sz="4" w:space="0" w:color="000000"/>
            </w:tcBorders>
            <w:shd w:val="clear" w:color="auto" w:fill="D2D2D2"/>
          </w:tcPr>
          <w:p>
            <w:pPr/>
          </w:p>
        </w:tc>
        <w:tc>
          <w:tcPr>
            <w:tcW w:w="619" w:type="dxa"/>
            <w:tcBorders>
              <w:top w:val="nil" w:sz="6" w:space="0" w:color="auto"/>
              <w:left w:val="single" w:sz="4" w:space="0" w:color="000000"/>
              <w:bottom w:val="nil" w:sz="6" w:space="0" w:color="auto"/>
              <w:right w:val="single" w:sz="4" w:space="0" w:color="000000"/>
            </w:tcBorders>
            <w:shd w:val="clear" w:color="auto" w:fill="D2D2D2"/>
          </w:tcPr>
          <w:p>
            <w:pPr/>
          </w:p>
        </w:tc>
        <w:tc>
          <w:tcPr>
            <w:tcW w:w="619" w:type="dxa"/>
            <w:tcBorders>
              <w:top w:val="nil" w:sz="6" w:space="0" w:color="auto"/>
              <w:left w:val="single" w:sz="4" w:space="0" w:color="000000"/>
              <w:bottom w:val="nil" w:sz="6" w:space="0" w:color="auto"/>
              <w:right w:val="single" w:sz="4" w:space="0" w:color="000000"/>
            </w:tcBorders>
            <w:shd w:val="clear" w:color="auto" w:fill="D2D2D2"/>
          </w:tcPr>
          <w:p>
            <w:pPr/>
          </w:p>
        </w:tc>
        <w:tc>
          <w:tcPr>
            <w:tcW w:w="614" w:type="dxa"/>
            <w:tcBorders>
              <w:top w:val="nil" w:sz="6" w:space="0" w:color="auto"/>
              <w:left w:val="single" w:sz="4" w:space="0" w:color="000000"/>
              <w:bottom w:val="nil" w:sz="6" w:space="0" w:color="auto"/>
              <w:right w:val="single" w:sz="4" w:space="0" w:color="000000"/>
            </w:tcBorders>
            <w:shd w:val="clear" w:color="auto" w:fill="D2D2D2"/>
          </w:tcPr>
          <w:p>
            <w:pPr/>
          </w:p>
        </w:tc>
        <w:tc>
          <w:tcPr>
            <w:tcW w:w="59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展情</w:t>
            </w:r>
          </w:p>
        </w:tc>
        <w:tc>
          <w:tcPr>
            <w:tcW w:w="590" w:type="dxa"/>
            <w:tcBorders>
              <w:top w:val="nil" w:sz="6" w:space="0" w:color="auto"/>
              <w:left w:val="single" w:sz="4" w:space="0" w:color="000000"/>
              <w:bottom w:val="nil" w:sz="6" w:space="0" w:color="auto"/>
              <w:right w:val="single" w:sz="4" w:space="0" w:color="000000"/>
            </w:tcBorders>
            <w:shd w:val="clear" w:color="auto" w:fill="D2D2D2"/>
          </w:tcPr>
          <w:p>
            <w:pPr/>
          </w:p>
        </w:tc>
        <w:tc>
          <w:tcPr>
            <w:tcW w:w="691" w:type="dxa"/>
            <w:tcBorders>
              <w:top w:val="nil" w:sz="6" w:space="0" w:color="auto"/>
              <w:left w:val="single" w:sz="4" w:space="0" w:color="000000"/>
              <w:bottom w:val="nil" w:sz="6" w:space="0" w:color="auto"/>
              <w:right w:val="single" w:sz="4" w:space="0" w:color="000000"/>
            </w:tcBorders>
            <w:shd w:val="clear" w:color="auto" w:fill="D2D2D2"/>
          </w:tcPr>
          <w:p>
            <w:pPr/>
          </w:p>
        </w:tc>
        <w:tc>
          <w:tcPr>
            <w:tcW w:w="691" w:type="dxa"/>
            <w:tcBorders>
              <w:top w:val="nil" w:sz="6" w:space="0" w:color="auto"/>
              <w:left w:val="single" w:sz="4" w:space="0" w:color="000000"/>
              <w:bottom w:val="nil" w:sz="6" w:space="0" w:color="auto"/>
              <w:right w:val="single" w:sz="4" w:space="0" w:color="000000"/>
            </w:tcBorders>
            <w:shd w:val="clear" w:color="auto" w:fill="D2D2D2"/>
          </w:tcPr>
          <w:p>
            <w:pPr/>
          </w:p>
        </w:tc>
        <w:tc>
          <w:tcPr>
            <w:tcW w:w="691" w:type="dxa"/>
            <w:tcBorders>
              <w:top w:val="nil" w:sz="6" w:space="0" w:color="auto"/>
              <w:left w:val="single" w:sz="4" w:space="0" w:color="000000"/>
              <w:bottom w:val="nil" w:sz="6" w:space="0" w:color="auto"/>
              <w:right w:val="single" w:sz="4" w:space="0" w:color="000000"/>
            </w:tcBorders>
            <w:shd w:val="clear" w:color="auto" w:fill="D2D2D2"/>
          </w:tcPr>
          <w:p>
            <w:pPr/>
          </w:p>
        </w:tc>
        <w:tc>
          <w:tcPr>
            <w:tcW w:w="667" w:type="dxa"/>
            <w:tcBorders>
              <w:top w:val="nil" w:sz="6" w:space="0" w:color="auto"/>
              <w:left w:val="single" w:sz="4" w:space="0" w:color="000000"/>
              <w:bottom w:val="nil" w:sz="6" w:space="0" w:color="auto"/>
              <w:right w:val="single" w:sz="4" w:space="0" w:color="000000"/>
            </w:tcBorders>
            <w:shd w:val="clear" w:color="auto" w:fill="D2D2D2"/>
          </w:tcPr>
          <w:p>
            <w:pPr/>
          </w:p>
        </w:tc>
      </w:tr>
      <w:tr>
        <w:trPr>
          <w:trHeight w:val="354" w:hRule="exact"/>
        </w:trPr>
        <w:tc>
          <w:tcPr>
            <w:tcW w:w="653" w:type="dxa"/>
            <w:tcBorders>
              <w:top w:val="nil" w:sz="6" w:space="0" w:color="auto"/>
              <w:left w:val="single" w:sz="4" w:space="0" w:color="000000"/>
              <w:bottom w:val="single" w:sz="4" w:space="0" w:color="000000"/>
              <w:right w:val="single" w:sz="4" w:space="0" w:color="000000"/>
            </w:tcBorders>
            <w:shd w:val="clear" w:color="auto" w:fill="D2D2D2"/>
          </w:tcPr>
          <w:p>
            <w:pPr/>
          </w:p>
        </w:tc>
        <w:tc>
          <w:tcPr>
            <w:tcW w:w="653" w:type="dxa"/>
            <w:tcBorders>
              <w:top w:val="nil" w:sz="6" w:space="0" w:color="auto"/>
              <w:left w:val="single" w:sz="4" w:space="0" w:color="000000"/>
              <w:bottom w:val="single" w:sz="4" w:space="0" w:color="000000"/>
              <w:right w:val="single" w:sz="4" w:space="0" w:color="000000"/>
            </w:tcBorders>
            <w:shd w:val="clear" w:color="auto" w:fill="D2D2D2"/>
          </w:tcPr>
          <w:p>
            <w:pPr/>
          </w:p>
        </w:tc>
        <w:tc>
          <w:tcPr>
            <w:tcW w:w="624" w:type="dxa"/>
            <w:tcBorders>
              <w:top w:val="nil" w:sz="6" w:space="0" w:color="auto"/>
              <w:left w:val="single" w:sz="4" w:space="0" w:color="000000"/>
              <w:bottom w:val="single" w:sz="4" w:space="0" w:color="000000"/>
              <w:right w:val="single" w:sz="4" w:space="0" w:color="000000"/>
            </w:tcBorders>
            <w:shd w:val="clear" w:color="auto" w:fill="D2D2D2"/>
          </w:tcPr>
          <w:p>
            <w:pPr/>
          </w:p>
        </w:tc>
        <w:tc>
          <w:tcPr>
            <w:tcW w:w="619" w:type="dxa"/>
            <w:tcBorders>
              <w:top w:val="nil" w:sz="6" w:space="0" w:color="auto"/>
              <w:left w:val="single" w:sz="4" w:space="0" w:color="000000"/>
              <w:bottom w:val="single" w:sz="4" w:space="0" w:color="000000"/>
              <w:right w:val="single" w:sz="4" w:space="0" w:color="000000"/>
            </w:tcBorders>
            <w:shd w:val="clear" w:color="auto" w:fill="D2D2D2"/>
          </w:tcPr>
          <w:p>
            <w:pPr/>
          </w:p>
        </w:tc>
        <w:tc>
          <w:tcPr>
            <w:tcW w:w="624" w:type="dxa"/>
            <w:tcBorders>
              <w:top w:val="nil" w:sz="6" w:space="0" w:color="auto"/>
              <w:left w:val="single" w:sz="4" w:space="0" w:color="000000"/>
              <w:bottom w:val="single" w:sz="4" w:space="0" w:color="000000"/>
              <w:right w:val="single" w:sz="4" w:space="0" w:color="000000"/>
            </w:tcBorders>
            <w:shd w:val="clear" w:color="auto" w:fill="D2D2D2"/>
          </w:tcPr>
          <w:p>
            <w:pPr/>
          </w:p>
        </w:tc>
        <w:tc>
          <w:tcPr>
            <w:tcW w:w="619" w:type="dxa"/>
            <w:tcBorders>
              <w:top w:val="nil" w:sz="6" w:space="0" w:color="auto"/>
              <w:left w:val="single" w:sz="4" w:space="0" w:color="000000"/>
              <w:bottom w:val="single" w:sz="4" w:space="0" w:color="000000"/>
              <w:right w:val="single" w:sz="4" w:space="0" w:color="000000"/>
            </w:tcBorders>
            <w:shd w:val="clear" w:color="auto" w:fill="D2D2D2"/>
          </w:tcPr>
          <w:p>
            <w:pPr/>
          </w:p>
        </w:tc>
        <w:tc>
          <w:tcPr>
            <w:tcW w:w="619" w:type="dxa"/>
            <w:tcBorders>
              <w:top w:val="nil" w:sz="6" w:space="0" w:color="auto"/>
              <w:left w:val="single" w:sz="4" w:space="0" w:color="000000"/>
              <w:bottom w:val="single" w:sz="4" w:space="0" w:color="000000"/>
              <w:right w:val="single" w:sz="4" w:space="0" w:color="000000"/>
            </w:tcBorders>
            <w:shd w:val="clear" w:color="auto" w:fill="D2D2D2"/>
          </w:tcPr>
          <w:p>
            <w:pPr/>
          </w:p>
        </w:tc>
        <w:tc>
          <w:tcPr>
            <w:tcW w:w="619" w:type="dxa"/>
            <w:tcBorders>
              <w:top w:val="nil" w:sz="6" w:space="0" w:color="auto"/>
              <w:left w:val="single" w:sz="4" w:space="0" w:color="000000"/>
              <w:bottom w:val="single" w:sz="4" w:space="0" w:color="000000"/>
              <w:right w:val="single" w:sz="4" w:space="0" w:color="000000"/>
            </w:tcBorders>
            <w:shd w:val="clear" w:color="auto" w:fill="D2D2D2"/>
          </w:tcPr>
          <w:p>
            <w:pPr/>
          </w:p>
        </w:tc>
        <w:tc>
          <w:tcPr>
            <w:tcW w:w="614" w:type="dxa"/>
            <w:tcBorders>
              <w:top w:val="nil" w:sz="6" w:space="0" w:color="auto"/>
              <w:left w:val="single" w:sz="4" w:space="0" w:color="000000"/>
              <w:bottom w:val="single" w:sz="4" w:space="0" w:color="000000"/>
              <w:right w:val="single" w:sz="4" w:space="0" w:color="000000"/>
            </w:tcBorders>
            <w:shd w:val="clear" w:color="auto" w:fill="D2D2D2"/>
          </w:tcPr>
          <w:p>
            <w:pPr/>
          </w:p>
        </w:tc>
        <w:tc>
          <w:tcPr>
            <w:tcW w:w="595"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w w:val="101"/>
                <w:sz w:val="18"/>
                <w:szCs w:val="18"/>
              </w:rPr>
              <w:t>况</w:t>
            </w:r>
            <w:r>
              <w:rPr>
                <w:rFonts w:ascii="宋体" w:hAnsi="宋体" w:cs="宋体" w:eastAsia="宋体" w:hint="default"/>
                <w:sz w:val="18"/>
                <w:szCs w:val="18"/>
              </w:rPr>
            </w:r>
          </w:p>
        </w:tc>
        <w:tc>
          <w:tcPr>
            <w:tcW w:w="590"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tcBorders>
              <w:top w:val="nil" w:sz="6" w:space="0" w:color="auto"/>
              <w:left w:val="single" w:sz="4" w:space="0" w:color="000000"/>
              <w:bottom w:val="single" w:sz="4" w:space="0" w:color="000000"/>
              <w:right w:val="single" w:sz="4" w:space="0" w:color="000000"/>
            </w:tcBorders>
            <w:shd w:val="clear" w:color="auto" w:fill="D2D2D2"/>
          </w:tcPr>
          <w:p>
            <w:pPr/>
          </w:p>
        </w:tc>
        <w:tc>
          <w:tcPr>
            <w:tcW w:w="66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59" w:hRule="exact"/>
        </w:trPr>
        <w:tc>
          <w:tcPr>
            <w:tcW w:w="653" w:type="dxa"/>
            <w:tcBorders>
              <w:top w:val="single" w:sz="4" w:space="0" w:color="000000"/>
              <w:left w:val="single" w:sz="4" w:space="0" w:color="000000"/>
              <w:bottom w:val="nil" w:sz="6" w:space="0" w:color="auto"/>
              <w:right w:val="single" w:sz="4" w:space="0" w:color="000000"/>
            </w:tcBorders>
          </w:tcPr>
          <w:p>
            <w:pPr/>
          </w:p>
        </w:tc>
        <w:tc>
          <w:tcPr>
            <w:tcW w:w="65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right="50"/>
              <w:jc w:val="center"/>
              <w:rPr>
                <w:rFonts w:ascii="宋体" w:hAnsi="宋体" w:cs="宋体" w:eastAsia="宋体" w:hint="default"/>
                <w:sz w:val="18"/>
                <w:szCs w:val="18"/>
              </w:rPr>
            </w:pPr>
            <w:r>
              <w:rPr>
                <w:rFonts w:ascii="宋体" w:hAnsi="宋体" w:cs="宋体" w:eastAsia="宋体" w:hint="default"/>
                <w:sz w:val="18"/>
                <w:szCs w:val="18"/>
              </w:rPr>
              <w:t>各类信</w:t>
            </w:r>
          </w:p>
        </w:tc>
        <w:tc>
          <w:tcPr>
            <w:tcW w:w="624" w:type="dxa"/>
            <w:tcBorders>
              <w:top w:val="single" w:sz="4" w:space="0" w:color="000000"/>
              <w:left w:val="single" w:sz="4" w:space="0" w:color="000000"/>
              <w:bottom w:val="nil" w:sz="6" w:space="0" w:color="auto"/>
              <w:right w:val="single" w:sz="4" w:space="0" w:color="000000"/>
            </w:tcBorders>
          </w:tcPr>
          <w:p>
            <w:pPr/>
          </w:p>
        </w:tc>
        <w:tc>
          <w:tcPr>
            <w:tcW w:w="619" w:type="dxa"/>
            <w:tcBorders>
              <w:top w:val="single" w:sz="4" w:space="0" w:color="000000"/>
              <w:left w:val="single" w:sz="4" w:space="0" w:color="000000"/>
              <w:bottom w:val="nil" w:sz="6" w:space="0" w:color="auto"/>
              <w:right w:val="single" w:sz="4" w:space="0" w:color="000000"/>
            </w:tcBorders>
          </w:tcPr>
          <w:p>
            <w:pPr/>
          </w:p>
        </w:tc>
        <w:tc>
          <w:tcPr>
            <w:tcW w:w="624" w:type="dxa"/>
            <w:tcBorders>
              <w:top w:val="single" w:sz="4" w:space="0" w:color="000000"/>
              <w:left w:val="single" w:sz="4" w:space="0" w:color="000000"/>
              <w:bottom w:val="nil" w:sz="6" w:space="0" w:color="auto"/>
              <w:right w:val="single" w:sz="4" w:space="0" w:color="000000"/>
            </w:tcBorders>
          </w:tcPr>
          <w:p>
            <w:pPr/>
          </w:p>
        </w:tc>
        <w:tc>
          <w:tcPr>
            <w:tcW w:w="619" w:type="dxa"/>
            <w:tcBorders>
              <w:top w:val="single" w:sz="4" w:space="0" w:color="000000"/>
              <w:left w:val="single" w:sz="4" w:space="0" w:color="000000"/>
              <w:bottom w:val="nil" w:sz="6" w:space="0" w:color="auto"/>
              <w:right w:val="single" w:sz="4" w:space="0" w:color="000000"/>
            </w:tcBorders>
          </w:tcPr>
          <w:p>
            <w:pPr/>
          </w:p>
        </w:tc>
        <w:tc>
          <w:tcPr>
            <w:tcW w:w="619" w:type="dxa"/>
            <w:tcBorders>
              <w:top w:val="single" w:sz="4" w:space="0" w:color="000000"/>
              <w:left w:val="single" w:sz="4" w:space="0" w:color="000000"/>
              <w:bottom w:val="nil" w:sz="6" w:space="0" w:color="auto"/>
              <w:right w:val="single" w:sz="4" w:space="0" w:color="000000"/>
            </w:tcBorders>
          </w:tcPr>
          <w:p>
            <w:pPr/>
          </w:p>
        </w:tc>
        <w:tc>
          <w:tcPr>
            <w:tcW w:w="619" w:type="dxa"/>
            <w:tcBorders>
              <w:top w:val="single" w:sz="4" w:space="0" w:color="000000"/>
              <w:left w:val="single" w:sz="4" w:space="0" w:color="000000"/>
              <w:bottom w:val="nil" w:sz="6" w:space="0" w:color="auto"/>
              <w:right w:val="single" w:sz="4" w:space="0" w:color="000000"/>
            </w:tcBorders>
          </w:tcPr>
          <w:p>
            <w:pPr/>
          </w:p>
        </w:tc>
        <w:tc>
          <w:tcPr>
            <w:tcW w:w="614" w:type="dxa"/>
            <w:tcBorders>
              <w:top w:val="single" w:sz="4" w:space="0" w:color="000000"/>
              <w:left w:val="single" w:sz="4" w:space="0" w:color="000000"/>
              <w:bottom w:val="nil" w:sz="6" w:space="0" w:color="auto"/>
              <w:right w:val="single" w:sz="4" w:space="0" w:color="000000"/>
            </w:tcBorders>
          </w:tcPr>
          <w:p>
            <w:pPr/>
          </w:p>
        </w:tc>
        <w:tc>
          <w:tcPr>
            <w:tcW w:w="595" w:type="dxa"/>
            <w:tcBorders>
              <w:top w:val="single" w:sz="4" w:space="0" w:color="000000"/>
              <w:left w:val="single" w:sz="4" w:space="0" w:color="000000"/>
              <w:bottom w:val="nil" w:sz="6" w:space="0" w:color="auto"/>
              <w:right w:val="single" w:sz="4" w:space="0" w:color="000000"/>
            </w:tcBorders>
          </w:tcPr>
          <w:p>
            <w:pPr/>
          </w:p>
        </w:tc>
        <w:tc>
          <w:tcPr>
            <w:tcW w:w="590" w:type="dxa"/>
            <w:vMerge w:val="restart"/>
            <w:tcBorders>
              <w:top w:val="single" w:sz="4" w:space="0" w:color="000000"/>
              <w:left w:val="single" w:sz="4" w:space="0" w:color="000000"/>
              <w:right w:val="single" w:sz="4" w:space="0" w:color="000000"/>
            </w:tcBorders>
          </w:tcPr>
          <w:p>
            <w:pPr/>
          </w:p>
        </w:tc>
        <w:tc>
          <w:tcPr>
            <w:tcW w:w="691" w:type="dxa"/>
            <w:vMerge w:val="restart"/>
            <w:tcBorders>
              <w:top w:val="single" w:sz="4" w:space="0" w:color="000000"/>
              <w:left w:val="single" w:sz="4" w:space="0" w:color="000000"/>
              <w:right w:val="single" w:sz="4" w:space="0" w:color="000000"/>
            </w:tcBorders>
          </w:tcPr>
          <w:p>
            <w:pPr/>
          </w:p>
        </w:tc>
        <w:tc>
          <w:tcPr>
            <w:tcW w:w="691" w:type="dxa"/>
            <w:tcBorders>
              <w:top w:val="single" w:sz="4" w:space="0" w:color="000000"/>
              <w:left w:val="single" w:sz="4" w:space="0" w:color="000000"/>
              <w:bottom w:val="nil" w:sz="6" w:space="0" w:color="auto"/>
              <w:right w:val="single" w:sz="4" w:space="0" w:color="000000"/>
            </w:tcBorders>
          </w:tcPr>
          <w:p>
            <w:pPr/>
          </w:p>
        </w:tc>
        <w:tc>
          <w:tcPr>
            <w:tcW w:w="691" w:type="dxa"/>
            <w:tcBorders>
              <w:top w:val="single" w:sz="4" w:space="0" w:color="000000"/>
              <w:left w:val="single" w:sz="4" w:space="0" w:color="000000"/>
              <w:bottom w:val="nil" w:sz="6" w:space="0" w:color="auto"/>
              <w:right w:val="single" w:sz="4" w:space="0" w:color="000000"/>
            </w:tcBorders>
          </w:tcPr>
          <w:p>
            <w:pPr/>
          </w:p>
        </w:tc>
        <w:tc>
          <w:tcPr>
            <w:tcW w:w="667"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653" w:type="dxa"/>
            <w:tcBorders>
              <w:top w:val="nil" w:sz="6" w:space="0" w:color="auto"/>
              <w:left w:val="single" w:sz="4" w:space="0" w:color="000000"/>
              <w:bottom w:val="nil" w:sz="6" w:space="0" w:color="auto"/>
              <w:right w:val="single" w:sz="4" w:space="0" w:color="000000"/>
            </w:tcBorders>
          </w:tcPr>
          <w:p>
            <w:pPr/>
          </w:p>
        </w:tc>
        <w:tc>
          <w:tcPr>
            <w:tcW w:w="65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50"/>
              <w:jc w:val="center"/>
              <w:rPr>
                <w:rFonts w:ascii="宋体" w:hAnsi="宋体" w:cs="宋体" w:eastAsia="宋体" w:hint="default"/>
                <w:sz w:val="18"/>
                <w:szCs w:val="18"/>
              </w:rPr>
            </w:pPr>
            <w:r>
              <w:rPr>
                <w:rFonts w:ascii="宋体" w:hAnsi="宋体" w:cs="宋体" w:eastAsia="宋体" w:hint="default"/>
                <w:sz w:val="18"/>
                <w:szCs w:val="18"/>
              </w:rPr>
              <w:t>用主体</w:t>
            </w:r>
          </w:p>
        </w:tc>
        <w:tc>
          <w:tcPr>
            <w:tcW w:w="624" w:type="dxa"/>
            <w:tcBorders>
              <w:top w:val="nil" w:sz="6" w:space="0" w:color="auto"/>
              <w:left w:val="single" w:sz="4" w:space="0" w:color="000000"/>
              <w:bottom w:val="nil" w:sz="6" w:space="0" w:color="auto"/>
              <w:right w:val="single" w:sz="4" w:space="0" w:color="000000"/>
            </w:tcBorders>
          </w:tcPr>
          <w:p>
            <w:pPr/>
          </w:p>
        </w:tc>
        <w:tc>
          <w:tcPr>
            <w:tcW w:w="619" w:type="dxa"/>
            <w:tcBorders>
              <w:top w:val="nil" w:sz="6" w:space="0" w:color="auto"/>
              <w:left w:val="single" w:sz="4" w:space="0" w:color="000000"/>
              <w:bottom w:val="nil" w:sz="6" w:space="0" w:color="auto"/>
              <w:right w:val="single" w:sz="4" w:space="0" w:color="000000"/>
            </w:tcBorders>
          </w:tcPr>
          <w:p>
            <w:pPr/>
          </w:p>
        </w:tc>
        <w:tc>
          <w:tcPr>
            <w:tcW w:w="624" w:type="dxa"/>
            <w:tcBorders>
              <w:top w:val="nil" w:sz="6" w:space="0" w:color="auto"/>
              <w:left w:val="single" w:sz="4" w:space="0" w:color="000000"/>
              <w:bottom w:val="nil" w:sz="6" w:space="0" w:color="auto"/>
              <w:right w:val="single" w:sz="4" w:space="0" w:color="000000"/>
            </w:tcBorders>
          </w:tcPr>
          <w:p>
            <w:pPr/>
          </w:p>
        </w:tc>
        <w:tc>
          <w:tcPr>
            <w:tcW w:w="619" w:type="dxa"/>
            <w:tcBorders>
              <w:top w:val="nil" w:sz="6" w:space="0" w:color="auto"/>
              <w:left w:val="single" w:sz="4" w:space="0" w:color="000000"/>
              <w:bottom w:val="nil" w:sz="6" w:space="0" w:color="auto"/>
              <w:right w:val="single" w:sz="4" w:space="0" w:color="000000"/>
            </w:tcBorders>
          </w:tcPr>
          <w:p>
            <w:pPr/>
          </w:p>
        </w:tc>
        <w:tc>
          <w:tcPr>
            <w:tcW w:w="619" w:type="dxa"/>
            <w:tcBorders>
              <w:top w:val="nil" w:sz="6" w:space="0" w:color="auto"/>
              <w:left w:val="single" w:sz="4" w:space="0" w:color="000000"/>
              <w:bottom w:val="nil" w:sz="6" w:space="0" w:color="auto"/>
              <w:right w:val="single" w:sz="4" w:space="0" w:color="000000"/>
            </w:tcBorders>
          </w:tcPr>
          <w:p>
            <w:pPr/>
          </w:p>
        </w:tc>
        <w:tc>
          <w:tcPr>
            <w:tcW w:w="619" w:type="dxa"/>
            <w:tcBorders>
              <w:top w:val="nil" w:sz="6" w:space="0" w:color="auto"/>
              <w:left w:val="single" w:sz="4" w:space="0" w:color="000000"/>
              <w:bottom w:val="nil" w:sz="6" w:space="0" w:color="auto"/>
              <w:right w:val="single" w:sz="4" w:space="0" w:color="000000"/>
            </w:tcBorders>
          </w:tcPr>
          <w:p>
            <w:pPr/>
          </w:p>
        </w:tc>
        <w:tc>
          <w:tcPr>
            <w:tcW w:w="614" w:type="dxa"/>
            <w:tcBorders>
              <w:top w:val="nil" w:sz="6" w:space="0" w:color="auto"/>
              <w:left w:val="single" w:sz="4" w:space="0" w:color="000000"/>
              <w:bottom w:val="nil" w:sz="6" w:space="0" w:color="auto"/>
              <w:right w:val="single" w:sz="4" w:space="0" w:color="000000"/>
            </w:tcBorders>
          </w:tcPr>
          <w:p>
            <w:pPr/>
          </w:p>
        </w:tc>
        <w:tc>
          <w:tcPr>
            <w:tcW w:w="595" w:type="dxa"/>
            <w:tcBorders>
              <w:top w:val="nil" w:sz="6" w:space="0" w:color="auto"/>
              <w:left w:val="single" w:sz="4" w:space="0" w:color="000000"/>
              <w:bottom w:val="nil" w:sz="6" w:space="0" w:color="auto"/>
              <w:right w:val="single" w:sz="4" w:space="0" w:color="000000"/>
            </w:tcBorders>
          </w:tcPr>
          <w:p>
            <w:pPr/>
          </w:p>
        </w:tc>
        <w:tc>
          <w:tcPr>
            <w:tcW w:w="590" w:type="dxa"/>
            <w:vMerge/>
            <w:tcBorders>
              <w:left w:val="single" w:sz="4" w:space="0" w:color="000000"/>
              <w:right w:val="single" w:sz="4" w:space="0" w:color="000000"/>
            </w:tcBorders>
          </w:tcPr>
          <w:p>
            <w:pPr/>
          </w:p>
        </w:tc>
        <w:tc>
          <w:tcPr>
            <w:tcW w:w="691" w:type="dxa"/>
            <w:vMerge/>
            <w:tcBorders>
              <w:left w:val="single" w:sz="4" w:space="0" w:color="000000"/>
              <w:right w:val="single" w:sz="4" w:space="0" w:color="000000"/>
            </w:tcBorders>
          </w:tcPr>
          <w:p>
            <w:pPr/>
          </w:p>
        </w:tc>
        <w:tc>
          <w:tcPr>
            <w:tcW w:w="691" w:type="dxa"/>
            <w:tcBorders>
              <w:top w:val="nil" w:sz="6" w:space="0" w:color="auto"/>
              <w:left w:val="single" w:sz="4" w:space="0" w:color="000000"/>
              <w:bottom w:val="nil" w:sz="6" w:space="0" w:color="auto"/>
              <w:right w:val="single" w:sz="4" w:space="0" w:color="000000"/>
            </w:tcBorders>
          </w:tcPr>
          <w:p>
            <w:pPr/>
          </w:p>
        </w:tc>
        <w:tc>
          <w:tcPr>
            <w:tcW w:w="691" w:type="dxa"/>
            <w:tcBorders>
              <w:top w:val="nil" w:sz="6" w:space="0" w:color="auto"/>
              <w:left w:val="single" w:sz="4" w:space="0" w:color="000000"/>
              <w:bottom w:val="nil" w:sz="6" w:space="0" w:color="auto"/>
              <w:right w:val="single" w:sz="4" w:space="0" w:color="000000"/>
            </w:tcBorders>
          </w:tcPr>
          <w:p>
            <w:pPr/>
          </w:p>
        </w:tc>
        <w:tc>
          <w:tcPr>
            <w:tcW w:w="667" w:type="dxa"/>
            <w:tcBorders>
              <w:top w:val="nil" w:sz="6" w:space="0" w:color="auto"/>
              <w:left w:val="single" w:sz="4" w:space="0" w:color="000000"/>
              <w:bottom w:val="nil" w:sz="6" w:space="0" w:color="auto"/>
              <w:right w:val="single" w:sz="4" w:space="0" w:color="000000"/>
            </w:tcBorders>
          </w:tcPr>
          <w:p>
            <w:pPr/>
          </w:p>
        </w:tc>
      </w:tr>
      <w:tr>
        <w:trPr>
          <w:trHeight w:val="1560" w:hRule="exact"/>
        </w:trPr>
        <w:tc>
          <w:tcPr>
            <w:tcW w:w="65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319" w:lineRule="auto"/>
              <w:ind w:left="24" w:right="74"/>
              <w:jc w:val="both"/>
              <w:rPr>
                <w:rFonts w:ascii="宋体" w:hAnsi="宋体" w:cs="宋体" w:eastAsia="宋体" w:hint="default"/>
                <w:sz w:val="18"/>
                <w:szCs w:val="18"/>
              </w:rPr>
            </w:pPr>
            <w:r>
              <w:rPr>
                <w:rFonts w:ascii="宋体" w:hAnsi="宋体" w:cs="宋体" w:eastAsia="宋体" w:hint="default"/>
                <w:sz w:val="18"/>
                <w:szCs w:val="18"/>
              </w:rPr>
              <w:t>中证信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用增进</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股份有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限公司</w:t>
            </w:r>
          </w:p>
        </w:tc>
        <w:tc>
          <w:tcPr>
            <w:tcW w:w="653" w:type="dxa"/>
            <w:tcBorders>
              <w:top w:val="nil" w:sz="6" w:space="0" w:color="auto"/>
              <w:left w:val="single" w:sz="4" w:space="0" w:color="000000"/>
              <w:bottom w:val="nil" w:sz="6" w:space="0" w:color="auto"/>
              <w:right w:val="single" w:sz="4" w:space="0" w:color="000000"/>
            </w:tcBorders>
          </w:tcPr>
          <w:p>
            <w:pPr>
              <w:pStyle w:val="TableParagraph"/>
              <w:spacing w:line="316" w:lineRule="auto" w:before="11"/>
              <w:ind w:left="23" w:right="74"/>
              <w:jc w:val="left"/>
              <w:rPr>
                <w:rFonts w:ascii="宋体" w:hAnsi="宋体" w:cs="宋体" w:eastAsia="宋体" w:hint="default"/>
                <w:sz w:val="18"/>
                <w:szCs w:val="18"/>
              </w:rPr>
            </w:pPr>
            <w:r>
              <w:rPr>
                <w:rFonts w:ascii="宋体" w:hAnsi="宋体" w:cs="宋体" w:eastAsia="宋体" w:hint="default"/>
                <w:sz w:val="18"/>
                <w:szCs w:val="18"/>
              </w:rPr>
              <w:t>及债项</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产品信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用增</w:t>
            </w:r>
            <w:r>
              <w:rPr>
                <w:rFonts w:ascii="宋体" w:hAnsi="宋体" w:cs="宋体" w:eastAsia="宋体" w:hint="default"/>
                <w:spacing w:val="-86"/>
                <w:sz w:val="18"/>
                <w:szCs w:val="18"/>
              </w:rPr>
              <w:t> </w:t>
            </w:r>
            <w:r>
              <w:rPr>
                <w:rFonts w:ascii="宋体" w:hAnsi="宋体" w:cs="宋体" w:eastAsia="宋体" w:hint="default"/>
                <w:sz w:val="18"/>
                <w:szCs w:val="18"/>
              </w:rPr>
              <w:t>进；征</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信业务</w:t>
            </w:r>
          </w:p>
        </w:tc>
        <w:tc>
          <w:tcPr>
            <w:tcW w:w="62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新设</w:t>
            </w:r>
          </w:p>
        </w:tc>
        <w:tc>
          <w:tcPr>
            <w:tcW w:w="61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12"/>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12"/>
              <w:jc w:val="right"/>
              <w:rPr>
                <w:rFonts w:ascii="Times New Roman" w:hAnsi="Times New Roman" w:cs="Times New Roman" w:eastAsia="Times New Roman" w:hint="default"/>
                <w:sz w:val="18"/>
                <w:szCs w:val="18"/>
              </w:rPr>
            </w:pPr>
            <w:r>
              <w:rPr>
                <w:rFonts w:ascii="Times New Roman"/>
                <w:spacing w:val="-1"/>
                <w:sz w:val="18"/>
              </w:rPr>
              <w:t>0,000.0</w:t>
            </w:r>
          </w:p>
          <w:p>
            <w:pPr>
              <w:pStyle w:val="TableParagraph"/>
              <w:spacing w:line="240" w:lineRule="auto" w:before="110"/>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2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2.44%</w:t>
            </w:r>
          </w:p>
        </w:tc>
        <w:tc>
          <w:tcPr>
            <w:tcW w:w="61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321" w:lineRule="auto"/>
              <w:ind w:left="24" w:right="41"/>
              <w:jc w:val="left"/>
              <w:rPr>
                <w:rFonts w:ascii="宋体" w:hAnsi="宋体" w:cs="宋体" w:eastAsia="宋体" w:hint="default"/>
                <w:sz w:val="18"/>
                <w:szCs w:val="18"/>
              </w:rPr>
            </w:pPr>
            <w:r>
              <w:rPr>
                <w:rFonts w:ascii="宋体" w:hAnsi="宋体" w:cs="宋体" w:eastAsia="宋体" w:hint="default"/>
                <w:sz w:val="18"/>
                <w:szCs w:val="18"/>
              </w:rPr>
              <w:t>自有资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金</w:t>
            </w:r>
          </w:p>
        </w:tc>
        <w:tc>
          <w:tcPr>
            <w:tcW w:w="61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319" w:lineRule="auto"/>
              <w:ind w:left="23" w:right="41"/>
              <w:jc w:val="both"/>
              <w:rPr>
                <w:rFonts w:ascii="宋体" w:hAnsi="宋体" w:cs="宋体" w:eastAsia="宋体" w:hint="default"/>
                <w:sz w:val="18"/>
                <w:szCs w:val="18"/>
              </w:rPr>
            </w:pPr>
            <w:r>
              <w:rPr>
                <w:rFonts w:ascii="宋体" w:hAnsi="宋体" w:cs="宋体" w:eastAsia="宋体" w:hint="default"/>
                <w:sz w:val="18"/>
                <w:szCs w:val="18"/>
              </w:rPr>
              <w:t>中证信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用增进</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股份有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限公司</w:t>
            </w:r>
          </w:p>
        </w:tc>
        <w:tc>
          <w:tcPr>
            <w:tcW w:w="61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1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321" w:lineRule="auto"/>
              <w:ind w:left="19" w:right="41"/>
              <w:jc w:val="left"/>
              <w:rPr>
                <w:rFonts w:ascii="宋体" w:hAnsi="宋体" w:cs="宋体" w:eastAsia="宋体" w:hint="default"/>
                <w:sz w:val="18"/>
                <w:szCs w:val="18"/>
              </w:rPr>
            </w:pPr>
            <w:r>
              <w:rPr>
                <w:rFonts w:ascii="宋体" w:hAnsi="宋体" w:cs="宋体" w:eastAsia="宋体" w:hint="default"/>
                <w:sz w:val="18"/>
                <w:szCs w:val="18"/>
              </w:rPr>
              <w:t>股权投</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资</w:t>
            </w:r>
          </w:p>
        </w:tc>
        <w:tc>
          <w:tcPr>
            <w:tcW w:w="59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321" w:lineRule="auto"/>
              <w:ind w:left="23" w:right="194"/>
              <w:jc w:val="left"/>
              <w:rPr>
                <w:rFonts w:ascii="宋体" w:hAnsi="宋体" w:cs="宋体" w:eastAsia="宋体" w:hint="default"/>
                <w:sz w:val="18"/>
                <w:szCs w:val="18"/>
              </w:rPr>
            </w:pPr>
            <w:r>
              <w:rPr>
                <w:rFonts w:ascii="宋体" w:hAnsi="宋体" w:cs="宋体" w:eastAsia="宋体" w:hint="default"/>
                <w:sz w:val="18"/>
                <w:szCs w:val="18"/>
              </w:rPr>
              <w:t>已完</w:t>
            </w:r>
            <w:r>
              <w:rPr>
                <w:rFonts w:ascii="宋体" w:hAnsi="宋体" w:cs="宋体" w:eastAsia="宋体" w:hint="default"/>
                <w:spacing w:val="-86"/>
                <w:sz w:val="18"/>
                <w:szCs w:val="18"/>
              </w:rPr>
              <w:t> </w:t>
            </w:r>
            <w:r>
              <w:rPr>
                <w:rFonts w:ascii="宋体" w:hAnsi="宋体" w:cs="宋体" w:eastAsia="宋体" w:hint="default"/>
                <w:sz w:val="18"/>
                <w:szCs w:val="18"/>
              </w:rPr>
              <w:t>成</w:t>
            </w:r>
          </w:p>
        </w:tc>
        <w:tc>
          <w:tcPr>
            <w:tcW w:w="590" w:type="dxa"/>
            <w:vMerge/>
            <w:tcBorders>
              <w:left w:val="single" w:sz="4" w:space="0" w:color="000000"/>
              <w:right w:val="single" w:sz="4" w:space="0" w:color="000000"/>
            </w:tcBorders>
          </w:tcPr>
          <w:p>
            <w:pPr/>
          </w:p>
        </w:tc>
        <w:tc>
          <w:tcPr>
            <w:tcW w:w="691" w:type="dxa"/>
            <w:vMerge/>
            <w:tcBorders>
              <w:left w:val="single" w:sz="4" w:space="0" w:color="000000"/>
              <w:right w:val="single" w:sz="4" w:space="0" w:color="000000"/>
            </w:tcBorders>
          </w:tcPr>
          <w:p>
            <w:pPr/>
          </w:p>
        </w:tc>
        <w:tc>
          <w:tcPr>
            <w:tcW w:w="69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69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01</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66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64" w:lineRule="auto"/>
              <w:ind w:left="23" w:right="21"/>
              <w:jc w:val="left"/>
              <w:rPr>
                <w:rFonts w:ascii="Times New Roman" w:hAnsi="Times New Roman" w:cs="Times New Roman" w:eastAsia="Times New Roman" w:hint="default"/>
                <w:sz w:val="18"/>
                <w:szCs w:val="18"/>
              </w:rPr>
            </w:pPr>
            <w:hyperlink r:id="rId12">
              <w:r>
                <w:rPr>
                  <w:rFonts w:ascii="Times New Roman"/>
                  <w:sz w:val="18"/>
                </w:rPr>
                <w:t>http://w</w:t>
              </w:r>
            </w:hyperlink>
            <w:r>
              <w:rPr>
                <w:rFonts w:ascii="Times New Roman"/>
                <w:spacing w:val="-43"/>
                <w:sz w:val="18"/>
              </w:rPr>
              <w:t> </w:t>
            </w:r>
            <w:r>
              <w:rPr>
                <w:rFonts w:ascii="Times New Roman"/>
                <w:spacing w:val="-43"/>
                <w:sz w:val="18"/>
              </w:rPr>
            </w:r>
            <w:r>
              <w:rPr>
                <w:rFonts w:ascii="Times New Roman"/>
                <w:spacing w:val="-3"/>
                <w:sz w:val="18"/>
              </w:rPr>
              <w:t>ww.cnin</w:t>
            </w:r>
            <w:r>
              <w:rPr>
                <w:rFonts w:ascii="Times New Roman"/>
                <w:spacing w:val="-30"/>
                <w:sz w:val="18"/>
              </w:rPr>
              <w:t> </w:t>
            </w:r>
            <w:r>
              <w:rPr>
                <w:rFonts w:ascii="Times New Roman"/>
                <w:spacing w:val="-30"/>
                <w:sz w:val="18"/>
              </w:rPr>
            </w:r>
            <w:r>
              <w:rPr>
                <w:rFonts w:ascii="Times New Roman"/>
                <w:spacing w:val="-3"/>
                <w:sz w:val="18"/>
              </w:rPr>
              <w:t>fo.com.</w:t>
            </w:r>
            <w:r>
              <w:rPr>
                <w:rFonts w:ascii="Times New Roman"/>
                <w:spacing w:val="-32"/>
                <w:sz w:val="18"/>
              </w:rPr>
              <w:t> </w:t>
            </w:r>
            <w:r>
              <w:rPr>
                <w:rFonts w:ascii="Times New Roman"/>
                <w:spacing w:val="-32"/>
                <w:sz w:val="18"/>
              </w:rPr>
            </w:r>
            <w:r>
              <w:rPr>
                <w:rFonts w:ascii="Times New Roman"/>
                <w:sz w:val="18"/>
              </w:rPr>
              <w:t>cn</w:t>
            </w:r>
          </w:p>
        </w:tc>
      </w:tr>
      <w:tr>
        <w:trPr>
          <w:trHeight w:val="314" w:hRule="exact"/>
        </w:trPr>
        <w:tc>
          <w:tcPr>
            <w:tcW w:w="653" w:type="dxa"/>
            <w:tcBorders>
              <w:top w:val="nil" w:sz="6" w:space="0" w:color="auto"/>
              <w:left w:val="single" w:sz="4" w:space="0" w:color="000000"/>
              <w:bottom w:val="nil" w:sz="6" w:space="0" w:color="auto"/>
              <w:right w:val="single" w:sz="4" w:space="0" w:color="000000"/>
            </w:tcBorders>
          </w:tcPr>
          <w:p>
            <w:pPr/>
          </w:p>
        </w:tc>
        <w:tc>
          <w:tcPr>
            <w:tcW w:w="65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50"/>
              <w:jc w:val="center"/>
              <w:rPr>
                <w:rFonts w:ascii="宋体" w:hAnsi="宋体" w:cs="宋体" w:eastAsia="宋体" w:hint="default"/>
                <w:sz w:val="18"/>
                <w:szCs w:val="18"/>
              </w:rPr>
            </w:pPr>
            <w:r>
              <w:rPr>
                <w:rFonts w:ascii="宋体" w:hAnsi="宋体" w:cs="宋体" w:eastAsia="宋体" w:hint="default"/>
                <w:sz w:val="18"/>
                <w:szCs w:val="18"/>
              </w:rPr>
              <w:t>和信用</w:t>
            </w:r>
          </w:p>
        </w:tc>
        <w:tc>
          <w:tcPr>
            <w:tcW w:w="624" w:type="dxa"/>
            <w:tcBorders>
              <w:top w:val="nil" w:sz="6" w:space="0" w:color="auto"/>
              <w:left w:val="single" w:sz="4" w:space="0" w:color="000000"/>
              <w:bottom w:val="nil" w:sz="6" w:space="0" w:color="auto"/>
              <w:right w:val="single" w:sz="4" w:space="0" w:color="000000"/>
            </w:tcBorders>
          </w:tcPr>
          <w:p>
            <w:pPr/>
          </w:p>
        </w:tc>
        <w:tc>
          <w:tcPr>
            <w:tcW w:w="619" w:type="dxa"/>
            <w:tcBorders>
              <w:top w:val="nil" w:sz="6" w:space="0" w:color="auto"/>
              <w:left w:val="single" w:sz="4" w:space="0" w:color="000000"/>
              <w:bottom w:val="nil" w:sz="6" w:space="0" w:color="auto"/>
              <w:right w:val="single" w:sz="4" w:space="0" w:color="000000"/>
            </w:tcBorders>
          </w:tcPr>
          <w:p>
            <w:pPr/>
          </w:p>
        </w:tc>
        <w:tc>
          <w:tcPr>
            <w:tcW w:w="624" w:type="dxa"/>
            <w:tcBorders>
              <w:top w:val="nil" w:sz="6" w:space="0" w:color="auto"/>
              <w:left w:val="single" w:sz="4" w:space="0" w:color="000000"/>
              <w:bottom w:val="nil" w:sz="6" w:space="0" w:color="auto"/>
              <w:right w:val="single" w:sz="4" w:space="0" w:color="000000"/>
            </w:tcBorders>
          </w:tcPr>
          <w:p>
            <w:pPr/>
          </w:p>
        </w:tc>
        <w:tc>
          <w:tcPr>
            <w:tcW w:w="619" w:type="dxa"/>
            <w:tcBorders>
              <w:top w:val="nil" w:sz="6" w:space="0" w:color="auto"/>
              <w:left w:val="single" w:sz="4" w:space="0" w:color="000000"/>
              <w:bottom w:val="nil" w:sz="6" w:space="0" w:color="auto"/>
              <w:right w:val="single" w:sz="4" w:space="0" w:color="000000"/>
            </w:tcBorders>
          </w:tcPr>
          <w:p>
            <w:pPr/>
          </w:p>
        </w:tc>
        <w:tc>
          <w:tcPr>
            <w:tcW w:w="619" w:type="dxa"/>
            <w:tcBorders>
              <w:top w:val="nil" w:sz="6" w:space="0" w:color="auto"/>
              <w:left w:val="single" w:sz="4" w:space="0" w:color="000000"/>
              <w:bottom w:val="nil" w:sz="6" w:space="0" w:color="auto"/>
              <w:right w:val="single" w:sz="4" w:space="0" w:color="000000"/>
            </w:tcBorders>
          </w:tcPr>
          <w:p>
            <w:pPr/>
          </w:p>
        </w:tc>
        <w:tc>
          <w:tcPr>
            <w:tcW w:w="619" w:type="dxa"/>
            <w:tcBorders>
              <w:top w:val="nil" w:sz="6" w:space="0" w:color="auto"/>
              <w:left w:val="single" w:sz="4" w:space="0" w:color="000000"/>
              <w:bottom w:val="nil" w:sz="6" w:space="0" w:color="auto"/>
              <w:right w:val="single" w:sz="4" w:space="0" w:color="000000"/>
            </w:tcBorders>
          </w:tcPr>
          <w:p>
            <w:pPr/>
          </w:p>
        </w:tc>
        <w:tc>
          <w:tcPr>
            <w:tcW w:w="614" w:type="dxa"/>
            <w:tcBorders>
              <w:top w:val="nil" w:sz="6" w:space="0" w:color="auto"/>
              <w:left w:val="single" w:sz="4" w:space="0" w:color="000000"/>
              <w:bottom w:val="nil" w:sz="6" w:space="0" w:color="auto"/>
              <w:right w:val="single" w:sz="4" w:space="0" w:color="000000"/>
            </w:tcBorders>
          </w:tcPr>
          <w:p>
            <w:pPr/>
          </w:p>
        </w:tc>
        <w:tc>
          <w:tcPr>
            <w:tcW w:w="595" w:type="dxa"/>
            <w:tcBorders>
              <w:top w:val="nil" w:sz="6" w:space="0" w:color="auto"/>
              <w:left w:val="single" w:sz="4" w:space="0" w:color="000000"/>
              <w:bottom w:val="nil" w:sz="6" w:space="0" w:color="auto"/>
              <w:right w:val="single" w:sz="4" w:space="0" w:color="000000"/>
            </w:tcBorders>
          </w:tcPr>
          <w:p>
            <w:pPr/>
          </w:p>
        </w:tc>
        <w:tc>
          <w:tcPr>
            <w:tcW w:w="590" w:type="dxa"/>
            <w:vMerge/>
            <w:tcBorders>
              <w:left w:val="single" w:sz="4" w:space="0" w:color="000000"/>
              <w:right w:val="single" w:sz="4" w:space="0" w:color="000000"/>
            </w:tcBorders>
          </w:tcPr>
          <w:p>
            <w:pPr/>
          </w:p>
        </w:tc>
        <w:tc>
          <w:tcPr>
            <w:tcW w:w="691" w:type="dxa"/>
            <w:vMerge/>
            <w:tcBorders>
              <w:left w:val="single" w:sz="4" w:space="0" w:color="000000"/>
              <w:right w:val="single" w:sz="4" w:space="0" w:color="000000"/>
            </w:tcBorders>
          </w:tcPr>
          <w:p>
            <w:pPr/>
          </w:p>
        </w:tc>
        <w:tc>
          <w:tcPr>
            <w:tcW w:w="691" w:type="dxa"/>
            <w:tcBorders>
              <w:top w:val="nil" w:sz="6" w:space="0" w:color="auto"/>
              <w:left w:val="single" w:sz="4" w:space="0" w:color="000000"/>
              <w:bottom w:val="nil" w:sz="6" w:space="0" w:color="auto"/>
              <w:right w:val="single" w:sz="4" w:space="0" w:color="000000"/>
            </w:tcBorders>
          </w:tcPr>
          <w:p>
            <w:pPr/>
          </w:p>
        </w:tc>
        <w:tc>
          <w:tcPr>
            <w:tcW w:w="691" w:type="dxa"/>
            <w:tcBorders>
              <w:top w:val="nil" w:sz="6" w:space="0" w:color="auto"/>
              <w:left w:val="single" w:sz="4" w:space="0" w:color="000000"/>
              <w:bottom w:val="nil" w:sz="6" w:space="0" w:color="auto"/>
              <w:right w:val="single" w:sz="4" w:space="0" w:color="000000"/>
            </w:tcBorders>
          </w:tcPr>
          <w:p>
            <w:pPr/>
          </w:p>
        </w:tc>
        <w:tc>
          <w:tcPr>
            <w:tcW w:w="667" w:type="dxa"/>
            <w:tcBorders>
              <w:top w:val="nil" w:sz="6" w:space="0" w:color="auto"/>
              <w:left w:val="single" w:sz="4" w:space="0" w:color="000000"/>
              <w:bottom w:val="nil" w:sz="6" w:space="0" w:color="auto"/>
              <w:right w:val="single" w:sz="4" w:space="0" w:color="000000"/>
            </w:tcBorders>
          </w:tcPr>
          <w:p>
            <w:pPr/>
          </w:p>
        </w:tc>
      </w:tr>
      <w:tr>
        <w:trPr>
          <w:trHeight w:val="354" w:hRule="exact"/>
        </w:trPr>
        <w:tc>
          <w:tcPr>
            <w:tcW w:w="653" w:type="dxa"/>
            <w:tcBorders>
              <w:top w:val="nil" w:sz="6" w:space="0" w:color="auto"/>
              <w:left w:val="single" w:sz="4" w:space="0" w:color="000000"/>
              <w:bottom w:val="single" w:sz="4" w:space="0" w:color="000000"/>
              <w:right w:val="single" w:sz="4" w:space="0" w:color="000000"/>
            </w:tcBorders>
          </w:tcPr>
          <w:p>
            <w:pPr/>
          </w:p>
        </w:tc>
        <w:tc>
          <w:tcPr>
            <w:tcW w:w="65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right="50"/>
              <w:jc w:val="center"/>
              <w:rPr>
                <w:rFonts w:ascii="宋体" w:hAnsi="宋体" w:cs="宋体" w:eastAsia="宋体" w:hint="default"/>
                <w:sz w:val="18"/>
                <w:szCs w:val="18"/>
              </w:rPr>
            </w:pPr>
            <w:r>
              <w:rPr>
                <w:rFonts w:ascii="宋体" w:hAnsi="宋体" w:cs="宋体" w:eastAsia="宋体" w:hint="default"/>
                <w:sz w:val="18"/>
                <w:szCs w:val="18"/>
              </w:rPr>
              <w:t>评级；</w:t>
            </w:r>
          </w:p>
        </w:tc>
        <w:tc>
          <w:tcPr>
            <w:tcW w:w="624" w:type="dxa"/>
            <w:tcBorders>
              <w:top w:val="nil" w:sz="6" w:space="0" w:color="auto"/>
              <w:left w:val="single" w:sz="4" w:space="0" w:color="000000"/>
              <w:bottom w:val="single" w:sz="4" w:space="0" w:color="000000"/>
              <w:right w:val="single" w:sz="4" w:space="0" w:color="000000"/>
            </w:tcBorders>
          </w:tcPr>
          <w:p>
            <w:pPr/>
          </w:p>
        </w:tc>
        <w:tc>
          <w:tcPr>
            <w:tcW w:w="619" w:type="dxa"/>
            <w:tcBorders>
              <w:top w:val="nil" w:sz="6" w:space="0" w:color="auto"/>
              <w:left w:val="single" w:sz="4" w:space="0" w:color="000000"/>
              <w:bottom w:val="single" w:sz="4" w:space="0" w:color="000000"/>
              <w:right w:val="single" w:sz="4" w:space="0" w:color="000000"/>
            </w:tcBorders>
          </w:tcPr>
          <w:p>
            <w:pPr/>
          </w:p>
        </w:tc>
        <w:tc>
          <w:tcPr>
            <w:tcW w:w="624" w:type="dxa"/>
            <w:tcBorders>
              <w:top w:val="nil" w:sz="6" w:space="0" w:color="auto"/>
              <w:left w:val="single" w:sz="4" w:space="0" w:color="000000"/>
              <w:bottom w:val="single" w:sz="4" w:space="0" w:color="000000"/>
              <w:right w:val="single" w:sz="4" w:space="0" w:color="000000"/>
            </w:tcBorders>
          </w:tcPr>
          <w:p>
            <w:pPr/>
          </w:p>
        </w:tc>
        <w:tc>
          <w:tcPr>
            <w:tcW w:w="619" w:type="dxa"/>
            <w:tcBorders>
              <w:top w:val="nil" w:sz="6" w:space="0" w:color="auto"/>
              <w:left w:val="single" w:sz="4" w:space="0" w:color="000000"/>
              <w:bottom w:val="single" w:sz="4" w:space="0" w:color="000000"/>
              <w:right w:val="single" w:sz="4" w:space="0" w:color="000000"/>
            </w:tcBorders>
          </w:tcPr>
          <w:p>
            <w:pPr/>
          </w:p>
        </w:tc>
        <w:tc>
          <w:tcPr>
            <w:tcW w:w="619" w:type="dxa"/>
            <w:tcBorders>
              <w:top w:val="nil" w:sz="6" w:space="0" w:color="auto"/>
              <w:left w:val="single" w:sz="4" w:space="0" w:color="000000"/>
              <w:bottom w:val="single" w:sz="4" w:space="0" w:color="000000"/>
              <w:right w:val="single" w:sz="4" w:space="0" w:color="000000"/>
            </w:tcBorders>
          </w:tcPr>
          <w:p>
            <w:pPr/>
          </w:p>
        </w:tc>
        <w:tc>
          <w:tcPr>
            <w:tcW w:w="619" w:type="dxa"/>
            <w:tcBorders>
              <w:top w:val="nil" w:sz="6" w:space="0" w:color="auto"/>
              <w:left w:val="single" w:sz="4" w:space="0" w:color="000000"/>
              <w:bottom w:val="single" w:sz="4" w:space="0" w:color="000000"/>
              <w:right w:val="single" w:sz="4" w:space="0" w:color="000000"/>
            </w:tcBorders>
          </w:tcPr>
          <w:p>
            <w:pPr/>
          </w:p>
        </w:tc>
        <w:tc>
          <w:tcPr>
            <w:tcW w:w="614" w:type="dxa"/>
            <w:tcBorders>
              <w:top w:val="nil" w:sz="6" w:space="0" w:color="auto"/>
              <w:left w:val="single" w:sz="4" w:space="0" w:color="000000"/>
              <w:bottom w:val="single" w:sz="4" w:space="0" w:color="000000"/>
              <w:right w:val="single" w:sz="4" w:space="0" w:color="000000"/>
            </w:tcBorders>
          </w:tcPr>
          <w:p>
            <w:pPr/>
          </w:p>
        </w:tc>
        <w:tc>
          <w:tcPr>
            <w:tcW w:w="595" w:type="dxa"/>
            <w:tcBorders>
              <w:top w:val="nil" w:sz="6" w:space="0" w:color="auto"/>
              <w:left w:val="single" w:sz="4" w:space="0" w:color="000000"/>
              <w:bottom w:val="single" w:sz="4" w:space="0" w:color="000000"/>
              <w:right w:val="single" w:sz="4" w:space="0" w:color="000000"/>
            </w:tcBorders>
          </w:tcPr>
          <w:p>
            <w:pPr/>
          </w:p>
        </w:tc>
        <w:tc>
          <w:tcPr>
            <w:tcW w:w="590" w:type="dxa"/>
            <w:vMerge/>
            <w:tcBorders>
              <w:left w:val="single" w:sz="4" w:space="0" w:color="000000"/>
              <w:bottom w:val="single" w:sz="4" w:space="0" w:color="000000"/>
              <w:right w:val="single" w:sz="4" w:space="0" w:color="000000"/>
            </w:tcBorders>
          </w:tcPr>
          <w:p>
            <w:pPr/>
          </w:p>
        </w:tc>
        <w:tc>
          <w:tcPr>
            <w:tcW w:w="691" w:type="dxa"/>
            <w:vMerge/>
            <w:tcBorders>
              <w:left w:val="single" w:sz="4" w:space="0" w:color="000000"/>
              <w:bottom w:val="single" w:sz="4" w:space="0" w:color="000000"/>
              <w:right w:val="single" w:sz="4" w:space="0" w:color="000000"/>
            </w:tcBorders>
          </w:tcPr>
          <w:p>
            <w:pPr/>
          </w:p>
        </w:tc>
        <w:tc>
          <w:tcPr>
            <w:tcW w:w="691" w:type="dxa"/>
            <w:tcBorders>
              <w:top w:val="nil" w:sz="6" w:space="0" w:color="auto"/>
              <w:left w:val="single" w:sz="4" w:space="0" w:color="000000"/>
              <w:bottom w:val="single" w:sz="4" w:space="0" w:color="000000"/>
              <w:right w:val="single" w:sz="4" w:space="0" w:color="000000"/>
            </w:tcBorders>
          </w:tcPr>
          <w:p>
            <w:pPr/>
          </w:p>
        </w:tc>
        <w:tc>
          <w:tcPr>
            <w:tcW w:w="691" w:type="dxa"/>
            <w:tcBorders>
              <w:top w:val="nil" w:sz="6" w:space="0" w:color="auto"/>
              <w:left w:val="single" w:sz="4" w:space="0" w:color="000000"/>
              <w:bottom w:val="single" w:sz="4" w:space="0" w:color="000000"/>
              <w:right w:val="single" w:sz="4" w:space="0" w:color="000000"/>
            </w:tcBorders>
          </w:tcPr>
          <w:p>
            <w:pPr/>
          </w:p>
        </w:tc>
        <w:tc>
          <w:tcPr>
            <w:tcW w:w="667"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653" w:type="dxa"/>
            <w:tcBorders>
              <w:top w:val="single" w:sz="4" w:space="0" w:color="000000"/>
              <w:left w:val="single" w:sz="4" w:space="0" w:color="000000"/>
              <w:bottom w:val="nil" w:sz="6" w:space="0" w:color="auto"/>
              <w:right w:val="single" w:sz="4" w:space="0" w:color="000000"/>
            </w:tcBorders>
          </w:tcPr>
          <w:p>
            <w:pPr/>
          </w:p>
        </w:tc>
        <w:tc>
          <w:tcPr>
            <w:tcW w:w="653" w:type="dxa"/>
            <w:tcBorders>
              <w:top w:val="single" w:sz="4" w:space="0" w:color="000000"/>
              <w:left w:val="single" w:sz="4" w:space="0" w:color="000000"/>
              <w:bottom w:val="nil" w:sz="6" w:space="0" w:color="auto"/>
              <w:right w:val="single" w:sz="4" w:space="0" w:color="000000"/>
            </w:tcBorders>
          </w:tcPr>
          <w:p>
            <w:pPr/>
          </w:p>
        </w:tc>
        <w:tc>
          <w:tcPr>
            <w:tcW w:w="624" w:type="dxa"/>
            <w:tcBorders>
              <w:top w:val="single" w:sz="4" w:space="0" w:color="000000"/>
              <w:left w:val="single" w:sz="4" w:space="0" w:color="000000"/>
              <w:bottom w:val="nil" w:sz="6" w:space="0" w:color="auto"/>
              <w:right w:val="single" w:sz="4" w:space="0" w:color="000000"/>
            </w:tcBorders>
          </w:tcPr>
          <w:p>
            <w:pPr/>
          </w:p>
        </w:tc>
        <w:tc>
          <w:tcPr>
            <w:tcW w:w="619" w:type="dxa"/>
            <w:tcBorders>
              <w:top w:val="single" w:sz="4" w:space="0" w:color="000000"/>
              <w:left w:val="single" w:sz="4" w:space="0" w:color="000000"/>
              <w:bottom w:val="nil" w:sz="6" w:space="0" w:color="auto"/>
              <w:right w:val="single" w:sz="4" w:space="0" w:color="000000"/>
            </w:tcBorders>
          </w:tcPr>
          <w:p>
            <w:pPr/>
          </w:p>
        </w:tc>
        <w:tc>
          <w:tcPr>
            <w:tcW w:w="624" w:type="dxa"/>
            <w:tcBorders>
              <w:top w:val="single" w:sz="4" w:space="0" w:color="000000"/>
              <w:left w:val="single" w:sz="4" w:space="0" w:color="000000"/>
              <w:bottom w:val="nil" w:sz="6" w:space="0" w:color="auto"/>
              <w:right w:val="single" w:sz="4" w:space="0" w:color="000000"/>
            </w:tcBorders>
          </w:tcPr>
          <w:p>
            <w:pPr/>
          </w:p>
        </w:tc>
        <w:tc>
          <w:tcPr>
            <w:tcW w:w="619" w:type="dxa"/>
            <w:tcBorders>
              <w:top w:val="single" w:sz="4" w:space="0" w:color="000000"/>
              <w:left w:val="single" w:sz="4" w:space="0" w:color="000000"/>
              <w:bottom w:val="nil" w:sz="6" w:space="0" w:color="auto"/>
              <w:right w:val="single" w:sz="4" w:space="0" w:color="000000"/>
            </w:tcBorders>
          </w:tcPr>
          <w:p>
            <w:pPr/>
          </w:p>
        </w:tc>
        <w:tc>
          <w:tcPr>
            <w:tcW w:w="61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新疆通</w:t>
            </w:r>
          </w:p>
        </w:tc>
        <w:tc>
          <w:tcPr>
            <w:tcW w:w="619" w:type="dxa"/>
            <w:tcBorders>
              <w:top w:val="single" w:sz="4" w:space="0" w:color="000000"/>
              <w:left w:val="single" w:sz="4" w:space="0" w:color="000000"/>
              <w:bottom w:val="nil" w:sz="6" w:space="0" w:color="auto"/>
              <w:right w:val="single" w:sz="4" w:space="0" w:color="000000"/>
            </w:tcBorders>
          </w:tcPr>
          <w:p>
            <w:pPr/>
          </w:p>
        </w:tc>
        <w:tc>
          <w:tcPr>
            <w:tcW w:w="614" w:type="dxa"/>
            <w:tcBorders>
              <w:top w:val="single" w:sz="4" w:space="0" w:color="000000"/>
              <w:left w:val="single" w:sz="4" w:space="0" w:color="000000"/>
              <w:bottom w:val="nil" w:sz="6" w:space="0" w:color="auto"/>
              <w:right w:val="single" w:sz="4" w:space="0" w:color="000000"/>
            </w:tcBorders>
          </w:tcPr>
          <w:p>
            <w:pPr/>
          </w:p>
        </w:tc>
        <w:tc>
          <w:tcPr>
            <w:tcW w:w="595" w:type="dxa"/>
            <w:tcBorders>
              <w:top w:val="single" w:sz="4" w:space="0" w:color="000000"/>
              <w:left w:val="single" w:sz="4" w:space="0" w:color="000000"/>
              <w:bottom w:val="nil" w:sz="6" w:space="0" w:color="auto"/>
              <w:right w:val="single" w:sz="4" w:space="0" w:color="000000"/>
            </w:tcBorders>
          </w:tcPr>
          <w:p>
            <w:pPr/>
          </w:p>
        </w:tc>
        <w:tc>
          <w:tcPr>
            <w:tcW w:w="590" w:type="dxa"/>
            <w:vMerge w:val="restart"/>
            <w:tcBorders>
              <w:top w:val="single" w:sz="4" w:space="0" w:color="000000"/>
              <w:left w:val="single" w:sz="4" w:space="0" w:color="000000"/>
              <w:right w:val="single" w:sz="4" w:space="0" w:color="000000"/>
            </w:tcBorders>
          </w:tcPr>
          <w:p>
            <w:pPr/>
          </w:p>
        </w:tc>
        <w:tc>
          <w:tcPr>
            <w:tcW w:w="691" w:type="dxa"/>
            <w:vMerge w:val="restart"/>
            <w:tcBorders>
              <w:top w:val="single" w:sz="4" w:space="0" w:color="000000"/>
              <w:left w:val="single" w:sz="4" w:space="0" w:color="000000"/>
              <w:right w:val="single" w:sz="4" w:space="0" w:color="000000"/>
            </w:tcBorders>
          </w:tcPr>
          <w:p>
            <w:pPr/>
          </w:p>
        </w:tc>
        <w:tc>
          <w:tcPr>
            <w:tcW w:w="691" w:type="dxa"/>
            <w:tcBorders>
              <w:top w:val="single" w:sz="4" w:space="0" w:color="000000"/>
              <w:left w:val="single" w:sz="4" w:space="0" w:color="000000"/>
              <w:bottom w:val="nil" w:sz="6" w:space="0" w:color="auto"/>
              <w:right w:val="single" w:sz="4" w:space="0" w:color="000000"/>
            </w:tcBorders>
          </w:tcPr>
          <w:p>
            <w:pPr/>
          </w:p>
        </w:tc>
        <w:tc>
          <w:tcPr>
            <w:tcW w:w="691" w:type="dxa"/>
            <w:tcBorders>
              <w:top w:val="single" w:sz="4" w:space="0" w:color="000000"/>
              <w:left w:val="single" w:sz="4" w:space="0" w:color="000000"/>
              <w:bottom w:val="nil" w:sz="6" w:space="0" w:color="auto"/>
              <w:right w:val="single" w:sz="4" w:space="0" w:color="000000"/>
            </w:tcBorders>
          </w:tcPr>
          <w:p>
            <w:pPr/>
          </w:p>
        </w:tc>
        <w:tc>
          <w:tcPr>
            <w:tcW w:w="667" w:type="dxa"/>
            <w:tcBorders>
              <w:top w:val="single" w:sz="4" w:space="0" w:color="000000"/>
              <w:left w:val="single" w:sz="4" w:space="0" w:color="000000"/>
              <w:bottom w:val="nil" w:sz="6" w:space="0" w:color="auto"/>
              <w:right w:val="single" w:sz="4" w:space="0" w:color="000000"/>
            </w:tcBorders>
          </w:tcPr>
          <w:p>
            <w:pPr/>
          </w:p>
        </w:tc>
      </w:tr>
      <w:tr>
        <w:trPr>
          <w:trHeight w:val="310" w:hRule="exact"/>
        </w:trPr>
        <w:tc>
          <w:tcPr>
            <w:tcW w:w="653" w:type="dxa"/>
            <w:tcBorders>
              <w:top w:val="nil" w:sz="6" w:space="0" w:color="auto"/>
              <w:left w:val="single" w:sz="4" w:space="0" w:color="000000"/>
              <w:bottom w:val="nil" w:sz="6" w:space="0" w:color="auto"/>
              <w:right w:val="single" w:sz="4" w:space="0" w:color="000000"/>
            </w:tcBorders>
          </w:tcPr>
          <w:p>
            <w:pPr/>
          </w:p>
        </w:tc>
        <w:tc>
          <w:tcPr>
            <w:tcW w:w="653" w:type="dxa"/>
            <w:tcBorders>
              <w:top w:val="nil" w:sz="6" w:space="0" w:color="auto"/>
              <w:left w:val="single" w:sz="4" w:space="0" w:color="000000"/>
              <w:bottom w:val="nil" w:sz="6" w:space="0" w:color="auto"/>
              <w:right w:val="single" w:sz="4" w:space="0" w:color="000000"/>
            </w:tcBorders>
          </w:tcPr>
          <w:p>
            <w:pPr/>
          </w:p>
        </w:tc>
        <w:tc>
          <w:tcPr>
            <w:tcW w:w="624" w:type="dxa"/>
            <w:tcBorders>
              <w:top w:val="nil" w:sz="6" w:space="0" w:color="auto"/>
              <w:left w:val="single" w:sz="4" w:space="0" w:color="000000"/>
              <w:bottom w:val="nil" w:sz="6" w:space="0" w:color="auto"/>
              <w:right w:val="single" w:sz="4" w:space="0" w:color="000000"/>
            </w:tcBorders>
          </w:tcPr>
          <w:p>
            <w:pPr/>
          </w:p>
        </w:tc>
        <w:tc>
          <w:tcPr>
            <w:tcW w:w="619" w:type="dxa"/>
            <w:tcBorders>
              <w:top w:val="nil" w:sz="6" w:space="0" w:color="auto"/>
              <w:left w:val="single" w:sz="4" w:space="0" w:color="000000"/>
              <w:bottom w:val="nil" w:sz="6" w:space="0" w:color="auto"/>
              <w:right w:val="single" w:sz="4" w:space="0" w:color="000000"/>
            </w:tcBorders>
          </w:tcPr>
          <w:p>
            <w:pPr/>
          </w:p>
        </w:tc>
        <w:tc>
          <w:tcPr>
            <w:tcW w:w="624" w:type="dxa"/>
            <w:tcBorders>
              <w:top w:val="nil" w:sz="6" w:space="0" w:color="auto"/>
              <w:left w:val="single" w:sz="4" w:space="0" w:color="000000"/>
              <w:bottom w:val="nil" w:sz="6" w:space="0" w:color="auto"/>
              <w:right w:val="single" w:sz="4" w:space="0" w:color="000000"/>
            </w:tcBorders>
          </w:tcPr>
          <w:p>
            <w:pPr/>
          </w:p>
        </w:tc>
        <w:tc>
          <w:tcPr>
            <w:tcW w:w="619" w:type="dxa"/>
            <w:tcBorders>
              <w:top w:val="nil" w:sz="6" w:space="0" w:color="auto"/>
              <w:left w:val="single" w:sz="4" w:space="0" w:color="000000"/>
              <w:bottom w:val="nil" w:sz="6" w:space="0" w:color="auto"/>
              <w:right w:val="single" w:sz="4" w:space="0" w:color="000000"/>
            </w:tcBorders>
          </w:tcPr>
          <w:p>
            <w:pPr/>
          </w:p>
        </w:tc>
        <w:tc>
          <w:tcPr>
            <w:tcW w:w="61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泰股权</w:t>
            </w:r>
          </w:p>
        </w:tc>
        <w:tc>
          <w:tcPr>
            <w:tcW w:w="619" w:type="dxa"/>
            <w:tcBorders>
              <w:top w:val="nil" w:sz="6" w:space="0" w:color="auto"/>
              <w:left w:val="single" w:sz="4" w:space="0" w:color="000000"/>
              <w:bottom w:val="nil" w:sz="6" w:space="0" w:color="auto"/>
              <w:right w:val="single" w:sz="4" w:space="0" w:color="000000"/>
            </w:tcBorders>
          </w:tcPr>
          <w:p>
            <w:pPr/>
          </w:p>
        </w:tc>
        <w:tc>
          <w:tcPr>
            <w:tcW w:w="614" w:type="dxa"/>
            <w:tcBorders>
              <w:top w:val="nil" w:sz="6" w:space="0" w:color="auto"/>
              <w:left w:val="single" w:sz="4" w:space="0" w:color="000000"/>
              <w:bottom w:val="nil" w:sz="6" w:space="0" w:color="auto"/>
              <w:right w:val="single" w:sz="4" w:space="0" w:color="000000"/>
            </w:tcBorders>
          </w:tcPr>
          <w:p>
            <w:pPr/>
          </w:p>
        </w:tc>
        <w:tc>
          <w:tcPr>
            <w:tcW w:w="595" w:type="dxa"/>
            <w:tcBorders>
              <w:top w:val="nil" w:sz="6" w:space="0" w:color="auto"/>
              <w:left w:val="single" w:sz="4" w:space="0" w:color="000000"/>
              <w:bottom w:val="nil" w:sz="6" w:space="0" w:color="auto"/>
              <w:right w:val="single" w:sz="4" w:space="0" w:color="000000"/>
            </w:tcBorders>
          </w:tcPr>
          <w:p>
            <w:pPr/>
          </w:p>
        </w:tc>
        <w:tc>
          <w:tcPr>
            <w:tcW w:w="590" w:type="dxa"/>
            <w:vMerge/>
            <w:tcBorders>
              <w:left w:val="single" w:sz="4" w:space="0" w:color="000000"/>
              <w:right w:val="single" w:sz="4" w:space="0" w:color="000000"/>
            </w:tcBorders>
          </w:tcPr>
          <w:p>
            <w:pPr/>
          </w:p>
        </w:tc>
        <w:tc>
          <w:tcPr>
            <w:tcW w:w="691" w:type="dxa"/>
            <w:vMerge/>
            <w:tcBorders>
              <w:left w:val="single" w:sz="4" w:space="0" w:color="000000"/>
              <w:right w:val="single" w:sz="4" w:space="0" w:color="000000"/>
            </w:tcBorders>
          </w:tcPr>
          <w:p>
            <w:pPr/>
          </w:p>
        </w:tc>
        <w:tc>
          <w:tcPr>
            <w:tcW w:w="691" w:type="dxa"/>
            <w:tcBorders>
              <w:top w:val="nil" w:sz="6" w:space="0" w:color="auto"/>
              <w:left w:val="single" w:sz="4" w:space="0" w:color="000000"/>
              <w:bottom w:val="nil" w:sz="6" w:space="0" w:color="auto"/>
              <w:right w:val="single" w:sz="4" w:space="0" w:color="000000"/>
            </w:tcBorders>
          </w:tcPr>
          <w:p>
            <w:pPr/>
          </w:p>
        </w:tc>
        <w:tc>
          <w:tcPr>
            <w:tcW w:w="691" w:type="dxa"/>
            <w:tcBorders>
              <w:top w:val="nil" w:sz="6" w:space="0" w:color="auto"/>
              <w:left w:val="single" w:sz="4" w:space="0" w:color="000000"/>
              <w:bottom w:val="nil" w:sz="6" w:space="0" w:color="auto"/>
              <w:right w:val="single" w:sz="4" w:space="0" w:color="000000"/>
            </w:tcBorders>
          </w:tcPr>
          <w:p>
            <w:pPr/>
          </w:p>
        </w:tc>
        <w:tc>
          <w:tcPr>
            <w:tcW w:w="66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653" w:type="dxa"/>
            <w:tcBorders>
              <w:top w:val="nil" w:sz="6" w:space="0" w:color="auto"/>
              <w:left w:val="single" w:sz="4" w:space="0" w:color="000000"/>
              <w:bottom w:val="nil" w:sz="6" w:space="0" w:color="auto"/>
              <w:right w:val="single" w:sz="4" w:space="0" w:color="000000"/>
            </w:tcBorders>
          </w:tcPr>
          <w:p>
            <w:pPr/>
          </w:p>
        </w:tc>
        <w:tc>
          <w:tcPr>
            <w:tcW w:w="653" w:type="dxa"/>
            <w:tcBorders>
              <w:top w:val="nil" w:sz="6" w:space="0" w:color="auto"/>
              <w:left w:val="single" w:sz="4" w:space="0" w:color="000000"/>
              <w:bottom w:val="nil" w:sz="6" w:space="0" w:color="auto"/>
              <w:right w:val="single" w:sz="4" w:space="0" w:color="000000"/>
            </w:tcBorders>
          </w:tcPr>
          <w:p>
            <w:pPr/>
          </w:p>
        </w:tc>
        <w:tc>
          <w:tcPr>
            <w:tcW w:w="624" w:type="dxa"/>
            <w:tcBorders>
              <w:top w:val="nil" w:sz="6" w:space="0" w:color="auto"/>
              <w:left w:val="single" w:sz="4" w:space="0" w:color="000000"/>
              <w:bottom w:val="nil" w:sz="6" w:space="0" w:color="auto"/>
              <w:right w:val="single" w:sz="4" w:space="0" w:color="000000"/>
            </w:tcBorders>
          </w:tcPr>
          <w:p>
            <w:pPr/>
          </w:p>
        </w:tc>
        <w:tc>
          <w:tcPr>
            <w:tcW w:w="619" w:type="dxa"/>
            <w:tcBorders>
              <w:top w:val="nil" w:sz="6" w:space="0" w:color="auto"/>
              <w:left w:val="single" w:sz="4" w:space="0" w:color="000000"/>
              <w:bottom w:val="nil" w:sz="6" w:space="0" w:color="auto"/>
              <w:right w:val="single" w:sz="4" w:space="0" w:color="000000"/>
            </w:tcBorders>
          </w:tcPr>
          <w:p>
            <w:pPr/>
          </w:p>
        </w:tc>
        <w:tc>
          <w:tcPr>
            <w:tcW w:w="624" w:type="dxa"/>
            <w:tcBorders>
              <w:top w:val="nil" w:sz="6" w:space="0" w:color="auto"/>
              <w:left w:val="single" w:sz="4" w:space="0" w:color="000000"/>
              <w:bottom w:val="nil" w:sz="6" w:space="0" w:color="auto"/>
              <w:right w:val="single" w:sz="4" w:space="0" w:color="000000"/>
            </w:tcBorders>
          </w:tcPr>
          <w:p>
            <w:pPr/>
          </w:p>
        </w:tc>
        <w:tc>
          <w:tcPr>
            <w:tcW w:w="619" w:type="dxa"/>
            <w:tcBorders>
              <w:top w:val="nil" w:sz="6" w:space="0" w:color="auto"/>
              <w:left w:val="single" w:sz="4" w:space="0" w:color="000000"/>
              <w:bottom w:val="nil" w:sz="6" w:space="0" w:color="auto"/>
              <w:right w:val="single" w:sz="4" w:space="0" w:color="000000"/>
            </w:tcBorders>
          </w:tcPr>
          <w:p>
            <w:pPr/>
          </w:p>
        </w:tc>
        <w:tc>
          <w:tcPr>
            <w:tcW w:w="61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投资有</w:t>
            </w:r>
          </w:p>
        </w:tc>
        <w:tc>
          <w:tcPr>
            <w:tcW w:w="619" w:type="dxa"/>
            <w:tcBorders>
              <w:top w:val="nil" w:sz="6" w:space="0" w:color="auto"/>
              <w:left w:val="single" w:sz="4" w:space="0" w:color="000000"/>
              <w:bottom w:val="nil" w:sz="6" w:space="0" w:color="auto"/>
              <w:right w:val="single" w:sz="4" w:space="0" w:color="000000"/>
            </w:tcBorders>
          </w:tcPr>
          <w:p>
            <w:pPr/>
          </w:p>
        </w:tc>
        <w:tc>
          <w:tcPr>
            <w:tcW w:w="614" w:type="dxa"/>
            <w:tcBorders>
              <w:top w:val="nil" w:sz="6" w:space="0" w:color="auto"/>
              <w:left w:val="single" w:sz="4" w:space="0" w:color="000000"/>
              <w:bottom w:val="nil" w:sz="6" w:space="0" w:color="auto"/>
              <w:right w:val="single" w:sz="4" w:space="0" w:color="000000"/>
            </w:tcBorders>
          </w:tcPr>
          <w:p>
            <w:pPr/>
          </w:p>
        </w:tc>
        <w:tc>
          <w:tcPr>
            <w:tcW w:w="595" w:type="dxa"/>
            <w:tcBorders>
              <w:top w:val="nil" w:sz="6" w:space="0" w:color="auto"/>
              <w:left w:val="single" w:sz="4" w:space="0" w:color="000000"/>
              <w:bottom w:val="nil" w:sz="6" w:space="0" w:color="auto"/>
              <w:right w:val="single" w:sz="4" w:space="0" w:color="000000"/>
            </w:tcBorders>
          </w:tcPr>
          <w:p>
            <w:pPr/>
          </w:p>
        </w:tc>
        <w:tc>
          <w:tcPr>
            <w:tcW w:w="590" w:type="dxa"/>
            <w:vMerge/>
            <w:tcBorders>
              <w:left w:val="single" w:sz="4" w:space="0" w:color="000000"/>
              <w:right w:val="single" w:sz="4" w:space="0" w:color="000000"/>
            </w:tcBorders>
          </w:tcPr>
          <w:p>
            <w:pPr/>
          </w:p>
        </w:tc>
        <w:tc>
          <w:tcPr>
            <w:tcW w:w="691" w:type="dxa"/>
            <w:vMerge/>
            <w:tcBorders>
              <w:left w:val="single" w:sz="4" w:space="0" w:color="000000"/>
              <w:right w:val="single" w:sz="4" w:space="0" w:color="000000"/>
            </w:tcBorders>
          </w:tcPr>
          <w:p>
            <w:pPr/>
          </w:p>
        </w:tc>
        <w:tc>
          <w:tcPr>
            <w:tcW w:w="691" w:type="dxa"/>
            <w:tcBorders>
              <w:top w:val="nil" w:sz="6" w:space="0" w:color="auto"/>
              <w:left w:val="single" w:sz="4" w:space="0" w:color="000000"/>
              <w:bottom w:val="nil" w:sz="6" w:space="0" w:color="auto"/>
              <w:right w:val="single" w:sz="4" w:space="0" w:color="000000"/>
            </w:tcBorders>
          </w:tcPr>
          <w:p>
            <w:pPr/>
          </w:p>
        </w:tc>
        <w:tc>
          <w:tcPr>
            <w:tcW w:w="691" w:type="dxa"/>
            <w:tcBorders>
              <w:top w:val="nil" w:sz="6" w:space="0" w:color="auto"/>
              <w:left w:val="single" w:sz="4" w:space="0" w:color="000000"/>
              <w:bottom w:val="nil" w:sz="6" w:space="0" w:color="auto"/>
              <w:right w:val="single" w:sz="4" w:space="0" w:color="000000"/>
            </w:tcBorders>
          </w:tcPr>
          <w:p>
            <w:pPr/>
          </w:p>
        </w:tc>
        <w:tc>
          <w:tcPr>
            <w:tcW w:w="667" w:type="dxa"/>
            <w:tcBorders>
              <w:top w:val="nil" w:sz="6" w:space="0" w:color="auto"/>
              <w:left w:val="single" w:sz="4" w:space="0" w:color="000000"/>
              <w:bottom w:val="nil" w:sz="6" w:space="0" w:color="auto"/>
              <w:right w:val="single" w:sz="4" w:space="0" w:color="000000"/>
            </w:tcBorders>
          </w:tcPr>
          <w:p>
            <w:pPr/>
          </w:p>
        </w:tc>
      </w:tr>
      <w:tr>
        <w:trPr>
          <w:trHeight w:val="1562" w:hRule="exact"/>
        </w:trPr>
        <w:tc>
          <w:tcPr>
            <w:tcW w:w="653"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316" w:lineRule="auto"/>
              <w:ind w:left="24" w:right="74"/>
              <w:jc w:val="both"/>
              <w:rPr>
                <w:rFonts w:ascii="宋体" w:hAnsi="宋体" w:cs="宋体" w:eastAsia="宋体" w:hint="default"/>
                <w:sz w:val="18"/>
                <w:szCs w:val="18"/>
              </w:rPr>
            </w:pPr>
            <w:r>
              <w:rPr>
                <w:rFonts w:ascii="宋体" w:hAnsi="宋体" w:cs="宋体" w:eastAsia="宋体" w:hint="default"/>
                <w:sz w:val="18"/>
                <w:szCs w:val="18"/>
              </w:rPr>
              <w:t>北京科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信盛彩</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投资有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限公司</w:t>
            </w:r>
          </w:p>
        </w:tc>
        <w:tc>
          <w:tcPr>
            <w:tcW w:w="653" w:type="dxa"/>
            <w:tcBorders>
              <w:top w:val="nil" w:sz="6" w:space="0" w:color="auto"/>
              <w:left w:val="single" w:sz="4" w:space="0" w:color="000000"/>
              <w:bottom w:val="nil" w:sz="6" w:space="0" w:color="auto"/>
              <w:right w:val="single" w:sz="4" w:space="0" w:color="000000"/>
            </w:tcBorders>
          </w:tcPr>
          <w:p>
            <w:pPr>
              <w:pStyle w:val="TableParagraph"/>
              <w:spacing w:line="316" w:lineRule="auto" w:before="16"/>
              <w:ind w:left="23" w:right="74"/>
              <w:jc w:val="left"/>
              <w:rPr>
                <w:rFonts w:ascii="宋体" w:hAnsi="宋体" w:cs="宋体" w:eastAsia="宋体" w:hint="default"/>
                <w:sz w:val="18"/>
                <w:szCs w:val="18"/>
              </w:rPr>
            </w:pPr>
            <w:r>
              <w:rPr>
                <w:rFonts w:ascii="宋体" w:hAnsi="宋体" w:cs="宋体" w:eastAsia="宋体" w:hint="default"/>
                <w:sz w:val="18"/>
                <w:szCs w:val="18"/>
              </w:rPr>
              <w:t>项目投</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资；投</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资管</w:t>
            </w:r>
            <w:r>
              <w:rPr>
                <w:rFonts w:ascii="宋体" w:hAnsi="宋体" w:cs="宋体" w:eastAsia="宋体" w:hint="default"/>
                <w:spacing w:val="-86"/>
                <w:sz w:val="18"/>
                <w:szCs w:val="18"/>
              </w:rPr>
              <w:t> </w:t>
            </w:r>
            <w:r>
              <w:rPr>
                <w:rFonts w:ascii="宋体" w:hAnsi="宋体" w:cs="宋体" w:eastAsia="宋体" w:hint="default"/>
                <w:sz w:val="18"/>
                <w:szCs w:val="18"/>
              </w:rPr>
              <w:t>理；投</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资咨询</w:t>
            </w:r>
          </w:p>
        </w:tc>
        <w:tc>
          <w:tcPr>
            <w:tcW w:w="62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收购</w:t>
            </w:r>
          </w:p>
        </w:tc>
        <w:tc>
          <w:tcPr>
            <w:tcW w:w="61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4"/>
              <w:ind w:right="12"/>
              <w:jc w:val="right"/>
              <w:rPr>
                <w:rFonts w:ascii="Times New Roman" w:hAnsi="Times New Roman" w:cs="Times New Roman" w:eastAsia="Times New Roman" w:hint="default"/>
                <w:sz w:val="18"/>
                <w:szCs w:val="18"/>
              </w:rPr>
            </w:pPr>
            <w:r>
              <w:rPr>
                <w:rFonts w:ascii="Times New Roman"/>
                <w:spacing w:val="-2"/>
                <w:sz w:val="18"/>
              </w:rPr>
              <w:t>112,71</w:t>
            </w:r>
          </w:p>
          <w:p>
            <w:pPr>
              <w:pStyle w:val="TableParagraph"/>
              <w:spacing w:line="240" w:lineRule="auto" w:before="100"/>
              <w:ind w:right="12"/>
              <w:jc w:val="right"/>
              <w:rPr>
                <w:rFonts w:ascii="Times New Roman" w:hAnsi="Times New Roman" w:cs="Times New Roman" w:eastAsia="Times New Roman" w:hint="default"/>
                <w:sz w:val="18"/>
                <w:szCs w:val="18"/>
              </w:rPr>
            </w:pPr>
            <w:r>
              <w:rPr>
                <w:rFonts w:ascii="Times New Roman"/>
                <w:spacing w:val="-1"/>
                <w:sz w:val="18"/>
              </w:rPr>
              <w:t>3,105.3</w:t>
            </w:r>
          </w:p>
          <w:p>
            <w:pPr>
              <w:pStyle w:val="TableParagraph"/>
              <w:spacing w:line="240" w:lineRule="auto" w:before="110"/>
              <w:ind w:right="17"/>
              <w:jc w:val="right"/>
              <w:rPr>
                <w:rFonts w:ascii="Times New Roman" w:hAnsi="Times New Roman" w:cs="Times New Roman" w:eastAsia="Times New Roman" w:hint="default"/>
                <w:sz w:val="18"/>
                <w:szCs w:val="18"/>
              </w:rPr>
            </w:pPr>
            <w:r>
              <w:rPr>
                <w:rFonts w:ascii="Times New Roman"/>
                <w:w w:val="101"/>
                <w:sz w:val="18"/>
              </w:rPr>
              <w:t>7</w:t>
            </w:r>
            <w:r>
              <w:rPr>
                <w:rFonts w:ascii="Times New Roman"/>
                <w:sz w:val="18"/>
              </w:rPr>
            </w:r>
          </w:p>
        </w:tc>
        <w:tc>
          <w:tcPr>
            <w:tcW w:w="62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61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316" w:lineRule="auto"/>
              <w:ind w:left="24" w:right="41"/>
              <w:jc w:val="left"/>
              <w:rPr>
                <w:rFonts w:ascii="宋体" w:hAnsi="宋体" w:cs="宋体" w:eastAsia="宋体" w:hint="default"/>
                <w:sz w:val="18"/>
                <w:szCs w:val="18"/>
              </w:rPr>
            </w:pPr>
            <w:r>
              <w:rPr>
                <w:rFonts w:ascii="宋体" w:hAnsi="宋体" w:cs="宋体" w:eastAsia="宋体" w:hint="default"/>
                <w:sz w:val="18"/>
                <w:szCs w:val="18"/>
              </w:rPr>
              <w:t>自有资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金</w:t>
            </w:r>
          </w:p>
        </w:tc>
        <w:tc>
          <w:tcPr>
            <w:tcW w:w="619" w:type="dxa"/>
            <w:tcBorders>
              <w:top w:val="nil" w:sz="6" w:space="0" w:color="auto"/>
              <w:left w:val="single" w:sz="4" w:space="0" w:color="000000"/>
              <w:bottom w:val="nil" w:sz="6" w:space="0" w:color="auto"/>
              <w:right w:val="single" w:sz="4" w:space="0" w:color="000000"/>
            </w:tcBorders>
          </w:tcPr>
          <w:p>
            <w:pPr>
              <w:pStyle w:val="TableParagraph"/>
              <w:spacing w:line="316" w:lineRule="auto" w:before="11"/>
              <w:ind w:left="23" w:right="41"/>
              <w:jc w:val="both"/>
              <w:rPr>
                <w:rFonts w:ascii="宋体" w:hAnsi="宋体" w:cs="宋体" w:eastAsia="宋体" w:hint="default"/>
                <w:sz w:val="18"/>
                <w:szCs w:val="18"/>
              </w:rPr>
            </w:pPr>
            <w:r>
              <w:rPr>
                <w:rFonts w:ascii="宋体" w:hAnsi="宋体" w:cs="宋体" w:eastAsia="宋体" w:hint="default"/>
                <w:sz w:val="18"/>
                <w:szCs w:val="18"/>
              </w:rPr>
              <w:t>限合伙</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企、天</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津华科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创业投</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资合伙</w:t>
            </w:r>
          </w:p>
        </w:tc>
        <w:tc>
          <w:tcPr>
            <w:tcW w:w="61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1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316" w:lineRule="auto"/>
              <w:ind w:left="19" w:right="41"/>
              <w:jc w:val="left"/>
              <w:rPr>
                <w:rFonts w:ascii="宋体" w:hAnsi="宋体" w:cs="宋体" w:eastAsia="宋体" w:hint="default"/>
                <w:sz w:val="18"/>
                <w:szCs w:val="18"/>
              </w:rPr>
            </w:pPr>
            <w:r>
              <w:rPr>
                <w:rFonts w:ascii="宋体" w:hAnsi="宋体" w:cs="宋体" w:eastAsia="宋体" w:hint="default"/>
                <w:sz w:val="18"/>
                <w:szCs w:val="18"/>
              </w:rPr>
              <w:t>股权投</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资</w:t>
            </w:r>
          </w:p>
        </w:tc>
        <w:tc>
          <w:tcPr>
            <w:tcW w:w="59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316" w:lineRule="auto"/>
              <w:ind w:left="23" w:right="194"/>
              <w:jc w:val="left"/>
              <w:rPr>
                <w:rFonts w:ascii="宋体" w:hAnsi="宋体" w:cs="宋体" w:eastAsia="宋体" w:hint="default"/>
                <w:sz w:val="18"/>
                <w:szCs w:val="18"/>
              </w:rPr>
            </w:pPr>
            <w:r>
              <w:rPr>
                <w:rFonts w:ascii="宋体" w:hAnsi="宋体" w:cs="宋体" w:eastAsia="宋体" w:hint="default"/>
                <w:sz w:val="18"/>
                <w:szCs w:val="18"/>
              </w:rPr>
              <w:t>已完</w:t>
            </w:r>
            <w:r>
              <w:rPr>
                <w:rFonts w:ascii="宋体" w:hAnsi="宋体" w:cs="宋体" w:eastAsia="宋体" w:hint="default"/>
                <w:spacing w:val="-86"/>
                <w:sz w:val="18"/>
                <w:szCs w:val="18"/>
              </w:rPr>
              <w:t> </w:t>
            </w:r>
            <w:r>
              <w:rPr>
                <w:rFonts w:ascii="宋体" w:hAnsi="宋体" w:cs="宋体" w:eastAsia="宋体" w:hint="default"/>
                <w:sz w:val="18"/>
                <w:szCs w:val="18"/>
              </w:rPr>
              <w:t>成</w:t>
            </w:r>
          </w:p>
        </w:tc>
        <w:tc>
          <w:tcPr>
            <w:tcW w:w="590" w:type="dxa"/>
            <w:vMerge/>
            <w:tcBorders>
              <w:left w:val="single" w:sz="4" w:space="0" w:color="000000"/>
              <w:right w:val="single" w:sz="4" w:space="0" w:color="000000"/>
            </w:tcBorders>
          </w:tcPr>
          <w:p>
            <w:pPr/>
          </w:p>
        </w:tc>
        <w:tc>
          <w:tcPr>
            <w:tcW w:w="691" w:type="dxa"/>
            <w:vMerge/>
            <w:tcBorders>
              <w:left w:val="single" w:sz="4" w:space="0" w:color="000000"/>
              <w:right w:val="single" w:sz="4" w:space="0" w:color="000000"/>
            </w:tcBorders>
          </w:tcPr>
          <w:p>
            <w:pPr/>
          </w:p>
        </w:tc>
        <w:tc>
          <w:tcPr>
            <w:tcW w:w="69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691"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58"/>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18</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66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362" w:lineRule="auto"/>
              <w:ind w:left="23" w:right="21"/>
              <w:jc w:val="left"/>
              <w:rPr>
                <w:rFonts w:ascii="Times New Roman" w:hAnsi="Times New Roman" w:cs="Times New Roman" w:eastAsia="Times New Roman" w:hint="default"/>
                <w:sz w:val="18"/>
                <w:szCs w:val="18"/>
              </w:rPr>
            </w:pPr>
            <w:hyperlink r:id="rId12">
              <w:r>
                <w:rPr>
                  <w:rFonts w:ascii="Times New Roman"/>
                  <w:sz w:val="18"/>
                </w:rPr>
                <w:t>http://w</w:t>
              </w:r>
            </w:hyperlink>
            <w:r>
              <w:rPr>
                <w:rFonts w:ascii="Times New Roman"/>
                <w:spacing w:val="-43"/>
                <w:sz w:val="18"/>
              </w:rPr>
              <w:t> </w:t>
            </w:r>
            <w:r>
              <w:rPr>
                <w:rFonts w:ascii="Times New Roman"/>
                <w:spacing w:val="-43"/>
                <w:sz w:val="18"/>
              </w:rPr>
            </w:r>
            <w:r>
              <w:rPr>
                <w:rFonts w:ascii="Times New Roman"/>
                <w:spacing w:val="-3"/>
                <w:sz w:val="18"/>
              </w:rPr>
              <w:t>ww.cnin</w:t>
            </w:r>
            <w:r>
              <w:rPr>
                <w:rFonts w:ascii="Times New Roman"/>
                <w:spacing w:val="-30"/>
                <w:sz w:val="18"/>
              </w:rPr>
              <w:t> </w:t>
            </w:r>
            <w:r>
              <w:rPr>
                <w:rFonts w:ascii="Times New Roman"/>
                <w:spacing w:val="-30"/>
                <w:sz w:val="18"/>
              </w:rPr>
            </w:r>
            <w:r>
              <w:rPr>
                <w:rFonts w:ascii="Times New Roman"/>
                <w:spacing w:val="-3"/>
                <w:sz w:val="18"/>
              </w:rPr>
              <w:t>fo.com.</w:t>
            </w:r>
            <w:r>
              <w:rPr>
                <w:rFonts w:ascii="Times New Roman"/>
                <w:spacing w:val="-32"/>
                <w:sz w:val="18"/>
              </w:rPr>
              <w:t> </w:t>
            </w:r>
            <w:r>
              <w:rPr>
                <w:rFonts w:ascii="Times New Roman"/>
                <w:spacing w:val="-32"/>
                <w:sz w:val="18"/>
              </w:rPr>
            </w:r>
            <w:r>
              <w:rPr>
                <w:rFonts w:ascii="Times New Roman"/>
                <w:sz w:val="18"/>
              </w:rPr>
              <w:t>cn</w:t>
            </w:r>
          </w:p>
        </w:tc>
      </w:tr>
      <w:tr>
        <w:trPr>
          <w:trHeight w:val="310" w:hRule="exact"/>
        </w:trPr>
        <w:tc>
          <w:tcPr>
            <w:tcW w:w="653" w:type="dxa"/>
            <w:tcBorders>
              <w:top w:val="nil" w:sz="6" w:space="0" w:color="auto"/>
              <w:left w:val="single" w:sz="4" w:space="0" w:color="000000"/>
              <w:bottom w:val="nil" w:sz="6" w:space="0" w:color="auto"/>
              <w:right w:val="single" w:sz="4" w:space="0" w:color="000000"/>
            </w:tcBorders>
          </w:tcPr>
          <w:p>
            <w:pPr/>
          </w:p>
        </w:tc>
        <w:tc>
          <w:tcPr>
            <w:tcW w:w="653" w:type="dxa"/>
            <w:tcBorders>
              <w:top w:val="nil" w:sz="6" w:space="0" w:color="auto"/>
              <w:left w:val="single" w:sz="4" w:space="0" w:color="000000"/>
              <w:bottom w:val="nil" w:sz="6" w:space="0" w:color="auto"/>
              <w:right w:val="single" w:sz="4" w:space="0" w:color="000000"/>
            </w:tcBorders>
          </w:tcPr>
          <w:p>
            <w:pPr/>
          </w:p>
        </w:tc>
        <w:tc>
          <w:tcPr>
            <w:tcW w:w="624" w:type="dxa"/>
            <w:tcBorders>
              <w:top w:val="nil" w:sz="6" w:space="0" w:color="auto"/>
              <w:left w:val="single" w:sz="4" w:space="0" w:color="000000"/>
              <w:bottom w:val="nil" w:sz="6" w:space="0" w:color="auto"/>
              <w:right w:val="single" w:sz="4" w:space="0" w:color="000000"/>
            </w:tcBorders>
          </w:tcPr>
          <w:p>
            <w:pPr/>
          </w:p>
        </w:tc>
        <w:tc>
          <w:tcPr>
            <w:tcW w:w="619" w:type="dxa"/>
            <w:tcBorders>
              <w:top w:val="nil" w:sz="6" w:space="0" w:color="auto"/>
              <w:left w:val="single" w:sz="4" w:space="0" w:color="000000"/>
              <w:bottom w:val="nil" w:sz="6" w:space="0" w:color="auto"/>
              <w:right w:val="single" w:sz="4" w:space="0" w:color="000000"/>
            </w:tcBorders>
          </w:tcPr>
          <w:p>
            <w:pPr/>
          </w:p>
        </w:tc>
        <w:tc>
          <w:tcPr>
            <w:tcW w:w="624" w:type="dxa"/>
            <w:tcBorders>
              <w:top w:val="nil" w:sz="6" w:space="0" w:color="auto"/>
              <w:left w:val="single" w:sz="4" w:space="0" w:color="000000"/>
              <w:bottom w:val="nil" w:sz="6" w:space="0" w:color="auto"/>
              <w:right w:val="single" w:sz="4" w:space="0" w:color="000000"/>
            </w:tcBorders>
          </w:tcPr>
          <w:p>
            <w:pPr/>
          </w:p>
        </w:tc>
        <w:tc>
          <w:tcPr>
            <w:tcW w:w="619" w:type="dxa"/>
            <w:tcBorders>
              <w:top w:val="nil" w:sz="6" w:space="0" w:color="auto"/>
              <w:left w:val="single" w:sz="4" w:space="0" w:color="000000"/>
              <w:bottom w:val="nil" w:sz="6" w:space="0" w:color="auto"/>
              <w:right w:val="single" w:sz="4" w:space="0" w:color="000000"/>
            </w:tcBorders>
          </w:tcPr>
          <w:p>
            <w:pPr/>
          </w:p>
        </w:tc>
        <w:tc>
          <w:tcPr>
            <w:tcW w:w="61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企业</w:t>
            </w:r>
          </w:p>
        </w:tc>
        <w:tc>
          <w:tcPr>
            <w:tcW w:w="619" w:type="dxa"/>
            <w:tcBorders>
              <w:top w:val="nil" w:sz="6" w:space="0" w:color="auto"/>
              <w:left w:val="single" w:sz="4" w:space="0" w:color="000000"/>
              <w:bottom w:val="nil" w:sz="6" w:space="0" w:color="auto"/>
              <w:right w:val="single" w:sz="4" w:space="0" w:color="000000"/>
            </w:tcBorders>
          </w:tcPr>
          <w:p>
            <w:pPr/>
          </w:p>
        </w:tc>
        <w:tc>
          <w:tcPr>
            <w:tcW w:w="614" w:type="dxa"/>
            <w:tcBorders>
              <w:top w:val="nil" w:sz="6" w:space="0" w:color="auto"/>
              <w:left w:val="single" w:sz="4" w:space="0" w:color="000000"/>
              <w:bottom w:val="nil" w:sz="6" w:space="0" w:color="auto"/>
              <w:right w:val="single" w:sz="4" w:space="0" w:color="000000"/>
            </w:tcBorders>
          </w:tcPr>
          <w:p>
            <w:pPr/>
          </w:p>
        </w:tc>
        <w:tc>
          <w:tcPr>
            <w:tcW w:w="595" w:type="dxa"/>
            <w:tcBorders>
              <w:top w:val="nil" w:sz="6" w:space="0" w:color="auto"/>
              <w:left w:val="single" w:sz="4" w:space="0" w:color="000000"/>
              <w:bottom w:val="nil" w:sz="6" w:space="0" w:color="auto"/>
              <w:right w:val="single" w:sz="4" w:space="0" w:color="000000"/>
            </w:tcBorders>
          </w:tcPr>
          <w:p>
            <w:pPr/>
          </w:p>
        </w:tc>
        <w:tc>
          <w:tcPr>
            <w:tcW w:w="590" w:type="dxa"/>
            <w:vMerge/>
            <w:tcBorders>
              <w:left w:val="single" w:sz="4" w:space="0" w:color="000000"/>
              <w:right w:val="single" w:sz="4" w:space="0" w:color="000000"/>
            </w:tcBorders>
          </w:tcPr>
          <w:p>
            <w:pPr/>
          </w:p>
        </w:tc>
        <w:tc>
          <w:tcPr>
            <w:tcW w:w="691" w:type="dxa"/>
            <w:vMerge/>
            <w:tcBorders>
              <w:left w:val="single" w:sz="4" w:space="0" w:color="000000"/>
              <w:right w:val="single" w:sz="4" w:space="0" w:color="000000"/>
            </w:tcBorders>
          </w:tcPr>
          <w:p>
            <w:pPr/>
          </w:p>
        </w:tc>
        <w:tc>
          <w:tcPr>
            <w:tcW w:w="691" w:type="dxa"/>
            <w:tcBorders>
              <w:top w:val="nil" w:sz="6" w:space="0" w:color="auto"/>
              <w:left w:val="single" w:sz="4" w:space="0" w:color="000000"/>
              <w:bottom w:val="nil" w:sz="6" w:space="0" w:color="auto"/>
              <w:right w:val="single" w:sz="4" w:space="0" w:color="000000"/>
            </w:tcBorders>
          </w:tcPr>
          <w:p>
            <w:pPr/>
          </w:p>
        </w:tc>
        <w:tc>
          <w:tcPr>
            <w:tcW w:w="691" w:type="dxa"/>
            <w:tcBorders>
              <w:top w:val="nil" w:sz="6" w:space="0" w:color="auto"/>
              <w:left w:val="single" w:sz="4" w:space="0" w:color="000000"/>
              <w:bottom w:val="nil" w:sz="6" w:space="0" w:color="auto"/>
              <w:right w:val="single" w:sz="4" w:space="0" w:color="000000"/>
            </w:tcBorders>
          </w:tcPr>
          <w:p>
            <w:pPr/>
          </w:p>
        </w:tc>
        <w:tc>
          <w:tcPr>
            <w:tcW w:w="667" w:type="dxa"/>
            <w:tcBorders>
              <w:top w:val="nil" w:sz="6" w:space="0" w:color="auto"/>
              <w:left w:val="single" w:sz="4" w:space="0" w:color="000000"/>
              <w:bottom w:val="nil" w:sz="6" w:space="0" w:color="auto"/>
              <w:right w:val="single" w:sz="4" w:space="0" w:color="000000"/>
            </w:tcBorders>
          </w:tcPr>
          <w:p>
            <w:pPr/>
          </w:p>
        </w:tc>
      </w:tr>
      <w:tr>
        <w:trPr>
          <w:trHeight w:val="314" w:hRule="exact"/>
        </w:trPr>
        <w:tc>
          <w:tcPr>
            <w:tcW w:w="653" w:type="dxa"/>
            <w:tcBorders>
              <w:top w:val="nil" w:sz="6" w:space="0" w:color="auto"/>
              <w:left w:val="single" w:sz="4" w:space="0" w:color="000000"/>
              <w:bottom w:val="nil" w:sz="6" w:space="0" w:color="auto"/>
              <w:right w:val="single" w:sz="4" w:space="0" w:color="000000"/>
            </w:tcBorders>
          </w:tcPr>
          <w:p>
            <w:pPr/>
          </w:p>
        </w:tc>
        <w:tc>
          <w:tcPr>
            <w:tcW w:w="653" w:type="dxa"/>
            <w:tcBorders>
              <w:top w:val="nil" w:sz="6" w:space="0" w:color="auto"/>
              <w:left w:val="single" w:sz="4" w:space="0" w:color="000000"/>
              <w:bottom w:val="nil" w:sz="6" w:space="0" w:color="auto"/>
              <w:right w:val="single" w:sz="4" w:space="0" w:color="000000"/>
            </w:tcBorders>
          </w:tcPr>
          <w:p>
            <w:pPr/>
          </w:p>
        </w:tc>
        <w:tc>
          <w:tcPr>
            <w:tcW w:w="624" w:type="dxa"/>
            <w:tcBorders>
              <w:top w:val="nil" w:sz="6" w:space="0" w:color="auto"/>
              <w:left w:val="single" w:sz="4" w:space="0" w:color="000000"/>
              <w:bottom w:val="nil" w:sz="6" w:space="0" w:color="auto"/>
              <w:right w:val="single" w:sz="4" w:space="0" w:color="000000"/>
            </w:tcBorders>
          </w:tcPr>
          <w:p>
            <w:pPr/>
          </w:p>
        </w:tc>
        <w:tc>
          <w:tcPr>
            <w:tcW w:w="619" w:type="dxa"/>
            <w:tcBorders>
              <w:top w:val="nil" w:sz="6" w:space="0" w:color="auto"/>
              <w:left w:val="single" w:sz="4" w:space="0" w:color="000000"/>
              <w:bottom w:val="nil" w:sz="6" w:space="0" w:color="auto"/>
              <w:right w:val="single" w:sz="4" w:space="0" w:color="000000"/>
            </w:tcBorders>
          </w:tcPr>
          <w:p>
            <w:pPr/>
          </w:p>
        </w:tc>
        <w:tc>
          <w:tcPr>
            <w:tcW w:w="624" w:type="dxa"/>
            <w:tcBorders>
              <w:top w:val="nil" w:sz="6" w:space="0" w:color="auto"/>
              <w:left w:val="single" w:sz="4" w:space="0" w:color="000000"/>
              <w:bottom w:val="nil" w:sz="6" w:space="0" w:color="auto"/>
              <w:right w:val="single" w:sz="4" w:space="0" w:color="000000"/>
            </w:tcBorders>
          </w:tcPr>
          <w:p>
            <w:pPr/>
          </w:p>
        </w:tc>
        <w:tc>
          <w:tcPr>
            <w:tcW w:w="619" w:type="dxa"/>
            <w:tcBorders>
              <w:top w:val="nil" w:sz="6" w:space="0" w:color="auto"/>
              <w:left w:val="single" w:sz="4" w:space="0" w:color="000000"/>
              <w:bottom w:val="nil" w:sz="6" w:space="0" w:color="auto"/>
              <w:right w:val="single" w:sz="4" w:space="0" w:color="000000"/>
            </w:tcBorders>
          </w:tcPr>
          <w:p>
            <w:pPr/>
          </w:p>
        </w:tc>
        <w:tc>
          <w:tcPr>
            <w:tcW w:w="61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（有限</w:t>
            </w:r>
          </w:p>
        </w:tc>
        <w:tc>
          <w:tcPr>
            <w:tcW w:w="619" w:type="dxa"/>
            <w:tcBorders>
              <w:top w:val="nil" w:sz="6" w:space="0" w:color="auto"/>
              <w:left w:val="single" w:sz="4" w:space="0" w:color="000000"/>
              <w:bottom w:val="nil" w:sz="6" w:space="0" w:color="auto"/>
              <w:right w:val="single" w:sz="4" w:space="0" w:color="000000"/>
            </w:tcBorders>
          </w:tcPr>
          <w:p>
            <w:pPr/>
          </w:p>
        </w:tc>
        <w:tc>
          <w:tcPr>
            <w:tcW w:w="614" w:type="dxa"/>
            <w:tcBorders>
              <w:top w:val="nil" w:sz="6" w:space="0" w:color="auto"/>
              <w:left w:val="single" w:sz="4" w:space="0" w:color="000000"/>
              <w:bottom w:val="nil" w:sz="6" w:space="0" w:color="auto"/>
              <w:right w:val="single" w:sz="4" w:space="0" w:color="000000"/>
            </w:tcBorders>
          </w:tcPr>
          <w:p>
            <w:pPr/>
          </w:p>
        </w:tc>
        <w:tc>
          <w:tcPr>
            <w:tcW w:w="595" w:type="dxa"/>
            <w:tcBorders>
              <w:top w:val="nil" w:sz="6" w:space="0" w:color="auto"/>
              <w:left w:val="single" w:sz="4" w:space="0" w:color="000000"/>
              <w:bottom w:val="nil" w:sz="6" w:space="0" w:color="auto"/>
              <w:right w:val="single" w:sz="4" w:space="0" w:color="000000"/>
            </w:tcBorders>
          </w:tcPr>
          <w:p>
            <w:pPr/>
          </w:p>
        </w:tc>
        <w:tc>
          <w:tcPr>
            <w:tcW w:w="590" w:type="dxa"/>
            <w:vMerge/>
            <w:tcBorders>
              <w:left w:val="single" w:sz="4" w:space="0" w:color="000000"/>
              <w:right w:val="single" w:sz="4" w:space="0" w:color="000000"/>
            </w:tcBorders>
          </w:tcPr>
          <w:p>
            <w:pPr/>
          </w:p>
        </w:tc>
        <w:tc>
          <w:tcPr>
            <w:tcW w:w="691" w:type="dxa"/>
            <w:vMerge/>
            <w:tcBorders>
              <w:left w:val="single" w:sz="4" w:space="0" w:color="000000"/>
              <w:right w:val="single" w:sz="4" w:space="0" w:color="000000"/>
            </w:tcBorders>
          </w:tcPr>
          <w:p>
            <w:pPr/>
          </w:p>
        </w:tc>
        <w:tc>
          <w:tcPr>
            <w:tcW w:w="691" w:type="dxa"/>
            <w:tcBorders>
              <w:top w:val="nil" w:sz="6" w:space="0" w:color="auto"/>
              <w:left w:val="single" w:sz="4" w:space="0" w:color="000000"/>
              <w:bottom w:val="nil" w:sz="6" w:space="0" w:color="auto"/>
              <w:right w:val="single" w:sz="4" w:space="0" w:color="000000"/>
            </w:tcBorders>
          </w:tcPr>
          <w:p>
            <w:pPr/>
          </w:p>
        </w:tc>
        <w:tc>
          <w:tcPr>
            <w:tcW w:w="691" w:type="dxa"/>
            <w:tcBorders>
              <w:top w:val="nil" w:sz="6" w:space="0" w:color="auto"/>
              <w:left w:val="single" w:sz="4" w:space="0" w:color="000000"/>
              <w:bottom w:val="nil" w:sz="6" w:space="0" w:color="auto"/>
              <w:right w:val="single" w:sz="4" w:space="0" w:color="000000"/>
            </w:tcBorders>
          </w:tcPr>
          <w:p>
            <w:pPr/>
          </w:p>
        </w:tc>
        <w:tc>
          <w:tcPr>
            <w:tcW w:w="667" w:type="dxa"/>
            <w:tcBorders>
              <w:top w:val="nil" w:sz="6" w:space="0" w:color="auto"/>
              <w:left w:val="single" w:sz="4" w:space="0" w:color="000000"/>
              <w:bottom w:val="nil" w:sz="6" w:space="0" w:color="auto"/>
              <w:right w:val="single" w:sz="4" w:space="0" w:color="000000"/>
            </w:tcBorders>
          </w:tcPr>
          <w:p>
            <w:pPr/>
          </w:p>
        </w:tc>
      </w:tr>
      <w:tr>
        <w:trPr>
          <w:trHeight w:val="358" w:hRule="exact"/>
        </w:trPr>
        <w:tc>
          <w:tcPr>
            <w:tcW w:w="653" w:type="dxa"/>
            <w:tcBorders>
              <w:top w:val="nil" w:sz="6" w:space="0" w:color="auto"/>
              <w:left w:val="single" w:sz="4" w:space="0" w:color="000000"/>
              <w:bottom w:val="single" w:sz="4" w:space="0" w:color="000000"/>
              <w:right w:val="single" w:sz="4" w:space="0" w:color="000000"/>
            </w:tcBorders>
          </w:tcPr>
          <w:p>
            <w:pPr/>
          </w:p>
        </w:tc>
        <w:tc>
          <w:tcPr>
            <w:tcW w:w="653" w:type="dxa"/>
            <w:tcBorders>
              <w:top w:val="nil" w:sz="6" w:space="0" w:color="auto"/>
              <w:left w:val="single" w:sz="4" w:space="0" w:color="000000"/>
              <w:bottom w:val="single" w:sz="4" w:space="0" w:color="000000"/>
              <w:right w:val="single" w:sz="4" w:space="0" w:color="000000"/>
            </w:tcBorders>
          </w:tcPr>
          <w:p>
            <w:pPr/>
          </w:p>
        </w:tc>
        <w:tc>
          <w:tcPr>
            <w:tcW w:w="624" w:type="dxa"/>
            <w:tcBorders>
              <w:top w:val="nil" w:sz="6" w:space="0" w:color="auto"/>
              <w:left w:val="single" w:sz="4" w:space="0" w:color="000000"/>
              <w:bottom w:val="single" w:sz="4" w:space="0" w:color="000000"/>
              <w:right w:val="single" w:sz="4" w:space="0" w:color="000000"/>
            </w:tcBorders>
          </w:tcPr>
          <w:p>
            <w:pPr/>
          </w:p>
        </w:tc>
        <w:tc>
          <w:tcPr>
            <w:tcW w:w="619" w:type="dxa"/>
            <w:tcBorders>
              <w:top w:val="nil" w:sz="6" w:space="0" w:color="auto"/>
              <w:left w:val="single" w:sz="4" w:space="0" w:color="000000"/>
              <w:bottom w:val="single" w:sz="4" w:space="0" w:color="000000"/>
              <w:right w:val="single" w:sz="4" w:space="0" w:color="000000"/>
            </w:tcBorders>
          </w:tcPr>
          <w:p>
            <w:pPr/>
          </w:p>
        </w:tc>
        <w:tc>
          <w:tcPr>
            <w:tcW w:w="624" w:type="dxa"/>
            <w:tcBorders>
              <w:top w:val="nil" w:sz="6" w:space="0" w:color="auto"/>
              <w:left w:val="single" w:sz="4" w:space="0" w:color="000000"/>
              <w:bottom w:val="single" w:sz="4" w:space="0" w:color="000000"/>
              <w:right w:val="single" w:sz="4" w:space="0" w:color="000000"/>
            </w:tcBorders>
          </w:tcPr>
          <w:p>
            <w:pPr/>
          </w:p>
        </w:tc>
        <w:tc>
          <w:tcPr>
            <w:tcW w:w="619" w:type="dxa"/>
            <w:tcBorders>
              <w:top w:val="nil" w:sz="6" w:space="0" w:color="auto"/>
              <w:left w:val="single" w:sz="4" w:space="0" w:color="000000"/>
              <w:bottom w:val="single" w:sz="4" w:space="0" w:color="000000"/>
              <w:right w:val="single" w:sz="4" w:space="0" w:color="000000"/>
            </w:tcBorders>
          </w:tcPr>
          <w:p>
            <w:pPr/>
          </w:p>
        </w:tc>
        <w:tc>
          <w:tcPr>
            <w:tcW w:w="61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合伙）</w:t>
            </w:r>
          </w:p>
        </w:tc>
        <w:tc>
          <w:tcPr>
            <w:tcW w:w="619" w:type="dxa"/>
            <w:tcBorders>
              <w:top w:val="nil" w:sz="6" w:space="0" w:color="auto"/>
              <w:left w:val="single" w:sz="4" w:space="0" w:color="000000"/>
              <w:bottom w:val="single" w:sz="4" w:space="0" w:color="000000"/>
              <w:right w:val="single" w:sz="4" w:space="0" w:color="000000"/>
            </w:tcBorders>
          </w:tcPr>
          <w:p>
            <w:pPr/>
          </w:p>
        </w:tc>
        <w:tc>
          <w:tcPr>
            <w:tcW w:w="614" w:type="dxa"/>
            <w:tcBorders>
              <w:top w:val="nil" w:sz="6" w:space="0" w:color="auto"/>
              <w:left w:val="single" w:sz="4" w:space="0" w:color="000000"/>
              <w:bottom w:val="single" w:sz="4" w:space="0" w:color="000000"/>
              <w:right w:val="single" w:sz="4" w:space="0" w:color="000000"/>
            </w:tcBorders>
          </w:tcPr>
          <w:p>
            <w:pPr/>
          </w:p>
        </w:tc>
        <w:tc>
          <w:tcPr>
            <w:tcW w:w="595" w:type="dxa"/>
            <w:tcBorders>
              <w:top w:val="nil" w:sz="6" w:space="0" w:color="auto"/>
              <w:left w:val="single" w:sz="4" w:space="0" w:color="000000"/>
              <w:bottom w:val="single" w:sz="4" w:space="0" w:color="000000"/>
              <w:right w:val="single" w:sz="4" w:space="0" w:color="000000"/>
            </w:tcBorders>
          </w:tcPr>
          <w:p>
            <w:pPr/>
          </w:p>
        </w:tc>
        <w:tc>
          <w:tcPr>
            <w:tcW w:w="590" w:type="dxa"/>
            <w:vMerge/>
            <w:tcBorders>
              <w:left w:val="single" w:sz="4" w:space="0" w:color="000000"/>
              <w:bottom w:val="single" w:sz="4" w:space="0" w:color="000000"/>
              <w:right w:val="single" w:sz="4" w:space="0" w:color="000000"/>
            </w:tcBorders>
          </w:tcPr>
          <w:p>
            <w:pPr/>
          </w:p>
        </w:tc>
        <w:tc>
          <w:tcPr>
            <w:tcW w:w="691" w:type="dxa"/>
            <w:vMerge/>
            <w:tcBorders>
              <w:left w:val="single" w:sz="4" w:space="0" w:color="000000"/>
              <w:bottom w:val="single" w:sz="4" w:space="0" w:color="000000"/>
              <w:right w:val="single" w:sz="4" w:space="0" w:color="000000"/>
            </w:tcBorders>
          </w:tcPr>
          <w:p>
            <w:pPr/>
          </w:p>
        </w:tc>
        <w:tc>
          <w:tcPr>
            <w:tcW w:w="691" w:type="dxa"/>
            <w:tcBorders>
              <w:top w:val="nil" w:sz="6" w:space="0" w:color="auto"/>
              <w:left w:val="single" w:sz="4" w:space="0" w:color="000000"/>
              <w:bottom w:val="single" w:sz="4" w:space="0" w:color="000000"/>
              <w:right w:val="single" w:sz="4" w:space="0" w:color="000000"/>
            </w:tcBorders>
          </w:tcPr>
          <w:p>
            <w:pPr/>
          </w:p>
        </w:tc>
        <w:tc>
          <w:tcPr>
            <w:tcW w:w="691" w:type="dxa"/>
            <w:tcBorders>
              <w:top w:val="nil" w:sz="6" w:space="0" w:color="auto"/>
              <w:left w:val="single" w:sz="4" w:space="0" w:color="000000"/>
              <w:bottom w:val="single" w:sz="4" w:space="0" w:color="000000"/>
              <w:right w:val="single" w:sz="4" w:space="0" w:color="000000"/>
            </w:tcBorders>
          </w:tcPr>
          <w:p>
            <w:pPr/>
          </w:p>
        </w:tc>
        <w:tc>
          <w:tcPr>
            <w:tcW w:w="667" w:type="dxa"/>
            <w:tcBorders>
              <w:top w:val="nil" w:sz="6" w:space="0" w:color="auto"/>
              <w:left w:val="single" w:sz="4" w:space="0" w:color="000000"/>
              <w:bottom w:val="single" w:sz="4" w:space="0" w:color="000000"/>
              <w:right w:val="single" w:sz="4" w:space="0" w:color="000000"/>
            </w:tcBorders>
          </w:tcPr>
          <w:p>
            <w:pPr/>
          </w:p>
        </w:tc>
      </w:tr>
    </w:tbl>
    <w:p>
      <w:pPr>
        <w:spacing w:after="0"/>
        <w:sectPr>
          <w:pgSz w:w="11900" w:h="16840"/>
          <w:pgMar w:header="74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653"/>
        <w:gridCol w:w="653"/>
        <w:gridCol w:w="624"/>
        <w:gridCol w:w="619"/>
        <w:gridCol w:w="624"/>
        <w:gridCol w:w="619"/>
        <w:gridCol w:w="619"/>
        <w:gridCol w:w="619"/>
        <w:gridCol w:w="614"/>
        <w:gridCol w:w="595"/>
        <w:gridCol w:w="590"/>
        <w:gridCol w:w="691"/>
        <w:gridCol w:w="691"/>
        <w:gridCol w:w="691"/>
        <w:gridCol w:w="667"/>
      </w:tblGrid>
      <w:tr>
        <w:trPr>
          <w:trHeight w:val="364" w:hRule="exact"/>
        </w:trPr>
        <w:tc>
          <w:tcPr>
            <w:tcW w:w="653" w:type="dxa"/>
            <w:tcBorders>
              <w:top w:val="single" w:sz="4" w:space="0" w:color="000000"/>
              <w:left w:val="single" w:sz="4" w:space="0" w:color="000000"/>
              <w:bottom w:val="nil" w:sz="6" w:space="0" w:color="auto"/>
              <w:right w:val="single" w:sz="4" w:space="0" w:color="000000"/>
            </w:tcBorders>
            <w:shd w:val="clear" w:color="auto" w:fill="D2D2D2"/>
          </w:tcPr>
          <w:p>
            <w:pPr/>
          </w:p>
        </w:tc>
        <w:tc>
          <w:tcPr>
            <w:tcW w:w="653" w:type="dxa"/>
            <w:tcBorders>
              <w:top w:val="single" w:sz="4" w:space="0" w:color="000000"/>
              <w:left w:val="single" w:sz="4" w:space="0" w:color="000000"/>
              <w:bottom w:val="nil" w:sz="6" w:space="0" w:color="auto"/>
              <w:right w:val="single" w:sz="4" w:space="0" w:color="000000"/>
            </w:tcBorders>
            <w:shd w:val="clear" w:color="auto" w:fill="D2D2D2"/>
          </w:tcPr>
          <w:p>
            <w:pPr/>
          </w:p>
        </w:tc>
        <w:tc>
          <w:tcPr>
            <w:tcW w:w="624" w:type="dxa"/>
            <w:tcBorders>
              <w:top w:val="single" w:sz="4" w:space="0" w:color="000000"/>
              <w:left w:val="single" w:sz="4" w:space="0" w:color="000000"/>
              <w:bottom w:val="nil" w:sz="6" w:space="0" w:color="auto"/>
              <w:right w:val="single" w:sz="4" w:space="0" w:color="000000"/>
            </w:tcBorders>
            <w:shd w:val="clear" w:color="auto" w:fill="D2D2D2"/>
          </w:tcPr>
          <w:p>
            <w:pPr/>
          </w:p>
        </w:tc>
        <w:tc>
          <w:tcPr>
            <w:tcW w:w="61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212,71</w:t>
            </w:r>
          </w:p>
        </w:tc>
        <w:tc>
          <w:tcPr>
            <w:tcW w:w="624" w:type="dxa"/>
            <w:tcBorders>
              <w:top w:val="single" w:sz="4" w:space="0" w:color="000000"/>
              <w:left w:val="single" w:sz="4" w:space="0" w:color="000000"/>
              <w:bottom w:val="nil" w:sz="6" w:space="0" w:color="auto"/>
              <w:right w:val="single" w:sz="4" w:space="0" w:color="000000"/>
            </w:tcBorders>
            <w:shd w:val="clear" w:color="auto" w:fill="D2D2D2"/>
          </w:tcPr>
          <w:p>
            <w:pPr/>
          </w:p>
        </w:tc>
        <w:tc>
          <w:tcPr>
            <w:tcW w:w="619" w:type="dxa"/>
            <w:tcBorders>
              <w:top w:val="single" w:sz="4" w:space="0" w:color="000000"/>
              <w:left w:val="single" w:sz="4" w:space="0" w:color="000000"/>
              <w:bottom w:val="nil" w:sz="6" w:space="0" w:color="auto"/>
              <w:right w:val="single" w:sz="4" w:space="0" w:color="000000"/>
            </w:tcBorders>
            <w:shd w:val="clear" w:color="auto" w:fill="D2D2D2"/>
          </w:tcPr>
          <w:p>
            <w:pPr/>
          </w:p>
        </w:tc>
        <w:tc>
          <w:tcPr>
            <w:tcW w:w="619" w:type="dxa"/>
            <w:tcBorders>
              <w:top w:val="single" w:sz="4" w:space="0" w:color="000000"/>
              <w:left w:val="single" w:sz="4" w:space="0" w:color="000000"/>
              <w:bottom w:val="nil" w:sz="6" w:space="0" w:color="auto"/>
              <w:right w:val="single" w:sz="4" w:space="0" w:color="000000"/>
            </w:tcBorders>
            <w:shd w:val="clear" w:color="auto" w:fill="D2D2D2"/>
          </w:tcPr>
          <w:p>
            <w:pPr/>
          </w:p>
        </w:tc>
        <w:tc>
          <w:tcPr>
            <w:tcW w:w="619" w:type="dxa"/>
            <w:tcBorders>
              <w:top w:val="single" w:sz="4" w:space="0" w:color="000000"/>
              <w:left w:val="single" w:sz="4" w:space="0" w:color="000000"/>
              <w:bottom w:val="nil" w:sz="6" w:space="0" w:color="auto"/>
              <w:right w:val="single" w:sz="4" w:space="0" w:color="000000"/>
            </w:tcBorders>
            <w:shd w:val="clear" w:color="auto" w:fill="D2D2D2"/>
          </w:tcPr>
          <w:p>
            <w:pPr/>
          </w:p>
        </w:tc>
        <w:tc>
          <w:tcPr>
            <w:tcW w:w="614" w:type="dxa"/>
            <w:tcBorders>
              <w:top w:val="single" w:sz="4" w:space="0" w:color="000000"/>
              <w:left w:val="single" w:sz="4" w:space="0" w:color="000000"/>
              <w:bottom w:val="nil" w:sz="6" w:space="0" w:color="auto"/>
              <w:right w:val="single" w:sz="4" w:space="0" w:color="000000"/>
            </w:tcBorders>
            <w:shd w:val="clear" w:color="auto" w:fill="D2D2D2"/>
          </w:tcPr>
          <w:p>
            <w:pPr/>
          </w:p>
        </w:tc>
        <w:tc>
          <w:tcPr>
            <w:tcW w:w="595" w:type="dxa"/>
            <w:tcBorders>
              <w:top w:val="single" w:sz="4" w:space="0" w:color="000000"/>
              <w:left w:val="single" w:sz="4" w:space="0" w:color="000000"/>
              <w:bottom w:val="nil" w:sz="6" w:space="0" w:color="auto"/>
              <w:right w:val="single" w:sz="4" w:space="0" w:color="000000"/>
            </w:tcBorders>
            <w:shd w:val="clear" w:color="auto" w:fill="D2D2D2"/>
          </w:tcPr>
          <w:p>
            <w:pPr/>
          </w:p>
        </w:tc>
        <w:tc>
          <w:tcPr>
            <w:tcW w:w="590" w:type="dxa"/>
            <w:tcBorders>
              <w:top w:val="single" w:sz="4" w:space="0" w:color="000000"/>
              <w:left w:val="single" w:sz="4" w:space="0" w:color="000000"/>
              <w:bottom w:val="nil" w:sz="6" w:space="0" w:color="auto"/>
              <w:right w:val="single" w:sz="4" w:space="0" w:color="000000"/>
            </w:tcBorders>
          </w:tcPr>
          <w:p>
            <w:pPr/>
          </w:p>
        </w:tc>
        <w:tc>
          <w:tcPr>
            <w:tcW w:w="691" w:type="dxa"/>
            <w:tcBorders>
              <w:top w:val="single" w:sz="4" w:space="0" w:color="000000"/>
              <w:left w:val="single" w:sz="4" w:space="0" w:color="000000"/>
              <w:bottom w:val="nil" w:sz="6" w:space="0" w:color="auto"/>
              <w:right w:val="single" w:sz="4" w:space="0" w:color="000000"/>
            </w:tcBorders>
          </w:tcPr>
          <w:p>
            <w:pPr/>
          </w:p>
        </w:tc>
        <w:tc>
          <w:tcPr>
            <w:tcW w:w="691"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tcBorders>
              <w:top w:val="single" w:sz="4" w:space="0" w:color="000000"/>
              <w:left w:val="single" w:sz="4" w:space="0" w:color="000000"/>
              <w:bottom w:val="nil" w:sz="6" w:space="0" w:color="auto"/>
              <w:right w:val="single" w:sz="4" w:space="0" w:color="000000"/>
            </w:tcBorders>
            <w:shd w:val="clear" w:color="auto" w:fill="D2D2D2"/>
          </w:tcPr>
          <w:p>
            <w:pPr/>
          </w:p>
        </w:tc>
        <w:tc>
          <w:tcPr>
            <w:tcW w:w="66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17" w:hRule="exact"/>
        </w:trPr>
        <w:tc>
          <w:tcPr>
            <w:tcW w:w="6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6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8"/>
              <w:ind w:left="3" w:right="0"/>
              <w:jc w:val="center"/>
              <w:rPr>
                <w:rFonts w:ascii="Times New Roman" w:hAnsi="Times New Roman" w:cs="Times New Roman" w:eastAsia="Times New Roman" w:hint="default"/>
                <w:sz w:val="18"/>
                <w:szCs w:val="18"/>
              </w:rPr>
            </w:pPr>
            <w:r>
              <w:rPr>
                <w:rFonts w:ascii="Times New Roman"/>
                <w:sz w:val="18"/>
              </w:rPr>
              <w:t>--</w:t>
            </w:r>
          </w:p>
        </w:tc>
        <w:tc>
          <w:tcPr>
            <w:tcW w:w="62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8"/>
              <w:ind w:left="3" w:right="0"/>
              <w:jc w:val="center"/>
              <w:rPr>
                <w:rFonts w:ascii="Times New Roman" w:hAnsi="Times New Roman" w:cs="Times New Roman" w:eastAsia="Times New Roman" w:hint="default"/>
                <w:sz w:val="18"/>
                <w:szCs w:val="18"/>
              </w:rPr>
            </w:pPr>
            <w:r>
              <w:rPr>
                <w:rFonts w:ascii="Times New Roman"/>
                <w:sz w:val="18"/>
              </w:rPr>
              <w:t>--</w:t>
            </w:r>
          </w:p>
        </w:tc>
        <w:tc>
          <w:tcPr>
            <w:tcW w:w="619"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12"/>
              <w:jc w:val="right"/>
              <w:rPr>
                <w:rFonts w:ascii="Times New Roman" w:hAnsi="Times New Roman" w:cs="Times New Roman" w:eastAsia="Times New Roman" w:hint="default"/>
                <w:sz w:val="18"/>
                <w:szCs w:val="18"/>
              </w:rPr>
            </w:pPr>
            <w:r>
              <w:rPr>
                <w:rFonts w:ascii="Times New Roman"/>
                <w:spacing w:val="-1"/>
                <w:sz w:val="18"/>
              </w:rPr>
              <w:t>3,105.3</w:t>
            </w:r>
          </w:p>
        </w:tc>
        <w:tc>
          <w:tcPr>
            <w:tcW w:w="62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8"/>
              <w:ind w:left="3" w:right="0"/>
              <w:jc w:val="center"/>
              <w:rPr>
                <w:rFonts w:ascii="Times New Roman" w:hAnsi="Times New Roman" w:cs="Times New Roman" w:eastAsia="Times New Roman" w:hint="default"/>
                <w:sz w:val="18"/>
                <w:szCs w:val="18"/>
              </w:rPr>
            </w:pPr>
            <w:r>
              <w:rPr>
                <w:rFonts w:ascii="Times New Roman"/>
                <w:sz w:val="18"/>
              </w:rPr>
              <w:t>--</w:t>
            </w:r>
          </w:p>
        </w:tc>
        <w:tc>
          <w:tcPr>
            <w:tcW w:w="61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8"/>
              <w:ind w:left="7" w:right="0"/>
              <w:jc w:val="center"/>
              <w:rPr>
                <w:rFonts w:ascii="Times New Roman" w:hAnsi="Times New Roman" w:cs="Times New Roman" w:eastAsia="Times New Roman" w:hint="default"/>
                <w:sz w:val="18"/>
                <w:szCs w:val="18"/>
              </w:rPr>
            </w:pPr>
            <w:r>
              <w:rPr>
                <w:rFonts w:ascii="Times New Roman"/>
                <w:sz w:val="18"/>
              </w:rPr>
              <w:t>--</w:t>
            </w:r>
          </w:p>
        </w:tc>
        <w:tc>
          <w:tcPr>
            <w:tcW w:w="61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8"/>
              <w:ind w:right="1"/>
              <w:jc w:val="center"/>
              <w:rPr>
                <w:rFonts w:ascii="Times New Roman" w:hAnsi="Times New Roman" w:cs="Times New Roman" w:eastAsia="Times New Roman" w:hint="default"/>
                <w:sz w:val="18"/>
                <w:szCs w:val="18"/>
              </w:rPr>
            </w:pPr>
            <w:r>
              <w:rPr>
                <w:rFonts w:ascii="Times New Roman"/>
                <w:sz w:val="18"/>
              </w:rPr>
              <w:t>--</w:t>
            </w:r>
          </w:p>
        </w:tc>
        <w:tc>
          <w:tcPr>
            <w:tcW w:w="61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8"/>
              <w:ind w:right="1"/>
              <w:jc w:val="center"/>
              <w:rPr>
                <w:rFonts w:ascii="Times New Roman" w:hAnsi="Times New Roman" w:cs="Times New Roman" w:eastAsia="Times New Roman" w:hint="default"/>
                <w:sz w:val="18"/>
                <w:szCs w:val="18"/>
              </w:rPr>
            </w:pPr>
            <w:r>
              <w:rPr>
                <w:rFonts w:ascii="Times New Roman"/>
                <w:sz w:val="18"/>
              </w:rPr>
              <w:t>--</w:t>
            </w:r>
          </w:p>
        </w:tc>
        <w:tc>
          <w:tcPr>
            <w:tcW w:w="61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8"/>
              <w:ind w:right="4"/>
              <w:jc w:val="center"/>
              <w:rPr>
                <w:rFonts w:ascii="Times New Roman" w:hAnsi="Times New Roman" w:cs="Times New Roman" w:eastAsia="Times New Roman" w:hint="default"/>
                <w:sz w:val="18"/>
                <w:szCs w:val="18"/>
              </w:rPr>
            </w:pPr>
            <w:r>
              <w:rPr>
                <w:rFonts w:ascii="Times New Roman"/>
                <w:sz w:val="18"/>
              </w:rPr>
              <w:t>--</w:t>
            </w:r>
          </w:p>
        </w:tc>
        <w:tc>
          <w:tcPr>
            <w:tcW w:w="59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8"/>
              <w:ind w:left="3" w:right="0"/>
              <w:jc w:val="center"/>
              <w:rPr>
                <w:rFonts w:ascii="Times New Roman" w:hAnsi="Times New Roman" w:cs="Times New Roman" w:eastAsia="Times New Roman" w:hint="default"/>
                <w:sz w:val="18"/>
                <w:szCs w:val="18"/>
              </w:rPr>
            </w:pPr>
            <w:r>
              <w:rPr>
                <w:rFonts w:ascii="Times New Roman"/>
                <w:sz w:val="18"/>
              </w:rPr>
              <w:t>--</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left="235" w:right="0"/>
              <w:jc w:val="left"/>
              <w:rPr>
                <w:rFonts w:ascii="Times New Roman" w:hAnsi="Times New Roman" w:cs="Times New Roman" w:eastAsia="Times New Roman" w:hint="default"/>
                <w:sz w:val="18"/>
                <w:szCs w:val="18"/>
              </w:rPr>
            </w:pPr>
            <w:r>
              <w:rPr>
                <w:rFonts w:ascii="Times New Roman"/>
                <w:sz w:val="18"/>
              </w:rPr>
              <w:t>0.00</w:t>
            </w:r>
          </w:p>
        </w:tc>
        <w:tc>
          <w:tcPr>
            <w:tcW w:w="691"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left="340" w:right="0"/>
              <w:jc w:val="left"/>
              <w:rPr>
                <w:rFonts w:ascii="Times New Roman" w:hAnsi="Times New Roman" w:cs="Times New Roman" w:eastAsia="Times New Roman" w:hint="default"/>
                <w:sz w:val="18"/>
                <w:szCs w:val="18"/>
              </w:rPr>
            </w:pPr>
            <w:r>
              <w:rPr>
                <w:rFonts w:ascii="Times New Roman"/>
                <w:sz w:val="18"/>
              </w:rPr>
              <w:t>0.00</w:t>
            </w:r>
          </w:p>
        </w:tc>
        <w:tc>
          <w:tcPr>
            <w:tcW w:w="69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8"/>
              <w:ind w:left="3" w:right="0"/>
              <w:jc w:val="center"/>
              <w:rPr>
                <w:rFonts w:ascii="Times New Roman" w:hAnsi="Times New Roman" w:cs="Times New Roman" w:eastAsia="Times New Roman" w:hint="default"/>
                <w:sz w:val="18"/>
                <w:szCs w:val="18"/>
              </w:rPr>
            </w:pPr>
            <w:r>
              <w:rPr>
                <w:rFonts w:ascii="Times New Roman"/>
                <w:sz w:val="18"/>
              </w:rPr>
              <w:t>--</w:t>
            </w:r>
          </w:p>
        </w:tc>
        <w:tc>
          <w:tcPr>
            <w:tcW w:w="69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8"/>
              <w:ind w:left="3" w:right="0"/>
              <w:jc w:val="center"/>
              <w:rPr>
                <w:rFonts w:ascii="Times New Roman" w:hAnsi="Times New Roman" w:cs="Times New Roman" w:eastAsia="Times New Roman" w:hint="default"/>
                <w:sz w:val="18"/>
                <w:szCs w:val="18"/>
              </w:rPr>
            </w:pPr>
            <w:r>
              <w:rPr>
                <w:rFonts w:ascii="Times New Roman"/>
                <w:sz w:val="18"/>
              </w:rPr>
              <w:t>--</w:t>
            </w:r>
          </w:p>
        </w:tc>
        <w:tc>
          <w:tcPr>
            <w:tcW w:w="6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8"/>
              <w:ind w:left="7" w:right="0"/>
              <w:jc w:val="center"/>
              <w:rPr>
                <w:rFonts w:ascii="Times New Roman" w:hAnsi="Times New Roman" w:cs="Times New Roman" w:eastAsia="Times New Roman" w:hint="default"/>
                <w:sz w:val="18"/>
                <w:szCs w:val="18"/>
              </w:rPr>
            </w:pPr>
            <w:r>
              <w:rPr>
                <w:rFonts w:ascii="Times New Roman"/>
                <w:sz w:val="18"/>
              </w:rPr>
              <w:t>--</w:t>
            </w:r>
          </w:p>
        </w:tc>
      </w:tr>
      <w:tr>
        <w:trPr>
          <w:trHeight w:val="346" w:hRule="exact"/>
        </w:trPr>
        <w:tc>
          <w:tcPr>
            <w:tcW w:w="653" w:type="dxa"/>
            <w:tcBorders>
              <w:top w:val="nil" w:sz="6" w:space="0" w:color="auto"/>
              <w:left w:val="single" w:sz="4" w:space="0" w:color="000000"/>
              <w:bottom w:val="single" w:sz="4" w:space="0" w:color="000000"/>
              <w:right w:val="single" w:sz="4" w:space="0" w:color="000000"/>
            </w:tcBorders>
            <w:shd w:val="clear" w:color="auto" w:fill="D2D2D2"/>
          </w:tcPr>
          <w:p>
            <w:pPr/>
          </w:p>
        </w:tc>
        <w:tc>
          <w:tcPr>
            <w:tcW w:w="653" w:type="dxa"/>
            <w:tcBorders>
              <w:top w:val="nil" w:sz="6" w:space="0" w:color="auto"/>
              <w:left w:val="single" w:sz="4" w:space="0" w:color="000000"/>
              <w:bottom w:val="single" w:sz="4" w:space="0" w:color="000000"/>
              <w:right w:val="single" w:sz="4" w:space="0" w:color="000000"/>
            </w:tcBorders>
            <w:shd w:val="clear" w:color="auto" w:fill="D2D2D2"/>
          </w:tcPr>
          <w:p>
            <w:pPr/>
          </w:p>
        </w:tc>
        <w:tc>
          <w:tcPr>
            <w:tcW w:w="624" w:type="dxa"/>
            <w:tcBorders>
              <w:top w:val="nil" w:sz="6" w:space="0" w:color="auto"/>
              <w:left w:val="single" w:sz="4" w:space="0" w:color="000000"/>
              <w:bottom w:val="single" w:sz="4" w:space="0" w:color="000000"/>
              <w:right w:val="single" w:sz="4" w:space="0" w:color="000000"/>
            </w:tcBorders>
            <w:shd w:val="clear" w:color="auto" w:fill="D2D2D2"/>
          </w:tcPr>
          <w:p>
            <w:pPr/>
          </w:p>
        </w:tc>
        <w:tc>
          <w:tcPr>
            <w:tcW w:w="61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3"/>
              <w:ind w:right="17"/>
              <w:jc w:val="right"/>
              <w:rPr>
                <w:rFonts w:ascii="Times New Roman" w:hAnsi="Times New Roman" w:cs="Times New Roman" w:eastAsia="Times New Roman" w:hint="default"/>
                <w:sz w:val="18"/>
                <w:szCs w:val="18"/>
              </w:rPr>
            </w:pPr>
            <w:r>
              <w:rPr>
                <w:rFonts w:ascii="Times New Roman"/>
                <w:w w:val="101"/>
                <w:sz w:val="18"/>
              </w:rPr>
              <w:t>7</w:t>
            </w:r>
            <w:r>
              <w:rPr>
                <w:rFonts w:ascii="Times New Roman"/>
                <w:sz w:val="18"/>
              </w:rPr>
            </w:r>
          </w:p>
        </w:tc>
        <w:tc>
          <w:tcPr>
            <w:tcW w:w="624" w:type="dxa"/>
            <w:tcBorders>
              <w:top w:val="nil" w:sz="6" w:space="0" w:color="auto"/>
              <w:left w:val="single" w:sz="4" w:space="0" w:color="000000"/>
              <w:bottom w:val="single" w:sz="4" w:space="0" w:color="000000"/>
              <w:right w:val="single" w:sz="4" w:space="0" w:color="000000"/>
            </w:tcBorders>
            <w:shd w:val="clear" w:color="auto" w:fill="D2D2D2"/>
          </w:tcPr>
          <w:p>
            <w:pPr/>
          </w:p>
        </w:tc>
        <w:tc>
          <w:tcPr>
            <w:tcW w:w="619" w:type="dxa"/>
            <w:tcBorders>
              <w:top w:val="nil" w:sz="6" w:space="0" w:color="auto"/>
              <w:left w:val="single" w:sz="4" w:space="0" w:color="000000"/>
              <w:bottom w:val="single" w:sz="4" w:space="0" w:color="000000"/>
              <w:right w:val="single" w:sz="4" w:space="0" w:color="000000"/>
            </w:tcBorders>
            <w:shd w:val="clear" w:color="auto" w:fill="D2D2D2"/>
          </w:tcPr>
          <w:p>
            <w:pPr/>
          </w:p>
        </w:tc>
        <w:tc>
          <w:tcPr>
            <w:tcW w:w="619" w:type="dxa"/>
            <w:tcBorders>
              <w:top w:val="nil" w:sz="6" w:space="0" w:color="auto"/>
              <w:left w:val="single" w:sz="4" w:space="0" w:color="000000"/>
              <w:bottom w:val="single" w:sz="4" w:space="0" w:color="000000"/>
              <w:right w:val="single" w:sz="4" w:space="0" w:color="000000"/>
            </w:tcBorders>
            <w:shd w:val="clear" w:color="auto" w:fill="D2D2D2"/>
          </w:tcPr>
          <w:p>
            <w:pPr/>
          </w:p>
        </w:tc>
        <w:tc>
          <w:tcPr>
            <w:tcW w:w="619" w:type="dxa"/>
            <w:tcBorders>
              <w:top w:val="nil" w:sz="6" w:space="0" w:color="auto"/>
              <w:left w:val="single" w:sz="4" w:space="0" w:color="000000"/>
              <w:bottom w:val="single" w:sz="4" w:space="0" w:color="000000"/>
              <w:right w:val="single" w:sz="4" w:space="0" w:color="000000"/>
            </w:tcBorders>
            <w:shd w:val="clear" w:color="auto" w:fill="D2D2D2"/>
          </w:tcPr>
          <w:p>
            <w:pPr/>
          </w:p>
        </w:tc>
        <w:tc>
          <w:tcPr>
            <w:tcW w:w="614" w:type="dxa"/>
            <w:tcBorders>
              <w:top w:val="nil" w:sz="6" w:space="0" w:color="auto"/>
              <w:left w:val="single" w:sz="4" w:space="0" w:color="000000"/>
              <w:bottom w:val="single" w:sz="4" w:space="0" w:color="000000"/>
              <w:right w:val="single" w:sz="4" w:space="0" w:color="000000"/>
            </w:tcBorders>
            <w:shd w:val="clear" w:color="auto" w:fill="D2D2D2"/>
          </w:tcPr>
          <w:p>
            <w:pPr/>
          </w:p>
        </w:tc>
        <w:tc>
          <w:tcPr>
            <w:tcW w:w="595" w:type="dxa"/>
            <w:tcBorders>
              <w:top w:val="nil" w:sz="6" w:space="0" w:color="auto"/>
              <w:left w:val="single" w:sz="4" w:space="0" w:color="000000"/>
              <w:bottom w:val="single" w:sz="4" w:space="0" w:color="000000"/>
              <w:right w:val="single" w:sz="4" w:space="0" w:color="000000"/>
            </w:tcBorders>
            <w:shd w:val="clear" w:color="auto" w:fill="D2D2D2"/>
          </w:tcPr>
          <w:p>
            <w:pPr/>
          </w:p>
        </w:tc>
        <w:tc>
          <w:tcPr>
            <w:tcW w:w="590" w:type="dxa"/>
            <w:tcBorders>
              <w:top w:val="nil" w:sz="6" w:space="0" w:color="auto"/>
              <w:left w:val="single" w:sz="4" w:space="0" w:color="000000"/>
              <w:bottom w:val="single" w:sz="4" w:space="0" w:color="000000"/>
              <w:right w:val="single" w:sz="4" w:space="0" w:color="000000"/>
            </w:tcBorders>
          </w:tcPr>
          <w:p>
            <w:pPr/>
          </w:p>
        </w:tc>
        <w:tc>
          <w:tcPr>
            <w:tcW w:w="691" w:type="dxa"/>
            <w:tcBorders>
              <w:top w:val="nil" w:sz="6" w:space="0" w:color="auto"/>
              <w:left w:val="single" w:sz="4" w:space="0" w:color="000000"/>
              <w:bottom w:val="single" w:sz="4" w:space="0" w:color="000000"/>
              <w:right w:val="single" w:sz="4" w:space="0" w:color="000000"/>
            </w:tcBorders>
          </w:tcPr>
          <w:p>
            <w:pPr/>
          </w:p>
        </w:tc>
        <w:tc>
          <w:tcPr>
            <w:tcW w:w="691"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tcBorders>
              <w:top w:val="nil" w:sz="6" w:space="0" w:color="auto"/>
              <w:left w:val="single" w:sz="4" w:space="0" w:color="000000"/>
              <w:bottom w:val="single" w:sz="4" w:space="0" w:color="000000"/>
              <w:right w:val="single" w:sz="4" w:space="0" w:color="000000"/>
            </w:tcBorders>
            <w:shd w:val="clear" w:color="auto" w:fill="D2D2D2"/>
          </w:tcPr>
          <w:p>
            <w:pPr/>
          </w:p>
        </w:tc>
        <w:tc>
          <w:tcPr>
            <w:tcW w:w="667" w:type="dxa"/>
            <w:tcBorders>
              <w:top w:val="nil" w:sz="6" w:space="0" w:color="auto"/>
              <w:left w:val="single" w:sz="4" w:space="0" w:color="000000"/>
              <w:bottom w:val="single" w:sz="4" w:space="0" w:color="000000"/>
              <w:right w:val="single" w:sz="4" w:space="0" w:color="000000"/>
            </w:tcBorders>
            <w:shd w:val="clear" w:color="auto" w:fill="D2D2D2"/>
          </w:tcPr>
          <w:p>
            <w:pP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rFonts w:ascii="Times New Roman" w:hAnsi="Times New Roman" w:cs="Times New Roman" w:eastAsia="Times New Roman" w:hint="default"/>
        </w:rPr>
        <w:t>3</w:t>
      </w:r>
      <w:r>
        <w:rPr/>
        <w:t>、报告期内正在进行的重大的非股权投资情况</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4</w:t>
      </w:r>
      <w:r>
        <w:rPr/>
        <w:t>、以公允价值计量的金融资产</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line="240" w:lineRule="auto" w:before="6"/>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5</w:t>
      </w:r>
      <w:r>
        <w:rPr/>
        <w:t>、募集资金使用情况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line="338" w:lineRule="auto" w:before="0"/>
        <w:ind w:left="152" w:right="640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公司报告期无募集资金使用情况。</w:t>
      </w:r>
    </w:p>
    <w:p>
      <w:pPr>
        <w:spacing w:line="240" w:lineRule="auto" w:before="6"/>
        <w:rPr>
          <w:rFonts w:ascii="宋体" w:hAnsi="宋体" w:cs="宋体" w:eastAsia="宋体" w:hint="default"/>
          <w:sz w:val="12"/>
          <w:szCs w:val="12"/>
        </w:rPr>
      </w:pPr>
    </w:p>
    <w:p>
      <w:pPr>
        <w:pStyle w:val="Heading2"/>
        <w:spacing w:line="240" w:lineRule="auto"/>
        <w:ind w:right="0"/>
        <w:jc w:val="left"/>
        <w:rPr>
          <w:b w:val="0"/>
          <w:bCs w:val="0"/>
        </w:rPr>
      </w:pPr>
      <w:r>
        <w:rPr/>
        <w:t>六、重大资产和股权出售</w:t>
      </w:r>
      <w:r>
        <w:rPr>
          <w:b w:val="0"/>
          <w:bCs w:val="0"/>
        </w:rPr>
      </w:r>
    </w:p>
    <w:p>
      <w:pPr>
        <w:spacing w:line="240" w:lineRule="auto" w:before="10"/>
        <w:rPr>
          <w:rFonts w:ascii="Microsoft JhengHei" w:hAnsi="Microsoft JhengHei" w:cs="Microsoft JhengHei" w:eastAsia="Microsoft JhengHei" w:hint="default"/>
          <w:b/>
          <w:bCs/>
          <w:sz w:val="13"/>
          <w:szCs w:val="13"/>
        </w:rPr>
      </w:pPr>
    </w:p>
    <w:p>
      <w:pPr>
        <w:pStyle w:val="Heading4"/>
        <w:spacing w:line="240" w:lineRule="auto"/>
        <w:ind w:right="0"/>
        <w:jc w:val="left"/>
        <w:rPr>
          <w:b w:val="0"/>
          <w:bCs w:val="0"/>
        </w:rPr>
      </w:pPr>
      <w:r>
        <w:rPr>
          <w:rFonts w:ascii="Times New Roman" w:hAnsi="Times New Roman" w:cs="Times New Roman" w:eastAsia="Times New Roman" w:hint="default"/>
        </w:rPr>
        <w:t>1</w:t>
      </w:r>
      <w:r>
        <w:rPr/>
        <w:t>、出售重大资产情况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line="338" w:lineRule="auto" w:before="0"/>
        <w:ind w:left="152" w:right="640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公司报告期未出售重大资产。</w:t>
      </w:r>
    </w:p>
    <w:p>
      <w:pPr>
        <w:spacing w:line="240" w:lineRule="auto" w:before="12"/>
        <w:rPr>
          <w:rFonts w:ascii="宋体" w:hAnsi="宋体" w:cs="宋体" w:eastAsia="宋体" w:hint="default"/>
          <w:sz w:val="15"/>
          <w:szCs w:val="15"/>
        </w:rPr>
      </w:pPr>
    </w:p>
    <w:p>
      <w:pPr>
        <w:pStyle w:val="Heading4"/>
        <w:spacing w:line="240" w:lineRule="auto"/>
        <w:ind w:right="0"/>
        <w:jc w:val="left"/>
        <w:rPr>
          <w:b w:val="0"/>
          <w:bCs w:val="0"/>
        </w:rPr>
      </w:pPr>
      <w:r>
        <w:rPr>
          <w:rFonts w:ascii="Times New Roman" w:hAnsi="Times New Roman" w:cs="Times New Roman" w:eastAsia="Times New Roman" w:hint="default"/>
        </w:rPr>
        <w:t>2</w:t>
      </w:r>
      <w:r>
        <w:rPr/>
        <w:t>、出售重大股权情况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不适用</w:t>
      </w:r>
    </w:p>
    <w:p>
      <w:pPr>
        <w:spacing w:line="240" w:lineRule="auto" w:before="7"/>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686"/>
        <w:gridCol w:w="682"/>
        <w:gridCol w:w="682"/>
        <w:gridCol w:w="686"/>
        <w:gridCol w:w="682"/>
        <w:gridCol w:w="682"/>
        <w:gridCol w:w="682"/>
        <w:gridCol w:w="686"/>
        <w:gridCol w:w="682"/>
        <w:gridCol w:w="682"/>
        <w:gridCol w:w="686"/>
        <w:gridCol w:w="682"/>
        <w:gridCol w:w="682"/>
        <w:gridCol w:w="686"/>
      </w:tblGrid>
      <w:tr>
        <w:trPr>
          <w:trHeight w:val="357" w:hRule="exact"/>
        </w:trPr>
        <w:tc>
          <w:tcPr>
            <w:tcW w:w="686" w:type="dxa"/>
            <w:tcBorders>
              <w:top w:val="single" w:sz="4" w:space="0" w:color="000000"/>
              <w:left w:val="single" w:sz="4" w:space="0" w:color="000000"/>
              <w:bottom w:val="nil" w:sz="6" w:space="0" w:color="auto"/>
              <w:right w:val="single" w:sz="4" w:space="0" w:color="000000"/>
            </w:tcBorders>
            <w:shd w:val="clear" w:color="auto" w:fill="D2D2D2"/>
          </w:tcPr>
          <w:p>
            <w:pPr/>
          </w:p>
        </w:tc>
        <w:tc>
          <w:tcPr>
            <w:tcW w:w="682" w:type="dxa"/>
            <w:tcBorders>
              <w:top w:val="single" w:sz="4" w:space="0" w:color="000000"/>
              <w:left w:val="single" w:sz="4" w:space="0" w:color="000000"/>
              <w:bottom w:val="nil" w:sz="6" w:space="0" w:color="auto"/>
              <w:right w:val="single" w:sz="4" w:space="0" w:color="000000"/>
            </w:tcBorders>
            <w:shd w:val="clear" w:color="auto" w:fill="D2D2D2"/>
          </w:tcPr>
          <w:p>
            <w:pPr/>
          </w:p>
        </w:tc>
        <w:tc>
          <w:tcPr>
            <w:tcW w:w="682" w:type="dxa"/>
            <w:tcBorders>
              <w:top w:val="single" w:sz="4" w:space="0" w:color="000000"/>
              <w:left w:val="single" w:sz="4" w:space="0" w:color="000000"/>
              <w:bottom w:val="nil" w:sz="6" w:space="0" w:color="auto"/>
              <w:right w:val="single" w:sz="4" w:space="0" w:color="000000"/>
            </w:tcBorders>
            <w:shd w:val="clear" w:color="auto" w:fill="D2D2D2"/>
          </w:tcPr>
          <w:p>
            <w:pPr/>
          </w:p>
        </w:tc>
        <w:tc>
          <w:tcPr>
            <w:tcW w:w="686" w:type="dxa"/>
            <w:tcBorders>
              <w:top w:val="single" w:sz="4" w:space="0" w:color="000000"/>
              <w:left w:val="single" w:sz="4" w:space="0" w:color="000000"/>
              <w:bottom w:val="nil" w:sz="6" w:space="0" w:color="auto"/>
              <w:right w:val="single" w:sz="4" w:space="0" w:color="000000"/>
            </w:tcBorders>
            <w:shd w:val="clear" w:color="auto" w:fill="D2D2D2"/>
          </w:tcPr>
          <w:p>
            <w:pPr/>
          </w:p>
        </w:tc>
        <w:tc>
          <w:tcPr>
            <w:tcW w:w="682" w:type="dxa"/>
            <w:tcBorders>
              <w:top w:val="single" w:sz="4" w:space="0" w:color="000000"/>
              <w:left w:val="single" w:sz="4" w:space="0" w:color="000000"/>
              <w:bottom w:val="nil" w:sz="6" w:space="0" w:color="auto"/>
              <w:right w:val="single" w:sz="4" w:space="0" w:color="000000"/>
            </w:tcBorders>
            <w:shd w:val="clear" w:color="auto" w:fill="D2D2D2"/>
          </w:tcPr>
          <w:p>
            <w:pPr/>
          </w:p>
        </w:tc>
        <w:tc>
          <w:tcPr>
            <w:tcW w:w="682" w:type="dxa"/>
            <w:tcBorders>
              <w:top w:val="single" w:sz="4" w:space="0" w:color="000000"/>
              <w:left w:val="single" w:sz="4" w:space="0" w:color="000000"/>
              <w:bottom w:val="nil" w:sz="6" w:space="0" w:color="auto"/>
              <w:right w:val="single" w:sz="4" w:space="0" w:color="000000"/>
            </w:tcBorders>
            <w:shd w:val="clear" w:color="auto" w:fill="D2D2D2"/>
          </w:tcPr>
          <w:p>
            <w:pPr/>
          </w:p>
        </w:tc>
        <w:tc>
          <w:tcPr>
            <w:tcW w:w="682" w:type="dxa"/>
            <w:tcBorders>
              <w:top w:val="single" w:sz="4" w:space="0" w:color="000000"/>
              <w:left w:val="single" w:sz="4" w:space="0" w:color="000000"/>
              <w:bottom w:val="nil" w:sz="6" w:space="0" w:color="auto"/>
              <w:right w:val="single" w:sz="4" w:space="0" w:color="000000"/>
            </w:tcBorders>
            <w:shd w:val="clear" w:color="auto" w:fill="D2D2D2"/>
          </w:tcPr>
          <w:p>
            <w:pPr/>
          </w:p>
        </w:tc>
        <w:tc>
          <w:tcPr>
            <w:tcW w:w="686" w:type="dxa"/>
            <w:tcBorders>
              <w:top w:val="single" w:sz="4" w:space="0" w:color="000000"/>
              <w:left w:val="single" w:sz="4" w:space="0" w:color="000000"/>
              <w:bottom w:val="nil" w:sz="6" w:space="0" w:color="auto"/>
              <w:right w:val="single" w:sz="4" w:space="0" w:color="000000"/>
            </w:tcBorders>
            <w:shd w:val="clear" w:color="auto" w:fill="D2D2D2"/>
          </w:tcPr>
          <w:p>
            <w:pPr/>
          </w:p>
        </w:tc>
        <w:tc>
          <w:tcPr>
            <w:tcW w:w="682" w:type="dxa"/>
            <w:tcBorders>
              <w:top w:val="single" w:sz="4" w:space="0" w:color="000000"/>
              <w:left w:val="single" w:sz="4" w:space="0" w:color="000000"/>
              <w:bottom w:val="nil" w:sz="6" w:space="0" w:color="auto"/>
              <w:right w:val="single" w:sz="4" w:space="0" w:color="000000"/>
            </w:tcBorders>
            <w:shd w:val="clear" w:color="auto" w:fill="D2D2D2"/>
          </w:tcPr>
          <w:p>
            <w:pPr/>
          </w:p>
        </w:tc>
        <w:tc>
          <w:tcPr>
            <w:tcW w:w="682" w:type="dxa"/>
            <w:tcBorders>
              <w:top w:val="single" w:sz="4" w:space="0" w:color="000000"/>
              <w:left w:val="single" w:sz="4" w:space="0" w:color="000000"/>
              <w:bottom w:val="nil" w:sz="6" w:space="0" w:color="auto"/>
              <w:right w:val="single" w:sz="4" w:space="0" w:color="000000"/>
            </w:tcBorders>
            <w:shd w:val="clear" w:color="auto" w:fill="D2D2D2"/>
          </w:tcPr>
          <w:p>
            <w:pPr/>
          </w:p>
        </w:tc>
        <w:tc>
          <w:tcPr>
            <w:tcW w:w="686" w:type="dxa"/>
            <w:tcBorders>
              <w:top w:val="single" w:sz="4" w:space="0" w:color="000000"/>
              <w:left w:val="single" w:sz="4" w:space="0" w:color="000000"/>
              <w:bottom w:val="nil" w:sz="6" w:space="0" w:color="auto"/>
              <w:right w:val="single" w:sz="4" w:space="0" w:color="000000"/>
            </w:tcBorders>
            <w:shd w:val="clear" w:color="auto" w:fill="D2D2D2"/>
          </w:tcPr>
          <w:p>
            <w:pPr/>
          </w:p>
        </w:tc>
        <w:tc>
          <w:tcPr>
            <w:tcW w:w="682"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3"/>
              <w:ind w:left="62" w:right="0"/>
              <w:jc w:val="left"/>
              <w:rPr>
                <w:rFonts w:ascii="宋体" w:hAnsi="宋体" w:cs="宋体" w:eastAsia="宋体" w:hint="default"/>
                <w:sz w:val="18"/>
                <w:szCs w:val="18"/>
              </w:rPr>
            </w:pPr>
            <w:r>
              <w:rPr>
                <w:rFonts w:ascii="宋体" w:hAnsi="宋体" w:cs="宋体" w:eastAsia="宋体" w:hint="default"/>
                <w:sz w:val="18"/>
                <w:szCs w:val="18"/>
              </w:rPr>
              <w:t>是否按</w:t>
            </w:r>
          </w:p>
        </w:tc>
        <w:tc>
          <w:tcPr>
            <w:tcW w:w="682" w:type="dxa"/>
            <w:tcBorders>
              <w:top w:val="single" w:sz="4" w:space="0" w:color="000000"/>
              <w:left w:val="single" w:sz="4" w:space="0" w:color="000000"/>
              <w:bottom w:val="nil" w:sz="6" w:space="0" w:color="auto"/>
              <w:right w:val="single" w:sz="4" w:space="0" w:color="000000"/>
            </w:tcBorders>
            <w:shd w:val="clear" w:color="auto" w:fill="D2D2D2"/>
          </w:tcPr>
          <w:p>
            <w:pPr/>
          </w:p>
        </w:tc>
        <w:tc>
          <w:tcPr>
            <w:tcW w:w="686"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120" w:hRule="exact"/>
        </w:trPr>
        <w:tc>
          <w:tcPr>
            <w:tcW w:w="68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316" w:lineRule="auto"/>
              <w:ind w:left="244" w:right="65" w:hanging="178"/>
              <w:jc w:val="left"/>
              <w:rPr>
                <w:rFonts w:ascii="宋体" w:hAnsi="宋体" w:cs="宋体" w:eastAsia="宋体" w:hint="default"/>
                <w:sz w:val="18"/>
                <w:szCs w:val="18"/>
              </w:rPr>
            </w:pPr>
            <w:r>
              <w:rPr>
                <w:rFonts w:ascii="宋体" w:hAnsi="宋体" w:cs="宋体" w:eastAsia="宋体" w:hint="default"/>
                <w:sz w:val="18"/>
                <w:szCs w:val="18"/>
              </w:rPr>
              <w:t>交易对</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方</w:t>
            </w:r>
          </w:p>
        </w:tc>
        <w:tc>
          <w:tcPr>
            <w:tcW w:w="68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316" w:lineRule="auto"/>
              <w:ind w:left="153" w:right="60" w:hanging="87"/>
              <w:jc w:val="left"/>
              <w:rPr>
                <w:rFonts w:ascii="宋体" w:hAnsi="宋体" w:cs="宋体" w:eastAsia="宋体" w:hint="default"/>
                <w:sz w:val="18"/>
                <w:szCs w:val="18"/>
              </w:rPr>
            </w:pPr>
            <w:r>
              <w:rPr>
                <w:rFonts w:ascii="宋体" w:hAnsi="宋体" w:cs="宋体" w:eastAsia="宋体" w:hint="default"/>
                <w:sz w:val="18"/>
                <w:szCs w:val="18"/>
              </w:rPr>
              <w:t>被出售</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股权</w:t>
            </w:r>
          </w:p>
        </w:tc>
        <w:tc>
          <w:tcPr>
            <w:tcW w:w="68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67" w:right="0"/>
              <w:jc w:val="left"/>
              <w:rPr>
                <w:rFonts w:ascii="宋体" w:hAnsi="宋体" w:cs="宋体" w:eastAsia="宋体" w:hint="default"/>
                <w:sz w:val="18"/>
                <w:szCs w:val="18"/>
              </w:rPr>
            </w:pPr>
            <w:r>
              <w:rPr>
                <w:rFonts w:ascii="宋体" w:hAnsi="宋体" w:cs="宋体" w:eastAsia="宋体" w:hint="default"/>
                <w:sz w:val="18"/>
                <w:szCs w:val="18"/>
              </w:rPr>
              <w:t>出售日</w:t>
            </w:r>
          </w:p>
        </w:tc>
        <w:tc>
          <w:tcPr>
            <w:tcW w:w="68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61"/>
              <w:ind w:left="67" w:right="65"/>
              <w:jc w:val="both"/>
              <w:rPr>
                <w:rFonts w:ascii="宋体" w:hAnsi="宋体" w:cs="宋体" w:eastAsia="宋体" w:hint="default"/>
                <w:sz w:val="18"/>
                <w:szCs w:val="18"/>
              </w:rPr>
            </w:pPr>
            <w:r>
              <w:rPr>
                <w:rFonts w:ascii="宋体" w:hAnsi="宋体" w:cs="宋体" w:eastAsia="宋体" w:hint="default"/>
                <w:sz w:val="18"/>
                <w:szCs w:val="18"/>
              </w:rPr>
              <w:t>交易价</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格（万</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元）</w:t>
            </w:r>
          </w:p>
        </w:tc>
        <w:tc>
          <w:tcPr>
            <w:tcW w:w="68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62" w:right="65"/>
              <w:jc w:val="both"/>
              <w:rPr>
                <w:rFonts w:ascii="宋体" w:hAnsi="宋体" w:cs="宋体" w:eastAsia="宋体" w:hint="default"/>
                <w:sz w:val="18"/>
                <w:szCs w:val="18"/>
              </w:rPr>
            </w:pPr>
            <w:r>
              <w:rPr>
                <w:rFonts w:ascii="宋体" w:hAnsi="宋体" w:cs="宋体" w:eastAsia="宋体" w:hint="default"/>
                <w:sz w:val="18"/>
                <w:szCs w:val="18"/>
              </w:rPr>
              <w:t>本期初</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起至出</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售日该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股权为</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上市公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司贡献</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的净利</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润（万</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元）</w:t>
            </w:r>
          </w:p>
        </w:tc>
        <w:tc>
          <w:tcPr>
            <w:tcW w:w="68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61"/>
              <w:ind w:left="67" w:right="60"/>
              <w:jc w:val="both"/>
              <w:rPr>
                <w:rFonts w:ascii="宋体" w:hAnsi="宋体" w:cs="宋体" w:eastAsia="宋体" w:hint="default"/>
                <w:sz w:val="18"/>
                <w:szCs w:val="18"/>
              </w:rPr>
            </w:pPr>
            <w:r>
              <w:rPr>
                <w:rFonts w:ascii="宋体" w:hAnsi="宋体" w:cs="宋体" w:eastAsia="宋体" w:hint="default"/>
                <w:sz w:val="18"/>
                <w:szCs w:val="18"/>
              </w:rPr>
              <w:t>出售对</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公司的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影响</w:t>
            </w:r>
          </w:p>
        </w:tc>
        <w:tc>
          <w:tcPr>
            <w:tcW w:w="68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24"/>
                <w:szCs w:val="24"/>
              </w:rPr>
            </w:pPr>
          </w:p>
          <w:p>
            <w:pPr>
              <w:pStyle w:val="TableParagraph"/>
              <w:spacing w:line="316" w:lineRule="auto"/>
              <w:ind w:left="67" w:right="60"/>
              <w:jc w:val="both"/>
              <w:rPr>
                <w:rFonts w:ascii="宋体" w:hAnsi="宋体" w:cs="宋体" w:eastAsia="宋体" w:hint="default"/>
                <w:sz w:val="18"/>
                <w:szCs w:val="18"/>
              </w:rPr>
            </w:pPr>
            <w:r>
              <w:rPr>
                <w:rFonts w:ascii="宋体" w:hAnsi="宋体" w:cs="宋体" w:eastAsia="宋体" w:hint="default"/>
                <w:sz w:val="18"/>
                <w:szCs w:val="18"/>
              </w:rPr>
              <w:t>股权出</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售为上</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市公司</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贡献的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净利润</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占净利</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润总额</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的比例</w:t>
            </w:r>
          </w:p>
        </w:tc>
        <w:tc>
          <w:tcPr>
            <w:tcW w:w="68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61"/>
              <w:ind w:left="67" w:right="65"/>
              <w:jc w:val="both"/>
              <w:rPr>
                <w:rFonts w:ascii="宋体" w:hAnsi="宋体" w:cs="宋体" w:eastAsia="宋体" w:hint="default"/>
                <w:sz w:val="18"/>
                <w:szCs w:val="18"/>
              </w:rPr>
            </w:pPr>
            <w:r>
              <w:rPr>
                <w:rFonts w:ascii="宋体" w:hAnsi="宋体" w:cs="宋体" w:eastAsia="宋体" w:hint="default"/>
                <w:sz w:val="18"/>
                <w:szCs w:val="18"/>
              </w:rPr>
              <w:t>股权出</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售定价</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原则</w:t>
            </w:r>
          </w:p>
        </w:tc>
        <w:tc>
          <w:tcPr>
            <w:tcW w:w="68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61"/>
              <w:ind w:left="67" w:right="60"/>
              <w:jc w:val="center"/>
              <w:rPr>
                <w:rFonts w:ascii="宋体" w:hAnsi="宋体" w:cs="宋体" w:eastAsia="宋体" w:hint="default"/>
                <w:sz w:val="18"/>
                <w:szCs w:val="18"/>
              </w:rPr>
            </w:pPr>
            <w:r>
              <w:rPr>
                <w:rFonts w:ascii="宋体" w:hAnsi="宋体" w:cs="宋体" w:eastAsia="宋体" w:hint="default"/>
                <w:spacing w:val="-2"/>
                <w:sz w:val="18"/>
                <w:szCs w:val="18"/>
              </w:rPr>
              <w:t>是否为</w:t>
            </w:r>
            <w:r>
              <w:rPr>
                <w:rFonts w:ascii="宋体" w:hAnsi="宋体" w:cs="宋体" w:eastAsia="宋体" w:hint="default"/>
                <w:w w:val="101"/>
                <w:sz w:val="18"/>
                <w:szCs w:val="18"/>
              </w:rPr>
              <w:t> </w:t>
            </w:r>
            <w:r>
              <w:rPr>
                <w:rFonts w:ascii="宋体" w:hAnsi="宋体" w:cs="宋体" w:eastAsia="宋体" w:hint="default"/>
                <w:spacing w:val="-2"/>
                <w:sz w:val="18"/>
                <w:szCs w:val="18"/>
              </w:rPr>
              <w:t>关联交</w:t>
            </w:r>
            <w:r>
              <w:rPr>
                <w:rFonts w:ascii="宋体" w:hAnsi="宋体" w:cs="宋体" w:eastAsia="宋体" w:hint="default"/>
                <w:w w:val="101"/>
                <w:sz w:val="18"/>
                <w:szCs w:val="18"/>
              </w:rPr>
              <w:t> </w:t>
            </w:r>
            <w:r>
              <w:rPr>
                <w:rFonts w:ascii="宋体" w:hAnsi="宋体" w:cs="宋体" w:eastAsia="宋体" w:hint="default"/>
                <w:sz w:val="18"/>
                <w:szCs w:val="18"/>
              </w:rPr>
              <w:t>易</w:t>
            </w:r>
          </w:p>
        </w:tc>
        <w:tc>
          <w:tcPr>
            <w:tcW w:w="68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316" w:lineRule="auto"/>
              <w:ind w:left="67" w:right="60"/>
              <w:jc w:val="center"/>
              <w:rPr>
                <w:rFonts w:ascii="宋体" w:hAnsi="宋体" w:cs="宋体" w:eastAsia="宋体" w:hint="default"/>
                <w:sz w:val="18"/>
                <w:szCs w:val="18"/>
              </w:rPr>
            </w:pPr>
            <w:r>
              <w:rPr>
                <w:rFonts w:ascii="宋体" w:hAnsi="宋体" w:cs="宋体" w:eastAsia="宋体" w:hint="default"/>
                <w:spacing w:val="-2"/>
                <w:sz w:val="18"/>
                <w:szCs w:val="18"/>
              </w:rPr>
              <w:t>与交易</w:t>
            </w:r>
            <w:r>
              <w:rPr>
                <w:rFonts w:ascii="宋体" w:hAnsi="宋体" w:cs="宋体" w:eastAsia="宋体" w:hint="default"/>
                <w:w w:val="101"/>
                <w:sz w:val="18"/>
                <w:szCs w:val="18"/>
              </w:rPr>
              <w:t> </w:t>
            </w:r>
            <w:r>
              <w:rPr>
                <w:rFonts w:ascii="宋体" w:hAnsi="宋体" w:cs="宋体" w:eastAsia="宋体" w:hint="default"/>
                <w:spacing w:val="-2"/>
                <w:sz w:val="18"/>
                <w:szCs w:val="18"/>
              </w:rPr>
              <w:t>对方的</w:t>
            </w:r>
            <w:r>
              <w:rPr>
                <w:rFonts w:ascii="宋体" w:hAnsi="宋体" w:cs="宋体" w:eastAsia="宋体" w:hint="default"/>
                <w:w w:val="101"/>
                <w:sz w:val="18"/>
                <w:szCs w:val="18"/>
              </w:rPr>
              <w:t> </w:t>
            </w:r>
            <w:r>
              <w:rPr>
                <w:rFonts w:ascii="宋体" w:hAnsi="宋体" w:cs="宋体" w:eastAsia="宋体" w:hint="default"/>
                <w:spacing w:val="-2"/>
                <w:sz w:val="18"/>
                <w:szCs w:val="18"/>
              </w:rPr>
              <w:t>关联关</w:t>
            </w:r>
            <w:r>
              <w:rPr>
                <w:rFonts w:ascii="宋体" w:hAnsi="宋体" w:cs="宋体" w:eastAsia="宋体" w:hint="default"/>
                <w:w w:val="101"/>
                <w:sz w:val="18"/>
                <w:szCs w:val="18"/>
              </w:rPr>
              <w:t> </w:t>
            </w:r>
            <w:r>
              <w:rPr>
                <w:rFonts w:ascii="宋体" w:hAnsi="宋体" w:cs="宋体" w:eastAsia="宋体" w:hint="default"/>
                <w:sz w:val="18"/>
                <w:szCs w:val="18"/>
              </w:rPr>
              <w:t>系</w:t>
            </w:r>
          </w:p>
        </w:tc>
        <w:tc>
          <w:tcPr>
            <w:tcW w:w="68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316" w:lineRule="auto"/>
              <w:ind w:left="67" w:right="65"/>
              <w:jc w:val="center"/>
              <w:rPr>
                <w:rFonts w:ascii="宋体" w:hAnsi="宋体" w:cs="宋体" w:eastAsia="宋体" w:hint="default"/>
                <w:sz w:val="18"/>
                <w:szCs w:val="18"/>
              </w:rPr>
            </w:pPr>
            <w:r>
              <w:rPr>
                <w:rFonts w:ascii="宋体" w:hAnsi="宋体" w:cs="宋体" w:eastAsia="宋体" w:hint="default"/>
                <w:spacing w:val="-2"/>
                <w:sz w:val="18"/>
                <w:szCs w:val="18"/>
              </w:rPr>
              <w:t>所涉及</w:t>
            </w:r>
            <w:r>
              <w:rPr>
                <w:rFonts w:ascii="宋体" w:hAnsi="宋体" w:cs="宋体" w:eastAsia="宋体" w:hint="default"/>
                <w:w w:val="101"/>
                <w:sz w:val="18"/>
                <w:szCs w:val="18"/>
              </w:rPr>
              <w:t> </w:t>
            </w:r>
            <w:r>
              <w:rPr>
                <w:rFonts w:ascii="宋体" w:hAnsi="宋体" w:cs="宋体" w:eastAsia="宋体" w:hint="default"/>
                <w:spacing w:val="-2"/>
                <w:sz w:val="18"/>
                <w:szCs w:val="18"/>
              </w:rPr>
              <w:t>的股权</w:t>
            </w:r>
            <w:r>
              <w:rPr>
                <w:rFonts w:ascii="宋体" w:hAnsi="宋体" w:cs="宋体" w:eastAsia="宋体" w:hint="default"/>
                <w:w w:val="101"/>
                <w:sz w:val="18"/>
                <w:szCs w:val="18"/>
              </w:rPr>
              <w:t> </w:t>
            </w:r>
            <w:r>
              <w:rPr>
                <w:rFonts w:ascii="宋体" w:hAnsi="宋体" w:cs="宋体" w:eastAsia="宋体" w:hint="default"/>
                <w:spacing w:val="-2"/>
                <w:sz w:val="18"/>
                <w:szCs w:val="18"/>
              </w:rPr>
              <w:t>是否已</w:t>
            </w:r>
            <w:r>
              <w:rPr>
                <w:rFonts w:ascii="宋体" w:hAnsi="宋体" w:cs="宋体" w:eastAsia="宋体" w:hint="default"/>
                <w:w w:val="101"/>
                <w:sz w:val="18"/>
                <w:szCs w:val="18"/>
              </w:rPr>
              <w:t> </w:t>
            </w:r>
            <w:r>
              <w:rPr>
                <w:rFonts w:ascii="宋体" w:hAnsi="宋体" w:cs="宋体" w:eastAsia="宋体" w:hint="default"/>
                <w:spacing w:val="-2"/>
                <w:sz w:val="18"/>
                <w:szCs w:val="18"/>
              </w:rPr>
              <w:t>全部过</w:t>
            </w:r>
            <w:r>
              <w:rPr>
                <w:rFonts w:ascii="宋体" w:hAnsi="宋体" w:cs="宋体" w:eastAsia="宋体" w:hint="default"/>
                <w:w w:val="101"/>
                <w:sz w:val="18"/>
                <w:szCs w:val="18"/>
              </w:rPr>
              <w:t> </w:t>
            </w:r>
            <w:r>
              <w:rPr>
                <w:rFonts w:ascii="宋体" w:hAnsi="宋体" w:cs="宋体" w:eastAsia="宋体" w:hint="default"/>
                <w:sz w:val="18"/>
                <w:szCs w:val="18"/>
              </w:rPr>
              <w:t>户</w:t>
            </w:r>
          </w:p>
        </w:tc>
        <w:tc>
          <w:tcPr>
            <w:tcW w:w="68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9"/>
              <w:ind w:left="62" w:right="65"/>
              <w:jc w:val="center"/>
              <w:rPr>
                <w:rFonts w:ascii="宋体" w:hAnsi="宋体" w:cs="宋体" w:eastAsia="宋体" w:hint="default"/>
                <w:sz w:val="18"/>
                <w:szCs w:val="18"/>
              </w:rPr>
            </w:pPr>
            <w:r>
              <w:rPr>
                <w:rFonts w:ascii="宋体" w:hAnsi="宋体" w:cs="宋体" w:eastAsia="宋体" w:hint="default"/>
                <w:spacing w:val="-2"/>
                <w:sz w:val="18"/>
                <w:szCs w:val="18"/>
              </w:rPr>
              <w:t>计划如</w:t>
            </w:r>
            <w:r>
              <w:rPr>
                <w:rFonts w:ascii="宋体" w:hAnsi="宋体" w:cs="宋体" w:eastAsia="宋体" w:hint="default"/>
                <w:w w:val="101"/>
                <w:sz w:val="18"/>
                <w:szCs w:val="18"/>
              </w:rPr>
              <w:t> </w:t>
            </w:r>
            <w:r>
              <w:rPr>
                <w:rFonts w:ascii="宋体" w:hAnsi="宋体" w:cs="宋体" w:eastAsia="宋体" w:hint="default"/>
                <w:sz w:val="18"/>
                <w:szCs w:val="18"/>
              </w:rPr>
              <w:t>期实</w:t>
            </w:r>
            <w:r>
              <w:rPr>
                <w:rFonts w:ascii="宋体" w:hAnsi="宋体" w:cs="宋体" w:eastAsia="宋体" w:hint="default"/>
                <w:w w:val="101"/>
                <w:sz w:val="18"/>
                <w:szCs w:val="18"/>
              </w:rPr>
              <w:t> </w:t>
            </w:r>
            <w:r>
              <w:rPr>
                <w:rFonts w:ascii="宋体" w:hAnsi="宋体" w:cs="宋体" w:eastAsia="宋体" w:hint="default"/>
                <w:spacing w:val="-2"/>
                <w:sz w:val="18"/>
                <w:szCs w:val="18"/>
              </w:rPr>
              <w:t>施，如</w:t>
            </w:r>
            <w:r>
              <w:rPr>
                <w:rFonts w:ascii="宋体" w:hAnsi="宋体" w:cs="宋体" w:eastAsia="宋体" w:hint="default"/>
                <w:w w:val="101"/>
                <w:sz w:val="18"/>
                <w:szCs w:val="18"/>
              </w:rPr>
              <w:t> </w:t>
            </w:r>
            <w:r>
              <w:rPr>
                <w:rFonts w:ascii="宋体" w:hAnsi="宋体" w:cs="宋体" w:eastAsia="宋体" w:hint="default"/>
                <w:spacing w:val="-2"/>
                <w:sz w:val="18"/>
                <w:szCs w:val="18"/>
              </w:rPr>
              <w:t>未按计</w:t>
            </w:r>
            <w:r>
              <w:rPr>
                <w:rFonts w:ascii="宋体" w:hAnsi="宋体" w:cs="宋体" w:eastAsia="宋体" w:hint="default"/>
                <w:w w:val="101"/>
                <w:sz w:val="18"/>
                <w:szCs w:val="18"/>
              </w:rPr>
              <w:t> </w:t>
            </w:r>
            <w:r>
              <w:rPr>
                <w:rFonts w:ascii="宋体" w:hAnsi="宋体" w:cs="宋体" w:eastAsia="宋体" w:hint="default"/>
                <w:sz w:val="18"/>
                <w:szCs w:val="18"/>
              </w:rPr>
              <w:t>划实</w:t>
            </w:r>
            <w:r>
              <w:rPr>
                <w:rFonts w:ascii="宋体" w:hAnsi="宋体" w:cs="宋体" w:eastAsia="宋体" w:hint="default"/>
                <w:w w:val="101"/>
                <w:sz w:val="18"/>
                <w:szCs w:val="18"/>
              </w:rPr>
              <w:t> </w:t>
            </w:r>
            <w:r>
              <w:rPr>
                <w:rFonts w:ascii="宋体" w:hAnsi="宋体" w:cs="宋体" w:eastAsia="宋体" w:hint="default"/>
                <w:spacing w:val="-2"/>
                <w:sz w:val="18"/>
                <w:szCs w:val="18"/>
              </w:rPr>
              <w:t>施，应</w:t>
            </w:r>
            <w:r>
              <w:rPr>
                <w:rFonts w:ascii="宋体" w:hAnsi="宋体" w:cs="宋体" w:eastAsia="宋体" w:hint="default"/>
                <w:w w:val="101"/>
                <w:sz w:val="18"/>
                <w:szCs w:val="18"/>
              </w:rPr>
              <w:t> </w:t>
            </w:r>
            <w:r>
              <w:rPr>
                <w:rFonts w:ascii="宋体" w:hAnsi="宋体" w:cs="宋体" w:eastAsia="宋体" w:hint="default"/>
                <w:spacing w:val="-2"/>
                <w:sz w:val="18"/>
                <w:szCs w:val="18"/>
              </w:rPr>
              <w:t>当说明</w:t>
            </w:r>
            <w:r>
              <w:rPr>
                <w:rFonts w:ascii="宋体" w:hAnsi="宋体" w:cs="宋体" w:eastAsia="宋体" w:hint="default"/>
                <w:w w:val="101"/>
                <w:sz w:val="18"/>
                <w:szCs w:val="18"/>
              </w:rPr>
              <w:t> </w:t>
            </w:r>
            <w:r>
              <w:rPr>
                <w:rFonts w:ascii="宋体" w:hAnsi="宋体" w:cs="宋体" w:eastAsia="宋体" w:hint="default"/>
                <w:spacing w:val="-2"/>
                <w:sz w:val="18"/>
                <w:szCs w:val="18"/>
              </w:rPr>
              <w:t>原因及</w:t>
            </w:r>
            <w:r>
              <w:rPr>
                <w:rFonts w:ascii="宋体" w:hAnsi="宋体" w:cs="宋体" w:eastAsia="宋体" w:hint="default"/>
                <w:w w:val="101"/>
                <w:sz w:val="18"/>
                <w:szCs w:val="18"/>
              </w:rPr>
              <w:t> </w:t>
            </w:r>
            <w:r>
              <w:rPr>
                <w:rFonts w:ascii="宋体" w:hAnsi="宋体" w:cs="宋体" w:eastAsia="宋体" w:hint="default"/>
                <w:spacing w:val="-2"/>
                <w:sz w:val="18"/>
                <w:szCs w:val="18"/>
              </w:rPr>
              <w:t>公司已</w:t>
            </w:r>
            <w:r>
              <w:rPr>
                <w:rFonts w:ascii="宋体" w:hAnsi="宋体" w:cs="宋体" w:eastAsia="宋体" w:hint="default"/>
                <w:w w:val="101"/>
                <w:sz w:val="18"/>
                <w:szCs w:val="18"/>
              </w:rPr>
              <w:t> </w:t>
            </w:r>
            <w:r>
              <w:rPr>
                <w:rFonts w:ascii="宋体" w:hAnsi="宋体" w:cs="宋体" w:eastAsia="宋体" w:hint="default"/>
                <w:spacing w:val="-2"/>
                <w:sz w:val="18"/>
                <w:szCs w:val="18"/>
              </w:rPr>
              <w:t>采取的</w:t>
            </w:r>
          </w:p>
        </w:tc>
        <w:tc>
          <w:tcPr>
            <w:tcW w:w="68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316" w:lineRule="auto"/>
              <w:ind w:left="244" w:right="60" w:hanging="178"/>
              <w:jc w:val="left"/>
              <w:rPr>
                <w:rFonts w:ascii="宋体" w:hAnsi="宋体" w:cs="宋体" w:eastAsia="宋体" w:hint="default"/>
                <w:sz w:val="18"/>
                <w:szCs w:val="18"/>
              </w:rPr>
            </w:pPr>
            <w:r>
              <w:rPr>
                <w:rFonts w:ascii="宋体" w:hAnsi="宋体" w:cs="宋体" w:eastAsia="宋体" w:hint="default"/>
                <w:sz w:val="18"/>
                <w:szCs w:val="18"/>
              </w:rPr>
              <w:t>披露日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期</w:t>
            </w:r>
          </w:p>
        </w:tc>
        <w:tc>
          <w:tcPr>
            <w:tcW w:w="68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316" w:lineRule="auto"/>
              <w:ind w:left="244" w:right="65" w:hanging="178"/>
              <w:jc w:val="left"/>
              <w:rPr>
                <w:rFonts w:ascii="宋体" w:hAnsi="宋体" w:cs="宋体" w:eastAsia="宋体" w:hint="default"/>
                <w:sz w:val="18"/>
                <w:szCs w:val="18"/>
              </w:rPr>
            </w:pPr>
            <w:r>
              <w:rPr>
                <w:rFonts w:ascii="宋体" w:hAnsi="宋体" w:cs="宋体" w:eastAsia="宋体" w:hint="default"/>
                <w:sz w:val="18"/>
                <w:szCs w:val="18"/>
              </w:rPr>
              <w:t>披露索</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引</w:t>
            </w:r>
          </w:p>
        </w:tc>
      </w:tr>
      <w:tr>
        <w:trPr>
          <w:trHeight w:val="358" w:hRule="exact"/>
        </w:trPr>
        <w:tc>
          <w:tcPr>
            <w:tcW w:w="686" w:type="dxa"/>
            <w:tcBorders>
              <w:top w:val="nil" w:sz="6" w:space="0" w:color="auto"/>
              <w:left w:val="single" w:sz="4" w:space="0" w:color="000000"/>
              <w:bottom w:val="single" w:sz="4" w:space="0" w:color="000000"/>
              <w:right w:val="single" w:sz="4" w:space="0" w:color="000000"/>
            </w:tcBorders>
            <w:shd w:val="clear" w:color="auto" w:fill="D2D2D2"/>
          </w:tcPr>
          <w:p>
            <w:pPr/>
          </w:p>
        </w:tc>
        <w:tc>
          <w:tcPr>
            <w:tcW w:w="682" w:type="dxa"/>
            <w:tcBorders>
              <w:top w:val="nil" w:sz="6" w:space="0" w:color="auto"/>
              <w:left w:val="single" w:sz="4" w:space="0" w:color="000000"/>
              <w:bottom w:val="single" w:sz="4" w:space="0" w:color="000000"/>
              <w:right w:val="single" w:sz="4" w:space="0" w:color="000000"/>
            </w:tcBorders>
            <w:shd w:val="clear" w:color="auto" w:fill="D2D2D2"/>
          </w:tcPr>
          <w:p>
            <w:pPr/>
          </w:p>
        </w:tc>
        <w:tc>
          <w:tcPr>
            <w:tcW w:w="682" w:type="dxa"/>
            <w:tcBorders>
              <w:top w:val="nil" w:sz="6" w:space="0" w:color="auto"/>
              <w:left w:val="single" w:sz="4" w:space="0" w:color="000000"/>
              <w:bottom w:val="single" w:sz="4" w:space="0" w:color="000000"/>
              <w:right w:val="single" w:sz="4" w:space="0" w:color="000000"/>
            </w:tcBorders>
            <w:shd w:val="clear" w:color="auto" w:fill="D2D2D2"/>
          </w:tcPr>
          <w:p>
            <w:pPr/>
          </w:p>
        </w:tc>
        <w:tc>
          <w:tcPr>
            <w:tcW w:w="686" w:type="dxa"/>
            <w:tcBorders>
              <w:top w:val="nil" w:sz="6" w:space="0" w:color="auto"/>
              <w:left w:val="single" w:sz="4" w:space="0" w:color="000000"/>
              <w:bottom w:val="single" w:sz="4" w:space="0" w:color="000000"/>
              <w:right w:val="single" w:sz="4" w:space="0" w:color="000000"/>
            </w:tcBorders>
            <w:shd w:val="clear" w:color="auto" w:fill="D2D2D2"/>
          </w:tcPr>
          <w:p>
            <w:pPr/>
          </w:p>
        </w:tc>
        <w:tc>
          <w:tcPr>
            <w:tcW w:w="682" w:type="dxa"/>
            <w:tcBorders>
              <w:top w:val="nil" w:sz="6" w:space="0" w:color="auto"/>
              <w:left w:val="single" w:sz="4" w:space="0" w:color="000000"/>
              <w:bottom w:val="single" w:sz="4" w:space="0" w:color="000000"/>
              <w:right w:val="single" w:sz="4" w:space="0" w:color="000000"/>
            </w:tcBorders>
            <w:shd w:val="clear" w:color="auto" w:fill="D2D2D2"/>
          </w:tcPr>
          <w:p>
            <w:pPr/>
          </w:p>
        </w:tc>
        <w:tc>
          <w:tcPr>
            <w:tcW w:w="682" w:type="dxa"/>
            <w:tcBorders>
              <w:top w:val="nil" w:sz="6" w:space="0" w:color="auto"/>
              <w:left w:val="single" w:sz="4" w:space="0" w:color="000000"/>
              <w:bottom w:val="single" w:sz="4" w:space="0" w:color="000000"/>
              <w:right w:val="single" w:sz="4" w:space="0" w:color="000000"/>
            </w:tcBorders>
            <w:shd w:val="clear" w:color="auto" w:fill="D2D2D2"/>
          </w:tcPr>
          <w:p>
            <w:pPr/>
          </w:p>
        </w:tc>
        <w:tc>
          <w:tcPr>
            <w:tcW w:w="682" w:type="dxa"/>
            <w:tcBorders>
              <w:top w:val="nil" w:sz="6" w:space="0" w:color="auto"/>
              <w:left w:val="single" w:sz="4" w:space="0" w:color="000000"/>
              <w:bottom w:val="single" w:sz="4" w:space="0" w:color="000000"/>
              <w:right w:val="single" w:sz="4" w:space="0" w:color="000000"/>
            </w:tcBorders>
            <w:shd w:val="clear" w:color="auto" w:fill="D2D2D2"/>
          </w:tcPr>
          <w:p>
            <w:pPr/>
          </w:p>
        </w:tc>
        <w:tc>
          <w:tcPr>
            <w:tcW w:w="686" w:type="dxa"/>
            <w:tcBorders>
              <w:top w:val="nil" w:sz="6" w:space="0" w:color="auto"/>
              <w:left w:val="single" w:sz="4" w:space="0" w:color="000000"/>
              <w:bottom w:val="single" w:sz="4" w:space="0" w:color="000000"/>
              <w:right w:val="single" w:sz="4" w:space="0" w:color="000000"/>
            </w:tcBorders>
            <w:shd w:val="clear" w:color="auto" w:fill="D2D2D2"/>
          </w:tcPr>
          <w:p>
            <w:pPr/>
          </w:p>
        </w:tc>
        <w:tc>
          <w:tcPr>
            <w:tcW w:w="682" w:type="dxa"/>
            <w:tcBorders>
              <w:top w:val="nil" w:sz="6" w:space="0" w:color="auto"/>
              <w:left w:val="single" w:sz="4" w:space="0" w:color="000000"/>
              <w:bottom w:val="single" w:sz="4" w:space="0" w:color="000000"/>
              <w:right w:val="single" w:sz="4" w:space="0" w:color="000000"/>
            </w:tcBorders>
            <w:shd w:val="clear" w:color="auto" w:fill="D2D2D2"/>
          </w:tcPr>
          <w:p>
            <w:pPr/>
          </w:p>
        </w:tc>
        <w:tc>
          <w:tcPr>
            <w:tcW w:w="682" w:type="dxa"/>
            <w:tcBorders>
              <w:top w:val="nil" w:sz="6" w:space="0" w:color="auto"/>
              <w:left w:val="single" w:sz="4" w:space="0" w:color="000000"/>
              <w:bottom w:val="single" w:sz="4" w:space="0" w:color="000000"/>
              <w:right w:val="single" w:sz="4" w:space="0" w:color="000000"/>
            </w:tcBorders>
            <w:shd w:val="clear" w:color="auto" w:fill="D2D2D2"/>
          </w:tcPr>
          <w:p>
            <w:pPr/>
          </w:p>
        </w:tc>
        <w:tc>
          <w:tcPr>
            <w:tcW w:w="686" w:type="dxa"/>
            <w:tcBorders>
              <w:top w:val="nil" w:sz="6" w:space="0" w:color="auto"/>
              <w:left w:val="single" w:sz="4" w:space="0" w:color="000000"/>
              <w:bottom w:val="single" w:sz="4" w:space="0" w:color="000000"/>
              <w:right w:val="single" w:sz="4" w:space="0" w:color="000000"/>
            </w:tcBorders>
            <w:shd w:val="clear" w:color="auto" w:fill="D2D2D2"/>
          </w:tcPr>
          <w:p>
            <w:pPr/>
          </w:p>
        </w:tc>
        <w:tc>
          <w:tcPr>
            <w:tcW w:w="682"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3"/>
              <w:ind w:left="148" w:right="0"/>
              <w:jc w:val="left"/>
              <w:rPr>
                <w:rFonts w:ascii="宋体" w:hAnsi="宋体" w:cs="宋体" w:eastAsia="宋体" w:hint="default"/>
                <w:sz w:val="18"/>
                <w:szCs w:val="18"/>
              </w:rPr>
            </w:pPr>
            <w:r>
              <w:rPr>
                <w:rFonts w:ascii="宋体" w:hAnsi="宋体" w:cs="宋体" w:eastAsia="宋体" w:hint="default"/>
                <w:sz w:val="18"/>
                <w:szCs w:val="18"/>
              </w:rPr>
              <w:t>措施</w:t>
            </w:r>
          </w:p>
        </w:tc>
        <w:tc>
          <w:tcPr>
            <w:tcW w:w="682" w:type="dxa"/>
            <w:tcBorders>
              <w:top w:val="nil" w:sz="6" w:space="0" w:color="auto"/>
              <w:left w:val="single" w:sz="4" w:space="0" w:color="000000"/>
              <w:bottom w:val="single" w:sz="4" w:space="0" w:color="000000"/>
              <w:right w:val="single" w:sz="4" w:space="0" w:color="000000"/>
            </w:tcBorders>
            <w:shd w:val="clear" w:color="auto" w:fill="D2D2D2"/>
          </w:tcPr>
          <w:p>
            <w:pPr/>
          </w:p>
        </w:tc>
        <w:tc>
          <w:tcPr>
            <w:tcW w:w="686"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339" w:hRule="exact"/>
        </w:trPr>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08"/>
              <w:jc w:val="both"/>
              <w:rPr>
                <w:rFonts w:ascii="宋体" w:hAnsi="宋体" w:cs="宋体" w:eastAsia="宋体" w:hint="default"/>
                <w:sz w:val="18"/>
                <w:szCs w:val="18"/>
              </w:rPr>
            </w:pPr>
            <w:r>
              <w:rPr>
                <w:rFonts w:ascii="宋体" w:hAnsi="宋体" w:cs="宋体" w:eastAsia="宋体" w:hint="default"/>
                <w:sz w:val="18"/>
                <w:szCs w:val="18"/>
              </w:rPr>
              <w:t>广州劲</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荣投资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有限公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司</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3"/>
              <w:ind w:left="23" w:right="103"/>
              <w:jc w:val="both"/>
              <w:rPr>
                <w:rFonts w:ascii="宋体" w:hAnsi="宋体" w:cs="宋体" w:eastAsia="宋体" w:hint="default"/>
                <w:sz w:val="18"/>
                <w:szCs w:val="18"/>
              </w:rPr>
            </w:pPr>
            <w:r>
              <w:rPr>
                <w:rFonts w:ascii="宋体" w:hAnsi="宋体" w:cs="宋体" w:eastAsia="宋体" w:hint="default"/>
                <w:sz w:val="18"/>
                <w:szCs w:val="18"/>
              </w:rPr>
              <w:t>成都农</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村商业</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银行股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份有限</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58"/>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18</w:t>
            </w:r>
          </w:p>
          <w:p>
            <w:pPr>
              <w:pStyle w:val="TableParagraph"/>
              <w:spacing w:line="240" w:lineRule="auto" w:before="67"/>
              <w:ind w:left="24"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10" w:right="0"/>
              <w:jc w:val="left"/>
              <w:rPr>
                <w:rFonts w:ascii="Times New Roman" w:hAnsi="Times New Roman" w:cs="Times New Roman" w:eastAsia="Times New Roman" w:hint="default"/>
                <w:sz w:val="18"/>
                <w:szCs w:val="18"/>
              </w:rPr>
            </w:pPr>
            <w:r>
              <w:rPr>
                <w:rFonts w:ascii="Times New Roman"/>
                <w:sz w:val="18"/>
              </w:rPr>
              <w:t>8,076.5</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4,102.0</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3"/>
              <w:ind w:left="24" w:right="103"/>
              <w:jc w:val="both"/>
              <w:rPr>
                <w:rFonts w:ascii="宋体" w:hAnsi="宋体" w:cs="宋体" w:eastAsia="宋体" w:hint="default"/>
                <w:sz w:val="18"/>
                <w:szCs w:val="18"/>
              </w:rPr>
            </w:pPr>
            <w:r>
              <w:rPr>
                <w:rFonts w:ascii="宋体" w:hAnsi="宋体" w:cs="宋体" w:eastAsia="宋体" w:hint="default"/>
                <w:sz w:val="18"/>
                <w:szCs w:val="18"/>
              </w:rPr>
              <w:t>本次出</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售成都</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农商行</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部分股</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241.85</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协议</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58"/>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18</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6"/>
              <w:ind w:left="23" w:right="42"/>
              <w:jc w:val="left"/>
              <w:rPr>
                <w:rFonts w:ascii="Times New Roman" w:hAnsi="Times New Roman" w:cs="Times New Roman" w:eastAsia="Times New Roman" w:hint="default"/>
                <w:sz w:val="18"/>
                <w:szCs w:val="18"/>
              </w:rPr>
            </w:pPr>
            <w:hyperlink r:id="rId12">
              <w:r>
                <w:rPr>
                  <w:rFonts w:ascii="Times New Roman"/>
                  <w:sz w:val="18"/>
                </w:rPr>
                <w:t>http://w</w:t>
              </w:r>
            </w:hyperlink>
            <w:r>
              <w:rPr>
                <w:rFonts w:ascii="Times New Roman"/>
                <w:spacing w:val="-43"/>
                <w:sz w:val="18"/>
              </w:rPr>
              <w:t> </w:t>
            </w:r>
            <w:r>
              <w:rPr>
                <w:rFonts w:ascii="Times New Roman"/>
                <w:spacing w:val="-43"/>
                <w:sz w:val="18"/>
              </w:rPr>
            </w:r>
            <w:r>
              <w:rPr>
                <w:rFonts w:ascii="Times New Roman"/>
                <w:spacing w:val="-3"/>
                <w:sz w:val="18"/>
              </w:rPr>
              <w:t>ww.cnin</w:t>
            </w:r>
            <w:r>
              <w:rPr>
                <w:rFonts w:ascii="Times New Roman"/>
                <w:spacing w:val="-30"/>
                <w:sz w:val="18"/>
              </w:rPr>
              <w:t> </w:t>
            </w:r>
            <w:r>
              <w:rPr>
                <w:rFonts w:ascii="Times New Roman"/>
                <w:spacing w:val="-30"/>
                <w:sz w:val="18"/>
              </w:rPr>
            </w:r>
            <w:r>
              <w:rPr>
                <w:rFonts w:ascii="Times New Roman"/>
                <w:spacing w:val="-3"/>
                <w:sz w:val="18"/>
              </w:rPr>
              <w:t>fo.com.</w:t>
            </w:r>
            <w:r>
              <w:rPr>
                <w:rFonts w:ascii="Times New Roman"/>
                <w:spacing w:val="-32"/>
                <w:sz w:val="18"/>
              </w:rPr>
              <w:t> </w:t>
            </w:r>
            <w:r>
              <w:rPr>
                <w:rFonts w:ascii="Times New Roman"/>
                <w:spacing w:val="-32"/>
                <w:sz w:val="18"/>
              </w:rPr>
            </w:r>
            <w:r>
              <w:rPr>
                <w:rFonts w:ascii="Times New Roman"/>
                <w:sz w:val="18"/>
              </w:rPr>
              <w:t>cn</w:t>
            </w:r>
          </w:p>
        </w:tc>
      </w:tr>
    </w:tbl>
    <w:p>
      <w:pPr>
        <w:spacing w:after="0" w:line="362" w:lineRule="auto"/>
        <w:jc w:val="left"/>
        <w:rPr>
          <w:rFonts w:ascii="Times New Roman" w:hAnsi="Times New Roman" w:cs="Times New Roman" w:eastAsia="Times New Roman" w:hint="default"/>
          <w:sz w:val="18"/>
          <w:szCs w:val="18"/>
        </w:rPr>
        <w:sectPr>
          <w:pgSz w:w="11900" w:h="16840"/>
          <w:pgMar w:header="74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686"/>
        <w:gridCol w:w="682"/>
        <w:gridCol w:w="682"/>
        <w:gridCol w:w="686"/>
        <w:gridCol w:w="682"/>
        <w:gridCol w:w="682"/>
        <w:gridCol w:w="682"/>
        <w:gridCol w:w="686"/>
        <w:gridCol w:w="682"/>
        <w:gridCol w:w="682"/>
        <w:gridCol w:w="686"/>
        <w:gridCol w:w="682"/>
        <w:gridCol w:w="682"/>
        <w:gridCol w:w="686"/>
      </w:tblGrid>
      <w:tr>
        <w:trPr>
          <w:trHeight w:val="318" w:hRule="exact"/>
        </w:trPr>
        <w:tc>
          <w:tcPr>
            <w:tcW w:w="686" w:type="dxa"/>
            <w:vMerge w:val="restart"/>
            <w:tcBorders>
              <w:top w:val="single" w:sz="4" w:space="0" w:color="000000"/>
              <w:left w:val="single" w:sz="4" w:space="0" w:color="000000"/>
              <w:right w:val="single" w:sz="4" w:space="0" w:color="000000"/>
            </w:tcBorders>
          </w:tcPr>
          <w:p>
            <w:pPr/>
          </w:p>
        </w:tc>
        <w:tc>
          <w:tcPr>
            <w:tcW w:w="68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5"/>
              <w:ind w:left="2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682" w:type="dxa"/>
            <w:vMerge w:val="restart"/>
            <w:tcBorders>
              <w:top w:val="single" w:sz="4" w:space="0" w:color="000000"/>
              <w:left w:val="single" w:sz="4" w:space="0" w:color="000000"/>
              <w:right w:val="single" w:sz="4" w:space="0" w:color="000000"/>
            </w:tcBorders>
          </w:tcPr>
          <w:p>
            <w:pPr/>
          </w:p>
        </w:tc>
        <w:tc>
          <w:tcPr>
            <w:tcW w:w="686" w:type="dxa"/>
            <w:vMerge w:val="restart"/>
            <w:tcBorders>
              <w:top w:val="single" w:sz="4" w:space="0" w:color="000000"/>
              <w:left w:val="single" w:sz="4" w:space="0" w:color="000000"/>
              <w:right w:val="single" w:sz="4" w:space="0" w:color="000000"/>
            </w:tcBorders>
          </w:tcPr>
          <w:p>
            <w:pPr/>
          </w:p>
        </w:tc>
        <w:tc>
          <w:tcPr>
            <w:tcW w:w="682" w:type="dxa"/>
            <w:vMerge w:val="restart"/>
            <w:tcBorders>
              <w:top w:val="single" w:sz="4" w:space="0" w:color="000000"/>
              <w:left w:val="single" w:sz="4" w:space="0" w:color="000000"/>
              <w:right w:val="single" w:sz="4" w:space="0" w:color="000000"/>
            </w:tcBorders>
          </w:tcPr>
          <w:p>
            <w:pPr/>
          </w:p>
        </w:tc>
        <w:tc>
          <w:tcPr>
            <w:tcW w:w="68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权，收</w:t>
            </w:r>
          </w:p>
        </w:tc>
        <w:tc>
          <w:tcPr>
            <w:tcW w:w="682" w:type="dxa"/>
            <w:vMerge w:val="restart"/>
            <w:tcBorders>
              <w:top w:val="single" w:sz="4" w:space="0" w:color="000000"/>
              <w:left w:val="single" w:sz="4" w:space="0" w:color="000000"/>
              <w:right w:val="single" w:sz="4" w:space="0" w:color="000000"/>
            </w:tcBorders>
          </w:tcPr>
          <w:p>
            <w:pPr/>
          </w:p>
        </w:tc>
        <w:tc>
          <w:tcPr>
            <w:tcW w:w="686" w:type="dxa"/>
            <w:vMerge w:val="restart"/>
            <w:tcBorders>
              <w:top w:val="single" w:sz="4" w:space="0" w:color="000000"/>
              <w:left w:val="single" w:sz="4" w:space="0" w:color="000000"/>
              <w:right w:val="single" w:sz="4" w:space="0" w:color="000000"/>
            </w:tcBorders>
          </w:tcPr>
          <w:p>
            <w:pPr/>
          </w:p>
        </w:tc>
        <w:tc>
          <w:tcPr>
            <w:tcW w:w="682" w:type="dxa"/>
            <w:vMerge w:val="restart"/>
            <w:tcBorders>
              <w:top w:val="single" w:sz="4" w:space="0" w:color="000000"/>
              <w:left w:val="single" w:sz="4" w:space="0" w:color="000000"/>
              <w:right w:val="single" w:sz="4" w:space="0" w:color="000000"/>
            </w:tcBorders>
          </w:tcPr>
          <w:p>
            <w:pPr/>
          </w:p>
        </w:tc>
        <w:tc>
          <w:tcPr>
            <w:tcW w:w="682" w:type="dxa"/>
            <w:vMerge w:val="restart"/>
            <w:tcBorders>
              <w:top w:val="single" w:sz="4" w:space="0" w:color="000000"/>
              <w:left w:val="single" w:sz="4" w:space="0" w:color="000000"/>
              <w:right w:val="single" w:sz="4" w:space="0" w:color="000000"/>
            </w:tcBorders>
          </w:tcPr>
          <w:p>
            <w:pPr/>
          </w:p>
        </w:tc>
        <w:tc>
          <w:tcPr>
            <w:tcW w:w="686" w:type="dxa"/>
            <w:vMerge w:val="restart"/>
            <w:tcBorders>
              <w:top w:val="single" w:sz="4" w:space="0" w:color="000000"/>
              <w:left w:val="single" w:sz="4" w:space="0" w:color="000000"/>
              <w:right w:val="single" w:sz="4" w:space="0" w:color="000000"/>
            </w:tcBorders>
          </w:tcPr>
          <w:p>
            <w:pPr/>
          </w:p>
        </w:tc>
        <w:tc>
          <w:tcPr>
            <w:tcW w:w="682" w:type="dxa"/>
            <w:vMerge w:val="restart"/>
            <w:tcBorders>
              <w:top w:val="single" w:sz="4" w:space="0" w:color="000000"/>
              <w:left w:val="single" w:sz="4" w:space="0" w:color="000000"/>
              <w:right w:val="single" w:sz="4" w:space="0" w:color="000000"/>
            </w:tcBorders>
          </w:tcPr>
          <w:p>
            <w:pPr/>
          </w:p>
        </w:tc>
        <w:tc>
          <w:tcPr>
            <w:tcW w:w="682" w:type="dxa"/>
            <w:vMerge w:val="restart"/>
            <w:tcBorders>
              <w:top w:val="single" w:sz="4" w:space="0" w:color="000000"/>
              <w:left w:val="single" w:sz="4" w:space="0" w:color="000000"/>
              <w:right w:val="single" w:sz="4" w:space="0" w:color="000000"/>
            </w:tcBorders>
          </w:tcPr>
          <w:p>
            <w:pPr/>
          </w:p>
        </w:tc>
        <w:tc>
          <w:tcPr>
            <w:tcW w:w="686" w:type="dxa"/>
            <w:vMerge w:val="restart"/>
            <w:tcBorders>
              <w:top w:val="single" w:sz="4" w:space="0" w:color="000000"/>
              <w:left w:val="single" w:sz="4" w:space="0" w:color="000000"/>
              <w:right w:val="single" w:sz="4" w:space="0" w:color="000000"/>
            </w:tcBorders>
          </w:tcPr>
          <w:p>
            <w:pPr/>
          </w:p>
        </w:tc>
      </w:tr>
      <w:tr>
        <w:trPr>
          <w:trHeight w:val="310" w:hRule="exact"/>
        </w:trPr>
        <w:tc>
          <w:tcPr>
            <w:tcW w:w="686" w:type="dxa"/>
            <w:vMerge/>
            <w:tcBorders>
              <w:left w:val="single" w:sz="4" w:space="0" w:color="000000"/>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4" w:right="0"/>
              <w:jc w:val="left"/>
              <w:rPr>
                <w:rFonts w:ascii="宋体" w:hAnsi="宋体" w:cs="宋体" w:eastAsia="宋体" w:hint="default"/>
                <w:sz w:val="18"/>
                <w:szCs w:val="18"/>
              </w:rPr>
            </w:pPr>
            <w:r>
              <w:rPr>
                <w:rFonts w:ascii="宋体" w:hAnsi="宋体" w:cs="宋体" w:eastAsia="宋体" w:hint="default"/>
                <w:sz w:val="18"/>
                <w:szCs w:val="18"/>
              </w:rPr>
              <w:t>回了部</w:t>
            </w: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r>
      <w:tr>
        <w:trPr>
          <w:trHeight w:val="312" w:hRule="exact"/>
        </w:trPr>
        <w:tc>
          <w:tcPr>
            <w:tcW w:w="686" w:type="dxa"/>
            <w:vMerge/>
            <w:tcBorders>
              <w:left w:val="single" w:sz="4" w:space="0" w:color="000000"/>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分投资</w:t>
            </w: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r>
      <w:tr>
        <w:trPr>
          <w:trHeight w:val="312" w:hRule="exact"/>
        </w:trPr>
        <w:tc>
          <w:tcPr>
            <w:tcW w:w="686" w:type="dxa"/>
            <w:vMerge/>
            <w:tcBorders>
              <w:left w:val="single" w:sz="4" w:space="0" w:color="000000"/>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成本，</w:t>
            </w: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r>
      <w:tr>
        <w:trPr>
          <w:trHeight w:val="317" w:hRule="exact"/>
        </w:trPr>
        <w:tc>
          <w:tcPr>
            <w:tcW w:w="686" w:type="dxa"/>
            <w:vMerge/>
            <w:tcBorders>
              <w:left w:val="single" w:sz="4" w:space="0" w:color="000000"/>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使公司</w:t>
            </w: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r>
      <w:tr>
        <w:trPr>
          <w:trHeight w:val="312" w:hRule="exact"/>
        </w:trPr>
        <w:tc>
          <w:tcPr>
            <w:tcW w:w="686" w:type="dxa"/>
            <w:vMerge/>
            <w:tcBorders>
              <w:left w:val="single" w:sz="4" w:space="0" w:color="000000"/>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left="24" w:right="0"/>
              <w:jc w:val="left"/>
              <w:rPr>
                <w:rFonts w:ascii="Times New Roman" w:hAnsi="Times New Roman" w:cs="Times New Roman" w:eastAsia="Times New Roman" w:hint="default"/>
                <w:sz w:val="18"/>
                <w:szCs w:val="18"/>
              </w:rPr>
            </w:pPr>
            <w:r>
              <w:rPr>
                <w:rFonts w:ascii="Times New Roman"/>
                <w:sz w:val="18"/>
              </w:rPr>
              <w:t>2015</w:t>
            </w: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r>
      <w:tr>
        <w:trPr>
          <w:trHeight w:val="307" w:hRule="exact"/>
        </w:trPr>
        <w:tc>
          <w:tcPr>
            <w:tcW w:w="686" w:type="dxa"/>
            <w:vMerge/>
            <w:tcBorders>
              <w:left w:val="single" w:sz="4" w:space="0" w:color="000000"/>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sz w:val="18"/>
                <w:szCs w:val="18"/>
              </w:rPr>
              <w:t>年度净</w:t>
            </w: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r>
      <w:tr>
        <w:trPr>
          <w:trHeight w:val="314" w:hRule="exact"/>
        </w:trPr>
        <w:tc>
          <w:tcPr>
            <w:tcW w:w="686" w:type="dxa"/>
            <w:vMerge/>
            <w:tcBorders>
              <w:left w:val="single" w:sz="4" w:space="0" w:color="000000"/>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利润为</w:t>
            </w: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r>
      <w:tr>
        <w:trPr>
          <w:trHeight w:val="354" w:hRule="exact"/>
        </w:trPr>
        <w:tc>
          <w:tcPr>
            <w:tcW w:w="686" w:type="dxa"/>
            <w:vMerge/>
            <w:tcBorders>
              <w:left w:val="single" w:sz="4" w:space="0" w:color="000000"/>
              <w:bottom w:val="single" w:sz="4" w:space="0" w:color="000000"/>
              <w:right w:val="single" w:sz="4" w:space="0" w:color="000000"/>
            </w:tcBorders>
          </w:tcPr>
          <w:p>
            <w:pPr/>
          </w:p>
        </w:tc>
        <w:tc>
          <w:tcPr>
            <w:tcW w:w="682" w:type="dxa"/>
            <w:tcBorders>
              <w:top w:val="nil" w:sz="6" w:space="0" w:color="auto"/>
              <w:left w:val="single" w:sz="4" w:space="0" w:color="000000"/>
              <w:bottom w:val="single" w:sz="4" w:space="0" w:color="000000"/>
              <w:right w:val="single" w:sz="4" w:space="0" w:color="000000"/>
            </w:tcBorders>
          </w:tcPr>
          <w:p>
            <w:pPr/>
          </w:p>
        </w:tc>
        <w:tc>
          <w:tcPr>
            <w:tcW w:w="682"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2" w:type="dxa"/>
            <w:vMerge/>
            <w:tcBorders>
              <w:left w:val="single" w:sz="4" w:space="0" w:color="000000"/>
              <w:bottom w:val="single" w:sz="4" w:space="0" w:color="000000"/>
              <w:right w:val="single" w:sz="4" w:space="0" w:color="000000"/>
            </w:tcBorders>
          </w:tcPr>
          <w:p>
            <w:pPr/>
          </w:p>
        </w:tc>
        <w:tc>
          <w:tcPr>
            <w:tcW w:w="68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正。</w:t>
            </w:r>
          </w:p>
        </w:tc>
        <w:tc>
          <w:tcPr>
            <w:tcW w:w="682"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2" w:type="dxa"/>
            <w:vMerge/>
            <w:tcBorders>
              <w:left w:val="single" w:sz="4" w:space="0" w:color="000000"/>
              <w:bottom w:val="single" w:sz="4" w:space="0" w:color="000000"/>
              <w:right w:val="single" w:sz="4" w:space="0" w:color="000000"/>
            </w:tcBorders>
          </w:tcPr>
          <w:p>
            <w:pPr/>
          </w:p>
        </w:tc>
        <w:tc>
          <w:tcPr>
            <w:tcW w:w="682"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2" w:type="dxa"/>
            <w:vMerge/>
            <w:tcBorders>
              <w:left w:val="single" w:sz="4" w:space="0" w:color="000000"/>
              <w:bottom w:val="single" w:sz="4" w:space="0" w:color="000000"/>
              <w:right w:val="single" w:sz="4" w:space="0" w:color="000000"/>
            </w:tcBorders>
          </w:tcPr>
          <w:p>
            <w:pPr/>
          </w:p>
        </w:tc>
        <w:tc>
          <w:tcPr>
            <w:tcW w:w="682"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r>
    </w:tbl>
    <w:p>
      <w:pPr>
        <w:spacing w:line="240" w:lineRule="auto" w:before="9"/>
        <w:rPr>
          <w:rFonts w:ascii="宋体" w:hAnsi="宋体" w:cs="宋体" w:eastAsia="宋体" w:hint="default"/>
          <w:sz w:val="17"/>
          <w:szCs w:val="17"/>
        </w:rPr>
      </w:pPr>
    </w:p>
    <w:p>
      <w:pPr>
        <w:pStyle w:val="Heading2"/>
        <w:spacing w:line="367" w:lineRule="exact"/>
        <w:ind w:right="0"/>
        <w:jc w:val="left"/>
        <w:rPr>
          <w:b w:val="0"/>
          <w:bCs w:val="0"/>
        </w:rPr>
      </w:pPr>
      <w:r>
        <w:rPr/>
        <w:t>七、主要控股参股公司分析</w:t>
      </w:r>
      <w:r>
        <w:rPr>
          <w:b w:val="0"/>
          <w:bCs w:val="0"/>
        </w:rPr>
      </w:r>
    </w:p>
    <w:p>
      <w:pPr>
        <w:spacing w:line="240" w:lineRule="auto" w:before="9"/>
        <w:rPr>
          <w:rFonts w:ascii="Microsoft JhengHei" w:hAnsi="Microsoft JhengHei" w:cs="Microsoft JhengHei" w:eastAsia="Microsoft JhengHei" w:hint="default"/>
          <w:b/>
          <w:bCs/>
          <w:sz w:val="16"/>
          <w:szCs w:val="16"/>
        </w:rPr>
      </w:pPr>
    </w:p>
    <w:p>
      <w:pPr>
        <w:spacing w:after="0" w:line="240" w:lineRule="auto"/>
        <w:rPr>
          <w:rFonts w:ascii="Microsoft JhengHei" w:hAnsi="Microsoft JhengHei" w:cs="Microsoft JhengHei" w:eastAsia="Microsoft JhengHei" w:hint="default"/>
          <w:sz w:val="16"/>
          <w:szCs w:val="16"/>
        </w:rPr>
        <w:sectPr>
          <w:pgSz w:w="11900" w:h="16840"/>
          <w:pgMar w:header="742" w:footer="984" w:top="1060" w:bottom="1180" w:left="980" w:right="980"/>
        </w:sectPr>
      </w:pPr>
    </w:p>
    <w:p>
      <w:pPr>
        <w:spacing w:before="46"/>
        <w:ind w:left="152" w:right="-1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不适用</w:t>
      </w:r>
    </w:p>
    <w:p>
      <w:pPr>
        <w:spacing w:before="101"/>
        <w:ind w:left="152" w:right="-16" w:firstLine="0"/>
        <w:jc w:val="left"/>
        <w:rPr>
          <w:rFonts w:ascii="宋体" w:hAnsi="宋体" w:cs="宋体" w:eastAsia="宋体" w:hint="default"/>
          <w:sz w:val="18"/>
          <w:szCs w:val="18"/>
        </w:rPr>
      </w:pPr>
      <w:r>
        <w:rPr>
          <w:rFonts w:ascii="宋体" w:hAnsi="宋体" w:cs="宋体" w:eastAsia="宋体" w:hint="default"/>
          <w:sz w:val="18"/>
          <w:szCs w:val="18"/>
        </w:rPr>
        <w:t>主要子公司及对公司净利润影响达</w:t>
      </w:r>
      <w:r>
        <w:rPr>
          <w:rFonts w:ascii="宋体" w:hAnsi="宋体" w:cs="宋体" w:eastAsia="宋体" w:hint="default"/>
          <w:spacing w:val="-9"/>
          <w:sz w:val="18"/>
          <w:szCs w:val="18"/>
        </w:rPr>
        <w:t> </w:t>
      </w:r>
      <w:r>
        <w:rPr>
          <w:rFonts w:ascii="Times New Roman" w:hAnsi="Times New Roman" w:cs="Times New Roman" w:eastAsia="Times New Roman" w:hint="default"/>
          <w:spacing w:val="-3"/>
          <w:sz w:val="18"/>
          <w:szCs w:val="18"/>
        </w:rPr>
        <w:t>10%</w:t>
      </w:r>
      <w:r>
        <w:rPr>
          <w:rFonts w:ascii="宋体" w:hAnsi="宋体" w:cs="宋体" w:eastAsia="宋体" w:hint="default"/>
          <w:spacing w:val="-3"/>
          <w:sz w:val="18"/>
          <w:szCs w:val="18"/>
        </w:rPr>
        <w:t>以上的参股公司情况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00" w:h="16840"/>
          <w:pgMar w:top="1060" w:bottom="1180" w:left="980" w:right="980"/>
          <w:cols w:num="2" w:equalWidth="0">
            <w:col w:w="4852" w:space="4061"/>
            <w:col w:w="1027"/>
          </w:cols>
        </w:sectPr>
      </w:pPr>
    </w:p>
    <w:p>
      <w:pPr>
        <w:spacing w:line="240" w:lineRule="auto" w:before="13"/>
        <w:rPr>
          <w:rFonts w:ascii="宋体" w:hAnsi="宋体" w:cs="宋体" w:eastAsia="宋体" w:hint="default"/>
          <w:sz w:val="7"/>
          <w:szCs w:val="7"/>
        </w:rPr>
      </w:pPr>
      <w:r>
        <w:rPr/>
        <w:pict>
          <v:group style="position:absolute;margin-left:109.68pt;margin-top:535.299988pt;width:59.3pt;height:100.3pt;mso-position-horizontal-relative:page;mso-position-vertical-relative:page;z-index:-1069720" coordorigin="2194,10706" coordsize="1186,2006">
            <v:shape style="position:absolute;left:2194;top:10706;width:1186;height:2006" coordorigin="2194,10706" coordsize="1186,2006" path="m2194,12712l3379,12712,3379,10706,2194,10706,2194,12712xe" filled="true" fillcolor="#ffffff" stroked="false">
              <v:path arrowok="t"/>
              <v:fill type="solid"/>
            </v:shape>
            <w10:wrap type="none"/>
          </v:group>
        </w:pict>
      </w:r>
      <w:r>
        <w:rPr/>
        <w:pict>
          <v:group style="position:absolute;margin-left:221.520004pt;margin-top:655pt;width:51.85pt;height:100.6pt;mso-position-horizontal-relative:page;mso-position-vertical-relative:page;z-index:-1069696" coordorigin="4430,13100" coordsize="1037,2012">
            <v:shape style="position:absolute;left:4430;top:13100;width:1037;height:2012" coordorigin="4430,13100" coordsize="1037,2012" path="m4430,15112l5467,15112,5467,13100,4430,13100,4430,15112xe" filled="true" fillcolor="#ffffff" stroked="false">
              <v:path arrowok="t"/>
              <v:fill type="solid"/>
            </v:shape>
            <w10:wrap type="none"/>
          </v:group>
        </w:pict>
      </w:r>
    </w:p>
    <w:tbl>
      <w:tblPr>
        <w:tblW w:w="0" w:type="auto"/>
        <w:jc w:val="left"/>
        <w:tblInd w:w="148" w:type="dxa"/>
        <w:tblLayout w:type="fixed"/>
        <w:tblCellMar>
          <w:top w:w="0" w:type="dxa"/>
          <w:left w:w="0" w:type="dxa"/>
          <w:bottom w:w="0" w:type="dxa"/>
          <w:right w:w="0" w:type="dxa"/>
        </w:tblCellMar>
        <w:tblLook w:val="01E0"/>
      </w:tblPr>
      <w:tblGrid>
        <w:gridCol w:w="1056"/>
        <w:gridCol w:w="1195"/>
        <w:gridCol w:w="1042"/>
        <w:gridCol w:w="1046"/>
        <w:gridCol w:w="1046"/>
        <w:gridCol w:w="1046"/>
        <w:gridCol w:w="1046"/>
        <w:gridCol w:w="1042"/>
        <w:gridCol w:w="1046"/>
      </w:tblGrid>
      <w:tr>
        <w:trPr>
          <w:trHeight w:val="401" w:hRule="exact"/>
        </w:trPr>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58"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5"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10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51"/>
              <w:jc w:val="right"/>
              <w:rPr>
                <w:rFonts w:ascii="宋体" w:hAnsi="宋体" w:cs="宋体" w:eastAsia="宋体" w:hint="default"/>
                <w:sz w:val="18"/>
                <w:szCs w:val="18"/>
              </w:rPr>
            </w:pPr>
            <w:r>
              <w:rPr>
                <w:rFonts w:ascii="宋体" w:hAnsi="宋体" w:cs="宋体" w:eastAsia="宋体" w:hint="default"/>
                <w:spacing w:val="-2"/>
                <w:sz w:val="18"/>
                <w:szCs w:val="18"/>
              </w:rPr>
              <w:t>主要业务</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56"/>
              <w:jc w:val="right"/>
              <w:rPr>
                <w:rFonts w:ascii="宋体" w:hAnsi="宋体" w:cs="宋体" w:eastAsia="宋体" w:hint="default"/>
                <w:sz w:val="18"/>
                <w:szCs w:val="18"/>
              </w:rPr>
            </w:pPr>
            <w:r>
              <w:rPr>
                <w:rFonts w:ascii="宋体" w:hAnsi="宋体" w:cs="宋体" w:eastAsia="宋体" w:hint="default"/>
                <w:spacing w:val="-2"/>
                <w:sz w:val="18"/>
                <w:szCs w:val="18"/>
              </w:rPr>
              <w:t>注册资本</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4"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4"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5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48"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4"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1337"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316" w:lineRule="auto"/>
              <w:ind w:left="24" w:right="118"/>
              <w:jc w:val="both"/>
              <w:rPr>
                <w:rFonts w:ascii="宋体" w:hAnsi="宋体" w:cs="宋体" w:eastAsia="宋体" w:hint="default"/>
                <w:sz w:val="18"/>
                <w:szCs w:val="18"/>
              </w:rPr>
            </w:pPr>
            <w:r>
              <w:rPr>
                <w:rFonts w:ascii="宋体" w:hAnsi="宋体" w:cs="宋体" w:eastAsia="宋体" w:hint="default"/>
                <w:spacing w:val="-2"/>
                <w:sz w:val="18"/>
                <w:szCs w:val="18"/>
              </w:rPr>
              <w:t>重庆市鸿海</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印务有限公</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司</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6"/>
              <w:ind w:left="23" w:right="103"/>
              <w:jc w:val="both"/>
              <w:rPr>
                <w:rFonts w:ascii="宋体" w:hAnsi="宋体" w:cs="宋体" w:eastAsia="宋体" w:hint="default"/>
                <w:sz w:val="18"/>
                <w:szCs w:val="18"/>
              </w:rPr>
            </w:pPr>
            <w:r>
              <w:rPr>
                <w:rFonts w:ascii="宋体" w:hAnsi="宋体" w:cs="宋体" w:eastAsia="宋体" w:hint="default"/>
                <w:spacing w:val="-2"/>
                <w:sz w:val="18"/>
                <w:szCs w:val="18"/>
              </w:rPr>
              <w:t>包装装潢印</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刷品、防伪</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票证、其他</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印刷品印制</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151"/>
              <w:jc w:val="right"/>
              <w:rPr>
                <w:rFonts w:ascii="宋体" w:hAnsi="宋体" w:cs="宋体" w:eastAsia="宋体" w:hint="default"/>
                <w:sz w:val="18"/>
                <w:szCs w:val="18"/>
              </w:rPr>
            </w:pPr>
            <w:r>
              <w:rPr>
                <w:rFonts w:ascii="Times New Roman" w:hAnsi="Times New Roman" w:cs="Times New Roman" w:eastAsia="Times New Roman" w:hint="default"/>
                <w:sz w:val="18"/>
                <w:szCs w:val="18"/>
              </w:rPr>
              <w:t>12800</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万元</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294,769,776.</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59</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181,926,049.</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95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162,310,991.</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82</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16,765,149.5</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15,283,839.0</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1339"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4" w:right="118"/>
              <w:jc w:val="both"/>
              <w:rPr>
                <w:rFonts w:ascii="宋体" w:hAnsi="宋体" w:cs="宋体" w:eastAsia="宋体" w:hint="default"/>
                <w:sz w:val="18"/>
                <w:szCs w:val="18"/>
              </w:rPr>
            </w:pPr>
            <w:r>
              <w:rPr>
                <w:rFonts w:ascii="宋体" w:hAnsi="宋体" w:cs="宋体" w:eastAsia="宋体" w:hint="default"/>
                <w:spacing w:val="-2"/>
                <w:sz w:val="18"/>
                <w:szCs w:val="18"/>
              </w:rPr>
              <w:t>无锡双龙信</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息纸有限公</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司</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23" w:right="103"/>
              <w:jc w:val="both"/>
              <w:rPr>
                <w:rFonts w:ascii="宋体" w:hAnsi="宋体" w:cs="宋体" w:eastAsia="宋体" w:hint="default"/>
                <w:sz w:val="18"/>
                <w:szCs w:val="18"/>
              </w:rPr>
            </w:pPr>
            <w:r>
              <w:rPr>
                <w:rFonts w:ascii="宋体" w:hAnsi="宋体" w:cs="宋体" w:eastAsia="宋体" w:hint="default"/>
                <w:spacing w:val="-2"/>
                <w:sz w:val="18"/>
                <w:szCs w:val="18"/>
              </w:rPr>
              <w:t>包装装潢印</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刷品印刷；</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其他印刷品</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印刷。</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5000</w:t>
            </w:r>
            <w:r>
              <w:rPr>
                <w:rFonts w:ascii="Times New Roman" w:hAnsi="Times New Roman" w:cs="Times New Roman" w:eastAsia="Times New Roman" w:hint="default"/>
                <w:spacing w:val="8"/>
                <w:sz w:val="18"/>
                <w:szCs w:val="18"/>
              </w:rPr>
              <w:t> </w:t>
            </w:r>
            <w:r>
              <w:rPr>
                <w:rFonts w:ascii="宋体" w:hAnsi="宋体" w:cs="宋体" w:eastAsia="宋体" w:hint="default"/>
                <w:spacing w:val="-3"/>
                <w:sz w:val="18"/>
                <w:szCs w:val="18"/>
              </w:rPr>
              <w:t>万元</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122,566,826.</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sz w:val="18"/>
              </w:rPr>
              <w:t>17</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2"/>
                <w:sz w:val="18"/>
              </w:rPr>
              <w:t>84,692,011.3</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133,971,672.</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sz w:val="18"/>
              </w:rPr>
              <w:t>71</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27,086,528.3</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w w:val="101"/>
                <w:sz w:val="18"/>
              </w:rPr>
              <w:t>7</w:t>
            </w:r>
            <w:r>
              <w:rPr>
                <w:rFonts w:ascii="Times New Roman"/>
                <w:sz w:val="18"/>
              </w:rPr>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20,567,483.1</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w w:val="101"/>
                <w:sz w:val="18"/>
              </w:rPr>
              <w:t>9</w:t>
            </w:r>
            <w:r>
              <w:rPr>
                <w:rFonts w:ascii="Times New Roman"/>
                <w:sz w:val="18"/>
              </w:rPr>
            </w:r>
          </w:p>
        </w:tc>
      </w:tr>
      <w:tr>
        <w:trPr>
          <w:trHeight w:val="1339"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4" w:right="118"/>
              <w:jc w:val="both"/>
              <w:rPr>
                <w:rFonts w:ascii="宋体" w:hAnsi="宋体" w:cs="宋体" w:eastAsia="宋体" w:hint="default"/>
                <w:sz w:val="18"/>
                <w:szCs w:val="18"/>
              </w:rPr>
            </w:pPr>
            <w:r>
              <w:rPr>
                <w:rFonts w:ascii="宋体" w:hAnsi="宋体" w:cs="宋体" w:eastAsia="宋体" w:hint="default"/>
                <w:spacing w:val="-2"/>
                <w:sz w:val="18"/>
                <w:szCs w:val="18"/>
              </w:rPr>
              <w:t>广州彩创网</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络技术有限</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公司</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3" w:right="103"/>
              <w:jc w:val="both"/>
              <w:rPr>
                <w:rFonts w:ascii="宋体" w:hAnsi="宋体" w:cs="宋体" w:eastAsia="宋体" w:hint="default"/>
                <w:sz w:val="18"/>
                <w:szCs w:val="18"/>
              </w:rPr>
            </w:pPr>
            <w:r>
              <w:rPr>
                <w:rFonts w:ascii="宋体" w:hAnsi="宋体" w:cs="宋体" w:eastAsia="宋体" w:hint="default"/>
                <w:spacing w:val="-2"/>
                <w:sz w:val="18"/>
                <w:szCs w:val="18"/>
              </w:rPr>
              <w:t>网络软件开</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发、网络技</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术咨询及技</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术服务；</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5000</w:t>
            </w:r>
            <w:r>
              <w:rPr>
                <w:rFonts w:ascii="Times New Roman" w:hAnsi="Times New Roman" w:cs="Times New Roman" w:eastAsia="Times New Roman" w:hint="default"/>
                <w:spacing w:val="8"/>
                <w:sz w:val="18"/>
                <w:szCs w:val="18"/>
              </w:rPr>
              <w:t> </w:t>
            </w:r>
            <w:r>
              <w:rPr>
                <w:rFonts w:ascii="宋体" w:hAnsi="宋体" w:cs="宋体" w:eastAsia="宋体" w:hint="default"/>
                <w:spacing w:val="-3"/>
                <w:sz w:val="18"/>
                <w:szCs w:val="18"/>
              </w:rPr>
              <w:t>万元</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54,508,734.9</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6</w:t>
            </w:r>
            <w:r>
              <w:rPr>
                <w:rFonts w:ascii="Times New Roman"/>
                <w:sz w:val="18"/>
              </w:rPr>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52,008,582.9</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16,053,732.9</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-3,597,058.4</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-1,758,557.3</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r>
      <w:tr>
        <w:trPr>
          <w:trHeight w:val="357" w:hRule="exact"/>
        </w:trPr>
        <w:tc>
          <w:tcPr>
            <w:tcW w:w="1056" w:type="dxa"/>
            <w:tcBorders>
              <w:top w:val="single" w:sz="4" w:space="0" w:color="000000"/>
              <w:left w:val="single" w:sz="4" w:space="0" w:color="000000"/>
              <w:bottom w:val="nil" w:sz="6" w:space="0" w:color="auto"/>
              <w:right w:val="single" w:sz="4" w:space="0" w:color="000000"/>
            </w:tcBorders>
          </w:tcPr>
          <w:p>
            <w:pPr/>
          </w:p>
        </w:tc>
        <w:tc>
          <w:tcPr>
            <w:tcW w:w="1195" w:type="dxa"/>
            <w:tcBorders>
              <w:top w:val="single" w:sz="4" w:space="0" w:color="000000"/>
              <w:left w:val="single" w:sz="4" w:space="0" w:color="000000"/>
              <w:bottom w:val="nil" w:sz="6" w:space="0" w:color="auto"/>
              <w:right w:val="single" w:sz="4" w:space="0" w:color="000000"/>
            </w:tcBorders>
          </w:tcPr>
          <w:p>
            <w:pPr/>
          </w:p>
        </w:tc>
        <w:tc>
          <w:tcPr>
            <w:tcW w:w="104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hAnsi="宋体" w:cs="宋体" w:eastAsia="宋体" w:hint="default"/>
                <w:spacing w:val="-2"/>
                <w:sz w:val="18"/>
                <w:szCs w:val="18"/>
              </w:rPr>
              <w:t>数据网络技</w:t>
            </w:r>
          </w:p>
        </w:tc>
        <w:tc>
          <w:tcPr>
            <w:tcW w:w="1046" w:type="dxa"/>
            <w:tcBorders>
              <w:top w:val="single" w:sz="4" w:space="0" w:color="000000"/>
              <w:left w:val="single" w:sz="4" w:space="0" w:color="000000"/>
              <w:bottom w:val="nil" w:sz="6" w:space="0" w:color="auto"/>
              <w:right w:val="single" w:sz="4" w:space="0" w:color="000000"/>
            </w:tcBorders>
          </w:tcPr>
          <w:p>
            <w:pPr/>
          </w:p>
        </w:tc>
        <w:tc>
          <w:tcPr>
            <w:tcW w:w="1046" w:type="dxa"/>
            <w:tcBorders>
              <w:top w:val="single" w:sz="4" w:space="0" w:color="000000"/>
              <w:left w:val="single" w:sz="4" w:space="0" w:color="000000"/>
              <w:bottom w:val="nil" w:sz="6" w:space="0" w:color="auto"/>
              <w:right w:val="single" w:sz="4" w:space="0" w:color="000000"/>
            </w:tcBorders>
          </w:tcPr>
          <w:p>
            <w:pPr/>
          </w:p>
        </w:tc>
        <w:tc>
          <w:tcPr>
            <w:tcW w:w="1046" w:type="dxa"/>
            <w:tcBorders>
              <w:top w:val="single" w:sz="4" w:space="0" w:color="000000"/>
              <w:left w:val="single" w:sz="4" w:space="0" w:color="000000"/>
              <w:bottom w:val="nil" w:sz="6" w:space="0" w:color="auto"/>
              <w:right w:val="single" w:sz="4" w:space="0" w:color="000000"/>
            </w:tcBorders>
          </w:tcPr>
          <w:p>
            <w:pPr/>
          </w:p>
        </w:tc>
        <w:tc>
          <w:tcPr>
            <w:tcW w:w="1046" w:type="dxa"/>
            <w:tcBorders>
              <w:top w:val="single" w:sz="4" w:space="0" w:color="000000"/>
              <w:left w:val="single" w:sz="4" w:space="0" w:color="000000"/>
              <w:bottom w:val="nil" w:sz="6" w:space="0" w:color="auto"/>
              <w:right w:val="single" w:sz="4" w:space="0" w:color="000000"/>
            </w:tcBorders>
          </w:tcPr>
          <w:p>
            <w:pPr/>
          </w:p>
        </w:tc>
        <w:tc>
          <w:tcPr>
            <w:tcW w:w="1042" w:type="dxa"/>
            <w:tcBorders>
              <w:top w:val="single" w:sz="4" w:space="0" w:color="000000"/>
              <w:left w:val="single" w:sz="4" w:space="0" w:color="000000"/>
              <w:bottom w:val="nil" w:sz="6" w:space="0" w:color="auto"/>
              <w:right w:val="single" w:sz="4" w:space="0" w:color="000000"/>
            </w:tcBorders>
          </w:tcPr>
          <w:p>
            <w:pPr/>
          </w:p>
        </w:tc>
        <w:tc>
          <w:tcPr>
            <w:tcW w:w="1046" w:type="dxa"/>
            <w:tcBorders>
              <w:top w:val="single" w:sz="4" w:space="0" w:color="000000"/>
              <w:left w:val="single" w:sz="4" w:space="0" w:color="000000"/>
              <w:bottom w:val="nil" w:sz="6" w:space="0" w:color="auto"/>
              <w:right w:val="single" w:sz="4" w:space="0" w:color="000000"/>
            </w:tcBorders>
          </w:tcPr>
          <w:p>
            <w:pPr/>
          </w:p>
        </w:tc>
      </w:tr>
      <w:tr>
        <w:trPr>
          <w:trHeight w:val="310" w:hRule="exact"/>
        </w:trPr>
        <w:tc>
          <w:tcPr>
            <w:tcW w:w="1056" w:type="dxa"/>
            <w:tcBorders>
              <w:top w:val="nil" w:sz="6" w:space="0" w:color="auto"/>
              <w:left w:val="single" w:sz="4" w:space="0" w:color="000000"/>
              <w:bottom w:val="nil" w:sz="6" w:space="0" w:color="auto"/>
              <w:right w:val="single" w:sz="4" w:space="0" w:color="000000"/>
            </w:tcBorders>
          </w:tcPr>
          <w:p>
            <w:pPr/>
          </w:p>
        </w:tc>
        <w:tc>
          <w:tcPr>
            <w:tcW w:w="1195"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103"/>
              <w:jc w:val="right"/>
              <w:rPr>
                <w:rFonts w:ascii="宋体" w:hAnsi="宋体" w:cs="宋体" w:eastAsia="宋体" w:hint="default"/>
                <w:sz w:val="18"/>
                <w:szCs w:val="18"/>
              </w:rPr>
            </w:pPr>
            <w:r>
              <w:rPr>
                <w:rFonts w:ascii="宋体" w:hAnsi="宋体" w:cs="宋体" w:eastAsia="宋体" w:hint="default"/>
                <w:spacing w:val="-2"/>
                <w:sz w:val="18"/>
                <w:szCs w:val="18"/>
              </w:rPr>
              <w:t>术开发；物</w:t>
            </w: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056" w:type="dxa"/>
            <w:tcBorders>
              <w:top w:val="nil" w:sz="6" w:space="0" w:color="auto"/>
              <w:left w:val="single" w:sz="4" w:space="0" w:color="000000"/>
              <w:bottom w:val="nil" w:sz="6" w:space="0" w:color="auto"/>
              <w:right w:val="single" w:sz="4" w:space="0" w:color="000000"/>
            </w:tcBorders>
          </w:tcPr>
          <w:p>
            <w:pPr/>
          </w:p>
        </w:tc>
        <w:tc>
          <w:tcPr>
            <w:tcW w:w="1195"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03"/>
              <w:jc w:val="right"/>
              <w:rPr>
                <w:rFonts w:ascii="宋体" w:hAnsi="宋体" w:cs="宋体" w:eastAsia="宋体" w:hint="default"/>
                <w:sz w:val="18"/>
                <w:szCs w:val="18"/>
              </w:rPr>
            </w:pPr>
            <w:r>
              <w:rPr>
                <w:rFonts w:ascii="宋体" w:hAnsi="宋体" w:cs="宋体" w:eastAsia="宋体" w:hint="default"/>
                <w:spacing w:val="-2"/>
                <w:sz w:val="18"/>
                <w:szCs w:val="18"/>
              </w:rPr>
              <w:t>联网技术开</w:t>
            </w: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056" w:type="dxa"/>
            <w:tcBorders>
              <w:top w:val="nil" w:sz="6" w:space="0" w:color="auto"/>
              <w:left w:val="single" w:sz="4" w:space="0" w:color="000000"/>
              <w:bottom w:val="nil" w:sz="6" w:space="0" w:color="auto"/>
              <w:right w:val="single" w:sz="4" w:space="0" w:color="000000"/>
            </w:tcBorders>
          </w:tcPr>
          <w:p>
            <w:pPr/>
          </w:p>
        </w:tc>
        <w:tc>
          <w:tcPr>
            <w:tcW w:w="1195"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03"/>
              <w:jc w:val="right"/>
              <w:rPr>
                <w:rFonts w:ascii="宋体" w:hAnsi="宋体" w:cs="宋体" w:eastAsia="宋体" w:hint="default"/>
                <w:sz w:val="18"/>
                <w:szCs w:val="18"/>
              </w:rPr>
            </w:pPr>
            <w:r>
              <w:rPr>
                <w:rFonts w:ascii="宋体" w:hAnsi="宋体" w:cs="宋体" w:eastAsia="宋体" w:hint="default"/>
                <w:spacing w:val="-2"/>
                <w:sz w:val="18"/>
                <w:szCs w:val="18"/>
              </w:rPr>
              <w:t>发；智能化</w:t>
            </w: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02" w:hRule="exact"/>
        </w:trPr>
        <w:tc>
          <w:tcPr>
            <w:tcW w:w="1056" w:type="dxa"/>
            <w:tcBorders>
              <w:top w:val="nil" w:sz="6" w:space="0" w:color="auto"/>
              <w:left w:val="single" w:sz="4" w:space="0" w:color="000000"/>
              <w:bottom w:val="nil" w:sz="6" w:space="0" w:color="auto"/>
              <w:right w:val="single" w:sz="4" w:space="0" w:color="000000"/>
            </w:tcBorders>
          </w:tcPr>
          <w:p>
            <w:pPr/>
          </w:p>
        </w:tc>
        <w:tc>
          <w:tcPr>
            <w:tcW w:w="1195"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03"/>
              <w:jc w:val="right"/>
              <w:rPr>
                <w:rFonts w:ascii="宋体" w:hAnsi="宋体" w:cs="宋体" w:eastAsia="宋体" w:hint="default"/>
                <w:sz w:val="18"/>
                <w:szCs w:val="18"/>
              </w:rPr>
            </w:pPr>
            <w:r>
              <w:rPr>
                <w:rFonts w:ascii="宋体" w:hAnsi="宋体" w:cs="宋体" w:eastAsia="宋体" w:hint="default"/>
                <w:spacing w:val="-2"/>
                <w:sz w:val="18"/>
                <w:szCs w:val="18"/>
              </w:rPr>
              <w:t>网络系统集</w:t>
            </w: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10" w:hRule="exact"/>
        </w:trPr>
        <w:tc>
          <w:tcPr>
            <w:tcW w:w="105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4" w:right="0"/>
              <w:jc w:val="left"/>
              <w:rPr>
                <w:rFonts w:ascii="宋体" w:hAnsi="宋体" w:cs="宋体" w:eastAsia="宋体" w:hint="default"/>
                <w:sz w:val="18"/>
                <w:szCs w:val="18"/>
              </w:rPr>
            </w:pPr>
            <w:r>
              <w:rPr>
                <w:rFonts w:ascii="宋体" w:hAnsi="宋体" w:cs="宋体" w:eastAsia="宋体" w:hint="default"/>
                <w:sz w:val="18"/>
                <w:szCs w:val="18"/>
              </w:rPr>
              <w:t>鸿博（福建</w:t>
            </w:r>
          </w:p>
        </w:tc>
        <w:tc>
          <w:tcPr>
            <w:tcW w:w="119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130" w:right="0"/>
              <w:jc w:val="left"/>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right="103"/>
              <w:jc w:val="right"/>
              <w:rPr>
                <w:rFonts w:ascii="宋体" w:hAnsi="宋体" w:cs="宋体" w:eastAsia="宋体" w:hint="default"/>
                <w:sz w:val="18"/>
                <w:szCs w:val="18"/>
              </w:rPr>
            </w:pPr>
            <w:r>
              <w:rPr>
                <w:rFonts w:ascii="宋体" w:hAnsi="宋体" w:cs="宋体" w:eastAsia="宋体" w:hint="default"/>
                <w:spacing w:val="-2"/>
                <w:sz w:val="18"/>
                <w:szCs w:val="18"/>
              </w:rPr>
              <w:t>成的开发、</w:t>
            </w: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626" w:hRule="exact"/>
        </w:trPr>
        <w:tc>
          <w:tcPr>
            <w:tcW w:w="1056" w:type="dxa"/>
            <w:tcBorders>
              <w:top w:val="nil" w:sz="6" w:space="0" w:color="auto"/>
              <w:left w:val="single" w:sz="4" w:space="0" w:color="000000"/>
              <w:bottom w:val="nil" w:sz="6" w:space="0" w:color="auto"/>
              <w:right w:val="single" w:sz="4" w:space="0" w:color="000000"/>
            </w:tcBorders>
          </w:tcPr>
          <w:p>
            <w:pPr>
              <w:pStyle w:val="TableParagraph"/>
              <w:spacing w:line="316" w:lineRule="auto"/>
              <w:ind w:left="24" w:right="118"/>
              <w:jc w:val="left"/>
              <w:rPr>
                <w:rFonts w:ascii="宋体" w:hAnsi="宋体" w:cs="宋体" w:eastAsia="宋体" w:hint="default"/>
                <w:sz w:val="18"/>
                <w:szCs w:val="18"/>
              </w:rPr>
            </w:pPr>
            <w:r>
              <w:rPr>
                <w:rFonts w:ascii="宋体" w:hAnsi="宋体" w:cs="宋体" w:eastAsia="宋体" w:hint="default"/>
                <w:spacing w:val="-2"/>
                <w:sz w:val="18"/>
                <w:szCs w:val="18"/>
              </w:rPr>
              <w:t>数据网络科</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技股份有限</w:t>
            </w:r>
          </w:p>
        </w:tc>
        <w:tc>
          <w:tcPr>
            <w:tcW w:w="119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316" w:lineRule="auto" w:before="23"/>
              <w:ind w:left="23" w:right="103"/>
              <w:jc w:val="left"/>
              <w:rPr>
                <w:rFonts w:ascii="宋体" w:hAnsi="宋体" w:cs="宋体" w:eastAsia="宋体" w:hint="default"/>
                <w:sz w:val="18"/>
                <w:szCs w:val="18"/>
              </w:rPr>
            </w:pPr>
            <w:r>
              <w:rPr>
                <w:rFonts w:ascii="宋体" w:hAnsi="宋体" w:cs="宋体" w:eastAsia="宋体" w:hint="default"/>
                <w:sz w:val="18"/>
                <w:szCs w:val="18"/>
              </w:rPr>
              <w:t>设计与施</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工；软件开</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8"/>
                <w:sz w:val="18"/>
                <w:szCs w:val="18"/>
              </w:rPr>
              <w:t> </w:t>
            </w:r>
            <w:r>
              <w:rPr>
                <w:rFonts w:ascii="宋体" w:hAnsi="宋体" w:cs="宋体" w:eastAsia="宋体" w:hint="default"/>
                <w:spacing w:val="-3"/>
                <w:sz w:val="18"/>
                <w:szCs w:val="18"/>
              </w:rPr>
              <w:t>万元</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9"/>
              <w:jc w:val="right"/>
              <w:rPr>
                <w:rFonts w:ascii="Times New Roman" w:hAnsi="Times New Roman" w:cs="Times New Roman" w:eastAsia="Times New Roman" w:hint="default"/>
                <w:sz w:val="18"/>
                <w:szCs w:val="18"/>
              </w:rPr>
            </w:pPr>
            <w:r>
              <w:rPr>
                <w:rFonts w:ascii="Times New Roman"/>
                <w:spacing w:val="-2"/>
                <w:sz w:val="18"/>
              </w:rPr>
              <w:t>167,921,211.</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31</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7"/>
              <w:jc w:val="right"/>
              <w:rPr>
                <w:rFonts w:ascii="Times New Roman" w:hAnsi="Times New Roman" w:cs="Times New Roman" w:eastAsia="Times New Roman" w:hint="default"/>
                <w:sz w:val="18"/>
                <w:szCs w:val="18"/>
              </w:rPr>
            </w:pPr>
            <w:r>
              <w:rPr>
                <w:rFonts w:ascii="Times New Roman"/>
                <w:spacing w:val="-1"/>
                <w:sz w:val="18"/>
              </w:rPr>
              <w:t>34,363,142.0</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7"/>
              <w:jc w:val="right"/>
              <w:rPr>
                <w:rFonts w:ascii="Times New Roman" w:hAnsi="Times New Roman" w:cs="Times New Roman" w:eastAsia="Times New Roman" w:hint="default"/>
                <w:sz w:val="18"/>
                <w:szCs w:val="18"/>
              </w:rPr>
            </w:pPr>
            <w:r>
              <w:rPr>
                <w:rFonts w:ascii="Times New Roman"/>
                <w:spacing w:val="-1"/>
                <w:sz w:val="18"/>
              </w:rPr>
              <w:t>49,486,910.1</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91" w:right="0"/>
              <w:jc w:val="left"/>
              <w:rPr>
                <w:rFonts w:ascii="Times New Roman" w:hAnsi="Times New Roman" w:cs="Times New Roman" w:eastAsia="Times New Roman" w:hint="default"/>
                <w:sz w:val="18"/>
                <w:szCs w:val="18"/>
              </w:rPr>
            </w:pPr>
            <w:r>
              <w:rPr>
                <w:rFonts w:ascii="Times New Roman"/>
                <w:sz w:val="18"/>
              </w:rPr>
              <w:t>279,332.24</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96" w:right="0"/>
              <w:jc w:val="left"/>
              <w:rPr>
                <w:rFonts w:ascii="Times New Roman" w:hAnsi="Times New Roman" w:cs="Times New Roman" w:eastAsia="Times New Roman" w:hint="default"/>
                <w:sz w:val="18"/>
                <w:szCs w:val="18"/>
              </w:rPr>
            </w:pPr>
            <w:r>
              <w:rPr>
                <w:rFonts w:ascii="Times New Roman"/>
                <w:sz w:val="18"/>
              </w:rPr>
              <w:t>166,581.75</w:t>
            </w:r>
          </w:p>
        </w:tc>
      </w:tr>
      <w:tr>
        <w:trPr>
          <w:trHeight w:val="322" w:hRule="exact"/>
        </w:trPr>
        <w:tc>
          <w:tcPr>
            <w:tcW w:w="105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4"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195"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right="103"/>
              <w:jc w:val="right"/>
              <w:rPr>
                <w:rFonts w:ascii="宋体" w:hAnsi="宋体" w:cs="宋体" w:eastAsia="宋体" w:hint="default"/>
                <w:sz w:val="18"/>
                <w:szCs w:val="18"/>
              </w:rPr>
            </w:pPr>
            <w:r>
              <w:rPr>
                <w:rFonts w:ascii="宋体" w:hAnsi="宋体" w:cs="宋体" w:eastAsia="宋体" w:hint="default"/>
                <w:spacing w:val="-2"/>
                <w:sz w:val="18"/>
                <w:szCs w:val="18"/>
              </w:rPr>
              <w:t>发与销售；</w:t>
            </w: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056" w:type="dxa"/>
            <w:tcBorders>
              <w:top w:val="nil" w:sz="6" w:space="0" w:color="auto"/>
              <w:left w:val="single" w:sz="4" w:space="0" w:color="000000"/>
              <w:bottom w:val="nil" w:sz="6" w:space="0" w:color="auto"/>
              <w:right w:val="single" w:sz="4" w:space="0" w:color="000000"/>
            </w:tcBorders>
          </w:tcPr>
          <w:p>
            <w:pPr/>
          </w:p>
        </w:tc>
        <w:tc>
          <w:tcPr>
            <w:tcW w:w="1195"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03"/>
              <w:jc w:val="right"/>
              <w:rPr>
                <w:rFonts w:ascii="宋体" w:hAnsi="宋体" w:cs="宋体" w:eastAsia="宋体" w:hint="default"/>
                <w:sz w:val="18"/>
                <w:szCs w:val="18"/>
              </w:rPr>
            </w:pPr>
            <w:r>
              <w:rPr>
                <w:rFonts w:ascii="宋体" w:hAnsi="宋体" w:cs="宋体" w:eastAsia="宋体" w:hint="default"/>
                <w:spacing w:val="-2"/>
                <w:sz w:val="18"/>
                <w:szCs w:val="18"/>
              </w:rPr>
              <w:t>节能产品、</w:t>
            </w: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056" w:type="dxa"/>
            <w:tcBorders>
              <w:top w:val="nil" w:sz="6" w:space="0" w:color="auto"/>
              <w:left w:val="single" w:sz="4" w:space="0" w:color="000000"/>
              <w:bottom w:val="nil" w:sz="6" w:space="0" w:color="auto"/>
              <w:right w:val="single" w:sz="4" w:space="0" w:color="000000"/>
            </w:tcBorders>
          </w:tcPr>
          <w:p>
            <w:pPr/>
          </w:p>
        </w:tc>
        <w:tc>
          <w:tcPr>
            <w:tcW w:w="1195"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08"/>
              <w:jc w:val="right"/>
              <w:rPr>
                <w:rFonts w:ascii="宋体" w:hAnsi="宋体" w:cs="宋体" w:eastAsia="宋体" w:hint="default"/>
                <w:sz w:val="18"/>
                <w:szCs w:val="18"/>
              </w:rPr>
            </w:pPr>
            <w:r>
              <w:rPr>
                <w:rFonts w:ascii="宋体" w:hAnsi="宋体" w:cs="宋体" w:eastAsia="宋体" w:hint="default"/>
                <w:spacing w:val="-12"/>
                <w:sz w:val="18"/>
                <w:szCs w:val="18"/>
              </w:rPr>
              <w:t>磁卡、</w:t>
            </w:r>
            <w:r>
              <w:rPr>
                <w:rFonts w:ascii="Times New Roman" w:hAnsi="Times New Roman" w:cs="Times New Roman" w:eastAsia="Times New Roman" w:hint="default"/>
                <w:spacing w:val="-12"/>
                <w:sz w:val="18"/>
                <w:szCs w:val="18"/>
              </w:rPr>
              <w:t>IC</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卡</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120" w:right="0"/>
              <w:jc w:val="left"/>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056" w:type="dxa"/>
            <w:tcBorders>
              <w:top w:val="nil" w:sz="6" w:space="0" w:color="auto"/>
              <w:left w:val="single" w:sz="4" w:space="0" w:color="000000"/>
              <w:bottom w:val="nil" w:sz="6" w:space="0" w:color="auto"/>
              <w:right w:val="single" w:sz="4" w:space="0" w:color="000000"/>
            </w:tcBorders>
          </w:tcPr>
          <w:p>
            <w:pPr/>
          </w:p>
        </w:tc>
        <w:tc>
          <w:tcPr>
            <w:tcW w:w="1195"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103"/>
              <w:jc w:val="right"/>
              <w:rPr>
                <w:rFonts w:ascii="宋体" w:hAnsi="宋体" w:cs="宋体" w:eastAsia="宋体" w:hint="default"/>
                <w:sz w:val="18"/>
                <w:szCs w:val="18"/>
              </w:rPr>
            </w:pPr>
            <w:r>
              <w:rPr>
                <w:rFonts w:ascii="宋体" w:hAnsi="宋体" w:cs="宋体" w:eastAsia="宋体" w:hint="default"/>
                <w:spacing w:val="-2"/>
                <w:sz w:val="18"/>
                <w:szCs w:val="18"/>
              </w:rPr>
              <w:t>电子元器件</w:t>
            </w: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056" w:type="dxa"/>
            <w:tcBorders>
              <w:top w:val="nil" w:sz="6" w:space="0" w:color="auto"/>
              <w:left w:val="single" w:sz="4" w:space="0" w:color="000000"/>
              <w:bottom w:val="nil" w:sz="6" w:space="0" w:color="auto"/>
              <w:right w:val="single" w:sz="4" w:space="0" w:color="000000"/>
            </w:tcBorders>
          </w:tcPr>
          <w:p>
            <w:pPr/>
          </w:p>
        </w:tc>
        <w:tc>
          <w:tcPr>
            <w:tcW w:w="1195"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03"/>
              <w:jc w:val="right"/>
              <w:rPr>
                <w:rFonts w:ascii="宋体" w:hAnsi="宋体" w:cs="宋体" w:eastAsia="宋体" w:hint="default"/>
                <w:sz w:val="18"/>
                <w:szCs w:val="18"/>
              </w:rPr>
            </w:pPr>
            <w:r>
              <w:rPr>
                <w:rFonts w:ascii="宋体" w:hAnsi="宋体" w:cs="宋体" w:eastAsia="宋体" w:hint="default"/>
                <w:spacing w:val="-2"/>
                <w:sz w:val="18"/>
                <w:szCs w:val="18"/>
              </w:rPr>
              <w:t>与电子产品</w:t>
            </w: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1056" w:type="dxa"/>
            <w:tcBorders>
              <w:top w:val="nil" w:sz="6" w:space="0" w:color="auto"/>
              <w:left w:val="single" w:sz="4" w:space="0" w:color="000000"/>
              <w:bottom w:val="single" w:sz="4" w:space="0" w:color="000000"/>
              <w:right w:val="single" w:sz="4" w:space="0" w:color="000000"/>
            </w:tcBorders>
          </w:tcPr>
          <w:p>
            <w:pPr/>
          </w:p>
        </w:tc>
        <w:tc>
          <w:tcPr>
            <w:tcW w:w="1195" w:type="dxa"/>
            <w:tcBorders>
              <w:top w:val="nil" w:sz="6" w:space="0" w:color="auto"/>
              <w:left w:val="single" w:sz="4" w:space="0" w:color="000000"/>
              <w:bottom w:val="single" w:sz="4" w:space="0" w:color="000000"/>
              <w:right w:val="single" w:sz="4" w:space="0" w:color="000000"/>
            </w:tcBorders>
          </w:tcPr>
          <w:p>
            <w:pPr/>
          </w:p>
        </w:tc>
        <w:tc>
          <w:tcPr>
            <w:tcW w:w="104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right="103"/>
              <w:jc w:val="right"/>
              <w:rPr>
                <w:rFonts w:ascii="宋体" w:hAnsi="宋体" w:cs="宋体" w:eastAsia="宋体" w:hint="default"/>
                <w:sz w:val="18"/>
                <w:szCs w:val="18"/>
              </w:rPr>
            </w:pPr>
            <w:r>
              <w:rPr>
                <w:rFonts w:ascii="宋体" w:hAnsi="宋体" w:cs="宋体" w:eastAsia="宋体" w:hint="default"/>
                <w:spacing w:val="-2"/>
                <w:sz w:val="18"/>
                <w:szCs w:val="18"/>
              </w:rPr>
              <w:t>的开发、销</w:t>
            </w:r>
          </w:p>
        </w:tc>
        <w:tc>
          <w:tcPr>
            <w:tcW w:w="1046" w:type="dxa"/>
            <w:tcBorders>
              <w:top w:val="nil" w:sz="6" w:space="0" w:color="auto"/>
              <w:left w:val="single" w:sz="4" w:space="0" w:color="000000"/>
              <w:bottom w:val="single" w:sz="4" w:space="0" w:color="000000"/>
              <w:right w:val="single" w:sz="4" w:space="0" w:color="000000"/>
            </w:tcBorders>
          </w:tcPr>
          <w:p>
            <w:pPr/>
          </w:p>
        </w:tc>
        <w:tc>
          <w:tcPr>
            <w:tcW w:w="1046" w:type="dxa"/>
            <w:tcBorders>
              <w:top w:val="nil" w:sz="6" w:space="0" w:color="auto"/>
              <w:left w:val="single" w:sz="4" w:space="0" w:color="000000"/>
              <w:bottom w:val="single" w:sz="4" w:space="0" w:color="000000"/>
              <w:right w:val="single" w:sz="4" w:space="0" w:color="000000"/>
            </w:tcBorders>
          </w:tcPr>
          <w:p>
            <w:pPr/>
          </w:p>
        </w:tc>
        <w:tc>
          <w:tcPr>
            <w:tcW w:w="1046" w:type="dxa"/>
            <w:tcBorders>
              <w:top w:val="nil" w:sz="6" w:space="0" w:color="auto"/>
              <w:left w:val="single" w:sz="4" w:space="0" w:color="000000"/>
              <w:bottom w:val="single" w:sz="4" w:space="0" w:color="000000"/>
              <w:right w:val="single" w:sz="4" w:space="0" w:color="000000"/>
            </w:tcBorders>
          </w:tcPr>
          <w:p>
            <w:pPr/>
          </w:p>
        </w:tc>
        <w:tc>
          <w:tcPr>
            <w:tcW w:w="1046" w:type="dxa"/>
            <w:tcBorders>
              <w:top w:val="nil" w:sz="6" w:space="0" w:color="auto"/>
              <w:left w:val="single" w:sz="4" w:space="0" w:color="000000"/>
              <w:bottom w:val="single" w:sz="4" w:space="0" w:color="000000"/>
              <w:right w:val="single" w:sz="4" w:space="0" w:color="000000"/>
            </w:tcBorders>
          </w:tcPr>
          <w:p>
            <w:pPr/>
          </w:p>
        </w:tc>
        <w:tc>
          <w:tcPr>
            <w:tcW w:w="1042" w:type="dxa"/>
            <w:tcBorders>
              <w:top w:val="nil" w:sz="6" w:space="0" w:color="auto"/>
              <w:left w:val="single" w:sz="4" w:space="0" w:color="000000"/>
              <w:bottom w:val="single" w:sz="4" w:space="0" w:color="000000"/>
              <w:right w:val="single" w:sz="4" w:space="0" w:color="000000"/>
            </w:tcBorders>
          </w:tcPr>
          <w:p>
            <w:pPr/>
          </w:p>
        </w:tc>
        <w:tc>
          <w:tcPr>
            <w:tcW w:w="1046" w:type="dxa"/>
            <w:tcBorders>
              <w:top w:val="nil" w:sz="6" w:space="0" w:color="auto"/>
              <w:left w:val="single" w:sz="4" w:space="0" w:color="000000"/>
              <w:bottom w:val="single" w:sz="4" w:space="0" w:color="000000"/>
              <w:right w:val="single" w:sz="4" w:space="0" w:color="000000"/>
            </w:tcBorders>
          </w:tcPr>
          <w:p>
            <w:pPr/>
          </w:p>
        </w:tc>
      </w:tr>
    </w:tbl>
    <w:p>
      <w:pPr>
        <w:spacing w:after="0"/>
        <w:sectPr>
          <w:type w:val="continuous"/>
          <w:pgSz w:w="11900" w:h="16840"/>
          <w:pgMar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056"/>
        <w:gridCol w:w="1195"/>
        <w:gridCol w:w="1042"/>
        <w:gridCol w:w="1046"/>
        <w:gridCol w:w="1046"/>
        <w:gridCol w:w="1046"/>
        <w:gridCol w:w="1046"/>
        <w:gridCol w:w="1042"/>
        <w:gridCol w:w="1046"/>
      </w:tblGrid>
      <w:tr>
        <w:trPr>
          <w:trHeight w:val="672" w:hRule="exact"/>
        </w:trPr>
        <w:tc>
          <w:tcPr>
            <w:tcW w:w="105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10"/>
              <w:ind w:left="23" w:right="103"/>
              <w:jc w:val="left"/>
              <w:rPr>
                <w:rFonts w:ascii="宋体" w:hAnsi="宋体" w:cs="宋体" w:eastAsia="宋体" w:hint="default"/>
                <w:sz w:val="18"/>
                <w:szCs w:val="18"/>
              </w:rPr>
            </w:pPr>
            <w:r>
              <w:rPr>
                <w:rFonts w:ascii="宋体" w:hAnsi="宋体" w:cs="宋体" w:eastAsia="宋体" w:hint="default"/>
                <w:spacing w:val="-2"/>
                <w:sz w:val="18"/>
                <w:szCs w:val="18"/>
              </w:rPr>
              <w:t>售及售后服</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务；</w:t>
            </w:r>
          </w:p>
        </w:tc>
        <w:tc>
          <w:tcPr>
            <w:tcW w:w="1046"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359" w:hRule="exact"/>
        </w:trPr>
        <w:tc>
          <w:tcPr>
            <w:tcW w:w="1056" w:type="dxa"/>
            <w:tcBorders>
              <w:top w:val="single" w:sz="4" w:space="0" w:color="000000"/>
              <w:left w:val="single" w:sz="4" w:space="0" w:color="000000"/>
              <w:bottom w:val="nil" w:sz="6" w:space="0" w:color="auto"/>
              <w:right w:val="single" w:sz="4" w:space="0" w:color="000000"/>
            </w:tcBorders>
          </w:tcPr>
          <w:p>
            <w:pPr/>
          </w:p>
        </w:tc>
        <w:tc>
          <w:tcPr>
            <w:tcW w:w="1195" w:type="dxa"/>
            <w:tcBorders>
              <w:top w:val="single" w:sz="4" w:space="0" w:color="000000"/>
              <w:left w:val="single" w:sz="4" w:space="0" w:color="000000"/>
              <w:bottom w:val="nil" w:sz="6" w:space="0" w:color="auto"/>
              <w:right w:val="single" w:sz="4" w:space="0" w:color="000000"/>
            </w:tcBorders>
          </w:tcPr>
          <w:p>
            <w:pPr/>
          </w:p>
        </w:tc>
        <w:tc>
          <w:tcPr>
            <w:tcW w:w="104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出版物印</w:t>
            </w:r>
          </w:p>
        </w:tc>
        <w:tc>
          <w:tcPr>
            <w:tcW w:w="1046" w:type="dxa"/>
            <w:tcBorders>
              <w:top w:val="single" w:sz="4" w:space="0" w:color="000000"/>
              <w:left w:val="single" w:sz="4" w:space="0" w:color="000000"/>
              <w:bottom w:val="nil" w:sz="6" w:space="0" w:color="auto"/>
              <w:right w:val="single" w:sz="4" w:space="0" w:color="000000"/>
            </w:tcBorders>
          </w:tcPr>
          <w:p>
            <w:pPr/>
          </w:p>
        </w:tc>
        <w:tc>
          <w:tcPr>
            <w:tcW w:w="1046" w:type="dxa"/>
            <w:tcBorders>
              <w:top w:val="single" w:sz="4" w:space="0" w:color="000000"/>
              <w:left w:val="single" w:sz="4" w:space="0" w:color="000000"/>
              <w:bottom w:val="nil" w:sz="6" w:space="0" w:color="auto"/>
              <w:right w:val="single" w:sz="4" w:space="0" w:color="000000"/>
            </w:tcBorders>
          </w:tcPr>
          <w:p>
            <w:pPr/>
          </w:p>
        </w:tc>
        <w:tc>
          <w:tcPr>
            <w:tcW w:w="1046" w:type="dxa"/>
            <w:tcBorders>
              <w:top w:val="single" w:sz="4" w:space="0" w:color="000000"/>
              <w:left w:val="single" w:sz="4" w:space="0" w:color="000000"/>
              <w:bottom w:val="nil" w:sz="6" w:space="0" w:color="auto"/>
              <w:right w:val="single" w:sz="4" w:space="0" w:color="000000"/>
            </w:tcBorders>
          </w:tcPr>
          <w:p>
            <w:pPr/>
          </w:p>
        </w:tc>
        <w:tc>
          <w:tcPr>
            <w:tcW w:w="1046" w:type="dxa"/>
            <w:tcBorders>
              <w:top w:val="single" w:sz="4" w:space="0" w:color="000000"/>
              <w:left w:val="single" w:sz="4" w:space="0" w:color="000000"/>
              <w:bottom w:val="nil" w:sz="6" w:space="0" w:color="auto"/>
              <w:right w:val="single" w:sz="4" w:space="0" w:color="000000"/>
            </w:tcBorders>
          </w:tcPr>
          <w:p>
            <w:pPr/>
          </w:p>
        </w:tc>
        <w:tc>
          <w:tcPr>
            <w:tcW w:w="1042" w:type="dxa"/>
            <w:tcBorders>
              <w:top w:val="single" w:sz="4" w:space="0" w:color="000000"/>
              <w:left w:val="single" w:sz="4" w:space="0" w:color="000000"/>
              <w:bottom w:val="nil" w:sz="6" w:space="0" w:color="auto"/>
              <w:right w:val="single" w:sz="4" w:space="0" w:color="000000"/>
            </w:tcBorders>
          </w:tcPr>
          <w:p>
            <w:pPr/>
          </w:p>
        </w:tc>
        <w:tc>
          <w:tcPr>
            <w:tcW w:w="1046" w:type="dxa"/>
            <w:tcBorders>
              <w:top w:val="single" w:sz="4" w:space="0" w:color="000000"/>
              <w:left w:val="single" w:sz="4" w:space="0" w:color="000000"/>
              <w:bottom w:val="nil" w:sz="6" w:space="0" w:color="auto"/>
              <w:right w:val="single" w:sz="4" w:space="0" w:color="000000"/>
            </w:tcBorders>
          </w:tcPr>
          <w:p>
            <w:pPr/>
          </w:p>
        </w:tc>
      </w:tr>
      <w:tr>
        <w:trPr>
          <w:trHeight w:val="938" w:hRule="exact"/>
        </w:trPr>
        <w:tc>
          <w:tcPr>
            <w:tcW w:w="105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321" w:lineRule="auto"/>
              <w:ind w:left="24" w:right="118"/>
              <w:jc w:val="left"/>
              <w:rPr>
                <w:rFonts w:ascii="宋体" w:hAnsi="宋体" w:cs="宋体" w:eastAsia="宋体" w:hint="default"/>
                <w:sz w:val="18"/>
                <w:szCs w:val="18"/>
              </w:rPr>
            </w:pPr>
            <w:r>
              <w:rPr>
                <w:rFonts w:ascii="宋体" w:hAnsi="宋体" w:cs="宋体" w:eastAsia="宋体" w:hint="default"/>
                <w:spacing w:val="-2"/>
                <w:sz w:val="18"/>
                <w:szCs w:val="18"/>
              </w:rPr>
              <w:t>鸿博昊天科</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技有限公司</w:t>
            </w:r>
          </w:p>
        </w:tc>
        <w:tc>
          <w:tcPr>
            <w:tcW w:w="119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316" w:lineRule="auto" w:before="11"/>
              <w:ind w:left="23" w:right="103"/>
              <w:jc w:val="both"/>
              <w:rPr>
                <w:rFonts w:ascii="宋体" w:hAnsi="宋体" w:cs="宋体" w:eastAsia="宋体" w:hint="default"/>
                <w:sz w:val="18"/>
                <w:szCs w:val="18"/>
              </w:rPr>
            </w:pPr>
            <w:r>
              <w:rPr>
                <w:rFonts w:ascii="宋体" w:hAnsi="宋体" w:cs="宋体" w:eastAsia="宋体" w:hint="default"/>
                <w:spacing w:val="-2"/>
                <w:sz w:val="18"/>
                <w:szCs w:val="18"/>
              </w:rPr>
              <w:t>刷、包装装</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潢品印刷、</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其他印刷品</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29500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万</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456,689,098.</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sz w:val="18"/>
              </w:rPr>
              <w:t>08</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234,800,751.</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sz w:val="18"/>
              </w:rPr>
              <w:t>81</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163,309,670.</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sz w:val="18"/>
              </w:rPr>
              <w:t>51</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-22,855,662.</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sz w:val="18"/>
              </w:rPr>
              <w:t>57</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-18,903,389.</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sz w:val="18"/>
              </w:rPr>
              <w:t>40</w:t>
            </w:r>
          </w:p>
        </w:tc>
      </w:tr>
      <w:tr>
        <w:trPr>
          <w:trHeight w:val="354" w:hRule="exact"/>
        </w:trPr>
        <w:tc>
          <w:tcPr>
            <w:tcW w:w="1056" w:type="dxa"/>
            <w:tcBorders>
              <w:top w:val="nil" w:sz="6" w:space="0" w:color="auto"/>
              <w:left w:val="single" w:sz="4" w:space="0" w:color="000000"/>
              <w:bottom w:val="single" w:sz="4" w:space="0" w:color="000000"/>
              <w:right w:val="single" w:sz="4" w:space="0" w:color="000000"/>
            </w:tcBorders>
          </w:tcPr>
          <w:p>
            <w:pPr/>
          </w:p>
        </w:tc>
        <w:tc>
          <w:tcPr>
            <w:tcW w:w="1195" w:type="dxa"/>
            <w:tcBorders>
              <w:top w:val="nil" w:sz="6" w:space="0" w:color="auto"/>
              <w:left w:val="single" w:sz="4" w:space="0" w:color="000000"/>
              <w:bottom w:val="single" w:sz="4" w:space="0" w:color="000000"/>
              <w:right w:val="single" w:sz="4" w:space="0" w:color="000000"/>
            </w:tcBorders>
          </w:tcPr>
          <w:p>
            <w:pPr/>
          </w:p>
        </w:tc>
        <w:tc>
          <w:tcPr>
            <w:tcW w:w="104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印刷</w:t>
            </w:r>
          </w:p>
        </w:tc>
        <w:tc>
          <w:tcPr>
            <w:tcW w:w="1046" w:type="dxa"/>
            <w:tcBorders>
              <w:top w:val="nil" w:sz="6" w:space="0" w:color="auto"/>
              <w:left w:val="single" w:sz="4" w:space="0" w:color="000000"/>
              <w:bottom w:val="single" w:sz="4" w:space="0" w:color="000000"/>
              <w:right w:val="single" w:sz="4" w:space="0" w:color="000000"/>
            </w:tcBorders>
          </w:tcPr>
          <w:p>
            <w:pPr/>
          </w:p>
        </w:tc>
        <w:tc>
          <w:tcPr>
            <w:tcW w:w="1046" w:type="dxa"/>
            <w:tcBorders>
              <w:top w:val="nil" w:sz="6" w:space="0" w:color="auto"/>
              <w:left w:val="single" w:sz="4" w:space="0" w:color="000000"/>
              <w:bottom w:val="single" w:sz="4" w:space="0" w:color="000000"/>
              <w:right w:val="single" w:sz="4" w:space="0" w:color="000000"/>
            </w:tcBorders>
          </w:tcPr>
          <w:p>
            <w:pPr/>
          </w:p>
        </w:tc>
        <w:tc>
          <w:tcPr>
            <w:tcW w:w="1046" w:type="dxa"/>
            <w:tcBorders>
              <w:top w:val="nil" w:sz="6" w:space="0" w:color="auto"/>
              <w:left w:val="single" w:sz="4" w:space="0" w:color="000000"/>
              <w:bottom w:val="single" w:sz="4" w:space="0" w:color="000000"/>
              <w:right w:val="single" w:sz="4" w:space="0" w:color="000000"/>
            </w:tcBorders>
          </w:tcPr>
          <w:p>
            <w:pPr/>
          </w:p>
        </w:tc>
        <w:tc>
          <w:tcPr>
            <w:tcW w:w="1046" w:type="dxa"/>
            <w:tcBorders>
              <w:top w:val="nil" w:sz="6" w:space="0" w:color="auto"/>
              <w:left w:val="single" w:sz="4" w:space="0" w:color="000000"/>
              <w:bottom w:val="single" w:sz="4" w:space="0" w:color="000000"/>
              <w:right w:val="single" w:sz="4" w:space="0" w:color="000000"/>
            </w:tcBorders>
          </w:tcPr>
          <w:p>
            <w:pPr/>
          </w:p>
        </w:tc>
        <w:tc>
          <w:tcPr>
            <w:tcW w:w="1042" w:type="dxa"/>
            <w:tcBorders>
              <w:top w:val="nil" w:sz="6" w:space="0" w:color="auto"/>
              <w:left w:val="single" w:sz="4" w:space="0" w:color="000000"/>
              <w:bottom w:val="single" w:sz="4" w:space="0" w:color="000000"/>
              <w:right w:val="single" w:sz="4" w:space="0" w:color="000000"/>
            </w:tcBorders>
          </w:tcPr>
          <w:p>
            <w:pPr/>
          </w:p>
        </w:tc>
        <w:tc>
          <w:tcPr>
            <w:tcW w:w="1046" w:type="dxa"/>
            <w:tcBorders>
              <w:top w:val="nil" w:sz="6" w:space="0" w:color="auto"/>
              <w:left w:val="single" w:sz="4" w:space="0" w:color="000000"/>
              <w:bottom w:val="single" w:sz="4" w:space="0" w:color="000000"/>
              <w:right w:val="single" w:sz="4" w:space="0" w:color="000000"/>
            </w:tcBorders>
          </w:tcPr>
          <w:p>
            <w:pP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报告期内取得和处置子公司的情况</w:t>
      </w:r>
    </w:p>
    <w:p>
      <w:pPr>
        <w:spacing w:before="119"/>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不适用</w:t>
      </w:r>
    </w:p>
    <w:p>
      <w:pPr>
        <w:spacing w:line="240" w:lineRule="auto" w:before="7"/>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26" w:right="0"/>
              <w:jc w:val="left"/>
              <w:rPr>
                <w:rFonts w:ascii="宋体" w:hAnsi="宋体" w:cs="宋体" w:eastAsia="宋体" w:hint="default"/>
                <w:sz w:val="18"/>
                <w:szCs w:val="18"/>
              </w:rPr>
            </w:pPr>
            <w:r>
              <w:rPr>
                <w:rFonts w:ascii="宋体" w:hAnsi="宋体" w:cs="宋体" w:eastAsia="宋体" w:hint="default"/>
                <w:spacing w:val="-3"/>
                <w:sz w:val="18"/>
                <w:szCs w:val="18"/>
              </w:rPr>
              <w:t>报告期内取得和处置子公司方式</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17" w:right="0"/>
              <w:jc w:val="left"/>
              <w:rPr>
                <w:rFonts w:ascii="宋体" w:hAnsi="宋体" w:cs="宋体" w:eastAsia="宋体" w:hint="default"/>
                <w:sz w:val="18"/>
                <w:szCs w:val="18"/>
              </w:rPr>
            </w:pPr>
            <w:r>
              <w:rPr>
                <w:rFonts w:ascii="宋体" w:hAnsi="宋体" w:cs="宋体" w:eastAsia="宋体" w:hint="default"/>
                <w:spacing w:val="-3"/>
                <w:sz w:val="18"/>
                <w:szCs w:val="18"/>
              </w:rPr>
              <w:t>对整体生产经营和业绩的影响</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广州鸿博文化传播有限公司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工商注销</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北京青禾阳光文化传播有限公司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工商注销</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r>
        <w:trPr>
          <w:trHeight w:val="715"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北京科信盛彩投资有限公司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收购</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3" w:right="94"/>
              <w:jc w:val="left"/>
              <w:rPr>
                <w:rFonts w:ascii="宋体" w:hAnsi="宋体" w:cs="宋体" w:eastAsia="宋体" w:hint="default"/>
                <w:sz w:val="18"/>
                <w:szCs w:val="18"/>
              </w:rPr>
            </w:pPr>
            <w:r>
              <w:rPr>
                <w:rFonts w:ascii="宋体" w:hAnsi="宋体" w:cs="宋体" w:eastAsia="宋体" w:hint="default"/>
                <w:spacing w:val="-3"/>
                <w:sz w:val="18"/>
                <w:szCs w:val="18"/>
              </w:rPr>
              <w:t>优化公司产业结构，进一步推进公司彩</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票全产业链的战略布局</w:t>
            </w:r>
          </w:p>
        </w:tc>
      </w:tr>
    </w:tbl>
    <w:p>
      <w:pPr>
        <w:spacing w:before="53"/>
        <w:ind w:left="152" w:right="0" w:firstLine="0"/>
        <w:jc w:val="both"/>
        <w:rPr>
          <w:rFonts w:ascii="宋体" w:hAnsi="宋体" w:cs="宋体" w:eastAsia="宋体" w:hint="default"/>
          <w:sz w:val="18"/>
          <w:szCs w:val="18"/>
        </w:rPr>
      </w:pPr>
      <w:r>
        <w:rPr>
          <w:rFonts w:ascii="宋体" w:hAnsi="宋体" w:cs="宋体" w:eastAsia="宋体" w:hint="default"/>
          <w:spacing w:val="-3"/>
          <w:sz w:val="18"/>
          <w:szCs w:val="18"/>
        </w:rPr>
        <w:t>主要控股参股公司情况说明</w:t>
      </w:r>
    </w:p>
    <w:p>
      <w:pPr>
        <w:pStyle w:val="BodyText"/>
        <w:spacing w:line="256" w:lineRule="auto" w:before="89"/>
        <w:ind w:left="575" w:right="0"/>
        <w:jc w:val="left"/>
      </w:pPr>
      <w:r>
        <w:rPr>
          <w:rFonts w:ascii="Times New Roman" w:hAnsi="Times New Roman" w:cs="Times New Roman" w:eastAsia="Times New Roman" w:hint="default"/>
        </w:rPr>
        <w:t>1.</w:t>
      </w:r>
      <w:r>
        <w:rPr/>
        <w:t>重庆市鸿海印务有限公司：</w:t>
      </w:r>
      <w:r>
        <w:rPr>
          <w:spacing w:val="-101"/>
        </w:rPr>
        <w:t> </w:t>
      </w:r>
      <w:r>
        <w:rPr>
          <w:spacing w:val="-101"/>
        </w:rPr>
      </w:r>
      <w:r>
        <w:rPr>
          <w:spacing w:val="-2"/>
        </w:rPr>
        <w:t>公司成立于</w:t>
      </w:r>
      <w:r>
        <w:rPr>
          <w:rFonts w:ascii="Times New Roman" w:hAnsi="Times New Roman" w:cs="Times New Roman" w:eastAsia="Times New Roman" w:hint="default"/>
          <w:spacing w:val="-2"/>
        </w:rPr>
        <w:t>2001</w:t>
      </w:r>
      <w:r>
        <w:rPr>
          <w:spacing w:val="-2"/>
        </w:rPr>
        <w:t>年，注册资本</w:t>
      </w:r>
      <w:r>
        <w:rPr>
          <w:rFonts w:ascii="Times New Roman" w:hAnsi="Times New Roman" w:cs="Times New Roman" w:eastAsia="Times New Roman" w:hint="default"/>
          <w:spacing w:val="-2"/>
        </w:rPr>
        <w:t>12,800</w:t>
      </w:r>
      <w:r>
        <w:rPr>
          <w:spacing w:val="-2"/>
        </w:rPr>
        <w:t>万元，本公司持股</w:t>
      </w:r>
      <w:r>
        <w:rPr>
          <w:rFonts w:ascii="Times New Roman" w:hAnsi="Times New Roman" w:cs="Times New Roman" w:eastAsia="Times New Roman" w:hint="default"/>
          <w:spacing w:val="-2"/>
        </w:rPr>
        <w:t>100%</w:t>
      </w:r>
      <w:r>
        <w:rPr>
          <w:spacing w:val="-2"/>
        </w:rPr>
        <w:t>，法定代表人：杨佑林，注册地址：重庆</w:t>
      </w:r>
    </w:p>
    <w:p>
      <w:pPr>
        <w:pStyle w:val="BodyText"/>
        <w:spacing w:line="273" w:lineRule="auto" w:before="5"/>
        <w:ind w:right="201"/>
        <w:jc w:val="both"/>
      </w:pPr>
      <w:r>
        <w:rPr>
          <w:spacing w:val="-2"/>
        </w:rPr>
        <w:t>市长寿区晏家工业园区，主要经营项目：包装装潢印刷品、其他印刷品印制（含防伪票证、票据）；普通</w:t>
      </w:r>
      <w:r>
        <w:rPr>
          <w:spacing w:val="-35"/>
        </w:rPr>
        <w:t> </w:t>
      </w:r>
      <w:r>
        <w:rPr>
          <w:spacing w:val="-35"/>
        </w:rPr>
      </w:r>
      <w:r>
        <w:rPr>
          <w:spacing w:val="-2"/>
        </w:rPr>
        <w:t>货运（按许可证核定事项和期限从事经营）货物进出口（法律、行政法规禁止的项目除外；法律、行政法</w:t>
      </w:r>
      <w:r>
        <w:rPr>
          <w:spacing w:val="-35"/>
        </w:rPr>
        <w:t> </w:t>
      </w:r>
      <w:r>
        <w:rPr>
          <w:spacing w:val="-35"/>
        </w:rPr>
      </w:r>
      <w:r>
        <w:rPr/>
        <w:t>规限制的项目取得许可后方可经营）；磁卡的研究开发。</w:t>
      </w:r>
    </w:p>
    <w:p>
      <w:pPr>
        <w:pStyle w:val="BodyText"/>
        <w:spacing w:line="256" w:lineRule="auto" w:before="7"/>
        <w:ind w:left="575" w:right="0"/>
        <w:jc w:val="left"/>
      </w:pPr>
      <w:r>
        <w:rPr/>
        <w:t>重庆鸿海报告期末资产总额</w:t>
      </w:r>
      <w:r>
        <w:rPr>
          <w:rFonts w:ascii="Times New Roman" w:hAnsi="Times New Roman" w:cs="Times New Roman" w:eastAsia="Times New Roman" w:hint="default"/>
        </w:rPr>
        <w:t>294,769,776.09</w:t>
      </w:r>
      <w:r>
        <w:rPr/>
        <w:t>元，报告期实现净利润</w:t>
      </w:r>
      <w:r>
        <w:rPr>
          <w:rFonts w:ascii="Times New Roman" w:hAnsi="Times New Roman" w:cs="Times New Roman" w:eastAsia="Times New Roman" w:hint="default"/>
        </w:rPr>
        <w:t>15,283,838.50</w:t>
      </w:r>
      <w:r>
        <w:rPr/>
        <w:t>元。</w:t>
      </w:r>
      <w:r>
        <w:rPr>
          <w:w w:val="100"/>
        </w:rPr>
        <w:t> </w:t>
      </w:r>
      <w:r>
        <w:rPr>
          <w:rFonts w:ascii="Times New Roman" w:hAnsi="Times New Roman" w:cs="Times New Roman" w:eastAsia="Times New Roman" w:hint="default"/>
        </w:rPr>
        <w:t>2.</w:t>
      </w:r>
      <w:r>
        <w:rPr/>
        <w:t>无锡双龙信息纸有限公司：</w:t>
      </w:r>
      <w:r>
        <w:rPr>
          <w:spacing w:val="-101"/>
        </w:rPr>
        <w:t> </w:t>
      </w:r>
      <w:r>
        <w:rPr>
          <w:spacing w:val="-101"/>
        </w:rPr>
      </w:r>
      <w:r>
        <w:rPr>
          <w:spacing w:val="-2"/>
        </w:rPr>
        <w:t>公司成立于</w:t>
      </w:r>
      <w:r>
        <w:rPr>
          <w:rFonts w:ascii="Times New Roman" w:hAnsi="Times New Roman" w:cs="Times New Roman" w:eastAsia="Times New Roman" w:hint="default"/>
          <w:spacing w:val="-2"/>
        </w:rPr>
        <w:t>1992</w:t>
      </w:r>
      <w:r>
        <w:rPr>
          <w:spacing w:val="-2"/>
        </w:rPr>
        <w:t>年，注册资本</w:t>
      </w:r>
      <w:r>
        <w:rPr>
          <w:rFonts w:ascii="Times New Roman" w:hAnsi="Times New Roman" w:cs="Times New Roman" w:eastAsia="Times New Roman" w:hint="default"/>
          <w:spacing w:val="-2"/>
        </w:rPr>
        <w:t>5,000</w:t>
      </w:r>
      <w:r>
        <w:rPr>
          <w:spacing w:val="-2"/>
        </w:rPr>
        <w:t>万元，公司持股</w:t>
      </w:r>
      <w:r>
        <w:rPr>
          <w:rFonts w:ascii="Times New Roman" w:hAnsi="Times New Roman" w:cs="Times New Roman" w:eastAsia="Times New Roman" w:hint="default"/>
          <w:spacing w:val="-2"/>
        </w:rPr>
        <w:t>60%</w:t>
      </w:r>
      <w:r>
        <w:rPr>
          <w:spacing w:val="-2"/>
        </w:rPr>
        <w:t>，无锡市正栋电脑纸品厂持股</w:t>
      </w:r>
      <w:r>
        <w:rPr>
          <w:rFonts w:ascii="Times New Roman" w:hAnsi="Times New Roman" w:cs="Times New Roman" w:eastAsia="Times New Roman" w:hint="default"/>
          <w:spacing w:val="-2"/>
        </w:rPr>
        <w:t>40%</w:t>
      </w:r>
      <w:r>
        <w:rPr>
          <w:spacing w:val="-2"/>
        </w:rPr>
        <w:t>。法定代表</w:t>
      </w:r>
    </w:p>
    <w:p>
      <w:pPr>
        <w:pStyle w:val="BodyText"/>
        <w:spacing w:line="266" w:lineRule="auto" w:before="5"/>
        <w:ind w:right="202"/>
        <w:jc w:val="both"/>
      </w:pPr>
      <w:r>
        <w:rPr/>
        <w:t>人：尤友岳，注册地址：无锡市滨湖区马山马圩五号桥碧波支路</w:t>
      </w:r>
      <w:r>
        <w:rPr>
          <w:rFonts w:ascii="Times New Roman" w:hAnsi="Times New Roman" w:cs="Times New Roman" w:eastAsia="Times New Roman" w:hint="default"/>
        </w:rPr>
        <w:t>3</w:t>
      </w:r>
      <w:r>
        <w:rPr/>
        <w:t>号，主要经营项目：纸制品的制造、销</w:t>
      </w:r>
      <w:r>
        <w:rPr>
          <w:spacing w:val="-32"/>
        </w:rPr>
        <w:t> </w:t>
      </w:r>
      <w:r>
        <w:rPr>
          <w:spacing w:val="-32"/>
        </w:rPr>
      </w:r>
      <w:r>
        <w:rPr>
          <w:spacing w:val="-2"/>
        </w:rPr>
        <w:t>售（含网上销售）；纸加工；包装装潢印刷品印刷；其他印刷品印刷；道路普通货物运输；自营和代理各</w:t>
      </w:r>
      <w:r>
        <w:rPr>
          <w:spacing w:val="-35"/>
        </w:rPr>
        <w:t> </w:t>
      </w:r>
      <w:r>
        <w:rPr>
          <w:spacing w:val="-35"/>
        </w:rPr>
      </w:r>
      <w:r>
        <w:rPr>
          <w:spacing w:val="-2"/>
        </w:rPr>
        <w:t>类商品及技术的进出口业务（国家限定企业经营或禁止进出口的商品和技术除外）。（依法须经批准的项</w:t>
      </w:r>
      <w:r>
        <w:rPr>
          <w:spacing w:val="-35"/>
        </w:rPr>
        <w:t> </w:t>
      </w:r>
      <w:r>
        <w:rPr>
          <w:spacing w:val="-35"/>
        </w:rPr>
      </w:r>
      <w:r>
        <w:rPr/>
        <w:t>目，经相关部门批准后方可开展经营活动）</w:t>
      </w:r>
    </w:p>
    <w:p>
      <w:pPr>
        <w:pStyle w:val="BodyText"/>
        <w:spacing w:line="256" w:lineRule="auto" w:before="14"/>
        <w:ind w:left="575" w:right="0"/>
        <w:jc w:val="left"/>
      </w:pPr>
      <w:r>
        <w:rPr/>
        <w:t>无锡双龙报告期末的资产总额</w:t>
      </w:r>
      <w:r>
        <w:rPr>
          <w:rFonts w:ascii="Times New Roman" w:hAnsi="Times New Roman" w:cs="Times New Roman" w:eastAsia="Times New Roman" w:hint="default"/>
        </w:rPr>
        <w:t>122,566,826.17</w:t>
      </w:r>
      <w:r>
        <w:rPr/>
        <w:t>元，报告期实现净利润</w:t>
      </w:r>
      <w:r>
        <w:rPr>
          <w:rFonts w:ascii="Times New Roman" w:hAnsi="Times New Roman" w:cs="Times New Roman" w:eastAsia="Times New Roman" w:hint="default"/>
        </w:rPr>
        <w:t>20,567,483.19</w:t>
      </w:r>
      <w:r>
        <w:rPr/>
        <w:t>元。</w:t>
      </w:r>
      <w:r>
        <w:rPr>
          <w:w w:val="100"/>
        </w:rPr>
        <w:t> </w:t>
      </w:r>
      <w:r>
        <w:rPr>
          <w:rFonts w:ascii="Times New Roman" w:hAnsi="Times New Roman" w:cs="Times New Roman" w:eastAsia="Times New Roman" w:hint="default"/>
        </w:rPr>
        <w:t>3.</w:t>
      </w:r>
      <w:r>
        <w:rPr/>
        <w:t>广州彩创网络技术有限公司：</w:t>
      </w:r>
      <w:r>
        <w:rPr>
          <w:w w:val="100"/>
        </w:rPr>
        <w:t> </w:t>
      </w:r>
      <w:r>
        <w:rPr>
          <w:spacing w:val="-1"/>
        </w:rPr>
        <w:t>公司成立于</w:t>
      </w:r>
      <w:r>
        <w:rPr>
          <w:rFonts w:ascii="Times New Roman" w:hAnsi="Times New Roman" w:cs="Times New Roman" w:eastAsia="Times New Roman" w:hint="default"/>
          <w:spacing w:val="-1"/>
        </w:rPr>
        <w:t>2009</w:t>
      </w:r>
      <w:r>
        <w:rPr>
          <w:spacing w:val="-1"/>
        </w:rPr>
        <w:t>年，注册资本</w:t>
      </w:r>
      <w:r>
        <w:rPr>
          <w:rFonts w:ascii="Times New Roman" w:hAnsi="Times New Roman" w:cs="Times New Roman" w:eastAsia="Times New Roman" w:hint="default"/>
          <w:spacing w:val="-1"/>
        </w:rPr>
        <w:t>5000</w:t>
      </w:r>
      <w:r>
        <w:rPr>
          <w:spacing w:val="-1"/>
        </w:rPr>
        <w:t>万元，公司持股</w:t>
      </w:r>
      <w:r>
        <w:rPr>
          <w:rFonts w:ascii="Times New Roman" w:hAnsi="Times New Roman" w:cs="Times New Roman" w:eastAsia="Times New Roman" w:hint="default"/>
          <w:spacing w:val="-1"/>
        </w:rPr>
        <w:t>75%</w:t>
      </w:r>
      <w:r>
        <w:rPr>
          <w:spacing w:val="-1"/>
        </w:rPr>
        <w:t>，法定代表人：章万俊，注册地址：广州市天</w:t>
      </w:r>
    </w:p>
    <w:p>
      <w:pPr>
        <w:pStyle w:val="BodyText"/>
        <w:spacing w:line="268" w:lineRule="auto" w:before="5"/>
        <w:ind w:right="0"/>
        <w:jc w:val="left"/>
      </w:pPr>
      <w:r>
        <w:rPr>
          <w:spacing w:val="-2"/>
        </w:rPr>
        <w:t>河区水荫</w:t>
      </w:r>
      <w:r>
        <w:rPr>
          <w:rFonts w:ascii="Times New Roman" w:hAnsi="Times New Roman" w:cs="Times New Roman" w:eastAsia="Times New Roman" w:hint="default"/>
          <w:spacing w:val="-2"/>
        </w:rPr>
        <w:t>115</w:t>
      </w:r>
      <w:r>
        <w:rPr>
          <w:spacing w:val="-2"/>
        </w:rPr>
        <w:t>号天溢大厦四层。主要经营项目：商品批发贸易（许可审批类商品除外）；计算机技术开发、</w:t>
      </w:r>
      <w:r>
        <w:rPr>
          <w:spacing w:val="-42"/>
        </w:rPr>
        <w:t> </w:t>
      </w:r>
      <w:r>
        <w:rPr>
          <w:spacing w:val="-42"/>
        </w:rPr>
      </w:r>
      <w:r>
        <w:rPr>
          <w:spacing w:val="-2"/>
        </w:rPr>
        <w:t>技术服务；软件开发；网络技术的研究、开发；百货零售（食品零售除外）；信息技术咨询服务；代售彩</w:t>
      </w:r>
      <w:r>
        <w:rPr>
          <w:spacing w:val="-35"/>
        </w:rPr>
        <w:t> </w:t>
      </w:r>
      <w:r>
        <w:rPr>
          <w:spacing w:val="-35"/>
        </w:rPr>
      </w:r>
      <w:r>
        <w:rPr>
          <w:spacing w:val="-2"/>
        </w:rPr>
        <w:t>票：福利彩票、体育彩票；企业管理咨询服务；企业形象策划服务；公共关系服务；策划创意服务；市场</w:t>
      </w:r>
      <w:r>
        <w:rPr>
          <w:spacing w:val="-42"/>
        </w:rPr>
        <w:t> </w:t>
      </w:r>
      <w:r>
        <w:rPr>
          <w:spacing w:val="-42"/>
        </w:rPr>
      </w:r>
      <w:r>
        <w:rPr>
          <w:spacing w:val="-2"/>
        </w:rPr>
        <w:t>调研服务；投资咨询服务；市场营销策划服务；社会福利事业信息咨询服务；仓储咨询服务；增值电信服</w:t>
      </w:r>
      <w:r>
        <w:rPr>
          <w:spacing w:val="-42"/>
        </w:rPr>
        <w:t> </w:t>
      </w:r>
      <w:r>
        <w:rPr>
          <w:spacing w:val="-42"/>
        </w:rPr>
      </w:r>
      <w:r>
        <w:rPr>
          <w:spacing w:val="-2"/>
        </w:rPr>
        <w:t>务（业务种类以《增值电信业务经营许可证》载明内容为准）；跨地区增值电信服务（业务种类以《增值</w:t>
      </w:r>
      <w:r>
        <w:rPr>
          <w:spacing w:val="-41"/>
        </w:rPr>
        <w:t> </w:t>
      </w:r>
      <w:r>
        <w:rPr>
          <w:spacing w:val="-41"/>
        </w:rPr>
      </w:r>
      <w:r>
        <w:rPr/>
        <w:t>电信业务经营许可证》载明内容为准）。</w:t>
      </w:r>
    </w:p>
    <w:p>
      <w:pPr>
        <w:pStyle w:val="BodyText"/>
        <w:spacing w:line="256" w:lineRule="auto" w:before="12"/>
        <w:ind w:left="575" w:right="0"/>
        <w:jc w:val="left"/>
      </w:pPr>
      <w:r>
        <w:rPr/>
        <w:t>广州彩创报告期末的资产总额</w:t>
      </w:r>
      <w:r>
        <w:rPr>
          <w:rFonts w:ascii="Times New Roman" w:hAnsi="Times New Roman" w:cs="Times New Roman" w:eastAsia="Times New Roman" w:hint="default"/>
        </w:rPr>
        <w:t>54,508,734.96</w:t>
      </w:r>
      <w:r>
        <w:rPr/>
        <w:t>元，实现净利润</w:t>
      </w:r>
      <w:r>
        <w:rPr>
          <w:rFonts w:ascii="Times New Roman" w:hAnsi="Times New Roman" w:cs="Times New Roman" w:eastAsia="Times New Roman" w:hint="default"/>
        </w:rPr>
        <w:t>-1,758,557.34</w:t>
      </w:r>
      <w:r>
        <w:rPr/>
        <w:t>元。</w:t>
      </w:r>
      <w:r>
        <w:rPr>
          <w:w w:val="100"/>
        </w:rPr>
        <w:t> </w:t>
      </w:r>
      <w:r>
        <w:rPr>
          <w:rFonts w:ascii="Times New Roman" w:hAnsi="Times New Roman" w:cs="Times New Roman" w:eastAsia="Times New Roman" w:hint="default"/>
        </w:rPr>
        <w:t>4.</w:t>
      </w:r>
      <w:r>
        <w:rPr/>
        <w:t>鸿博昊天科技有限公司：</w:t>
      </w:r>
      <w:r>
        <w:rPr>
          <w:spacing w:val="-102"/>
        </w:rPr>
        <w:t> </w:t>
      </w:r>
      <w:r>
        <w:rPr>
          <w:spacing w:val="-102"/>
        </w:rPr>
      </w:r>
      <w:r>
        <w:rPr>
          <w:spacing w:val="-2"/>
        </w:rPr>
        <w:t>公司成立于</w:t>
      </w:r>
      <w:r>
        <w:rPr>
          <w:rFonts w:ascii="Times New Roman" w:hAnsi="Times New Roman" w:cs="Times New Roman" w:eastAsia="Times New Roman" w:hint="default"/>
          <w:spacing w:val="-2"/>
        </w:rPr>
        <w:t>2010</w:t>
      </w:r>
      <w:r>
        <w:rPr>
          <w:spacing w:val="-2"/>
        </w:rPr>
        <w:t>年，注册资本</w:t>
      </w:r>
      <w:r>
        <w:rPr>
          <w:rFonts w:ascii="Times New Roman" w:hAnsi="Times New Roman" w:cs="Times New Roman" w:eastAsia="Times New Roman" w:hint="default"/>
          <w:spacing w:val="-2"/>
        </w:rPr>
        <w:t>29,500</w:t>
      </w:r>
      <w:r>
        <w:rPr>
          <w:spacing w:val="-2"/>
        </w:rPr>
        <w:t>万元，公司持股</w:t>
      </w:r>
      <w:r>
        <w:rPr>
          <w:rFonts w:ascii="Times New Roman" w:hAnsi="Times New Roman" w:cs="Times New Roman" w:eastAsia="Times New Roman" w:hint="default"/>
          <w:spacing w:val="-2"/>
        </w:rPr>
        <w:t>100%</w:t>
      </w:r>
      <w:r>
        <w:rPr>
          <w:spacing w:val="-2"/>
        </w:rPr>
        <w:t>，法定代表人：尤友鸾，注册地址：北京市</w:t>
      </w:r>
    </w:p>
    <w:p>
      <w:pPr>
        <w:pStyle w:val="BodyText"/>
        <w:spacing w:line="264" w:lineRule="auto" w:before="5"/>
        <w:ind w:right="202"/>
        <w:jc w:val="both"/>
      </w:pPr>
      <w:r>
        <w:rPr/>
        <w:t>北京经济技术开发区地盛南街</w:t>
      </w:r>
      <w:r>
        <w:rPr>
          <w:rFonts w:ascii="Times New Roman" w:hAnsi="Times New Roman" w:cs="Times New Roman" w:eastAsia="Times New Roman" w:hint="default"/>
        </w:rPr>
        <w:t>1</w:t>
      </w:r>
      <w:r>
        <w:rPr/>
        <w:t>号</w:t>
      </w:r>
      <w:r>
        <w:rPr>
          <w:rFonts w:ascii="Times New Roman" w:hAnsi="Times New Roman" w:cs="Times New Roman" w:eastAsia="Times New Roman" w:hint="default"/>
        </w:rPr>
        <w:t>1</w:t>
      </w:r>
      <w:r>
        <w:rPr/>
        <w:t>幢</w:t>
      </w:r>
      <w:r>
        <w:rPr>
          <w:rFonts w:ascii="Times New Roman" w:hAnsi="Times New Roman" w:cs="Times New Roman" w:eastAsia="Times New Roman" w:hint="default"/>
        </w:rPr>
        <w:t>501</w:t>
      </w:r>
      <w:r>
        <w:rPr/>
        <w:t>室，主要经营项目：出版物印刷、包装装潢印刷品印刷、其他印</w:t>
      </w:r>
      <w:r>
        <w:rPr>
          <w:spacing w:val="-32"/>
        </w:rPr>
        <w:t> </w:t>
      </w:r>
      <w:r>
        <w:rPr>
          <w:spacing w:val="-32"/>
        </w:rPr>
      </w:r>
      <w:r>
        <w:rPr>
          <w:spacing w:val="-2"/>
        </w:rPr>
        <w:t>刷品印刷、排版、装订、制版；计算机软件系统、电子商务平台、互联网、电子产品的技术开发；销售计</w:t>
      </w:r>
      <w:r>
        <w:rPr>
          <w:spacing w:val="-42"/>
        </w:rPr>
        <w:t> </w:t>
      </w:r>
      <w:r>
        <w:rPr>
          <w:spacing w:val="-42"/>
        </w:rPr>
      </w:r>
      <w:r>
        <w:rPr>
          <w:spacing w:val="-2"/>
        </w:rPr>
        <w:t>算机软件、工艺品（不含文物）、文化用品（需行政许可项目除外）、机械设备（小汽车除外）；设备维</w:t>
      </w:r>
    </w:p>
    <w:p>
      <w:pPr>
        <w:spacing w:after="0" w:line="264" w:lineRule="auto"/>
        <w:jc w:val="both"/>
        <w:sectPr>
          <w:pgSz w:w="11900" w:h="16840"/>
          <w:pgMar w:header="742" w:footer="984" w:top="1060" w:bottom="1180" w:left="980" w:right="920"/>
        </w:sectPr>
      </w:pPr>
    </w:p>
    <w:p>
      <w:pPr>
        <w:spacing w:line="240" w:lineRule="auto" w:before="12"/>
        <w:rPr>
          <w:rFonts w:ascii="宋体" w:hAnsi="宋体" w:cs="宋体" w:eastAsia="宋体" w:hint="default"/>
          <w:sz w:val="24"/>
          <w:szCs w:val="24"/>
        </w:rPr>
      </w:pPr>
    </w:p>
    <w:p>
      <w:pPr>
        <w:pStyle w:val="BodyText"/>
        <w:spacing w:line="261" w:lineRule="auto" w:before="36"/>
        <w:ind w:left="575" w:right="222" w:hanging="423"/>
        <w:jc w:val="left"/>
      </w:pPr>
      <w:r>
        <w:rPr/>
        <w:t>修（需行政许可项目除外）；货物进出口、技术进出口、代理进出口。</w:t>
      </w:r>
      <w:r>
        <w:rPr>
          <w:w w:val="100"/>
        </w:rPr>
        <w:t> </w:t>
      </w:r>
      <w:r>
        <w:rPr/>
        <w:t>鸿博昊天报告期末的资产总额</w:t>
      </w:r>
      <w:r>
        <w:rPr>
          <w:rFonts w:ascii="Times New Roman" w:hAnsi="Times New Roman" w:cs="Times New Roman" w:eastAsia="Times New Roman" w:hint="default"/>
        </w:rPr>
        <w:t>456,689,098.08</w:t>
      </w:r>
      <w:r>
        <w:rPr/>
        <w:t>元，报告期实现净利润</w:t>
      </w:r>
      <w:r>
        <w:rPr>
          <w:rFonts w:ascii="Times New Roman" w:hAnsi="Times New Roman" w:cs="Times New Roman" w:eastAsia="Times New Roman" w:hint="default"/>
        </w:rPr>
        <w:t>-18,903,389.40</w:t>
      </w:r>
      <w:r>
        <w:rPr/>
        <w:t>元。</w:t>
      </w:r>
      <w:r>
        <w:rPr>
          <w:w w:val="100"/>
        </w:rPr>
        <w:t> </w:t>
      </w:r>
      <w:r>
        <w:rPr>
          <w:rFonts w:ascii="Times New Roman" w:hAnsi="Times New Roman" w:cs="Times New Roman" w:eastAsia="Times New Roman" w:hint="default"/>
        </w:rPr>
        <w:t>5.</w:t>
      </w:r>
      <w:r>
        <w:rPr/>
        <w:t>鸿博（福建）数据网络科技股份有限公司</w:t>
      </w:r>
      <w:r>
        <w:rPr>
          <w:w w:val="100"/>
        </w:rPr>
        <w:t> </w:t>
      </w:r>
      <w:r>
        <w:rPr/>
        <w:t>公司成立于</w:t>
      </w:r>
      <w:r>
        <w:rPr>
          <w:rFonts w:ascii="Times New Roman" w:hAnsi="Times New Roman" w:cs="Times New Roman" w:eastAsia="Times New Roman" w:hint="default"/>
        </w:rPr>
        <w:t>2010</w:t>
      </w:r>
      <w:r>
        <w:rPr/>
        <w:t>年，注册资本</w:t>
      </w:r>
      <w:r>
        <w:rPr>
          <w:rFonts w:ascii="Times New Roman" w:hAnsi="Times New Roman" w:cs="Times New Roman" w:eastAsia="Times New Roman" w:hint="default"/>
        </w:rPr>
        <w:t>1,000</w:t>
      </w:r>
      <w:r>
        <w:rPr/>
        <w:t>万元，公司持股</w:t>
      </w:r>
      <w:r>
        <w:rPr>
          <w:rFonts w:ascii="Times New Roman" w:hAnsi="Times New Roman" w:cs="Times New Roman" w:eastAsia="Times New Roman" w:hint="default"/>
        </w:rPr>
        <w:t>99%</w:t>
      </w:r>
      <w:r>
        <w:rPr/>
        <w:t>，港龙贸易持股</w:t>
      </w:r>
      <w:r>
        <w:rPr>
          <w:rFonts w:ascii="Times New Roman" w:hAnsi="Times New Roman" w:cs="Times New Roman" w:eastAsia="Times New Roman" w:hint="default"/>
        </w:rPr>
        <w:t>1%</w:t>
      </w:r>
      <w:r>
        <w:rPr/>
        <w:t>，法定代表人：章万俊，</w:t>
      </w:r>
    </w:p>
    <w:p>
      <w:pPr>
        <w:pStyle w:val="BodyText"/>
        <w:spacing w:line="271" w:lineRule="auto"/>
        <w:ind w:right="109"/>
        <w:jc w:val="left"/>
      </w:pPr>
      <w:r>
        <w:rPr>
          <w:spacing w:val="-3"/>
        </w:rPr>
        <w:t>注册地址：福州市鼓楼区铜盘路软件大道</w:t>
      </w:r>
      <w:r>
        <w:rPr>
          <w:rFonts w:ascii="Times New Roman" w:hAnsi="Times New Roman" w:cs="Times New Roman" w:eastAsia="Times New Roman" w:hint="default"/>
          <w:spacing w:val="-3"/>
        </w:rPr>
        <w:t>89</w:t>
      </w:r>
      <w:r>
        <w:rPr>
          <w:spacing w:val="-3"/>
        </w:rPr>
        <w:t>号福州软件园</w:t>
      </w:r>
      <w:r>
        <w:rPr>
          <w:rFonts w:ascii="Times New Roman" w:hAnsi="Times New Roman" w:cs="Times New Roman" w:eastAsia="Times New Roman" w:hint="default"/>
          <w:spacing w:val="-3"/>
        </w:rPr>
        <w:t>D</w:t>
      </w:r>
      <w:r>
        <w:rPr>
          <w:spacing w:val="-3"/>
        </w:rPr>
        <w:t>区</w:t>
      </w:r>
      <w:r>
        <w:rPr>
          <w:rFonts w:ascii="Times New Roman" w:hAnsi="Times New Roman" w:cs="Times New Roman" w:eastAsia="Times New Roman" w:hint="default"/>
          <w:spacing w:val="-3"/>
        </w:rPr>
        <w:t>21</w:t>
      </w:r>
      <w:r>
        <w:rPr>
          <w:spacing w:val="-3"/>
        </w:rPr>
        <w:t>号楼，主要经营项目：数据网络技术开发；</w:t>
      </w:r>
      <w:r>
        <w:rPr>
          <w:spacing w:val="-32"/>
        </w:rPr>
        <w:t> </w:t>
      </w:r>
      <w:r>
        <w:rPr>
          <w:spacing w:val="-32"/>
        </w:rPr>
      </w:r>
      <w:r>
        <w:rPr/>
        <w:t>物联网技术开发；智能化网络系统集成的开发、设计与施工；软件开发与销售；节能产品、磁卡、IC卡、</w:t>
      </w:r>
      <w:r>
        <w:rPr>
          <w:w w:val="100"/>
        </w:rPr>
        <w:t> </w:t>
      </w:r>
      <w:r>
        <w:rPr>
          <w:spacing w:val="-2"/>
        </w:rPr>
        <w:t>电子元器件与电子产品的开发、销售及售后服务；动漫产品的设计、策划；自营和代理各类商品和技术的</w:t>
      </w:r>
      <w:r>
        <w:rPr>
          <w:spacing w:val="-35"/>
        </w:rPr>
        <w:t> </w:t>
      </w:r>
      <w:r>
        <w:rPr>
          <w:spacing w:val="-35"/>
        </w:rPr>
      </w:r>
      <w:r>
        <w:rPr>
          <w:spacing w:val="-2"/>
        </w:rPr>
        <w:t>进出口，但国家限定公司经营或禁止进出口的商品和技术除外；仓储（不含危险品）。第二类增值电信业</w:t>
      </w:r>
      <w:r>
        <w:rPr>
          <w:spacing w:val="-40"/>
        </w:rPr>
        <w:t> </w:t>
      </w:r>
      <w:r>
        <w:rPr>
          <w:spacing w:val="-40"/>
        </w:rPr>
      </w:r>
      <w:r>
        <w:rPr>
          <w:spacing w:val="-2"/>
        </w:rPr>
        <w:t>务中的信息服务业务（不含固定网电话信息服务和互联网信息服务）；电视剧、电视专题、电视综艺、动</w:t>
      </w:r>
      <w:r>
        <w:rPr>
          <w:spacing w:val="-40"/>
        </w:rPr>
        <w:t> </w:t>
      </w:r>
      <w:r>
        <w:rPr>
          <w:spacing w:val="-40"/>
        </w:rPr>
      </w:r>
      <w:r>
        <w:rPr>
          <w:spacing w:val="-2"/>
        </w:rPr>
        <w:t>画故事节目的制作、发行；代售福利彩票、体育彩票。（依法须经批准的项目，经相关部门批准后方可开</w:t>
      </w:r>
      <w:r>
        <w:rPr>
          <w:spacing w:val="-36"/>
        </w:rPr>
        <w:t> </w:t>
      </w:r>
      <w:r>
        <w:rPr>
          <w:spacing w:val="-36"/>
        </w:rPr>
      </w:r>
      <w:r>
        <w:rPr/>
        <w:t>展经营活动）</w:t>
      </w:r>
    </w:p>
    <w:p>
      <w:pPr>
        <w:spacing w:line="240" w:lineRule="auto" w:before="9"/>
        <w:rPr>
          <w:rFonts w:ascii="宋体" w:hAnsi="宋体" w:cs="宋体" w:eastAsia="宋体" w:hint="default"/>
          <w:sz w:val="15"/>
          <w:szCs w:val="15"/>
        </w:rPr>
      </w:pPr>
    </w:p>
    <w:p>
      <w:pPr>
        <w:pStyle w:val="Heading2"/>
        <w:spacing w:line="240" w:lineRule="auto"/>
        <w:ind w:right="109"/>
        <w:jc w:val="left"/>
        <w:rPr>
          <w:b w:val="0"/>
          <w:bCs w:val="0"/>
        </w:rPr>
      </w:pPr>
      <w:r>
        <w:rPr/>
        <w:t>八、公司控制的结构化主体情况</w:t>
      </w:r>
      <w:r>
        <w:rPr>
          <w:b w:val="0"/>
          <w:bCs w:val="0"/>
        </w:rPr>
      </w:r>
    </w:p>
    <w:p>
      <w:pPr>
        <w:spacing w:line="240" w:lineRule="auto" w:before="15"/>
        <w:rPr>
          <w:rFonts w:ascii="Microsoft JhengHei" w:hAnsi="Microsoft JhengHei" w:cs="Microsoft JhengHei" w:eastAsia="Microsoft JhengHei" w:hint="default"/>
          <w:b/>
          <w:bCs/>
          <w:sz w:val="18"/>
          <w:szCs w:val="18"/>
        </w:rPr>
      </w:pPr>
    </w:p>
    <w:p>
      <w:pPr>
        <w:spacing w:before="0"/>
        <w:ind w:left="152" w:right="10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line="240" w:lineRule="auto" w:before="6"/>
        <w:rPr>
          <w:rFonts w:ascii="宋体" w:hAnsi="宋体" w:cs="宋体" w:eastAsia="宋体" w:hint="default"/>
          <w:sz w:val="17"/>
          <w:szCs w:val="17"/>
        </w:rPr>
      </w:pPr>
    </w:p>
    <w:p>
      <w:pPr>
        <w:pStyle w:val="Heading2"/>
        <w:spacing w:line="240" w:lineRule="auto"/>
        <w:ind w:right="109"/>
        <w:jc w:val="left"/>
        <w:rPr>
          <w:b w:val="0"/>
          <w:bCs w:val="0"/>
        </w:rPr>
      </w:pPr>
      <w:r>
        <w:rPr/>
        <w:t>九、公司未来发展的展望</w:t>
      </w:r>
      <w:r>
        <w:rPr>
          <w:b w:val="0"/>
          <w:bCs w:val="0"/>
        </w:rPr>
      </w:r>
    </w:p>
    <w:p>
      <w:pPr>
        <w:spacing w:line="240" w:lineRule="auto" w:before="7"/>
        <w:rPr>
          <w:rFonts w:ascii="Microsoft JhengHei" w:hAnsi="Microsoft JhengHei" w:cs="Microsoft JhengHei" w:eastAsia="Microsoft JhengHei" w:hint="default"/>
          <w:b/>
          <w:bCs/>
          <w:sz w:val="17"/>
          <w:szCs w:val="17"/>
        </w:rPr>
      </w:pPr>
    </w:p>
    <w:p>
      <w:pPr>
        <w:pStyle w:val="BodyText"/>
        <w:spacing w:line="240" w:lineRule="auto"/>
        <w:ind w:left="575" w:right="109"/>
        <w:jc w:val="left"/>
      </w:pPr>
      <w:r>
        <w:rPr/>
        <w:t>（一）行业竞争格局和发展趋势：</w:t>
      </w:r>
    </w:p>
    <w:p>
      <w:pPr>
        <w:pStyle w:val="BodyText"/>
        <w:spacing w:line="240" w:lineRule="auto" w:before="37"/>
        <w:ind w:left="575" w:right="109"/>
        <w:jc w:val="left"/>
      </w:pPr>
      <w:r>
        <w:rPr>
          <w:rFonts w:ascii="Times New Roman" w:hAnsi="Times New Roman" w:cs="Times New Roman" w:eastAsia="Times New Roman" w:hint="default"/>
        </w:rPr>
        <w:t>1</w:t>
      </w:r>
      <w:r>
        <w:rPr/>
        <w:t>、行业竞争格局</w:t>
      </w:r>
    </w:p>
    <w:p>
      <w:pPr>
        <w:pStyle w:val="BodyText"/>
        <w:spacing w:line="266" w:lineRule="auto" w:before="21"/>
        <w:ind w:right="202" w:firstLine="422"/>
        <w:jc w:val="both"/>
      </w:pPr>
      <w:r>
        <w:rPr>
          <w:spacing w:val="-4"/>
        </w:rPr>
        <w:t>（</w:t>
      </w:r>
      <w:r>
        <w:rPr>
          <w:rFonts w:ascii="Times New Roman" w:hAnsi="Times New Roman" w:cs="Times New Roman" w:eastAsia="Times New Roman" w:hint="default"/>
          <w:spacing w:val="-4"/>
        </w:rPr>
        <w:t>1</w:t>
      </w:r>
      <w:r>
        <w:rPr>
          <w:spacing w:val="-4"/>
        </w:rPr>
        <w:t>）票据票证印刷行业</w:t>
      </w:r>
      <w:r>
        <w:rPr>
          <w:spacing w:val="10"/>
        </w:rPr>
        <w:t> </w:t>
      </w:r>
      <w:r>
        <w:rPr>
          <w:spacing w:val="-3"/>
        </w:rPr>
        <w:t>普通票据票证印刷产能过剩，市场竞争激烈，企业之间主要依靠价格优势赢</w:t>
      </w:r>
      <w:r>
        <w:rPr>
          <w:w w:val="100"/>
        </w:rPr>
        <w:t> </w:t>
      </w:r>
      <w:r>
        <w:rPr>
          <w:spacing w:val="-2"/>
        </w:rPr>
        <w:t>得市场。高档防伪票证工艺复杂，技术要求高，投资大，有较高的市场进入壁垒，但目前市场较为饱和，</w:t>
      </w:r>
      <w:r>
        <w:rPr>
          <w:spacing w:val="-17"/>
        </w:rPr>
        <w:t> </w:t>
      </w:r>
      <w:r>
        <w:rPr>
          <w:spacing w:val="-17"/>
        </w:rPr>
      </w:r>
      <w:r>
        <w:rPr>
          <w:spacing w:val="-2"/>
        </w:rPr>
        <w:t>市场竞争仍然激烈。企业竞争由质量、技术、价格逐步转向引导客户需求的变化，如通过对传统票证进行</w:t>
      </w:r>
      <w:r>
        <w:rPr>
          <w:spacing w:val="-35"/>
        </w:rPr>
        <w:t> </w:t>
      </w:r>
      <w:r>
        <w:rPr>
          <w:spacing w:val="-35"/>
        </w:rPr>
      </w:r>
      <w:r>
        <w:rPr/>
        <w:t>技术升级，证件、票据加载电子标签，进而证件替换成卡片等等。</w:t>
      </w:r>
    </w:p>
    <w:p>
      <w:pPr>
        <w:pStyle w:val="BodyText"/>
        <w:spacing w:line="268" w:lineRule="auto" w:before="14"/>
        <w:ind w:right="202" w:firstLine="422"/>
        <w:jc w:val="both"/>
      </w:pPr>
      <w:r>
        <w:rPr>
          <w:spacing w:val="-5"/>
        </w:rPr>
        <w:t>（</w:t>
      </w:r>
      <w:r>
        <w:rPr>
          <w:rFonts w:ascii="Times New Roman" w:hAnsi="Times New Roman" w:cs="Times New Roman" w:eastAsia="Times New Roman" w:hint="default"/>
          <w:spacing w:val="-5"/>
        </w:rPr>
        <w:t>2</w:t>
      </w:r>
      <w:r>
        <w:rPr>
          <w:spacing w:val="-5"/>
        </w:rPr>
        <w:t>）智能</w:t>
      </w:r>
      <w:r>
        <w:rPr>
          <w:rFonts w:ascii="Times New Roman" w:hAnsi="Times New Roman" w:cs="Times New Roman" w:eastAsia="Times New Roman" w:hint="default"/>
          <w:spacing w:val="-5"/>
        </w:rPr>
        <w:t>IC</w:t>
      </w:r>
      <w:r>
        <w:rPr>
          <w:spacing w:val="-5"/>
        </w:rPr>
        <w:t>卡及电子标签</w:t>
      </w:r>
      <w:r>
        <w:rPr>
          <w:spacing w:val="28"/>
        </w:rPr>
        <w:t> </w:t>
      </w:r>
      <w:r>
        <w:rPr>
          <w:spacing w:val="-3"/>
        </w:rPr>
        <w:t>公司产品主要涉及智能</w:t>
      </w:r>
      <w:r>
        <w:rPr>
          <w:rFonts w:ascii="Times New Roman" w:hAnsi="Times New Roman" w:cs="Times New Roman" w:eastAsia="Times New Roman" w:hint="default"/>
          <w:spacing w:val="-3"/>
        </w:rPr>
        <w:t>IC</w:t>
      </w:r>
      <w:r>
        <w:rPr>
          <w:spacing w:val="-3"/>
        </w:rPr>
        <w:t>卡、电子标签的封装和测试以及配套系统的研发</w:t>
      </w:r>
      <w:r>
        <w:rPr>
          <w:w w:val="100"/>
        </w:rPr>
        <w:t> </w:t>
      </w:r>
      <w:r>
        <w:rPr>
          <w:spacing w:val="-2"/>
        </w:rPr>
        <w:t>与技术服务，处于该产业链下游。随着推芯片技术在各个领域的广泛运用以及国家政策的鼓励和推动，各</w:t>
      </w:r>
      <w:r>
        <w:rPr>
          <w:spacing w:val="-35"/>
        </w:rPr>
        <w:t> </w:t>
      </w:r>
      <w:r>
        <w:rPr>
          <w:spacing w:val="-35"/>
        </w:rPr>
      </w:r>
      <w:r>
        <w:rPr>
          <w:spacing w:val="-2"/>
        </w:rPr>
        <w:t>类芯片卡的需求逐步扩大，同时银行卡、社保卡等产品更新换代速度也在加快，行业规模进一步扩大。技</w:t>
      </w:r>
      <w:r>
        <w:rPr>
          <w:spacing w:val="-37"/>
        </w:rPr>
        <w:t> </w:t>
      </w:r>
      <w:r>
        <w:rPr>
          <w:spacing w:val="-37"/>
        </w:rPr>
      </w:r>
      <w:r>
        <w:rPr>
          <w:spacing w:val="-2"/>
        </w:rPr>
        <w:t>术门槛的降低使得进入企业越来越多，行业竞争加剧，客户需求由单一的卡片印制和封装需求逐渐提升为</w:t>
      </w:r>
      <w:r>
        <w:rPr>
          <w:spacing w:val="-35"/>
        </w:rPr>
        <w:t> </w:t>
      </w:r>
      <w:r>
        <w:rPr>
          <w:spacing w:val="-35"/>
        </w:rPr>
      </w:r>
      <w:r>
        <w:rPr>
          <w:spacing w:val="-2"/>
        </w:rPr>
        <w:t>对整体解决方案的需求，行业竞争焦点逐步从技术质量和价格扩展到卡片操作系统平台开发和技术服务。</w:t>
      </w:r>
    </w:p>
    <w:p>
      <w:pPr>
        <w:pStyle w:val="BodyText"/>
        <w:spacing w:line="266" w:lineRule="auto" w:before="12"/>
        <w:ind w:right="202" w:firstLine="422"/>
        <w:jc w:val="both"/>
      </w:pPr>
      <w:r>
        <w:rPr/>
        <w:t>（</w:t>
      </w:r>
      <w:r>
        <w:rPr>
          <w:rFonts w:ascii="Times New Roman" w:hAnsi="Times New Roman" w:cs="Times New Roman" w:eastAsia="Times New Roman" w:hint="default"/>
        </w:rPr>
        <w:t>3</w:t>
      </w:r>
      <w:r>
        <w:rPr/>
        <w:t>）电子彩票与彩种研发</w:t>
      </w:r>
      <w:r>
        <w:rPr>
          <w:spacing w:val="-24"/>
        </w:rPr>
        <w:t> </w:t>
      </w:r>
      <w:r>
        <w:rPr/>
        <w:t>电子彩票是使用网络和手机终端软件系统进行销售的彩票。电子彩票销售</w:t>
      </w:r>
      <w:r>
        <w:rPr>
          <w:w w:val="100"/>
        </w:rPr>
        <w:t> </w:t>
      </w:r>
      <w:r>
        <w:rPr>
          <w:spacing w:val="-2"/>
        </w:rPr>
        <w:t>目前处于暂停状态，重启时间尚不确定，但代购网站流量和服务质量是企业竞争的焦点。彩种研发方面，</w:t>
      </w:r>
      <w:r>
        <w:rPr>
          <w:spacing w:val="-16"/>
        </w:rPr>
        <w:t> </w:t>
      </w:r>
      <w:r>
        <w:rPr>
          <w:spacing w:val="-16"/>
        </w:rPr>
      </w:r>
      <w:r>
        <w:rPr>
          <w:spacing w:val="-2"/>
        </w:rPr>
        <w:t>由于彩种研发涉及玩法设计、概率推算等多个方面，目前市场上流行的彩种大多数由国外引进，国内有成</w:t>
      </w:r>
      <w:r>
        <w:rPr>
          <w:spacing w:val="-35"/>
        </w:rPr>
        <w:t> </w:t>
      </w:r>
      <w:r>
        <w:rPr>
          <w:spacing w:val="-35"/>
        </w:rPr>
      </w:r>
      <w:r>
        <w:rPr/>
        <w:t>熟彩种研发能力的企业较少，市场较为集中。</w:t>
      </w:r>
    </w:p>
    <w:p>
      <w:pPr>
        <w:pStyle w:val="BodyText"/>
        <w:spacing w:line="240" w:lineRule="auto" w:before="14"/>
        <w:ind w:left="575" w:right="109"/>
        <w:jc w:val="left"/>
      </w:pPr>
      <w:r>
        <w:rPr/>
        <w:t>2、未来发展趋势</w:t>
      </w:r>
    </w:p>
    <w:p>
      <w:pPr>
        <w:pStyle w:val="BodyText"/>
        <w:spacing w:line="256" w:lineRule="auto" w:before="37"/>
        <w:ind w:left="575" w:right="109"/>
        <w:jc w:val="left"/>
      </w:pPr>
      <w:r>
        <w:rPr/>
        <w:t>（</w:t>
      </w:r>
      <w:r>
        <w:rPr>
          <w:rFonts w:ascii="Times New Roman" w:hAnsi="Times New Roman" w:cs="Times New Roman" w:eastAsia="Times New Roman" w:hint="default"/>
        </w:rPr>
        <w:t>1</w:t>
      </w:r>
      <w:r>
        <w:rPr/>
        <w:t>）传统票据票证印刷品市场下滑，信息化、电子化逐步加快。</w:t>
      </w:r>
      <w:r>
        <w:rPr>
          <w:w w:val="100"/>
        </w:rPr>
        <w:t> </w:t>
      </w:r>
      <w:r>
        <w:rPr>
          <w:spacing w:val="-2"/>
        </w:rPr>
        <w:t>票据票证涉及金融、税收、邮政、通讯、海关等众多行业，市场空间大，但单产品结构单一、资本投</w:t>
      </w:r>
    </w:p>
    <w:p>
      <w:pPr>
        <w:pStyle w:val="BodyText"/>
        <w:spacing w:line="273" w:lineRule="auto" w:before="22"/>
        <w:ind w:right="222"/>
        <w:jc w:val="both"/>
      </w:pPr>
      <w:r>
        <w:rPr>
          <w:spacing w:val="-2"/>
        </w:rPr>
        <w:t>入较少、技术水平不高的票据印刷企业生存越来越艰难。随着电子信息技术的发展，票据票证也逐步走向</w:t>
      </w:r>
      <w:r>
        <w:rPr>
          <w:spacing w:val="-35"/>
        </w:rPr>
        <w:t> </w:t>
      </w:r>
      <w:r>
        <w:rPr>
          <w:spacing w:val="-35"/>
        </w:rPr>
      </w:r>
      <w:r>
        <w:rPr>
          <w:spacing w:val="-2"/>
        </w:rPr>
        <w:t>电子化，传统票据票证印刷空间进一步压缩，市场环境逐步发生变化，使企业需要具备快速反应机制和扎</w:t>
      </w:r>
      <w:r>
        <w:rPr>
          <w:spacing w:val="-36"/>
        </w:rPr>
        <w:t> </w:t>
      </w:r>
      <w:r>
        <w:rPr>
          <w:spacing w:val="-36"/>
        </w:rPr>
      </w:r>
      <w:r>
        <w:rPr/>
        <w:t>实管理机制才能适应市场环境。</w:t>
      </w:r>
    </w:p>
    <w:p>
      <w:pPr>
        <w:pStyle w:val="BodyText"/>
        <w:spacing w:line="240" w:lineRule="auto" w:before="7"/>
        <w:ind w:left="575" w:right="109"/>
        <w:jc w:val="left"/>
      </w:pPr>
      <w:r>
        <w:rPr/>
        <w:t>（</w:t>
      </w:r>
      <w:r>
        <w:rPr>
          <w:rFonts w:ascii="Times New Roman" w:hAnsi="Times New Roman" w:cs="Times New Roman" w:eastAsia="Times New Roman" w:hint="default"/>
        </w:rPr>
        <w:t>2</w:t>
      </w:r>
      <w:r>
        <w:rPr/>
        <w:t>）行业规模快速增长，各种应用交互融合。</w:t>
      </w:r>
    </w:p>
    <w:p>
      <w:pPr>
        <w:pStyle w:val="BodyText"/>
        <w:spacing w:line="256" w:lineRule="auto" w:before="21"/>
        <w:ind w:right="109" w:firstLine="422"/>
        <w:jc w:val="left"/>
      </w:pPr>
      <w:r>
        <w:rPr/>
        <w:t>智能</w:t>
      </w:r>
      <w:r>
        <w:rPr>
          <w:rFonts w:ascii="Times New Roman" w:hAnsi="Times New Roman" w:cs="Times New Roman" w:eastAsia="Times New Roman" w:hint="default"/>
        </w:rPr>
        <w:t>IC</w:t>
      </w:r>
      <w:r>
        <w:rPr/>
        <w:t>卡及电子标签</w:t>
      </w:r>
      <w:r>
        <w:rPr>
          <w:spacing w:val="10"/>
        </w:rPr>
        <w:t> </w:t>
      </w:r>
      <w:r>
        <w:rPr>
          <w:spacing w:val="-4"/>
        </w:rPr>
        <w:t>展望国内智能</w:t>
      </w:r>
      <w:r>
        <w:rPr>
          <w:rFonts w:ascii="Times New Roman" w:hAnsi="Times New Roman" w:cs="Times New Roman" w:eastAsia="Times New Roman" w:hint="default"/>
          <w:spacing w:val="-4"/>
        </w:rPr>
        <w:t>IC</w:t>
      </w:r>
      <w:r>
        <w:rPr>
          <w:spacing w:val="-4"/>
        </w:rPr>
        <w:t>卡及电子标签市场，在两化融合持续深入、信息消费不断升温、</w:t>
      </w:r>
      <w:r>
        <w:rPr>
          <w:w w:val="100"/>
        </w:rPr>
        <w:t> </w:t>
      </w:r>
      <w:r>
        <w:rPr/>
        <w:t>智慧城市建设加速等多方利好因素的共同带动下，国内</w:t>
      </w:r>
      <w:r>
        <w:rPr>
          <w:rFonts w:ascii="Times New Roman" w:hAnsi="Times New Roman" w:cs="Times New Roman" w:eastAsia="Times New Roman" w:hint="default"/>
        </w:rPr>
        <w:t>IC</w:t>
      </w:r>
      <w:r>
        <w:rPr/>
        <w:t>卡市场规模将进一步扩大。同时城市一卡通、市</w:t>
      </w:r>
      <w:r>
        <w:rPr>
          <w:w w:val="100"/>
        </w:rPr>
        <w:t> </w:t>
      </w:r>
      <w:r>
        <w:rPr/>
        <w:t>民卡、金融</w:t>
      </w:r>
      <w:r>
        <w:rPr>
          <w:rFonts w:ascii="Times New Roman" w:hAnsi="Times New Roman" w:cs="Times New Roman" w:eastAsia="Times New Roman" w:hint="default"/>
        </w:rPr>
        <w:t>IC</w:t>
      </w:r>
      <w:r>
        <w:rPr/>
        <w:t>卡、社保卡、健康卡、居住证及其它社会领域的应用卡，开始出现应用相互融合的趋势，对</w:t>
      </w:r>
      <w:r>
        <w:rPr>
          <w:w w:val="100"/>
        </w:rPr>
        <w:t> </w:t>
      </w:r>
      <w:r>
        <w:rPr/>
        <w:t>企业的系统开发和应用开发能力要求越来越高。</w:t>
      </w:r>
    </w:p>
    <w:p>
      <w:pPr>
        <w:spacing w:after="0" w:line="256" w:lineRule="auto"/>
        <w:jc w:val="left"/>
        <w:sectPr>
          <w:pgSz w:w="11900" w:h="16840"/>
          <w:pgMar w:header="742" w:footer="984" w:top="1060" w:bottom="1180" w:left="980" w:right="900"/>
        </w:sectPr>
      </w:pPr>
    </w:p>
    <w:p>
      <w:pPr>
        <w:spacing w:line="240" w:lineRule="auto" w:before="12"/>
        <w:rPr>
          <w:rFonts w:ascii="宋体" w:hAnsi="宋体" w:cs="宋体" w:eastAsia="宋体" w:hint="default"/>
          <w:sz w:val="24"/>
          <w:szCs w:val="24"/>
        </w:rPr>
      </w:pPr>
    </w:p>
    <w:p>
      <w:pPr>
        <w:pStyle w:val="BodyText"/>
        <w:spacing w:line="240" w:lineRule="auto" w:before="36"/>
        <w:ind w:left="575" w:right="109"/>
        <w:jc w:val="left"/>
      </w:pPr>
      <w:r>
        <w:rPr/>
        <w:t>（</w:t>
      </w:r>
      <w:r>
        <w:rPr>
          <w:rFonts w:ascii="Times New Roman" w:hAnsi="Times New Roman" w:cs="Times New Roman" w:eastAsia="Times New Roman" w:hint="default"/>
        </w:rPr>
        <w:t>3</w:t>
      </w:r>
      <w:r>
        <w:rPr/>
        <w:t>）彩票行业增速受挫，不改</w:t>
      </w:r>
      <w:r>
        <w:rPr>
          <w:rFonts w:ascii="Times New Roman" w:hAnsi="Times New Roman" w:cs="Times New Roman" w:eastAsia="Times New Roman" w:hint="default"/>
        </w:rPr>
        <w:t>“</w:t>
      </w:r>
      <w:r>
        <w:rPr/>
        <w:t>互联网化</w:t>
      </w:r>
      <w:r>
        <w:rPr>
          <w:rFonts w:ascii="Times New Roman" w:hAnsi="Times New Roman" w:cs="Times New Roman" w:eastAsia="Times New Roman" w:hint="default"/>
        </w:rPr>
        <w:t>”</w:t>
      </w:r>
      <w:r>
        <w:rPr/>
        <w:t>的本质。</w:t>
      </w:r>
    </w:p>
    <w:p>
      <w:pPr>
        <w:pStyle w:val="BodyText"/>
        <w:spacing w:line="261" w:lineRule="auto" w:before="21"/>
        <w:ind w:right="222" w:firstLine="422"/>
        <w:jc w:val="both"/>
      </w:pPr>
      <w:r>
        <w:rPr/>
        <w:t>电子彩票与彩种研发</w:t>
      </w:r>
      <w:r>
        <w:rPr>
          <w:spacing w:val="39"/>
        </w:rPr>
        <w:t> </w:t>
      </w:r>
      <w:r>
        <w:rPr>
          <w:rFonts w:ascii="Times New Roman" w:hAnsi="Times New Roman" w:cs="Times New Roman" w:eastAsia="Times New Roman" w:hint="default"/>
        </w:rPr>
        <w:t>2015</w:t>
      </w:r>
      <w:r>
        <w:rPr/>
        <w:t>年，全国彩票销售全面下滑，同比增速为</w:t>
      </w:r>
      <w:r>
        <w:rPr>
          <w:rFonts w:ascii="Times New Roman" w:hAnsi="Times New Roman" w:cs="Times New Roman" w:eastAsia="Times New Roman" w:hint="default"/>
        </w:rPr>
        <w:t>-3.8%</w:t>
      </w:r>
      <w:r>
        <w:rPr/>
        <w:t>。随着互联网及移动互联</w:t>
      </w:r>
      <w:r>
        <w:rPr>
          <w:w w:val="100"/>
        </w:rPr>
        <w:t> </w:t>
      </w:r>
      <w:r>
        <w:rPr/>
        <w:t>网的发展，电子彩票由于其固有的优势发展潜力巨大，但行业监管将日趋严。在贯彻实施国家</w:t>
      </w:r>
      <w:r>
        <w:rPr>
          <w:rFonts w:ascii="Times New Roman" w:hAnsi="Times New Roman" w:cs="Times New Roman" w:eastAsia="Times New Roman" w:hint="default"/>
        </w:rPr>
        <w:t>“</w:t>
      </w:r>
      <w:r>
        <w:rPr/>
        <w:t>互联网</w:t>
      </w:r>
      <w:r>
        <w:rPr>
          <w:rFonts w:ascii="Times New Roman" w:hAnsi="Times New Roman" w:cs="Times New Roman" w:eastAsia="Times New Roman" w:hint="default"/>
        </w:rPr>
        <w:t>+”</w:t>
      </w:r>
      <w:r>
        <w:rPr>
          <w:rFonts w:ascii="Times New Roman" w:hAnsi="Times New Roman" w:cs="Times New Roman" w:eastAsia="Times New Roman" w:hint="default"/>
          <w:w w:val="100"/>
        </w:rPr>
        <w:t> </w:t>
      </w:r>
      <w:r>
        <w:rPr>
          <w:spacing w:val="-2"/>
        </w:rPr>
        <w:t>战略的大背景下，把“互联网</w:t>
      </w:r>
      <w:r>
        <w:rPr>
          <w:rFonts w:ascii="Times New Roman" w:hAnsi="Times New Roman" w:cs="Times New Roman" w:eastAsia="Times New Roman" w:hint="default"/>
          <w:spacing w:val="-2"/>
        </w:rPr>
        <w:t>+</w:t>
      </w:r>
      <w:r>
        <w:rPr>
          <w:spacing w:val="-2"/>
        </w:rPr>
        <w:t>彩票”全面融入彩票监管与管理、销售与市场、渠道与用户等各个环节，</w:t>
      </w:r>
      <w:r>
        <w:rPr>
          <w:spacing w:val="-17"/>
        </w:rPr>
        <w:t> </w:t>
      </w:r>
      <w:r>
        <w:rPr>
          <w:spacing w:val="-17"/>
        </w:rPr>
      </w:r>
      <w:r>
        <w:rPr>
          <w:spacing w:val="-2"/>
        </w:rPr>
        <w:t>推动彩票技术系统、管理系统、传媒系统全面向互联网转移将成为未来行业发展趋势之一。彩种研发在此</w:t>
      </w:r>
      <w:r>
        <w:rPr>
          <w:spacing w:val="-35"/>
        </w:rPr>
        <w:t> </w:t>
      </w:r>
      <w:r>
        <w:rPr>
          <w:spacing w:val="-35"/>
        </w:rPr>
      </w:r>
      <w:r>
        <w:rPr/>
        <w:t>背景下，市场化程度也会逐步提高，为布局彩种研发的公司提供新的发展机遇。</w:t>
      </w:r>
    </w:p>
    <w:p>
      <w:pPr>
        <w:pStyle w:val="BodyText"/>
        <w:spacing w:line="240" w:lineRule="auto" w:before="18"/>
        <w:ind w:left="575" w:right="109"/>
        <w:jc w:val="left"/>
      </w:pPr>
      <w:r>
        <w:rPr/>
        <w:t>（二）公司发展战略</w:t>
      </w:r>
    </w:p>
    <w:p>
      <w:pPr>
        <w:pStyle w:val="BodyText"/>
        <w:spacing w:line="256" w:lineRule="auto" w:before="37"/>
        <w:ind w:left="575" w:right="109"/>
        <w:jc w:val="left"/>
      </w:pPr>
      <w:r>
        <w:rPr>
          <w:rFonts w:ascii="Times New Roman" w:hAnsi="Times New Roman" w:cs="Times New Roman" w:eastAsia="Times New Roman" w:hint="default"/>
        </w:rPr>
        <w:t>1</w:t>
      </w:r>
      <w:r>
        <w:rPr/>
        <w:t>、总体发展战略</w:t>
      </w:r>
      <w:r>
        <w:rPr>
          <w:spacing w:val="-102"/>
        </w:rPr>
        <w:t> </w:t>
      </w:r>
      <w:r>
        <w:rPr>
          <w:spacing w:val="-102"/>
        </w:rPr>
      </w:r>
      <w:r>
        <w:rPr>
          <w:spacing w:val="-2"/>
        </w:rPr>
        <w:t>从单一的票据印刷企业发展成为集高端包装、出版、智能卡、数字印刷等为一体的综合性企业；从彩</w:t>
      </w:r>
    </w:p>
    <w:p>
      <w:pPr>
        <w:pStyle w:val="BodyText"/>
        <w:spacing w:line="273" w:lineRule="auto" w:before="22"/>
        <w:ind w:right="109"/>
        <w:jc w:val="left"/>
      </w:pPr>
      <w:r>
        <w:rPr>
          <w:spacing w:val="-2"/>
        </w:rPr>
        <w:t>票印刷发展为集彩种研发、网络终端销售、技术平台构建为一体的彩票运营与服务商；以技术创新、管理</w:t>
      </w:r>
      <w:r>
        <w:rPr>
          <w:spacing w:val="-36"/>
        </w:rPr>
        <w:t> </w:t>
      </w:r>
      <w:r>
        <w:rPr>
          <w:spacing w:val="-36"/>
        </w:rPr>
      </w:r>
      <w:r>
        <w:rPr/>
        <w:t>创新、经营模式创新来提升企业核心竞争力，创建可持续发展、有社会责任的现代化综合型企业集团。</w:t>
      </w:r>
    </w:p>
    <w:p>
      <w:pPr>
        <w:pStyle w:val="BodyText"/>
        <w:spacing w:line="240" w:lineRule="auto" w:before="7"/>
        <w:ind w:left="575" w:right="109"/>
        <w:jc w:val="left"/>
      </w:pPr>
      <w:r>
        <w:rPr>
          <w:rFonts w:ascii="Times New Roman" w:hAnsi="Times New Roman" w:cs="Times New Roman" w:eastAsia="Times New Roman" w:hint="default"/>
        </w:rPr>
        <w:t>2</w:t>
      </w:r>
      <w:r>
        <w:rPr/>
        <w:t>、分业务发展战略</w:t>
      </w:r>
    </w:p>
    <w:p>
      <w:pPr>
        <w:pStyle w:val="BodyText"/>
        <w:spacing w:line="256" w:lineRule="auto" w:before="21"/>
        <w:ind w:right="109" w:firstLine="422"/>
        <w:jc w:val="left"/>
      </w:pPr>
      <w:r>
        <w:rPr>
          <w:spacing w:val="-2"/>
        </w:rPr>
        <w:t>（</w:t>
      </w:r>
      <w:r>
        <w:rPr>
          <w:rFonts w:ascii="Times New Roman" w:hAnsi="Times New Roman" w:cs="Times New Roman" w:eastAsia="Times New Roman" w:hint="default"/>
          <w:spacing w:val="-2"/>
        </w:rPr>
        <w:t>1</w:t>
      </w:r>
      <w:r>
        <w:rPr>
          <w:spacing w:val="-2"/>
        </w:rPr>
        <w:t>）拥有核心技术操作系统和应用开发能力，提升金融、通信智能卡产品在行业中的知名度，从而</w:t>
      </w:r>
      <w:r>
        <w:rPr>
          <w:w w:val="100"/>
        </w:rPr>
        <w:t> </w:t>
      </w:r>
      <w:r>
        <w:rPr/>
        <w:t>推动业务发展并占有一定的市场份额；</w:t>
      </w:r>
    </w:p>
    <w:p>
      <w:pPr>
        <w:pStyle w:val="BodyText"/>
        <w:spacing w:line="256" w:lineRule="auto" w:before="22"/>
        <w:ind w:right="109" w:firstLine="422"/>
        <w:jc w:val="left"/>
      </w:pPr>
      <w:r>
        <w:rPr>
          <w:spacing w:val="-2"/>
        </w:rPr>
        <w:t>（</w:t>
      </w:r>
      <w:r>
        <w:rPr>
          <w:rFonts w:ascii="Times New Roman" w:hAnsi="Times New Roman" w:cs="Times New Roman" w:eastAsia="Times New Roman" w:hint="default"/>
          <w:spacing w:val="-2"/>
        </w:rPr>
        <w:t>2</w:t>
      </w:r>
      <w:r>
        <w:rPr>
          <w:spacing w:val="-2"/>
        </w:rPr>
        <w:t>）以彩票印制为基础，加大彩种研发投入，重视无纸化彩票的推广和平台建设，抓住移动互联网</w:t>
      </w:r>
      <w:r>
        <w:rPr>
          <w:w w:val="100"/>
        </w:rPr>
        <w:t> </w:t>
      </w:r>
      <w:r>
        <w:rPr/>
        <w:t>发展给无纸化彩票带来的机遇；</w:t>
      </w:r>
    </w:p>
    <w:p>
      <w:pPr>
        <w:pStyle w:val="BodyText"/>
        <w:spacing w:line="256" w:lineRule="auto" w:before="22"/>
        <w:ind w:right="109" w:firstLine="422"/>
        <w:jc w:val="left"/>
      </w:pPr>
      <w:r>
        <w:rPr>
          <w:spacing w:val="-2"/>
        </w:rPr>
        <w:t>（</w:t>
      </w:r>
      <w:r>
        <w:rPr>
          <w:rFonts w:ascii="Times New Roman" w:hAnsi="Times New Roman" w:cs="Times New Roman" w:eastAsia="Times New Roman" w:hint="default"/>
          <w:spacing w:val="-2"/>
        </w:rPr>
        <w:t>3</w:t>
      </w:r>
      <w:r>
        <w:rPr>
          <w:spacing w:val="-2"/>
        </w:rPr>
        <w:t>）稳定目前核心业务，优化产品结构，积极推广智能包装和智能票证应用，创建细分领域智能产</w:t>
      </w:r>
      <w:r>
        <w:rPr>
          <w:w w:val="100"/>
        </w:rPr>
        <w:t> </w:t>
      </w:r>
      <w:r>
        <w:rPr/>
        <w:t>品公共服务平台，有计划地投入和培育市场应用环境；</w:t>
      </w:r>
    </w:p>
    <w:p>
      <w:pPr>
        <w:pStyle w:val="BodyText"/>
        <w:spacing w:line="256" w:lineRule="auto" w:before="22"/>
        <w:ind w:right="109" w:firstLine="422"/>
        <w:jc w:val="left"/>
      </w:pPr>
      <w:r>
        <w:rPr>
          <w:spacing w:val="-2"/>
        </w:rPr>
        <w:t>（</w:t>
      </w:r>
      <w:r>
        <w:rPr>
          <w:rFonts w:ascii="Times New Roman" w:hAnsi="Times New Roman" w:cs="Times New Roman" w:eastAsia="Times New Roman" w:hint="default"/>
          <w:spacing w:val="-2"/>
        </w:rPr>
        <w:t>4</w:t>
      </w:r>
      <w:r>
        <w:rPr>
          <w:spacing w:val="-2"/>
        </w:rPr>
        <w:t>）进一步优化资产结构，充分运用资本市场平台优势，不断创新和加大研发投入，创建有社会责</w:t>
      </w:r>
      <w:r>
        <w:rPr>
          <w:w w:val="100"/>
        </w:rPr>
        <w:t> </w:t>
      </w:r>
      <w:r>
        <w:rPr/>
        <w:t>任的企业集团。</w:t>
      </w:r>
    </w:p>
    <w:p>
      <w:pPr>
        <w:pStyle w:val="BodyText"/>
        <w:spacing w:line="240" w:lineRule="auto" w:before="22"/>
        <w:ind w:left="575" w:right="109"/>
        <w:jc w:val="left"/>
      </w:pPr>
      <w:r>
        <w:rPr/>
        <w:t>（三）经营计划：</w:t>
      </w:r>
    </w:p>
    <w:p>
      <w:pPr>
        <w:pStyle w:val="BodyText"/>
        <w:spacing w:line="266" w:lineRule="auto" w:before="37"/>
        <w:ind w:right="109" w:firstLine="422"/>
        <w:jc w:val="left"/>
      </w:pPr>
      <w:r>
        <w:rPr>
          <w:rFonts w:ascii="Times New Roman" w:hAnsi="Times New Roman" w:cs="Times New Roman" w:eastAsia="Times New Roman" w:hint="default"/>
        </w:rPr>
        <w:t>1</w:t>
      </w:r>
      <w:r>
        <w:rPr/>
        <w:t>、巩固与提升传统印刷产业业务（票证印刷、高端包装、书刊杂志印刷）。在集团资金、资源上进</w:t>
      </w:r>
      <w:r>
        <w:rPr>
          <w:w w:val="100"/>
        </w:rPr>
        <w:t> </w:t>
      </w:r>
      <w:r>
        <w:rPr>
          <w:spacing w:val="-2"/>
        </w:rPr>
        <w:t>行适度的投入与倾斜，不采取投资拉动策略，而是实行稳健的财务政策，关注技术革新与产能优化，充分</w:t>
      </w:r>
      <w:r>
        <w:rPr>
          <w:spacing w:val="-35"/>
        </w:rPr>
        <w:t> </w:t>
      </w:r>
      <w:r>
        <w:rPr>
          <w:spacing w:val="-35"/>
        </w:rPr>
      </w:r>
      <w:r>
        <w:rPr>
          <w:spacing w:val="-2"/>
        </w:rPr>
        <w:t>挖掘企业现有资源与条件以及经营管理潜质与能力。在满足自身资金需求的情况下，积极为公司其他战略</w:t>
      </w:r>
      <w:r>
        <w:rPr>
          <w:spacing w:val="-35"/>
        </w:rPr>
        <w:t> </w:t>
      </w:r>
      <w:r>
        <w:rPr>
          <w:spacing w:val="-35"/>
        </w:rPr>
      </w:r>
      <w:r>
        <w:rPr/>
        <w:t>业务提供资金支持。</w:t>
      </w:r>
    </w:p>
    <w:p>
      <w:pPr>
        <w:pStyle w:val="BodyText"/>
        <w:spacing w:line="264" w:lineRule="auto" w:before="14"/>
        <w:ind w:right="202" w:firstLine="422"/>
        <w:jc w:val="both"/>
      </w:pPr>
      <w:r>
        <w:rPr>
          <w:rFonts w:ascii="Times New Roman" w:hAnsi="Times New Roman" w:cs="Times New Roman" w:eastAsia="Times New Roman" w:hint="default"/>
          <w:spacing w:val="-2"/>
        </w:rPr>
        <w:t>2</w:t>
      </w:r>
      <w:r>
        <w:rPr>
          <w:spacing w:val="-2"/>
        </w:rPr>
        <w:t>、拓展与升级公司新兴产业业务（电子彩票、彩种研发、智能标签</w:t>
      </w:r>
      <w:r>
        <w:rPr>
          <w:rFonts w:ascii="Times New Roman" w:hAnsi="Times New Roman" w:cs="Times New Roman" w:eastAsia="Times New Roman" w:hint="default"/>
          <w:spacing w:val="-2"/>
        </w:rPr>
        <w:t>/IC</w:t>
      </w:r>
      <w:r>
        <w:rPr>
          <w:spacing w:val="-2"/>
        </w:rPr>
        <w:t>卡、物联网）。大幅加大集团</w:t>
      </w:r>
      <w:r>
        <w:rPr>
          <w:w w:val="100"/>
        </w:rPr>
        <w:t> </w:t>
      </w:r>
      <w:r>
        <w:rPr>
          <w:spacing w:val="-2"/>
        </w:rPr>
        <w:t>资金、资源上的投入与倾斜。在技术研发和创新方面加快步伐，加大投入力度，同时市场推广和市场网络</w:t>
      </w:r>
      <w:r>
        <w:rPr>
          <w:spacing w:val="-35"/>
        </w:rPr>
        <w:t> </w:t>
      </w:r>
      <w:r>
        <w:rPr>
          <w:spacing w:val="-35"/>
        </w:rPr>
      </w:r>
      <w:r>
        <w:rPr>
          <w:spacing w:val="-2"/>
        </w:rPr>
        <w:t>建设方面有计划加快推进，适当机会，在财务允许前提下进行一些合适项目的并购、参股、战略联盟等。</w:t>
      </w:r>
    </w:p>
    <w:p>
      <w:pPr>
        <w:pStyle w:val="BodyText"/>
        <w:spacing w:line="273" w:lineRule="auto" w:before="16"/>
        <w:ind w:left="575" w:right="109"/>
        <w:jc w:val="left"/>
      </w:pPr>
      <w:r>
        <w:rPr/>
        <w:t>（四）资金安排</w:t>
      </w:r>
      <w:r>
        <w:rPr>
          <w:spacing w:val="-102"/>
        </w:rPr>
        <w:t> </w:t>
      </w:r>
      <w:r>
        <w:rPr>
          <w:spacing w:val="-102"/>
        </w:rPr>
      </w:r>
      <w:r>
        <w:rPr>
          <w:spacing w:val="-2"/>
        </w:rPr>
        <w:t>公司将积极利用自有资金，同时通过各种融资渠道合理融资，保障公司</w:t>
      </w:r>
      <w:r>
        <w:rPr>
          <w:rFonts w:ascii="Times New Roman" w:hAnsi="Times New Roman" w:cs="Times New Roman" w:eastAsia="Times New Roman" w:hint="default"/>
          <w:spacing w:val="-2"/>
        </w:rPr>
        <w:t>2016</w:t>
      </w:r>
      <w:r>
        <w:rPr>
          <w:spacing w:val="-2"/>
        </w:rPr>
        <w:t>年项目计划的顺利进行。</w:t>
      </w:r>
    </w:p>
    <w:p>
      <w:pPr>
        <w:pStyle w:val="BodyText"/>
        <w:spacing w:line="264" w:lineRule="exact"/>
        <w:ind w:left="575" w:right="109"/>
        <w:jc w:val="left"/>
      </w:pPr>
      <w:r>
        <w:rPr/>
        <w:t>（五）可能面对的风险及应对措施</w:t>
      </w:r>
    </w:p>
    <w:p>
      <w:pPr>
        <w:pStyle w:val="BodyText"/>
        <w:spacing w:line="256" w:lineRule="auto" w:before="37"/>
        <w:ind w:right="109" w:firstLine="422"/>
        <w:jc w:val="left"/>
      </w:pPr>
      <w:r>
        <w:rPr>
          <w:rFonts w:ascii="Times New Roman" w:hAnsi="Times New Roman" w:cs="Times New Roman" w:eastAsia="Times New Roman" w:hint="default"/>
          <w:spacing w:val="-2"/>
        </w:rPr>
        <w:t>1</w:t>
      </w:r>
      <w:r>
        <w:rPr>
          <w:spacing w:val="-2"/>
        </w:rPr>
        <w:t>、产能结构性过剩。普通出版物印刷在数字化和网络化冲击下，面临结构性产能过剩、增速放缓、</w:t>
      </w:r>
      <w:r>
        <w:rPr>
          <w:w w:val="100"/>
        </w:rPr>
        <w:t> </w:t>
      </w:r>
      <w:r>
        <w:rPr/>
        <w:t>价格竞争激烈等市场环境，对公司经营管理层的市场开拓能力有新的挑战。</w:t>
      </w:r>
    </w:p>
    <w:p>
      <w:pPr>
        <w:pStyle w:val="BodyText"/>
        <w:spacing w:line="240" w:lineRule="auto" w:before="22"/>
        <w:ind w:left="575" w:right="109"/>
        <w:jc w:val="left"/>
      </w:pPr>
      <w:r>
        <w:rPr>
          <w:rFonts w:ascii="Times New Roman" w:hAnsi="Times New Roman" w:cs="Times New Roman" w:eastAsia="Times New Roman" w:hint="default"/>
        </w:rPr>
        <w:t>2016</w:t>
      </w:r>
      <w:r>
        <w:rPr/>
        <w:t>年，公司经营管理层将从新整合营销队伍，加强销售人员培训，提升管理销售能力。</w:t>
      </w:r>
    </w:p>
    <w:p>
      <w:pPr>
        <w:pStyle w:val="BodyText"/>
        <w:spacing w:line="256" w:lineRule="auto" w:before="21"/>
        <w:ind w:right="109" w:firstLine="422"/>
        <w:jc w:val="left"/>
      </w:pPr>
      <w:r>
        <w:rPr>
          <w:rFonts w:ascii="Times New Roman" w:hAnsi="Times New Roman" w:cs="Times New Roman" w:eastAsia="Times New Roman" w:hint="default"/>
          <w:spacing w:val="-2"/>
        </w:rPr>
        <w:t>2</w:t>
      </w:r>
      <w:r>
        <w:rPr>
          <w:spacing w:val="-2"/>
        </w:rPr>
        <w:t>、经营成本上升。公司人力成本持续多年上升，企业招工难、留住人才难，由于印刷业的加工制造</w:t>
      </w:r>
      <w:r>
        <w:rPr>
          <w:w w:val="100"/>
        </w:rPr>
        <w:t> </w:t>
      </w:r>
      <w:r>
        <w:rPr/>
        <w:t>特点，印刷工作的社会认可度不高，职业荣誉感低，对人才的吸引力急需提升。</w:t>
      </w:r>
    </w:p>
    <w:p>
      <w:pPr>
        <w:pStyle w:val="BodyText"/>
        <w:spacing w:line="240" w:lineRule="auto" w:before="22"/>
        <w:ind w:left="575" w:right="109"/>
        <w:jc w:val="left"/>
      </w:pPr>
      <w:r>
        <w:rPr>
          <w:rFonts w:ascii="Times New Roman" w:hAnsi="Times New Roman" w:cs="Times New Roman" w:eastAsia="Times New Roman" w:hint="default"/>
          <w:spacing w:val="-4"/>
        </w:rPr>
        <w:t>2016</w:t>
      </w:r>
      <w:r>
        <w:rPr>
          <w:spacing w:val="-4"/>
        </w:rPr>
        <w:t>年，公司将进一步优化人员结构，加强员工培训，积极提升员工的职业认同感和企业文化归属感。</w:t>
      </w:r>
    </w:p>
    <w:p>
      <w:pPr>
        <w:pStyle w:val="BodyText"/>
        <w:spacing w:line="256" w:lineRule="auto" w:before="21"/>
        <w:ind w:right="109" w:firstLine="422"/>
        <w:jc w:val="left"/>
      </w:pPr>
      <w:r>
        <w:rPr>
          <w:rFonts w:ascii="Times New Roman" w:hAnsi="Times New Roman" w:cs="Times New Roman" w:eastAsia="Times New Roman" w:hint="default"/>
          <w:spacing w:val="-2"/>
        </w:rPr>
        <w:t>3</w:t>
      </w:r>
      <w:r>
        <w:rPr>
          <w:spacing w:val="-2"/>
        </w:rPr>
        <w:t>、电子彩票业务的政策性风险。目前，国家对电子彩票的互联网代购代销政策仍然不明朗，电话售</w:t>
      </w:r>
      <w:r>
        <w:rPr>
          <w:w w:val="100"/>
        </w:rPr>
        <w:t> </w:t>
      </w:r>
      <w:r>
        <w:rPr/>
        <w:t>彩也处于暂停审批阶段。</w:t>
      </w:r>
    </w:p>
    <w:p>
      <w:pPr>
        <w:pStyle w:val="BodyText"/>
        <w:spacing w:line="256" w:lineRule="auto" w:before="22"/>
        <w:ind w:right="109" w:firstLine="422"/>
        <w:jc w:val="left"/>
      </w:pPr>
      <w:r>
        <w:rPr>
          <w:rFonts w:ascii="Times New Roman" w:hAnsi="Times New Roman" w:cs="Times New Roman" w:eastAsia="Times New Roman" w:hint="default"/>
          <w:spacing w:val="-2"/>
        </w:rPr>
        <w:t>2016</w:t>
      </w:r>
      <w:r>
        <w:rPr>
          <w:spacing w:val="-2"/>
        </w:rPr>
        <w:t>年，面对政策形势的不确定性，公司积极优化管理，稳定电子彩票业务核心团队，并积极寻求电</w:t>
      </w:r>
      <w:r>
        <w:rPr>
          <w:w w:val="100"/>
        </w:rPr>
        <w:t> </w:t>
      </w:r>
      <w:r>
        <w:rPr/>
        <w:t>子彩票其他相关业务转型。</w:t>
      </w:r>
    </w:p>
    <w:p>
      <w:pPr>
        <w:spacing w:after="0" w:line="256" w:lineRule="auto"/>
        <w:jc w:val="left"/>
        <w:sectPr>
          <w:pgSz w:w="11900" w:h="16840"/>
          <w:pgMar w:header="742" w:footer="984" w:top="1060" w:bottom="1180" w:left="980" w:right="900"/>
        </w:sectPr>
      </w:pPr>
    </w:p>
    <w:p>
      <w:pPr>
        <w:spacing w:line="240" w:lineRule="auto" w:before="10"/>
        <w:rPr>
          <w:rFonts w:ascii="宋体" w:hAnsi="宋体" w:cs="宋体" w:eastAsia="宋体" w:hint="default"/>
          <w:sz w:val="23"/>
          <w:szCs w:val="23"/>
        </w:rPr>
      </w:pPr>
    </w:p>
    <w:p>
      <w:pPr>
        <w:pStyle w:val="Heading2"/>
        <w:spacing w:line="367" w:lineRule="exact"/>
        <w:ind w:right="0"/>
        <w:jc w:val="left"/>
        <w:rPr>
          <w:b w:val="0"/>
          <w:bCs w:val="0"/>
        </w:rPr>
      </w:pPr>
      <w:r>
        <w:rPr/>
        <w:t>十、接待调研、沟通、采访等活动</w:t>
      </w:r>
      <w:r>
        <w:rPr>
          <w:b w:val="0"/>
          <w:bCs w:val="0"/>
        </w:rPr>
      </w:r>
    </w:p>
    <w:p>
      <w:pPr>
        <w:spacing w:line="240" w:lineRule="auto" w:before="5"/>
        <w:rPr>
          <w:rFonts w:ascii="Microsoft JhengHei" w:hAnsi="Microsoft JhengHei" w:cs="Microsoft JhengHei" w:eastAsia="Microsoft JhengHei" w:hint="default"/>
          <w:b/>
          <w:bCs/>
          <w:sz w:val="13"/>
          <w:szCs w:val="13"/>
        </w:rPr>
      </w:pPr>
    </w:p>
    <w:p>
      <w:pPr>
        <w:pStyle w:val="Heading4"/>
        <w:spacing w:line="240" w:lineRule="auto"/>
        <w:ind w:right="0"/>
        <w:jc w:val="left"/>
        <w:rPr>
          <w:b w:val="0"/>
          <w:bCs w:val="0"/>
        </w:rPr>
      </w:pP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不适用</w:t>
      </w:r>
    </w:p>
    <w:p>
      <w:pPr>
        <w:spacing w:line="240" w:lineRule="auto" w:before="7"/>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2179"/>
        <w:gridCol w:w="2174"/>
        <w:gridCol w:w="2179"/>
        <w:gridCol w:w="3038"/>
      </w:tblGrid>
      <w:tr>
        <w:trPr>
          <w:trHeight w:val="403" w:hRule="exact"/>
        </w:trPr>
        <w:tc>
          <w:tcPr>
            <w:tcW w:w="2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20" w:right="0"/>
              <w:jc w:val="left"/>
              <w:rPr>
                <w:rFonts w:ascii="宋体" w:hAnsi="宋体" w:cs="宋体" w:eastAsia="宋体" w:hint="default"/>
                <w:sz w:val="18"/>
                <w:szCs w:val="18"/>
              </w:rPr>
            </w:pPr>
            <w:r>
              <w:rPr>
                <w:rFonts w:ascii="宋体" w:hAnsi="宋体" w:cs="宋体" w:eastAsia="宋体" w:hint="default"/>
                <w:sz w:val="18"/>
                <w:szCs w:val="18"/>
              </w:rPr>
              <w:t>接待时间</w:t>
            </w:r>
          </w:p>
        </w:tc>
        <w:tc>
          <w:tcPr>
            <w:tcW w:w="21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19" w:right="0"/>
              <w:jc w:val="left"/>
              <w:rPr>
                <w:rFonts w:ascii="宋体" w:hAnsi="宋体" w:cs="宋体" w:eastAsia="宋体" w:hint="default"/>
                <w:sz w:val="18"/>
                <w:szCs w:val="18"/>
              </w:rPr>
            </w:pPr>
            <w:r>
              <w:rPr>
                <w:rFonts w:ascii="宋体" w:hAnsi="宋体" w:cs="宋体" w:eastAsia="宋体" w:hint="default"/>
                <w:sz w:val="18"/>
                <w:szCs w:val="18"/>
              </w:rPr>
              <w:t>接待方式</w:t>
            </w:r>
          </w:p>
        </w:tc>
        <w:tc>
          <w:tcPr>
            <w:tcW w:w="2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42" w:right="0"/>
              <w:jc w:val="left"/>
              <w:rPr>
                <w:rFonts w:ascii="宋体" w:hAnsi="宋体" w:cs="宋体" w:eastAsia="宋体" w:hint="default"/>
                <w:sz w:val="18"/>
                <w:szCs w:val="18"/>
              </w:rPr>
            </w:pPr>
            <w:r>
              <w:rPr>
                <w:rFonts w:ascii="宋体" w:hAnsi="宋体" w:cs="宋体" w:eastAsia="宋体" w:hint="default"/>
                <w:sz w:val="18"/>
                <w:szCs w:val="18"/>
              </w:rPr>
              <w:t>接待对象类型</w:t>
            </w:r>
          </w:p>
        </w:tc>
        <w:tc>
          <w:tcPr>
            <w:tcW w:w="30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00" w:right="0"/>
              <w:jc w:val="left"/>
              <w:rPr>
                <w:rFonts w:ascii="宋体" w:hAnsi="宋体" w:cs="宋体" w:eastAsia="宋体" w:hint="default"/>
                <w:sz w:val="18"/>
                <w:szCs w:val="18"/>
              </w:rPr>
            </w:pPr>
            <w:r>
              <w:rPr>
                <w:rFonts w:ascii="宋体" w:hAnsi="宋体" w:cs="宋体" w:eastAsia="宋体" w:hint="default"/>
                <w:spacing w:val="-3"/>
                <w:sz w:val="18"/>
                <w:szCs w:val="18"/>
              </w:rPr>
              <w:t>调研的基本情况索引</w:t>
            </w:r>
          </w:p>
        </w:tc>
      </w:tr>
      <w:tr>
        <w:trPr>
          <w:trHeight w:val="398"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hyperlink r:id="rId11">
              <w:r>
                <w:rPr>
                  <w:rFonts w:ascii="Times New Roman"/>
                  <w:spacing w:val="-3"/>
                  <w:sz w:val="18"/>
                </w:rPr>
                <w:t>http://www.cninfo.com.cn</w:t>
              </w:r>
            </w:hyperlink>
          </w:p>
        </w:tc>
      </w:tr>
      <w:tr>
        <w:trPr>
          <w:trHeight w:val="403"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hyperlink r:id="rId11">
              <w:r>
                <w:rPr>
                  <w:rFonts w:ascii="Times New Roman"/>
                  <w:spacing w:val="-3"/>
                  <w:sz w:val="18"/>
                </w:rPr>
                <w:t>http://www.cninfo.com.cn</w:t>
              </w:r>
            </w:hyperlink>
          </w:p>
        </w:tc>
      </w:tr>
      <w:tr>
        <w:trPr>
          <w:trHeight w:val="403"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hyperlink r:id="rId11">
              <w:r>
                <w:rPr>
                  <w:rFonts w:ascii="Times New Roman"/>
                  <w:spacing w:val="-3"/>
                  <w:sz w:val="18"/>
                </w:rPr>
                <w:t>http://www.cninfo.com.cn</w:t>
              </w:r>
            </w:hyperlink>
          </w:p>
        </w:tc>
      </w:tr>
      <w:tr>
        <w:trPr>
          <w:trHeight w:val="403"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hyperlink r:id="rId11">
              <w:r>
                <w:rPr>
                  <w:rFonts w:ascii="Times New Roman"/>
                  <w:spacing w:val="-3"/>
                  <w:sz w:val="18"/>
                </w:rPr>
                <w:t>http://www.cninfo.com.cn</w:t>
              </w:r>
            </w:hyperlink>
          </w:p>
        </w:tc>
      </w:tr>
      <w:tr>
        <w:trPr>
          <w:trHeight w:val="398"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hyperlink r:id="rId11">
              <w:r>
                <w:rPr>
                  <w:rFonts w:ascii="Times New Roman"/>
                  <w:spacing w:val="-3"/>
                  <w:sz w:val="18"/>
                </w:rPr>
                <w:t>http://www.cninfo.com.cn</w:t>
              </w:r>
            </w:hyperlink>
          </w:p>
        </w:tc>
      </w:tr>
      <w:tr>
        <w:trPr>
          <w:trHeight w:val="403"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hyperlink r:id="rId11">
              <w:r>
                <w:rPr>
                  <w:rFonts w:ascii="Times New Roman"/>
                  <w:spacing w:val="-3"/>
                  <w:sz w:val="18"/>
                </w:rPr>
                <w:t>http://www.cninfo.com.cn</w:t>
              </w:r>
            </w:hyperlink>
          </w:p>
        </w:tc>
      </w:tr>
      <w:tr>
        <w:trPr>
          <w:trHeight w:val="403"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hyperlink r:id="rId11">
              <w:r>
                <w:rPr>
                  <w:rFonts w:ascii="Times New Roman"/>
                  <w:spacing w:val="-3"/>
                  <w:sz w:val="18"/>
                </w:rPr>
                <w:t>http://www.cninfo.com.cn</w:t>
              </w:r>
            </w:hyperlink>
          </w:p>
        </w:tc>
      </w:tr>
      <w:tr>
        <w:trPr>
          <w:trHeight w:val="403"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hyperlink r:id="rId11">
              <w:r>
                <w:rPr>
                  <w:rFonts w:ascii="Times New Roman"/>
                  <w:spacing w:val="-3"/>
                  <w:sz w:val="18"/>
                </w:rPr>
                <w:t>http://www.cninfo.com.cn</w:t>
              </w:r>
            </w:hyperlink>
          </w:p>
        </w:tc>
      </w:tr>
      <w:tr>
        <w:trPr>
          <w:trHeight w:val="398"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hyperlink r:id="rId11">
              <w:r>
                <w:rPr>
                  <w:rFonts w:ascii="Times New Roman"/>
                  <w:spacing w:val="-3"/>
                  <w:sz w:val="18"/>
                </w:rPr>
                <w:t>http://www.cninfo.com.cn</w:t>
              </w:r>
            </w:hyperlink>
          </w:p>
        </w:tc>
      </w:tr>
      <w:tr>
        <w:trPr>
          <w:trHeight w:val="403"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hyperlink r:id="rId11">
              <w:r>
                <w:rPr>
                  <w:rFonts w:ascii="Times New Roman"/>
                  <w:spacing w:val="-3"/>
                  <w:sz w:val="18"/>
                </w:rPr>
                <w:t>http://www.cninfo.com.cn</w:t>
              </w:r>
            </w:hyperlink>
          </w:p>
        </w:tc>
      </w:tr>
      <w:tr>
        <w:trPr>
          <w:trHeight w:val="403"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hyperlink r:id="rId11">
              <w:r>
                <w:rPr>
                  <w:rFonts w:ascii="Times New Roman"/>
                  <w:spacing w:val="-3"/>
                  <w:sz w:val="18"/>
                </w:rPr>
                <w:t>http://www.cninfo.com.cn</w:t>
              </w:r>
            </w:hyperlink>
          </w:p>
        </w:tc>
      </w:tr>
      <w:tr>
        <w:trPr>
          <w:trHeight w:val="403"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hyperlink r:id="rId11">
              <w:r>
                <w:rPr>
                  <w:rFonts w:ascii="Times New Roman"/>
                  <w:spacing w:val="-3"/>
                  <w:sz w:val="18"/>
                </w:rPr>
                <w:t>http://www.cninfo.com.cn</w:t>
              </w:r>
            </w:hyperlink>
          </w:p>
        </w:tc>
      </w:tr>
      <w:tr>
        <w:trPr>
          <w:trHeight w:val="398"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hyperlink r:id="rId11">
              <w:r>
                <w:rPr>
                  <w:rFonts w:ascii="Times New Roman"/>
                  <w:spacing w:val="-3"/>
                  <w:sz w:val="18"/>
                </w:rPr>
                <w:t>http://www.cninfo.com.cn</w:t>
              </w:r>
            </w:hyperlink>
          </w:p>
        </w:tc>
      </w:tr>
      <w:tr>
        <w:trPr>
          <w:trHeight w:val="403"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hyperlink r:id="rId11">
              <w:r>
                <w:rPr>
                  <w:rFonts w:ascii="Times New Roman"/>
                  <w:spacing w:val="-3"/>
                  <w:sz w:val="18"/>
                </w:rPr>
                <w:t>http://www.cninfo.com.cn</w:t>
              </w:r>
            </w:hyperlink>
          </w:p>
        </w:tc>
      </w:tr>
      <w:tr>
        <w:trPr>
          <w:trHeight w:val="403"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hyperlink r:id="rId11">
              <w:r>
                <w:rPr>
                  <w:rFonts w:ascii="Times New Roman"/>
                  <w:spacing w:val="-3"/>
                  <w:sz w:val="18"/>
                </w:rPr>
                <w:t>http://www.cninfo.com.cn</w:t>
              </w:r>
            </w:hyperlink>
          </w:p>
        </w:tc>
      </w:tr>
    </w:tbl>
    <w:p>
      <w:pPr>
        <w:spacing w:after="0" w:line="240" w:lineRule="auto"/>
        <w:jc w:val="left"/>
        <w:rPr>
          <w:rFonts w:ascii="Times New Roman" w:hAnsi="Times New Roman" w:cs="Times New Roman" w:eastAsia="Times New Roman" w:hint="default"/>
          <w:sz w:val="18"/>
          <w:szCs w:val="18"/>
        </w:rPr>
        <w:sectPr>
          <w:pgSz w:w="11900" w:h="16840"/>
          <w:pgMar w:header="742" w:footer="984" w:top="1060" w:bottom="118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0"/>
          <w:szCs w:val="20"/>
        </w:rPr>
      </w:pPr>
    </w:p>
    <w:p>
      <w:pPr>
        <w:pStyle w:val="Heading1"/>
        <w:spacing w:line="458" w:lineRule="exact"/>
        <w:ind w:left="3744" w:right="3807"/>
        <w:jc w:val="center"/>
        <w:rPr>
          <w:b w:val="0"/>
          <w:bCs w:val="0"/>
        </w:rPr>
      </w:pPr>
      <w:bookmarkStart w:name="_TOC_250006" w:id="5"/>
      <w:r>
        <w:rPr/>
        <w:t>第五节 </w:t>
      </w:r>
      <w:r>
        <w:rPr>
          <w:spacing w:val="8"/>
        </w:rPr>
        <w:t> </w:t>
      </w:r>
      <w:r>
        <w:rPr/>
        <w:t>重要事项</w:t>
      </w:r>
      <w:bookmarkEnd w:id="5"/>
      <w:r>
        <w:rPr>
          <w:b w:val="0"/>
          <w:bCs w:val="0"/>
        </w:rPr>
      </w:r>
    </w:p>
    <w:p>
      <w:pPr>
        <w:spacing w:line="240" w:lineRule="auto" w:before="5"/>
        <w:rPr>
          <w:rFonts w:ascii="Microsoft JhengHei" w:hAnsi="Microsoft JhengHei" w:cs="Microsoft JhengHei" w:eastAsia="Microsoft JhengHei" w:hint="default"/>
          <w:b/>
          <w:bCs/>
          <w:sz w:val="22"/>
          <w:szCs w:val="22"/>
        </w:rPr>
      </w:pPr>
    </w:p>
    <w:p>
      <w:pPr>
        <w:pStyle w:val="Heading2"/>
        <w:spacing w:line="240" w:lineRule="auto"/>
        <w:ind w:right="0"/>
        <w:jc w:val="left"/>
        <w:rPr>
          <w:b w:val="0"/>
          <w:bCs w:val="0"/>
        </w:rPr>
      </w:pPr>
      <w:r>
        <w:rPr/>
        <w:t>一、公司普通股利润分配及资本公积金转增股本情况</w:t>
      </w:r>
      <w:r>
        <w:rPr>
          <w:b w:val="0"/>
          <w:bCs w:val="0"/>
        </w:rPr>
      </w:r>
    </w:p>
    <w:p>
      <w:pPr>
        <w:spacing w:line="240" w:lineRule="auto" w:before="3"/>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报告期内普通股利润分配政策，特别是现金分红政策的制定、执行或调整情况</w:t>
      </w:r>
    </w:p>
    <w:p>
      <w:pPr>
        <w:spacing w:before="115"/>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不适用</w:t>
      </w:r>
    </w:p>
    <w:p>
      <w:pPr>
        <w:pStyle w:val="BodyText"/>
        <w:spacing w:line="264" w:lineRule="auto" w:before="71"/>
        <w:ind w:right="201" w:firstLine="422"/>
        <w:jc w:val="both"/>
      </w:pPr>
      <w:r>
        <w:rPr>
          <w:spacing w:val="-2"/>
        </w:rPr>
        <w:t>报告期内，公司认真贯彻落实中国证券监督管理委员会《关于进一步落实上市公司现金分红有关事项</w:t>
      </w:r>
      <w:r>
        <w:rPr>
          <w:w w:val="100"/>
        </w:rPr>
        <w:t> </w:t>
      </w:r>
      <w:r>
        <w:rPr>
          <w:spacing w:val="-2"/>
        </w:rPr>
        <w:t>的通知》和福建证监局闽证监公司字</w:t>
      </w:r>
      <w:r>
        <w:rPr>
          <w:rFonts w:ascii="Times New Roman" w:hAnsi="Times New Roman" w:cs="Times New Roman" w:eastAsia="Times New Roman" w:hint="default"/>
          <w:spacing w:val="-2"/>
        </w:rPr>
        <w:t>[2012]28</w:t>
      </w:r>
      <w:r>
        <w:rPr>
          <w:spacing w:val="-2"/>
        </w:rPr>
        <w:t>号文件精神，完成了《公司未来三年（</w:t>
      </w:r>
      <w:r>
        <w:rPr>
          <w:rFonts w:ascii="Times New Roman" w:hAnsi="Times New Roman" w:cs="Times New Roman" w:eastAsia="Times New Roman" w:hint="default"/>
          <w:spacing w:val="-2"/>
        </w:rPr>
        <w:t>2015-2017</w:t>
      </w:r>
      <w:r>
        <w:rPr>
          <w:spacing w:val="-2"/>
        </w:rPr>
        <w:t>年）股东回</w:t>
      </w:r>
      <w:r>
        <w:rPr>
          <w:spacing w:val="-20"/>
        </w:rPr>
        <w:t> </w:t>
      </w:r>
      <w:r>
        <w:rPr>
          <w:spacing w:val="-20"/>
        </w:rPr>
      </w:r>
      <w:r>
        <w:rPr/>
        <w:t>报规划》，经公司董事会和股东大会审议完成。</w:t>
      </w:r>
    </w:p>
    <w:p>
      <w:pPr>
        <w:pStyle w:val="BodyText"/>
        <w:spacing w:line="256" w:lineRule="auto" w:before="16"/>
        <w:ind w:right="0" w:firstLine="422"/>
        <w:jc w:val="left"/>
      </w:pPr>
      <w:r>
        <w:rPr>
          <w:spacing w:val="-2"/>
        </w:rPr>
        <w:t>规划规定：</w:t>
      </w:r>
      <w:r>
        <w:rPr>
          <w:rFonts w:ascii="Times New Roman" w:hAnsi="Times New Roman" w:cs="Times New Roman" w:eastAsia="Times New Roman" w:hint="default"/>
          <w:spacing w:val="-2"/>
        </w:rPr>
        <w:t>1</w:t>
      </w:r>
      <w:r>
        <w:rPr>
          <w:spacing w:val="-2"/>
        </w:rPr>
        <w:t>、公司可以采取现金方式、股票方式或者现金与股票相结合的方式分配股利。公司董事</w:t>
      </w:r>
      <w:r>
        <w:rPr>
          <w:w w:val="100"/>
        </w:rPr>
        <w:t> </w:t>
      </w:r>
      <w:r>
        <w:rPr/>
        <w:t>会可以根据公司的资金需求状况，在有条件的情况下提议公司进行中期现金分配。</w:t>
      </w:r>
    </w:p>
    <w:p>
      <w:pPr>
        <w:pStyle w:val="BodyText"/>
        <w:spacing w:line="256" w:lineRule="auto" w:before="22"/>
        <w:ind w:right="0" w:firstLine="422"/>
        <w:jc w:val="left"/>
      </w:pPr>
      <w:r>
        <w:rPr>
          <w:rFonts w:ascii="Times New Roman" w:hAnsi="Times New Roman" w:cs="Times New Roman" w:eastAsia="Times New Roman" w:hint="default"/>
          <w:spacing w:val="-2"/>
        </w:rPr>
        <w:t>2</w:t>
      </w:r>
      <w:r>
        <w:rPr>
          <w:spacing w:val="-2"/>
        </w:rPr>
        <w:t>、股票股利分配条件：公司业绩快速增长时，董事会认为公司股票价格与股本规模不匹配时，可以</w:t>
      </w:r>
      <w:r>
        <w:rPr>
          <w:w w:val="100"/>
        </w:rPr>
        <w:t> </w:t>
      </w:r>
      <w:r>
        <w:rPr/>
        <w:t>实施股票股利分配。股票股利分配可以单独实施，也可以结合现金分红同时实施。</w:t>
      </w:r>
    </w:p>
    <w:p>
      <w:pPr>
        <w:pStyle w:val="BodyText"/>
        <w:spacing w:line="264" w:lineRule="auto" w:before="22"/>
        <w:ind w:right="0" w:firstLine="422"/>
        <w:jc w:val="left"/>
      </w:pPr>
      <w:r>
        <w:rPr>
          <w:rFonts w:ascii="Times New Roman" w:hAnsi="Times New Roman" w:cs="Times New Roman" w:eastAsia="Times New Roman" w:hint="default"/>
        </w:rPr>
        <w:t>3</w:t>
      </w:r>
      <w:r>
        <w:rPr/>
        <w:t>、现金分红政策：公司董事会应当综合考虑所处行业特点、发展阶段、自身经营模式、盈利水平以</w:t>
      </w:r>
      <w:r>
        <w:rPr>
          <w:w w:val="100"/>
        </w:rPr>
        <w:t> </w:t>
      </w:r>
      <w:r>
        <w:rPr>
          <w:spacing w:val="-2"/>
        </w:rPr>
        <w:t>及是否有重大资金支出安排等因素，区分下列情形，并按照公司章程规定的程序，提出差异化的现金分红</w:t>
      </w:r>
      <w:r>
        <w:rPr>
          <w:spacing w:val="-35"/>
        </w:rPr>
        <w:t> </w:t>
      </w:r>
      <w:r>
        <w:rPr>
          <w:spacing w:val="-35"/>
        </w:rPr>
      </w:r>
      <w:r>
        <w:rPr/>
        <w:t>政策：</w:t>
      </w:r>
    </w:p>
    <w:p>
      <w:pPr>
        <w:pStyle w:val="BodyText"/>
        <w:spacing w:line="256" w:lineRule="auto" w:before="16"/>
        <w:ind w:right="0" w:firstLine="422"/>
        <w:jc w:val="left"/>
      </w:pPr>
      <w:r>
        <w:rPr>
          <w:spacing w:val="-2"/>
        </w:rPr>
        <w:t>（</w:t>
      </w:r>
      <w:r>
        <w:rPr>
          <w:rFonts w:ascii="Times New Roman" w:hAnsi="Times New Roman" w:cs="Times New Roman" w:eastAsia="Times New Roman" w:hint="default"/>
          <w:spacing w:val="-2"/>
        </w:rPr>
        <w:t>1</w:t>
      </w:r>
      <w:r>
        <w:rPr>
          <w:spacing w:val="-2"/>
        </w:rPr>
        <w:t>）公司发展阶段属成熟期且无重大资金支出安排的，进行利润分配时，现金分红在本次利润分配</w:t>
      </w:r>
      <w:r>
        <w:rPr>
          <w:w w:val="100"/>
        </w:rPr>
        <w:t> </w:t>
      </w:r>
      <w:r>
        <w:rPr/>
        <w:t>中所占比例最低应达到</w:t>
      </w:r>
      <w:r>
        <w:rPr>
          <w:rFonts w:ascii="Times New Roman" w:hAnsi="Times New Roman" w:cs="Times New Roman" w:eastAsia="Times New Roman" w:hint="default"/>
        </w:rPr>
        <w:t>80%</w:t>
      </w:r>
      <w:r>
        <w:rPr/>
        <w:t>；</w:t>
      </w:r>
    </w:p>
    <w:p>
      <w:pPr>
        <w:pStyle w:val="BodyText"/>
        <w:spacing w:line="256" w:lineRule="auto" w:before="5"/>
        <w:ind w:right="0" w:firstLine="422"/>
        <w:jc w:val="left"/>
      </w:pPr>
      <w:r>
        <w:rPr>
          <w:spacing w:val="-2"/>
        </w:rPr>
        <w:t>（</w:t>
      </w:r>
      <w:r>
        <w:rPr>
          <w:rFonts w:ascii="Times New Roman" w:hAnsi="Times New Roman" w:cs="Times New Roman" w:eastAsia="Times New Roman" w:hint="default"/>
          <w:spacing w:val="-2"/>
        </w:rPr>
        <w:t>2</w:t>
      </w:r>
      <w:r>
        <w:rPr>
          <w:spacing w:val="-2"/>
        </w:rPr>
        <w:t>）公司发展阶段属成熟期且有重大资金支出安排的，进行利润分配时，现金分红在本次利润分配</w:t>
      </w:r>
      <w:r>
        <w:rPr>
          <w:w w:val="100"/>
        </w:rPr>
        <w:t> </w:t>
      </w:r>
      <w:r>
        <w:rPr/>
        <w:t>中所占比例最低应达到</w:t>
      </w:r>
      <w:r>
        <w:rPr>
          <w:rFonts w:ascii="Times New Roman" w:hAnsi="Times New Roman" w:cs="Times New Roman" w:eastAsia="Times New Roman" w:hint="default"/>
        </w:rPr>
        <w:t>40%</w:t>
      </w:r>
      <w:r>
        <w:rPr/>
        <w:t>；</w:t>
      </w:r>
    </w:p>
    <w:p>
      <w:pPr>
        <w:pStyle w:val="BodyText"/>
        <w:spacing w:line="256" w:lineRule="auto" w:before="5"/>
        <w:ind w:right="0" w:firstLine="422"/>
        <w:jc w:val="left"/>
      </w:pPr>
      <w:r>
        <w:rPr/>
        <w:t>（</w:t>
      </w:r>
      <w:r>
        <w:rPr>
          <w:rFonts w:ascii="Times New Roman" w:hAnsi="Times New Roman" w:cs="Times New Roman" w:eastAsia="Times New Roman" w:hint="default"/>
        </w:rPr>
        <w:t>3</w:t>
      </w:r>
      <w:r>
        <w:rPr/>
        <w:t>）公司发展阶段属成长期且有重大资金支出安排的，进行利润分配时，现金分红在本次利润分配</w:t>
      </w:r>
      <w:r>
        <w:rPr>
          <w:w w:val="100"/>
        </w:rPr>
        <w:t> </w:t>
      </w:r>
      <w:r>
        <w:rPr>
          <w:spacing w:val="-4"/>
        </w:rPr>
        <w:t>中所占比例最低应达到</w:t>
      </w:r>
      <w:r>
        <w:rPr>
          <w:rFonts w:ascii="Times New Roman" w:hAnsi="Times New Roman" w:cs="Times New Roman" w:eastAsia="Times New Roman" w:hint="default"/>
          <w:spacing w:val="-4"/>
        </w:rPr>
        <w:t>20%</w:t>
      </w:r>
      <w:r>
        <w:rPr>
          <w:spacing w:val="-4"/>
        </w:rPr>
        <w:t>；如公司发展阶段不易区分但有重大资金支出安排的，可以按照前项规定处理。</w:t>
      </w:r>
    </w:p>
    <w:p>
      <w:pPr>
        <w:pStyle w:val="BodyText"/>
        <w:spacing w:line="264" w:lineRule="auto" w:before="5"/>
        <w:ind w:right="0" w:firstLine="422"/>
        <w:jc w:val="left"/>
      </w:pPr>
      <w:r>
        <w:rPr>
          <w:rFonts w:ascii="Times New Roman" w:hAnsi="Times New Roman" w:cs="Times New Roman" w:eastAsia="Times New Roman" w:hint="default"/>
        </w:rPr>
        <w:t>4</w:t>
      </w:r>
      <w:r>
        <w:rPr/>
        <w:t>、现金分红条件：在年度盈利的情况下，若满足了公司正常生产经营的资金需求且足额预留法定公</w:t>
      </w:r>
      <w:r>
        <w:rPr>
          <w:w w:val="100"/>
        </w:rPr>
        <w:t> </w:t>
      </w:r>
      <w:r>
        <w:rPr>
          <w:spacing w:val="-2"/>
        </w:rPr>
        <w:t>积金、盈余公积金后，如无重大投资计划或重大现金支出计划等事项，公司应采取现金方式分配股利，以</w:t>
      </w:r>
      <w:r>
        <w:rPr>
          <w:spacing w:val="-36"/>
        </w:rPr>
        <w:t> </w:t>
      </w:r>
      <w:r>
        <w:rPr>
          <w:spacing w:val="-36"/>
        </w:rPr>
      </w:r>
      <w:r>
        <w:rPr/>
        <w:t>现金方式分配的利润比例由董事会根据公司盈利水平和经营发展计划提出，报股东大会批准。</w:t>
      </w:r>
    </w:p>
    <w:p>
      <w:pPr>
        <w:pStyle w:val="BodyText"/>
        <w:spacing w:line="256" w:lineRule="auto" w:before="16"/>
        <w:ind w:right="0" w:firstLine="422"/>
        <w:jc w:val="left"/>
      </w:pPr>
      <w:r>
        <w:rPr>
          <w:rFonts w:ascii="Times New Roman" w:hAnsi="Times New Roman" w:cs="Times New Roman" w:eastAsia="Times New Roman" w:hint="default"/>
          <w:spacing w:val="-1"/>
        </w:rPr>
        <w:t>5</w:t>
      </w:r>
      <w:r>
        <w:rPr>
          <w:spacing w:val="-1"/>
        </w:rPr>
        <w:t>、公司在未分配利润为正的情况下，公司</w:t>
      </w:r>
      <w:r>
        <w:rPr>
          <w:rFonts w:ascii="Times New Roman" w:hAnsi="Times New Roman" w:cs="Times New Roman" w:eastAsia="Times New Roman" w:hint="default"/>
          <w:spacing w:val="-1"/>
        </w:rPr>
        <w:t>2015-2017</w:t>
      </w:r>
      <w:r>
        <w:rPr>
          <w:spacing w:val="-1"/>
        </w:rPr>
        <w:t>年年以现金方式累计分配的利润不少于最近三年</w:t>
      </w:r>
      <w:r>
        <w:rPr>
          <w:w w:val="100"/>
        </w:rPr>
        <w:t> </w:t>
      </w:r>
      <w:r>
        <w:rPr/>
        <w:t>实现的年均可分配利润的百分之三十。</w:t>
      </w:r>
    </w:p>
    <w:p>
      <w:pPr>
        <w:spacing w:line="240" w:lineRule="auto" w:before="11"/>
        <w:rPr>
          <w:rFonts w:ascii="宋体" w:hAnsi="宋体" w:cs="宋体" w:eastAsia="宋体" w:hint="default"/>
          <w:sz w:val="2"/>
          <w:szCs w:val="2"/>
        </w:rPr>
      </w:pPr>
    </w:p>
    <w:tbl>
      <w:tblPr>
        <w:tblW w:w="0" w:type="auto"/>
        <w:jc w:val="left"/>
        <w:tblInd w:w="160" w:type="dxa"/>
        <w:tblLayout w:type="fixed"/>
        <w:tblCellMar>
          <w:top w:w="0" w:type="dxa"/>
          <w:left w:w="0" w:type="dxa"/>
          <w:bottom w:w="0" w:type="dxa"/>
          <w:right w:w="0" w:type="dxa"/>
        </w:tblCellMar>
        <w:tblLook w:val="01E0"/>
      </w:tblPr>
      <w:tblGrid>
        <w:gridCol w:w="4762"/>
        <w:gridCol w:w="4793"/>
      </w:tblGrid>
      <w:tr>
        <w:trPr>
          <w:trHeight w:val="398" w:hRule="exact"/>
        </w:trPr>
        <w:tc>
          <w:tcPr>
            <w:tcW w:w="955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0"/>
              <w:jc w:val="center"/>
              <w:rPr>
                <w:rFonts w:ascii="宋体" w:hAnsi="宋体" w:cs="宋体" w:eastAsia="宋体" w:hint="default"/>
                <w:sz w:val="18"/>
                <w:szCs w:val="18"/>
              </w:rPr>
            </w:pPr>
            <w:r>
              <w:rPr>
                <w:rFonts w:ascii="宋体" w:hAnsi="宋体" w:cs="宋体" w:eastAsia="宋体" w:hint="default"/>
                <w:spacing w:val="-3"/>
                <w:sz w:val="18"/>
                <w:szCs w:val="18"/>
              </w:rPr>
              <w:t>现金分红政策的专项说明</w:t>
            </w:r>
          </w:p>
        </w:tc>
      </w:tr>
      <w:tr>
        <w:trPr>
          <w:trHeight w:val="408"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1" w:right="0"/>
              <w:jc w:val="left"/>
              <w:rPr>
                <w:rFonts w:ascii="宋体" w:hAnsi="宋体" w:cs="宋体" w:eastAsia="宋体" w:hint="default"/>
                <w:sz w:val="18"/>
                <w:szCs w:val="18"/>
              </w:rPr>
            </w:pPr>
            <w:r>
              <w:rPr>
                <w:rFonts w:ascii="宋体" w:hAnsi="宋体" w:cs="宋体" w:eastAsia="宋体" w:hint="default"/>
                <w:spacing w:val="-3"/>
                <w:sz w:val="18"/>
                <w:szCs w:val="18"/>
              </w:rPr>
              <w:t>是否符合公司章程的规定或股东大会决议的要求：</w:t>
            </w:r>
          </w:p>
        </w:tc>
        <w:tc>
          <w:tcPr>
            <w:tcW w:w="479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8"/>
              <w:ind w:left="28"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398"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分红标准和比例是否明确和清晰：</w:t>
            </w:r>
          </w:p>
        </w:tc>
        <w:tc>
          <w:tcPr>
            <w:tcW w:w="479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3"/>
              <w:ind w:left="28"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403"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相关的决策程序和机制是否完备：</w:t>
            </w:r>
          </w:p>
        </w:tc>
        <w:tc>
          <w:tcPr>
            <w:tcW w:w="479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3"/>
              <w:ind w:left="28"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403"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独立董事是否履职尽责并发挥了应有的作用：</w:t>
            </w:r>
          </w:p>
        </w:tc>
        <w:tc>
          <w:tcPr>
            <w:tcW w:w="479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3"/>
              <w:ind w:left="28"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5"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53"/>
              <w:jc w:val="left"/>
              <w:rPr>
                <w:rFonts w:ascii="宋体" w:hAnsi="宋体" w:cs="宋体" w:eastAsia="宋体" w:hint="default"/>
                <w:sz w:val="18"/>
                <w:szCs w:val="18"/>
              </w:rPr>
            </w:pPr>
            <w:r>
              <w:rPr>
                <w:rFonts w:ascii="宋体" w:hAnsi="宋体" w:cs="宋体" w:eastAsia="宋体" w:hint="default"/>
                <w:spacing w:val="-3"/>
                <w:sz w:val="18"/>
                <w:szCs w:val="18"/>
              </w:rPr>
              <w:t>中小股东是否有充分表达意见和诉求的机会，其合法权益是</w:t>
            </w:r>
            <w:r>
              <w:rPr>
                <w:rFonts w:ascii="宋体" w:hAnsi="宋体" w:cs="宋体" w:eastAsia="宋体" w:hint="default"/>
                <w:spacing w:val="-11"/>
                <w:sz w:val="18"/>
                <w:szCs w:val="18"/>
              </w:rPr>
              <w:t> </w:t>
            </w:r>
            <w:r>
              <w:rPr>
                <w:rFonts w:ascii="宋体" w:hAnsi="宋体" w:cs="宋体" w:eastAsia="宋体" w:hint="default"/>
                <w:spacing w:val="-11"/>
                <w:sz w:val="18"/>
                <w:szCs w:val="18"/>
              </w:rPr>
            </w:r>
            <w:r>
              <w:rPr>
                <w:rFonts w:ascii="宋体" w:hAnsi="宋体" w:cs="宋体" w:eastAsia="宋体" w:hint="default"/>
                <w:spacing w:val="-3"/>
                <w:sz w:val="18"/>
                <w:szCs w:val="18"/>
              </w:rPr>
              <w:t>否得到了充分保护：</w:t>
            </w:r>
          </w:p>
        </w:tc>
        <w:tc>
          <w:tcPr>
            <w:tcW w:w="479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5"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53"/>
              <w:jc w:val="left"/>
              <w:rPr>
                <w:rFonts w:ascii="宋体" w:hAnsi="宋体" w:cs="宋体" w:eastAsia="宋体" w:hint="default"/>
                <w:sz w:val="18"/>
                <w:szCs w:val="18"/>
              </w:rPr>
            </w:pPr>
            <w:r>
              <w:rPr>
                <w:rFonts w:ascii="宋体" w:hAnsi="宋体" w:cs="宋体" w:eastAsia="宋体" w:hint="default"/>
                <w:spacing w:val="-3"/>
                <w:sz w:val="18"/>
                <w:szCs w:val="18"/>
              </w:rPr>
              <w:t>现金分红政策进行调整或变更的，条件及程序是否合规、透</w:t>
            </w:r>
            <w:r>
              <w:rPr>
                <w:rFonts w:ascii="宋体" w:hAnsi="宋体" w:cs="宋体" w:eastAsia="宋体" w:hint="default"/>
                <w:spacing w:val="-11"/>
                <w:sz w:val="18"/>
                <w:szCs w:val="18"/>
              </w:rPr>
              <w:t> </w:t>
            </w:r>
            <w:r>
              <w:rPr>
                <w:rFonts w:ascii="宋体" w:hAnsi="宋体" w:cs="宋体" w:eastAsia="宋体" w:hint="default"/>
                <w:spacing w:val="-11"/>
                <w:sz w:val="18"/>
                <w:szCs w:val="18"/>
              </w:rPr>
            </w:r>
            <w:r>
              <w:rPr>
                <w:rFonts w:ascii="宋体" w:hAnsi="宋体" w:cs="宋体" w:eastAsia="宋体" w:hint="default"/>
                <w:sz w:val="18"/>
                <w:szCs w:val="18"/>
              </w:rPr>
              <w:t>明：</w:t>
            </w:r>
          </w:p>
        </w:tc>
        <w:tc>
          <w:tcPr>
            <w:tcW w:w="479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w w:val="101"/>
          <w:sz w:val="18"/>
          <w:szCs w:val="18"/>
        </w:rPr>
        <w:t>公司近</w:t>
      </w:r>
      <w:r>
        <w:rPr>
          <w:rFonts w:ascii="宋体" w:hAnsi="宋体" w:cs="宋体" w:eastAsia="宋体" w:hint="default"/>
          <w:spacing w:val="-47"/>
          <w:sz w:val="18"/>
          <w:szCs w:val="18"/>
        </w:rPr>
        <w:t> </w:t>
      </w:r>
      <w:r>
        <w:rPr>
          <w:rFonts w:ascii="Times New Roman" w:hAnsi="Times New Roman" w:cs="Times New Roman" w:eastAsia="Times New Roman" w:hint="default"/>
          <w:w w:val="101"/>
          <w:sz w:val="18"/>
          <w:szCs w:val="18"/>
        </w:rPr>
        <w:t>3</w:t>
      </w:r>
      <w:r>
        <w:rPr>
          <w:rFonts w:ascii="Times New Roman" w:hAnsi="Times New Roman" w:cs="Times New Roman" w:eastAsia="Times New Roman" w:hint="default"/>
          <w:spacing w:val="-7"/>
          <w:sz w:val="18"/>
          <w:szCs w:val="18"/>
        </w:rPr>
        <w:t> </w:t>
      </w:r>
      <w:r>
        <w:rPr>
          <w:rFonts w:ascii="宋体" w:hAnsi="宋体" w:cs="宋体" w:eastAsia="宋体" w:hint="default"/>
          <w:w w:val="101"/>
          <w:sz w:val="18"/>
          <w:szCs w:val="18"/>
        </w:rPr>
        <w:t>年</w:t>
      </w:r>
      <w:r>
        <w:rPr>
          <w:rFonts w:ascii="宋体" w:hAnsi="宋体" w:cs="宋体" w:eastAsia="宋体" w:hint="default"/>
          <w:spacing w:val="-5"/>
          <w:w w:val="101"/>
          <w:sz w:val="18"/>
          <w:szCs w:val="18"/>
        </w:rPr>
        <w:t>（</w:t>
      </w:r>
      <w:r>
        <w:rPr>
          <w:rFonts w:ascii="宋体" w:hAnsi="宋体" w:cs="宋体" w:eastAsia="宋体" w:hint="default"/>
          <w:w w:val="101"/>
          <w:sz w:val="18"/>
          <w:szCs w:val="18"/>
        </w:rPr>
        <w:t>包</w:t>
      </w:r>
      <w:r>
        <w:rPr>
          <w:rFonts w:ascii="宋体" w:hAnsi="宋体" w:cs="宋体" w:eastAsia="宋体" w:hint="default"/>
          <w:spacing w:val="-5"/>
          <w:w w:val="101"/>
          <w:sz w:val="18"/>
          <w:szCs w:val="18"/>
        </w:rPr>
        <w:t>括</w:t>
      </w:r>
      <w:r>
        <w:rPr>
          <w:rFonts w:ascii="宋体" w:hAnsi="宋体" w:cs="宋体" w:eastAsia="宋体" w:hint="default"/>
          <w:w w:val="101"/>
          <w:sz w:val="18"/>
          <w:szCs w:val="18"/>
        </w:rPr>
        <w:t>本</w:t>
      </w:r>
      <w:r>
        <w:rPr>
          <w:rFonts w:ascii="宋体" w:hAnsi="宋体" w:cs="宋体" w:eastAsia="宋体" w:hint="default"/>
          <w:spacing w:val="-5"/>
          <w:w w:val="101"/>
          <w:sz w:val="18"/>
          <w:szCs w:val="18"/>
        </w:rPr>
        <w:t>报</w:t>
      </w:r>
      <w:r>
        <w:rPr>
          <w:rFonts w:ascii="宋体" w:hAnsi="宋体" w:cs="宋体" w:eastAsia="宋体" w:hint="default"/>
          <w:w w:val="101"/>
          <w:sz w:val="18"/>
          <w:szCs w:val="18"/>
        </w:rPr>
        <w:t>告</w:t>
      </w:r>
      <w:r>
        <w:rPr>
          <w:rFonts w:ascii="宋体" w:hAnsi="宋体" w:cs="宋体" w:eastAsia="宋体" w:hint="default"/>
          <w:spacing w:val="-5"/>
          <w:w w:val="101"/>
          <w:sz w:val="18"/>
          <w:szCs w:val="18"/>
        </w:rPr>
        <w:t>期</w:t>
      </w:r>
      <w:r>
        <w:rPr>
          <w:rFonts w:ascii="宋体" w:hAnsi="宋体" w:cs="宋体" w:eastAsia="宋体" w:hint="default"/>
          <w:w w:val="101"/>
          <w:sz w:val="18"/>
          <w:szCs w:val="18"/>
        </w:rPr>
        <w:t>）</w:t>
      </w:r>
      <w:r>
        <w:rPr>
          <w:rFonts w:ascii="宋体" w:hAnsi="宋体" w:cs="宋体" w:eastAsia="宋体" w:hint="default"/>
          <w:spacing w:val="-5"/>
          <w:w w:val="101"/>
          <w:sz w:val="18"/>
          <w:szCs w:val="18"/>
        </w:rPr>
        <w:t>的</w:t>
      </w:r>
      <w:r>
        <w:rPr>
          <w:rFonts w:ascii="宋体" w:hAnsi="宋体" w:cs="宋体" w:eastAsia="宋体" w:hint="default"/>
          <w:w w:val="101"/>
          <w:sz w:val="18"/>
          <w:szCs w:val="18"/>
        </w:rPr>
        <w:t>普</w:t>
      </w:r>
      <w:r>
        <w:rPr>
          <w:rFonts w:ascii="宋体" w:hAnsi="宋体" w:cs="宋体" w:eastAsia="宋体" w:hint="default"/>
          <w:spacing w:val="-5"/>
          <w:w w:val="101"/>
          <w:sz w:val="18"/>
          <w:szCs w:val="18"/>
        </w:rPr>
        <w:t>通</w:t>
      </w:r>
      <w:r>
        <w:rPr>
          <w:rFonts w:ascii="宋体" w:hAnsi="宋体" w:cs="宋体" w:eastAsia="宋体" w:hint="default"/>
          <w:w w:val="101"/>
          <w:sz w:val="18"/>
          <w:szCs w:val="18"/>
        </w:rPr>
        <w:t>股</w:t>
      </w:r>
      <w:r>
        <w:rPr>
          <w:rFonts w:ascii="宋体" w:hAnsi="宋体" w:cs="宋体" w:eastAsia="宋体" w:hint="default"/>
          <w:spacing w:val="-5"/>
          <w:w w:val="101"/>
          <w:sz w:val="18"/>
          <w:szCs w:val="18"/>
        </w:rPr>
        <w:t>股</w:t>
      </w:r>
      <w:r>
        <w:rPr>
          <w:rFonts w:ascii="宋体" w:hAnsi="宋体" w:cs="宋体" w:eastAsia="宋体" w:hint="default"/>
          <w:w w:val="101"/>
          <w:sz w:val="18"/>
          <w:szCs w:val="18"/>
        </w:rPr>
        <w:t>利</w:t>
      </w:r>
      <w:r>
        <w:rPr>
          <w:rFonts w:ascii="宋体" w:hAnsi="宋体" w:cs="宋体" w:eastAsia="宋体" w:hint="default"/>
          <w:spacing w:val="-5"/>
          <w:w w:val="101"/>
          <w:sz w:val="18"/>
          <w:szCs w:val="18"/>
        </w:rPr>
        <w:t>分</w:t>
      </w:r>
      <w:r>
        <w:rPr>
          <w:rFonts w:ascii="宋体" w:hAnsi="宋体" w:cs="宋体" w:eastAsia="宋体" w:hint="default"/>
          <w:w w:val="101"/>
          <w:sz w:val="18"/>
          <w:szCs w:val="18"/>
        </w:rPr>
        <w:t>配</w:t>
      </w:r>
      <w:r>
        <w:rPr>
          <w:rFonts w:ascii="宋体" w:hAnsi="宋体" w:cs="宋体" w:eastAsia="宋体" w:hint="default"/>
          <w:spacing w:val="-5"/>
          <w:w w:val="101"/>
          <w:sz w:val="18"/>
          <w:szCs w:val="18"/>
        </w:rPr>
        <w:t>方</w:t>
      </w:r>
      <w:r>
        <w:rPr>
          <w:rFonts w:ascii="宋体" w:hAnsi="宋体" w:cs="宋体" w:eastAsia="宋体" w:hint="default"/>
          <w:w w:val="101"/>
          <w:sz w:val="18"/>
          <w:szCs w:val="18"/>
        </w:rPr>
        <w:t>案</w:t>
      </w:r>
      <w:r>
        <w:rPr>
          <w:rFonts w:ascii="宋体" w:hAnsi="宋体" w:cs="宋体" w:eastAsia="宋体" w:hint="default"/>
          <w:spacing w:val="-5"/>
          <w:w w:val="101"/>
          <w:sz w:val="18"/>
          <w:szCs w:val="18"/>
        </w:rPr>
        <w:t>（</w:t>
      </w:r>
      <w:r>
        <w:rPr>
          <w:rFonts w:ascii="宋体" w:hAnsi="宋体" w:cs="宋体" w:eastAsia="宋体" w:hint="default"/>
          <w:w w:val="101"/>
          <w:sz w:val="18"/>
          <w:szCs w:val="18"/>
        </w:rPr>
        <w:t>预案</w:t>
      </w:r>
      <w:r>
        <w:rPr>
          <w:rFonts w:ascii="宋体" w:hAnsi="宋体" w:cs="宋体" w:eastAsia="宋体" w:hint="default"/>
          <w:spacing w:val="-96"/>
          <w:w w:val="101"/>
          <w:sz w:val="18"/>
          <w:szCs w:val="18"/>
        </w:rPr>
        <w:t>）</w:t>
      </w:r>
      <w:r>
        <w:rPr>
          <w:rFonts w:ascii="宋体" w:hAnsi="宋体" w:cs="宋体" w:eastAsia="宋体" w:hint="default"/>
          <w:w w:val="101"/>
          <w:sz w:val="18"/>
          <w:szCs w:val="18"/>
        </w:rPr>
        <w:t>、</w:t>
      </w:r>
      <w:r>
        <w:rPr>
          <w:rFonts w:ascii="宋体" w:hAnsi="宋体" w:cs="宋体" w:eastAsia="宋体" w:hint="default"/>
          <w:spacing w:val="-5"/>
          <w:w w:val="101"/>
          <w:sz w:val="18"/>
          <w:szCs w:val="18"/>
        </w:rPr>
        <w:t>资</w:t>
      </w:r>
      <w:r>
        <w:rPr>
          <w:rFonts w:ascii="宋体" w:hAnsi="宋体" w:cs="宋体" w:eastAsia="宋体" w:hint="default"/>
          <w:w w:val="101"/>
          <w:sz w:val="18"/>
          <w:szCs w:val="18"/>
        </w:rPr>
        <w:t>本</w:t>
      </w:r>
      <w:r>
        <w:rPr>
          <w:rFonts w:ascii="宋体" w:hAnsi="宋体" w:cs="宋体" w:eastAsia="宋体" w:hint="default"/>
          <w:spacing w:val="-5"/>
          <w:w w:val="101"/>
          <w:sz w:val="18"/>
          <w:szCs w:val="18"/>
        </w:rPr>
        <w:t>公</w:t>
      </w:r>
      <w:r>
        <w:rPr>
          <w:rFonts w:ascii="宋体" w:hAnsi="宋体" w:cs="宋体" w:eastAsia="宋体" w:hint="default"/>
          <w:w w:val="101"/>
          <w:sz w:val="18"/>
          <w:szCs w:val="18"/>
        </w:rPr>
        <w:t>积</w:t>
      </w:r>
      <w:r>
        <w:rPr>
          <w:rFonts w:ascii="宋体" w:hAnsi="宋体" w:cs="宋体" w:eastAsia="宋体" w:hint="default"/>
          <w:spacing w:val="-5"/>
          <w:w w:val="101"/>
          <w:sz w:val="18"/>
          <w:szCs w:val="18"/>
        </w:rPr>
        <w:t>金</w:t>
      </w:r>
      <w:r>
        <w:rPr>
          <w:rFonts w:ascii="宋体" w:hAnsi="宋体" w:cs="宋体" w:eastAsia="宋体" w:hint="default"/>
          <w:w w:val="101"/>
          <w:sz w:val="18"/>
          <w:szCs w:val="18"/>
        </w:rPr>
        <w:t>转</w:t>
      </w:r>
      <w:r>
        <w:rPr>
          <w:rFonts w:ascii="宋体" w:hAnsi="宋体" w:cs="宋体" w:eastAsia="宋体" w:hint="default"/>
          <w:spacing w:val="-5"/>
          <w:w w:val="101"/>
          <w:sz w:val="18"/>
          <w:szCs w:val="18"/>
        </w:rPr>
        <w:t>增</w:t>
      </w:r>
      <w:r>
        <w:rPr>
          <w:rFonts w:ascii="宋体" w:hAnsi="宋体" w:cs="宋体" w:eastAsia="宋体" w:hint="default"/>
          <w:w w:val="101"/>
          <w:sz w:val="18"/>
          <w:szCs w:val="18"/>
        </w:rPr>
        <w:t>股</w:t>
      </w:r>
      <w:r>
        <w:rPr>
          <w:rFonts w:ascii="宋体" w:hAnsi="宋体" w:cs="宋体" w:eastAsia="宋体" w:hint="default"/>
          <w:spacing w:val="-5"/>
          <w:w w:val="101"/>
          <w:sz w:val="18"/>
          <w:szCs w:val="18"/>
        </w:rPr>
        <w:t>本</w:t>
      </w:r>
      <w:r>
        <w:rPr>
          <w:rFonts w:ascii="宋体" w:hAnsi="宋体" w:cs="宋体" w:eastAsia="宋体" w:hint="default"/>
          <w:w w:val="101"/>
          <w:sz w:val="18"/>
          <w:szCs w:val="18"/>
        </w:rPr>
        <w:t>方</w:t>
      </w:r>
      <w:r>
        <w:rPr>
          <w:rFonts w:ascii="宋体" w:hAnsi="宋体" w:cs="宋体" w:eastAsia="宋体" w:hint="default"/>
          <w:spacing w:val="-5"/>
          <w:w w:val="101"/>
          <w:sz w:val="18"/>
          <w:szCs w:val="18"/>
        </w:rPr>
        <w:t>案</w:t>
      </w:r>
      <w:r>
        <w:rPr>
          <w:rFonts w:ascii="宋体" w:hAnsi="宋体" w:cs="宋体" w:eastAsia="宋体" w:hint="default"/>
          <w:w w:val="101"/>
          <w:sz w:val="18"/>
          <w:szCs w:val="18"/>
        </w:rPr>
        <w:t>（</w:t>
      </w:r>
      <w:r>
        <w:rPr>
          <w:rFonts w:ascii="宋体" w:hAnsi="宋体" w:cs="宋体" w:eastAsia="宋体" w:hint="default"/>
          <w:spacing w:val="-5"/>
          <w:w w:val="101"/>
          <w:sz w:val="18"/>
          <w:szCs w:val="18"/>
        </w:rPr>
        <w:t>预</w:t>
      </w:r>
      <w:r>
        <w:rPr>
          <w:rFonts w:ascii="宋体" w:hAnsi="宋体" w:cs="宋体" w:eastAsia="宋体" w:hint="default"/>
          <w:w w:val="101"/>
          <w:sz w:val="18"/>
          <w:szCs w:val="18"/>
        </w:rPr>
        <w:t>案</w:t>
      </w:r>
      <w:r>
        <w:rPr>
          <w:rFonts w:ascii="宋体" w:hAnsi="宋体" w:cs="宋体" w:eastAsia="宋体" w:hint="default"/>
          <w:spacing w:val="-5"/>
          <w:w w:val="101"/>
          <w:sz w:val="18"/>
          <w:szCs w:val="18"/>
        </w:rPr>
        <w:t>）</w:t>
      </w:r>
      <w:r>
        <w:rPr>
          <w:rFonts w:ascii="宋体" w:hAnsi="宋体" w:cs="宋体" w:eastAsia="宋体" w:hint="default"/>
          <w:w w:val="101"/>
          <w:sz w:val="18"/>
          <w:szCs w:val="18"/>
        </w:rPr>
        <w:t>情况</w:t>
      </w:r>
      <w:r>
        <w:rPr>
          <w:rFonts w:ascii="宋体" w:hAnsi="宋体" w:cs="宋体" w:eastAsia="宋体" w:hint="default"/>
          <w:sz w:val="18"/>
          <w:szCs w:val="18"/>
        </w:rPr>
      </w:r>
    </w:p>
    <w:p>
      <w:pPr>
        <w:pStyle w:val="BodyText"/>
        <w:spacing w:line="240" w:lineRule="auto" w:before="71"/>
        <w:ind w:left="575" w:right="0"/>
        <w:jc w:val="left"/>
      </w:pPr>
      <w:r>
        <w:rPr/>
        <w:t>（</w:t>
      </w:r>
      <w:r>
        <w:rPr>
          <w:rFonts w:ascii="Times New Roman" w:hAnsi="Times New Roman" w:cs="Times New Roman" w:eastAsia="Times New Roman" w:hint="default"/>
        </w:rPr>
        <w:t>1</w:t>
      </w:r>
      <w:r>
        <w:rPr/>
        <w:t>）</w:t>
      </w:r>
      <w:r>
        <w:rPr>
          <w:rFonts w:ascii="Times New Roman" w:hAnsi="Times New Roman" w:cs="Times New Roman" w:eastAsia="Times New Roman" w:hint="default"/>
        </w:rPr>
        <w:t>2013</w:t>
      </w:r>
      <w:r>
        <w:rPr/>
        <w:t>年利润分配方案为：以</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日总股本</w:t>
      </w:r>
      <w:r>
        <w:rPr>
          <w:rFonts w:ascii="Times New Roman" w:hAnsi="Times New Roman" w:cs="Times New Roman" w:eastAsia="Times New Roman" w:hint="default"/>
        </w:rPr>
        <w:t>29,818.60</w:t>
      </w:r>
      <w:r>
        <w:rPr/>
        <w:t>万股为基数，每</w:t>
      </w:r>
      <w:r>
        <w:rPr>
          <w:rFonts w:ascii="Times New Roman" w:hAnsi="Times New Roman" w:cs="Times New Roman" w:eastAsia="Times New Roman" w:hint="default"/>
        </w:rPr>
        <w:t>10</w:t>
      </w:r>
      <w:r>
        <w:rPr/>
        <w:t>股分配现金股利</w:t>
      </w:r>
    </w:p>
    <w:p>
      <w:pPr>
        <w:pStyle w:val="BodyText"/>
        <w:spacing w:line="240" w:lineRule="auto" w:before="21"/>
        <w:ind w:right="0"/>
        <w:jc w:val="left"/>
      </w:pPr>
      <w:r>
        <w:rPr>
          <w:rFonts w:ascii="Times New Roman" w:hAnsi="Times New Roman" w:cs="Times New Roman" w:eastAsia="Times New Roman" w:hint="default"/>
        </w:rPr>
        <w:t>0.35</w:t>
      </w:r>
      <w:r>
        <w:rPr/>
        <w:t>元（含税），合计派发现金股利</w:t>
      </w:r>
      <w:r>
        <w:rPr>
          <w:rFonts w:ascii="Times New Roman" w:hAnsi="Times New Roman" w:cs="Times New Roman" w:eastAsia="Times New Roman" w:hint="default"/>
        </w:rPr>
        <w:t>1043.65</w:t>
      </w:r>
      <w:r>
        <w:rPr/>
        <w:t>万元，剩余未分配利润结转至下一年度。</w:t>
      </w:r>
    </w:p>
    <w:p>
      <w:pPr>
        <w:spacing w:after="0" w:line="240" w:lineRule="auto"/>
        <w:jc w:val="left"/>
        <w:sectPr>
          <w:pgSz w:w="11900" w:h="16840"/>
          <w:pgMar w:header="742" w:footer="984" w:top="1060" w:bottom="1180" w:left="980" w:right="920"/>
        </w:sectPr>
      </w:pPr>
    </w:p>
    <w:p>
      <w:pPr>
        <w:spacing w:line="240" w:lineRule="auto" w:before="12"/>
        <w:rPr>
          <w:rFonts w:ascii="宋体" w:hAnsi="宋体" w:cs="宋体" w:eastAsia="宋体" w:hint="default"/>
          <w:sz w:val="24"/>
          <w:szCs w:val="24"/>
        </w:rPr>
      </w:pPr>
    </w:p>
    <w:p>
      <w:pPr>
        <w:pStyle w:val="BodyText"/>
        <w:spacing w:line="256" w:lineRule="auto" w:before="36"/>
        <w:ind w:right="0" w:firstLine="422"/>
        <w:jc w:val="left"/>
      </w:pP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2014</w:t>
      </w:r>
      <w:r>
        <w:rPr/>
        <w:t>年利润分配预案为：公司</w:t>
      </w:r>
      <w:r>
        <w:rPr>
          <w:rFonts w:ascii="Times New Roman" w:hAnsi="Times New Roman" w:cs="Times New Roman" w:eastAsia="Times New Roman" w:hint="default"/>
        </w:rPr>
        <w:t>2014</w:t>
      </w:r>
      <w:r>
        <w:rPr/>
        <w:t>年度不派发现金红利，不以资本公积金转增股本，不以未分</w:t>
      </w:r>
      <w:r>
        <w:rPr>
          <w:w w:val="100"/>
        </w:rPr>
        <w:t> </w:t>
      </w:r>
      <w:r>
        <w:rPr/>
        <w:t>配利润送股，留存收益全部用于公司日常生产经营。</w:t>
      </w:r>
    </w:p>
    <w:p>
      <w:pPr>
        <w:pStyle w:val="BodyText"/>
        <w:spacing w:line="256" w:lineRule="auto" w:before="22"/>
        <w:ind w:right="0" w:firstLine="422"/>
        <w:jc w:val="left"/>
      </w:pPr>
      <w:r>
        <w:rPr/>
        <w:t>（</w:t>
      </w:r>
      <w:r>
        <w:rPr>
          <w:rFonts w:ascii="Times New Roman" w:hAnsi="Times New Roman" w:cs="Times New Roman" w:eastAsia="Times New Roman" w:hint="default"/>
        </w:rPr>
        <w:t>3</w:t>
      </w:r>
      <w:r>
        <w:rPr/>
        <w:t>）</w:t>
      </w:r>
      <w:r>
        <w:rPr>
          <w:rFonts w:ascii="Times New Roman" w:hAnsi="Times New Roman" w:cs="Times New Roman" w:eastAsia="Times New Roman" w:hint="default"/>
        </w:rPr>
        <w:t>2015</w:t>
      </w:r>
      <w:r>
        <w:rPr/>
        <w:t>年利润分配预案为：公司</w:t>
      </w:r>
      <w:r>
        <w:rPr>
          <w:rFonts w:ascii="Times New Roman" w:hAnsi="Times New Roman" w:cs="Times New Roman" w:eastAsia="Times New Roman" w:hint="default"/>
        </w:rPr>
        <w:t>2015</w:t>
      </w:r>
      <w:r>
        <w:rPr/>
        <w:t>年度不派发现金红利，不以资本公积金转增股本，不以未分</w:t>
      </w:r>
      <w:r>
        <w:rPr>
          <w:w w:val="100"/>
        </w:rPr>
        <w:t> </w:t>
      </w:r>
      <w:r>
        <w:rPr/>
        <w:t>配利润送股，留存收益全部用于公司日常生产经营。</w:t>
      </w:r>
    </w:p>
    <w:p>
      <w:pPr>
        <w:spacing w:line="240" w:lineRule="auto" w:before="3"/>
        <w:rPr>
          <w:rFonts w:ascii="宋体" w:hAnsi="宋体" w:cs="宋体" w:eastAsia="宋体" w:hint="default"/>
          <w:sz w:val="27"/>
          <w:szCs w:val="27"/>
        </w:rPr>
      </w:pPr>
    </w:p>
    <w:p>
      <w:pPr>
        <w:spacing w:before="46"/>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公司近三年（包括本报告期）普通股现金分红情况表</w:t>
      </w:r>
    </w:p>
    <w:p>
      <w:pPr>
        <w:spacing w:before="119"/>
        <w:ind w:left="0" w:right="146" w:firstLine="0"/>
        <w:jc w:val="right"/>
        <w:rPr>
          <w:rFonts w:ascii="宋体" w:hAnsi="宋体" w:cs="宋体" w:eastAsia="宋体" w:hint="default"/>
          <w:sz w:val="18"/>
          <w:szCs w:val="18"/>
        </w:rPr>
      </w:pPr>
      <w:r>
        <w:rPr>
          <w:rFonts w:ascii="宋体" w:hAnsi="宋体" w:cs="宋体" w:eastAsia="宋体" w:hint="default"/>
          <w:spacing w:val="-2"/>
          <w:sz w:val="18"/>
          <w:szCs w:val="18"/>
        </w:rPr>
        <w:t>单位：元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98"/>
        <w:gridCol w:w="1594"/>
        <w:gridCol w:w="1594"/>
        <w:gridCol w:w="1594"/>
        <w:gridCol w:w="1594"/>
        <w:gridCol w:w="1594"/>
      </w:tblGrid>
      <w:tr>
        <w:trPr>
          <w:trHeight w:val="317" w:hRule="exact"/>
        </w:trPr>
        <w:tc>
          <w:tcPr>
            <w:tcW w:w="1598" w:type="dxa"/>
            <w:vMerge w:val="restart"/>
            <w:tcBorders>
              <w:top w:val="single" w:sz="4" w:space="0" w:color="000000"/>
              <w:left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nil" w:sz="6" w:space="0" w:color="auto"/>
              <w:right w:val="single" w:sz="4" w:space="0" w:color="000000"/>
            </w:tcBorders>
            <w:shd w:val="clear" w:color="auto" w:fill="D2D2D2"/>
          </w:tcPr>
          <w:p>
            <w:pPr/>
          </w:p>
        </w:tc>
        <w:tc>
          <w:tcPr>
            <w:tcW w:w="1594"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3"/>
              <w:ind w:right="70"/>
              <w:jc w:val="right"/>
              <w:rPr>
                <w:rFonts w:ascii="宋体" w:hAnsi="宋体" w:cs="宋体" w:eastAsia="宋体" w:hint="default"/>
                <w:sz w:val="18"/>
                <w:szCs w:val="18"/>
              </w:rPr>
            </w:pPr>
            <w:r>
              <w:rPr>
                <w:rFonts w:ascii="宋体" w:hAnsi="宋体" w:cs="宋体" w:eastAsia="宋体" w:hint="default"/>
                <w:spacing w:val="-2"/>
                <w:sz w:val="18"/>
                <w:szCs w:val="18"/>
              </w:rPr>
              <w:t>分红年度合并报表</w:t>
            </w:r>
          </w:p>
        </w:tc>
        <w:tc>
          <w:tcPr>
            <w:tcW w:w="1594"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3"/>
              <w:ind w:left="71" w:right="0"/>
              <w:jc w:val="left"/>
              <w:rPr>
                <w:rFonts w:ascii="宋体" w:hAnsi="宋体" w:cs="宋体" w:eastAsia="宋体" w:hint="default"/>
                <w:sz w:val="18"/>
                <w:szCs w:val="18"/>
              </w:rPr>
            </w:pPr>
            <w:r>
              <w:rPr>
                <w:rFonts w:ascii="宋体" w:hAnsi="宋体" w:cs="宋体" w:eastAsia="宋体" w:hint="default"/>
                <w:sz w:val="18"/>
                <w:szCs w:val="18"/>
              </w:rPr>
              <w:t>占合并报表中归属</w:t>
            </w:r>
          </w:p>
        </w:tc>
        <w:tc>
          <w:tcPr>
            <w:tcW w:w="1594" w:type="dxa"/>
            <w:tcBorders>
              <w:top w:val="single" w:sz="4" w:space="0" w:color="000000"/>
              <w:left w:val="single" w:sz="4" w:space="0" w:color="000000"/>
              <w:bottom w:val="nil" w:sz="6" w:space="0" w:color="auto"/>
              <w:right w:val="single" w:sz="4" w:space="0" w:color="000000"/>
            </w:tcBorders>
            <w:shd w:val="clear" w:color="auto" w:fill="D2D2D2"/>
          </w:tcPr>
          <w:p>
            <w:pPr/>
          </w:p>
        </w:tc>
        <w:tc>
          <w:tcPr>
            <w:tcW w:w="159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3" w:hRule="exact"/>
        </w:trPr>
        <w:tc>
          <w:tcPr>
            <w:tcW w:w="1598" w:type="dxa"/>
            <w:vMerge/>
            <w:tcBorders>
              <w:left w:val="single" w:sz="4" w:space="0" w:color="000000"/>
              <w:bottom w:val="nil" w:sz="6" w:space="0" w:color="auto"/>
              <w:right w:val="single" w:sz="4" w:space="0" w:color="000000"/>
            </w:tcBorders>
            <w:shd w:val="clear" w:color="auto" w:fill="D2D2D2"/>
          </w:tcPr>
          <w:p>
            <w:pPr/>
          </w:p>
        </w:tc>
        <w:tc>
          <w:tcPr>
            <w:tcW w:w="15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67" w:right="0"/>
              <w:jc w:val="left"/>
              <w:rPr>
                <w:rFonts w:ascii="宋体" w:hAnsi="宋体" w:cs="宋体" w:eastAsia="宋体" w:hint="default"/>
                <w:sz w:val="18"/>
                <w:szCs w:val="18"/>
              </w:rPr>
            </w:pPr>
            <w:r>
              <w:rPr>
                <w:rFonts w:ascii="宋体" w:hAnsi="宋体" w:cs="宋体" w:eastAsia="宋体" w:hint="default"/>
                <w:sz w:val="18"/>
                <w:szCs w:val="18"/>
              </w:rPr>
              <w:t>现金分红金额（含</w:t>
            </w:r>
          </w:p>
        </w:tc>
        <w:tc>
          <w:tcPr>
            <w:tcW w:w="15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8"/>
              <w:ind w:left="67" w:right="0"/>
              <w:jc w:val="left"/>
              <w:rPr>
                <w:rFonts w:ascii="宋体" w:hAnsi="宋体" w:cs="宋体" w:eastAsia="宋体" w:hint="default"/>
                <w:sz w:val="18"/>
                <w:szCs w:val="18"/>
              </w:rPr>
            </w:pPr>
            <w:r>
              <w:rPr>
                <w:rFonts w:ascii="宋体" w:hAnsi="宋体" w:cs="宋体" w:eastAsia="宋体" w:hint="default"/>
                <w:sz w:val="18"/>
                <w:szCs w:val="18"/>
              </w:rPr>
              <w:t>中归属于上市公司</w:t>
            </w:r>
          </w:p>
        </w:tc>
        <w:tc>
          <w:tcPr>
            <w:tcW w:w="15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8"/>
              <w:ind w:left="71" w:right="0"/>
              <w:jc w:val="left"/>
              <w:rPr>
                <w:rFonts w:ascii="宋体" w:hAnsi="宋体" w:cs="宋体" w:eastAsia="宋体" w:hint="default"/>
                <w:sz w:val="18"/>
                <w:szCs w:val="18"/>
              </w:rPr>
            </w:pPr>
            <w:r>
              <w:rPr>
                <w:rFonts w:ascii="宋体" w:hAnsi="宋体" w:cs="宋体" w:eastAsia="宋体" w:hint="default"/>
                <w:sz w:val="18"/>
                <w:szCs w:val="18"/>
              </w:rPr>
              <w:t>于上市公司普通股</w:t>
            </w:r>
          </w:p>
        </w:tc>
        <w:tc>
          <w:tcPr>
            <w:tcW w:w="15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71" w:right="0"/>
              <w:jc w:val="left"/>
              <w:rPr>
                <w:rFonts w:ascii="宋体" w:hAnsi="宋体" w:cs="宋体" w:eastAsia="宋体" w:hint="default"/>
                <w:sz w:val="18"/>
                <w:szCs w:val="18"/>
              </w:rPr>
            </w:pPr>
            <w:r>
              <w:rPr>
                <w:rFonts w:ascii="宋体" w:hAnsi="宋体" w:cs="宋体" w:eastAsia="宋体" w:hint="default"/>
                <w:sz w:val="18"/>
                <w:szCs w:val="18"/>
              </w:rPr>
              <w:t>以其他方式现金分</w:t>
            </w:r>
          </w:p>
        </w:tc>
        <w:tc>
          <w:tcPr>
            <w:tcW w:w="15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71" w:right="0"/>
              <w:jc w:val="left"/>
              <w:rPr>
                <w:rFonts w:ascii="宋体" w:hAnsi="宋体" w:cs="宋体" w:eastAsia="宋体" w:hint="default"/>
                <w:sz w:val="18"/>
                <w:szCs w:val="18"/>
              </w:rPr>
            </w:pPr>
            <w:r>
              <w:rPr>
                <w:rFonts w:ascii="宋体" w:hAnsi="宋体" w:cs="宋体" w:eastAsia="宋体" w:hint="default"/>
                <w:sz w:val="18"/>
                <w:szCs w:val="18"/>
              </w:rPr>
              <w:t>以其他方式现金分</w:t>
            </w:r>
          </w:p>
        </w:tc>
      </w:tr>
      <w:tr>
        <w:trPr>
          <w:trHeight w:val="198" w:hRule="exact"/>
        </w:trPr>
        <w:tc>
          <w:tcPr>
            <w:tcW w:w="159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432"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594" w:type="dxa"/>
            <w:vMerge/>
            <w:tcBorders>
              <w:left w:val="single" w:sz="4" w:space="0" w:color="000000"/>
              <w:bottom w:val="nil" w:sz="6" w:space="0" w:color="auto"/>
              <w:right w:val="single" w:sz="4" w:space="0" w:color="000000"/>
            </w:tcBorders>
            <w:shd w:val="clear" w:color="auto" w:fill="D2D2D2"/>
          </w:tcPr>
          <w:p>
            <w:pPr/>
          </w:p>
        </w:tc>
        <w:tc>
          <w:tcPr>
            <w:tcW w:w="1594" w:type="dxa"/>
            <w:vMerge/>
            <w:tcBorders>
              <w:left w:val="single" w:sz="4" w:space="0" w:color="000000"/>
              <w:bottom w:val="nil" w:sz="6" w:space="0" w:color="auto"/>
              <w:right w:val="single" w:sz="4" w:space="0" w:color="000000"/>
            </w:tcBorders>
            <w:shd w:val="clear" w:color="auto" w:fill="D2D2D2"/>
          </w:tcPr>
          <w:p>
            <w:pPr/>
          </w:p>
        </w:tc>
        <w:tc>
          <w:tcPr>
            <w:tcW w:w="1594" w:type="dxa"/>
            <w:vMerge/>
            <w:tcBorders>
              <w:left w:val="single" w:sz="4" w:space="0" w:color="000000"/>
              <w:bottom w:val="nil" w:sz="6" w:space="0" w:color="auto"/>
              <w:right w:val="single" w:sz="4" w:space="0" w:color="000000"/>
            </w:tcBorders>
            <w:shd w:val="clear" w:color="auto" w:fill="D2D2D2"/>
          </w:tcPr>
          <w:p>
            <w:pPr/>
          </w:p>
        </w:tc>
        <w:tc>
          <w:tcPr>
            <w:tcW w:w="1594" w:type="dxa"/>
            <w:vMerge/>
            <w:tcBorders>
              <w:left w:val="single" w:sz="4" w:space="0" w:color="000000"/>
              <w:bottom w:val="nil" w:sz="6" w:space="0" w:color="auto"/>
              <w:right w:val="single" w:sz="4" w:space="0" w:color="000000"/>
            </w:tcBorders>
            <w:shd w:val="clear" w:color="auto" w:fill="D2D2D2"/>
          </w:tcPr>
          <w:p>
            <w:pPr/>
          </w:p>
        </w:tc>
        <w:tc>
          <w:tcPr>
            <w:tcW w:w="1594" w:type="dxa"/>
            <w:vMerge/>
            <w:tcBorders>
              <w:left w:val="single" w:sz="4" w:space="0" w:color="000000"/>
              <w:bottom w:val="nil" w:sz="6" w:space="0" w:color="auto"/>
              <w:right w:val="single" w:sz="4" w:space="0" w:color="000000"/>
            </w:tcBorders>
            <w:shd w:val="clear" w:color="auto" w:fill="D2D2D2"/>
          </w:tcPr>
          <w:p>
            <w:pPr/>
          </w:p>
        </w:tc>
      </w:tr>
      <w:tr>
        <w:trPr>
          <w:trHeight w:val="195" w:hRule="exact"/>
        </w:trPr>
        <w:tc>
          <w:tcPr>
            <w:tcW w:w="1598" w:type="dxa"/>
            <w:vMerge/>
            <w:tcBorders>
              <w:left w:val="single" w:sz="4" w:space="0" w:color="000000"/>
              <w:bottom w:val="nil" w:sz="6" w:space="0" w:color="auto"/>
              <w:right w:val="single" w:sz="4" w:space="0" w:color="000000"/>
            </w:tcBorders>
            <w:shd w:val="clear" w:color="auto" w:fill="D2D2D2"/>
          </w:tcPr>
          <w:p>
            <w:pPr/>
          </w:p>
        </w:tc>
        <w:tc>
          <w:tcPr>
            <w:tcW w:w="15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3"/>
              <w:ind w:right="7"/>
              <w:jc w:val="center"/>
              <w:rPr>
                <w:rFonts w:ascii="宋体" w:hAnsi="宋体" w:cs="宋体" w:eastAsia="宋体" w:hint="default"/>
                <w:sz w:val="18"/>
                <w:szCs w:val="18"/>
              </w:rPr>
            </w:pPr>
            <w:r>
              <w:rPr>
                <w:rFonts w:ascii="宋体" w:hAnsi="宋体" w:cs="宋体" w:eastAsia="宋体" w:hint="default"/>
                <w:sz w:val="18"/>
                <w:szCs w:val="18"/>
              </w:rPr>
              <w:t>税）</w:t>
            </w:r>
          </w:p>
        </w:tc>
        <w:tc>
          <w:tcPr>
            <w:tcW w:w="15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9"/>
              <w:ind w:left="67" w:right="0"/>
              <w:jc w:val="left"/>
              <w:rPr>
                <w:rFonts w:ascii="宋体" w:hAnsi="宋体" w:cs="宋体" w:eastAsia="宋体" w:hint="default"/>
                <w:sz w:val="18"/>
                <w:szCs w:val="18"/>
              </w:rPr>
            </w:pPr>
            <w:r>
              <w:rPr>
                <w:rFonts w:ascii="宋体" w:hAnsi="宋体" w:cs="宋体" w:eastAsia="宋体" w:hint="default"/>
                <w:sz w:val="18"/>
                <w:szCs w:val="18"/>
              </w:rPr>
              <w:t>普通股股东的净利</w:t>
            </w:r>
          </w:p>
        </w:tc>
        <w:tc>
          <w:tcPr>
            <w:tcW w:w="15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9"/>
              <w:ind w:left="71" w:right="0"/>
              <w:jc w:val="left"/>
              <w:rPr>
                <w:rFonts w:ascii="宋体" w:hAnsi="宋体" w:cs="宋体" w:eastAsia="宋体" w:hint="default"/>
                <w:sz w:val="18"/>
                <w:szCs w:val="18"/>
              </w:rPr>
            </w:pPr>
            <w:r>
              <w:rPr>
                <w:rFonts w:ascii="宋体" w:hAnsi="宋体" w:cs="宋体" w:eastAsia="宋体" w:hint="default"/>
                <w:sz w:val="18"/>
                <w:szCs w:val="18"/>
              </w:rPr>
              <w:t>股东的净利润的比</w:t>
            </w:r>
          </w:p>
        </w:tc>
        <w:tc>
          <w:tcPr>
            <w:tcW w:w="15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3"/>
              <w:ind w:left="427" w:right="0"/>
              <w:jc w:val="left"/>
              <w:rPr>
                <w:rFonts w:ascii="宋体" w:hAnsi="宋体" w:cs="宋体" w:eastAsia="宋体" w:hint="default"/>
                <w:sz w:val="18"/>
                <w:szCs w:val="18"/>
              </w:rPr>
            </w:pPr>
            <w:r>
              <w:rPr>
                <w:rFonts w:ascii="宋体" w:hAnsi="宋体" w:cs="宋体" w:eastAsia="宋体" w:hint="default"/>
                <w:sz w:val="18"/>
                <w:szCs w:val="18"/>
              </w:rPr>
              <w:t>红的金额</w:t>
            </w:r>
          </w:p>
        </w:tc>
        <w:tc>
          <w:tcPr>
            <w:tcW w:w="15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3"/>
              <w:ind w:left="427" w:right="0"/>
              <w:jc w:val="left"/>
              <w:rPr>
                <w:rFonts w:ascii="宋体" w:hAnsi="宋体" w:cs="宋体" w:eastAsia="宋体" w:hint="default"/>
                <w:sz w:val="18"/>
                <w:szCs w:val="18"/>
              </w:rPr>
            </w:pPr>
            <w:r>
              <w:rPr>
                <w:rFonts w:ascii="宋体" w:hAnsi="宋体" w:cs="宋体" w:eastAsia="宋体" w:hint="default"/>
                <w:sz w:val="18"/>
                <w:szCs w:val="18"/>
              </w:rPr>
              <w:t>红的比例</w:t>
            </w:r>
          </w:p>
        </w:tc>
      </w:tr>
      <w:tr>
        <w:trPr>
          <w:trHeight w:val="158" w:hRule="exact"/>
        </w:trPr>
        <w:tc>
          <w:tcPr>
            <w:tcW w:w="1598" w:type="dxa"/>
            <w:vMerge w:val="restart"/>
            <w:tcBorders>
              <w:top w:val="nil" w:sz="6" w:space="0" w:color="auto"/>
              <w:left w:val="single" w:sz="4" w:space="0" w:color="000000"/>
              <w:right w:val="single" w:sz="4" w:space="0" w:color="000000"/>
            </w:tcBorders>
            <w:shd w:val="clear" w:color="auto" w:fill="D2D2D2"/>
          </w:tcPr>
          <w:p>
            <w:pPr/>
          </w:p>
        </w:tc>
        <w:tc>
          <w:tcPr>
            <w:tcW w:w="1594" w:type="dxa"/>
            <w:vMerge/>
            <w:tcBorders>
              <w:left w:val="single" w:sz="4" w:space="0" w:color="000000"/>
              <w:bottom w:val="nil" w:sz="6" w:space="0" w:color="auto"/>
              <w:right w:val="single" w:sz="4" w:space="0" w:color="000000"/>
            </w:tcBorders>
            <w:shd w:val="clear" w:color="auto" w:fill="D2D2D2"/>
          </w:tcPr>
          <w:p>
            <w:pPr/>
          </w:p>
        </w:tc>
        <w:tc>
          <w:tcPr>
            <w:tcW w:w="1594" w:type="dxa"/>
            <w:vMerge/>
            <w:tcBorders>
              <w:left w:val="single" w:sz="4" w:space="0" w:color="000000"/>
              <w:bottom w:val="nil" w:sz="6" w:space="0" w:color="auto"/>
              <w:right w:val="single" w:sz="4" w:space="0" w:color="000000"/>
            </w:tcBorders>
            <w:shd w:val="clear" w:color="auto" w:fill="D2D2D2"/>
          </w:tcPr>
          <w:p>
            <w:pPr/>
          </w:p>
        </w:tc>
        <w:tc>
          <w:tcPr>
            <w:tcW w:w="1594" w:type="dxa"/>
            <w:vMerge/>
            <w:tcBorders>
              <w:left w:val="single" w:sz="4" w:space="0" w:color="000000"/>
              <w:bottom w:val="nil" w:sz="6" w:space="0" w:color="auto"/>
              <w:right w:val="single" w:sz="4" w:space="0" w:color="000000"/>
            </w:tcBorders>
            <w:shd w:val="clear" w:color="auto" w:fill="D2D2D2"/>
          </w:tcPr>
          <w:p>
            <w:pPr/>
          </w:p>
        </w:tc>
        <w:tc>
          <w:tcPr>
            <w:tcW w:w="1594" w:type="dxa"/>
            <w:vMerge/>
            <w:tcBorders>
              <w:left w:val="single" w:sz="4" w:space="0" w:color="000000"/>
              <w:bottom w:val="nil" w:sz="6" w:space="0" w:color="auto"/>
              <w:right w:val="single" w:sz="4" w:space="0" w:color="000000"/>
            </w:tcBorders>
            <w:shd w:val="clear" w:color="auto" w:fill="D2D2D2"/>
          </w:tcPr>
          <w:p>
            <w:pPr/>
          </w:p>
        </w:tc>
        <w:tc>
          <w:tcPr>
            <w:tcW w:w="1594" w:type="dxa"/>
            <w:vMerge/>
            <w:tcBorders>
              <w:left w:val="single" w:sz="4" w:space="0" w:color="000000"/>
              <w:bottom w:val="nil" w:sz="6" w:space="0" w:color="auto"/>
              <w:right w:val="single" w:sz="4" w:space="0" w:color="000000"/>
            </w:tcBorders>
            <w:shd w:val="clear" w:color="auto" w:fill="D2D2D2"/>
          </w:tcPr>
          <w:p>
            <w:pPr/>
          </w:p>
        </w:tc>
      </w:tr>
      <w:tr>
        <w:trPr>
          <w:trHeight w:val="317" w:hRule="exact"/>
        </w:trPr>
        <w:tc>
          <w:tcPr>
            <w:tcW w:w="1598"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4"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8" w:lineRule="exact"/>
              <w:ind w:right="7"/>
              <w:jc w:val="center"/>
              <w:rPr>
                <w:rFonts w:ascii="宋体" w:hAnsi="宋体" w:cs="宋体" w:eastAsia="宋体" w:hint="default"/>
                <w:sz w:val="18"/>
                <w:szCs w:val="18"/>
              </w:rPr>
            </w:pPr>
            <w:r>
              <w:rPr>
                <w:rFonts w:ascii="宋体" w:hAnsi="宋体" w:cs="宋体" w:eastAsia="宋体" w:hint="default"/>
                <w:w w:val="101"/>
                <w:sz w:val="18"/>
                <w:szCs w:val="18"/>
              </w:rPr>
              <w:t>润</w:t>
            </w:r>
            <w:r>
              <w:rPr>
                <w:rFonts w:ascii="宋体" w:hAnsi="宋体" w:cs="宋体" w:eastAsia="宋体" w:hint="default"/>
                <w:sz w:val="18"/>
                <w:szCs w:val="18"/>
              </w:rPr>
            </w:r>
          </w:p>
        </w:tc>
        <w:tc>
          <w:tcPr>
            <w:tcW w:w="1594"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8" w:lineRule="exact"/>
              <w:ind w:right="0"/>
              <w:jc w:val="center"/>
              <w:rPr>
                <w:rFonts w:ascii="宋体" w:hAnsi="宋体" w:cs="宋体" w:eastAsia="宋体" w:hint="default"/>
                <w:sz w:val="18"/>
                <w:szCs w:val="18"/>
              </w:rPr>
            </w:pPr>
            <w:r>
              <w:rPr>
                <w:rFonts w:ascii="宋体" w:hAnsi="宋体" w:cs="宋体" w:eastAsia="宋体" w:hint="default"/>
                <w:w w:val="101"/>
                <w:sz w:val="18"/>
                <w:szCs w:val="18"/>
              </w:rPr>
              <w:t>率</w:t>
            </w:r>
            <w:r>
              <w:rPr>
                <w:rFonts w:ascii="宋体" w:hAnsi="宋体" w:cs="宋体" w:eastAsia="宋体" w:hint="default"/>
                <w:sz w:val="18"/>
                <w:szCs w:val="18"/>
              </w:rPr>
            </w:r>
          </w:p>
        </w:tc>
        <w:tc>
          <w:tcPr>
            <w:tcW w:w="1594"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4"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98" w:hRule="exact"/>
        </w:trPr>
        <w:tc>
          <w:tcPr>
            <w:tcW w:w="1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5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9,173,520.42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5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27,673,025.40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5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10,436,510.00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49,089,630.26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21.26%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0.00%</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公司报告期内盈利且母公司可供普通股股东分配利润为正但未提出普通股现金红利分配预案</w:t>
      </w:r>
    </w:p>
    <w:p>
      <w:pPr>
        <w:spacing w:before="119"/>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786"/>
        <w:gridCol w:w="4781"/>
      </w:tblGrid>
      <w:tr>
        <w:trPr>
          <w:trHeight w:val="715" w:hRule="exact"/>
        </w:trPr>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36" w:right="41" w:hanging="989"/>
              <w:jc w:val="left"/>
              <w:rPr>
                <w:rFonts w:ascii="宋体" w:hAnsi="宋体" w:cs="宋体" w:eastAsia="宋体" w:hint="default"/>
                <w:sz w:val="18"/>
                <w:szCs w:val="18"/>
              </w:rPr>
            </w:pPr>
            <w:r>
              <w:rPr>
                <w:rFonts w:ascii="宋体" w:hAnsi="宋体" w:cs="宋体" w:eastAsia="宋体" w:hint="default"/>
                <w:spacing w:val="-3"/>
                <w:sz w:val="18"/>
                <w:szCs w:val="18"/>
              </w:rPr>
              <w:t>报告期内盈利且母公司可供普通股股东分配利润为正但未提</w:t>
            </w:r>
            <w:r>
              <w:rPr>
                <w:rFonts w:ascii="宋体" w:hAnsi="宋体" w:cs="宋体" w:eastAsia="宋体" w:hint="default"/>
                <w:spacing w:val="-11"/>
                <w:sz w:val="18"/>
                <w:szCs w:val="18"/>
              </w:rPr>
              <w:t> </w:t>
            </w:r>
            <w:r>
              <w:rPr>
                <w:rFonts w:ascii="宋体" w:hAnsi="宋体" w:cs="宋体" w:eastAsia="宋体" w:hint="default"/>
                <w:spacing w:val="-11"/>
                <w:sz w:val="18"/>
                <w:szCs w:val="18"/>
              </w:rPr>
            </w:r>
            <w:r>
              <w:rPr>
                <w:rFonts w:ascii="宋体" w:hAnsi="宋体" w:cs="宋体" w:eastAsia="宋体" w:hint="default"/>
                <w:spacing w:val="-3"/>
                <w:sz w:val="18"/>
                <w:szCs w:val="18"/>
              </w:rPr>
              <w:t>出普通股现金红利分配预案的原因</w:t>
            </w:r>
          </w:p>
        </w:tc>
        <w:tc>
          <w:tcPr>
            <w:tcW w:w="4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6" w:right="0"/>
              <w:jc w:val="left"/>
              <w:rPr>
                <w:rFonts w:ascii="宋体" w:hAnsi="宋体" w:cs="宋体" w:eastAsia="宋体" w:hint="default"/>
                <w:sz w:val="18"/>
                <w:szCs w:val="18"/>
              </w:rPr>
            </w:pPr>
            <w:r>
              <w:rPr>
                <w:rFonts w:ascii="宋体" w:hAnsi="宋体" w:cs="宋体" w:eastAsia="宋体" w:hint="default"/>
                <w:spacing w:val="-3"/>
                <w:sz w:val="18"/>
                <w:szCs w:val="18"/>
              </w:rPr>
              <w:t>公司未分配利润的用途和使用计划</w:t>
            </w:r>
          </w:p>
        </w:tc>
      </w:tr>
      <w:tr>
        <w:trPr>
          <w:trHeight w:val="1339"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3"/>
              <w:ind w:left="24" w:right="17"/>
              <w:jc w:val="both"/>
              <w:rPr>
                <w:rFonts w:ascii="宋体" w:hAnsi="宋体" w:cs="宋体" w:eastAsia="宋体" w:hint="default"/>
                <w:sz w:val="18"/>
                <w:szCs w:val="18"/>
              </w:rPr>
            </w:pPr>
            <w:r>
              <w:rPr>
                <w:rFonts w:ascii="宋体" w:hAnsi="宋体" w:cs="宋体" w:eastAsia="宋体" w:hint="default"/>
                <w:sz w:val="18"/>
                <w:szCs w:val="18"/>
              </w:rPr>
              <w:t>公司 </w:t>
            </w:r>
            <w:r>
              <w:rPr>
                <w:rFonts w:ascii="Times New Roman" w:hAnsi="Times New Roman" w:cs="Times New Roman" w:eastAsia="Times New Roman" w:hint="default"/>
                <w:sz w:val="18"/>
                <w:szCs w:val="18"/>
              </w:rPr>
              <w:t>2015 </w:t>
            </w:r>
            <w:r>
              <w:rPr>
                <w:rFonts w:ascii="宋体" w:hAnsi="宋体" w:cs="宋体" w:eastAsia="宋体" w:hint="default"/>
                <w:spacing w:val="-5"/>
                <w:sz w:val="18"/>
                <w:szCs w:val="18"/>
              </w:rPr>
              <w:t>年度净利润较上年同期下降比例较大，且公司日常</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3"/>
                <w:sz w:val="18"/>
                <w:szCs w:val="18"/>
              </w:rPr>
              <w:t>生产经营和投资需要大量资金，综合考虑公司目前经营状况</w:t>
            </w:r>
            <w:r>
              <w:rPr>
                <w:rFonts w:ascii="宋体" w:hAnsi="宋体" w:cs="宋体" w:eastAsia="宋体" w:hint="default"/>
                <w:spacing w:val="-11"/>
                <w:sz w:val="18"/>
                <w:szCs w:val="18"/>
              </w:rPr>
              <w:t> </w:t>
            </w:r>
            <w:r>
              <w:rPr>
                <w:rFonts w:ascii="宋体" w:hAnsi="宋体" w:cs="宋体" w:eastAsia="宋体" w:hint="default"/>
                <w:spacing w:val="-11"/>
                <w:sz w:val="18"/>
                <w:szCs w:val="18"/>
              </w:rPr>
            </w:r>
            <w:r>
              <w:rPr>
                <w:rFonts w:ascii="宋体" w:hAnsi="宋体" w:cs="宋体" w:eastAsia="宋体" w:hint="default"/>
                <w:spacing w:val="-5"/>
                <w:sz w:val="18"/>
                <w:szCs w:val="18"/>
              </w:rPr>
              <w:t>以及未来发展需要，从长远利益出发，公司拟定 </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年度不</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3"/>
                <w:sz w:val="18"/>
                <w:szCs w:val="18"/>
              </w:rPr>
              <w:t>派发现金红利，不送红股，不以公积金转增股本。</w:t>
            </w:r>
          </w:p>
        </w:tc>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pacing w:val="-3"/>
                <w:sz w:val="18"/>
                <w:szCs w:val="18"/>
              </w:rPr>
              <w:t>公司将留存收益全部用于公司日常生产经营。</w:t>
            </w:r>
          </w:p>
        </w:tc>
      </w:tr>
    </w:tbl>
    <w:p>
      <w:pPr>
        <w:spacing w:line="240" w:lineRule="auto" w:before="9"/>
        <w:rPr>
          <w:rFonts w:ascii="宋体" w:hAnsi="宋体" w:cs="宋体" w:eastAsia="宋体" w:hint="default"/>
          <w:sz w:val="17"/>
          <w:szCs w:val="17"/>
        </w:rPr>
      </w:pPr>
    </w:p>
    <w:p>
      <w:pPr>
        <w:pStyle w:val="Heading2"/>
        <w:spacing w:line="367" w:lineRule="exact"/>
        <w:ind w:right="0"/>
        <w:jc w:val="left"/>
        <w:rPr>
          <w:b w:val="0"/>
          <w:bCs w:val="0"/>
        </w:rPr>
      </w:pPr>
      <w:r>
        <w:rPr/>
        <w:t>二、本报告期利润分配及资本公积金转增股本预案</w:t>
      </w:r>
      <w:r>
        <w:rPr>
          <w:b w:val="0"/>
          <w:bCs w:val="0"/>
        </w:rPr>
      </w:r>
    </w:p>
    <w:p>
      <w:pPr>
        <w:spacing w:line="240" w:lineRule="auto" w:before="15"/>
        <w:rPr>
          <w:rFonts w:ascii="Microsoft JhengHei" w:hAnsi="Microsoft JhengHei" w:cs="Microsoft JhengHei" w:eastAsia="Microsoft JhengHei" w:hint="default"/>
          <w:b/>
          <w:bCs/>
          <w:sz w:val="18"/>
          <w:szCs w:val="18"/>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773"/>
        <w:gridCol w:w="5782"/>
      </w:tblGrid>
      <w:tr>
        <w:trPr>
          <w:trHeight w:val="403" w:hRule="exact"/>
        </w:trPr>
        <w:tc>
          <w:tcPr>
            <w:tcW w:w="3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股送红股数（股）</w:t>
            </w:r>
          </w:p>
        </w:tc>
        <w:tc>
          <w:tcPr>
            <w:tcW w:w="578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3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w w:val="101"/>
                <w:sz w:val="18"/>
                <w:szCs w:val="18"/>
              </w:rPr>
              <w:t>每</w:t>
            </w:r>
            <w:r>
              <w:rPr>
                <w:rFonts w:ascii="宋体" w:hAnsi="宋体" w:cs="宋体" w:eastAsia="宋体" w:hint="default"/>
                <w:spacing w:val="-47"/>
                <w:sz w:val="18"/>
                <w:szCs w:val="18"/>
              </w:rPr>
              <w:t> </w:t>
            </w:r>
            <w:r>
              <w:rPr>
                <w:rFonts w:ascii="Times New Roman" w:hAnsi="Times New Roman" w:cs="Times New Roman" w:eastAsia="Times New Roman" w:hint="default"/>
                <w:w w:val="101"/>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w w:val="101"/>
                <w:sz w:val="18"/>
                <w:szCs w:val="18"/>
              </w:rPr>
              <w:t>股</w:t>
            </w:r>
            <w:r>
              <w:rPr>
                <w:rFonts w:ascii="宋体" w:hAnsi="宋体" w:cs="宋体" w:eastAsia="宋体" w:hint="default"/>
                <w:spacing w:val="-5"/>
                <w:w w:val="101"/>
                <w:sz w:val="18"/>
                <w:szCs w:val="18"/>
              </w:rPr>
              <w:t>派</w:t>
            </w:r>
            <w:r>
              <w:rPr>
                <w:rFonts w:ascii="宋体" w:hAnsi="宋体" w:cs="宋体" w:eastAsia="宋体" w:hint="default"/>
                <w:w w:val="101"/>
                <w:sz w:val="18"/>
                <w:szCs w:val="18"/>
              </w:rPr>
              <w:t>息</w:t>
            </w:r>
            <w:r>
              <w:rPr>
                <w:rFonts w:ascii="宋体" w:hAnsi="宋体" w:cs="宋体" w:eastAsia="宋体" w:hint="default"/>
                <w:spacing w:val="-5"/>
                <w:w w:val="101"/>
                <w:sz w:val="18"/>
                <w:szCs w:val="18"/>
              </w:rPr>
              <w:t>数</w:t>
            </w:r>
            <w:r>
              <w:rPr>
                <w:rFonts w:ascii="宋体" w:hAnsi="宋体" w:cs="宋体" w:eastAsia="宋体" w:hint="default"/>
                <w:w w:val="101"/>
                <w:sz w:val="18"/>
                <w:szCs w:val="18"/>
              </w:rPr>
              <w:t>（</w:t>
            </w:r>
            <w:r>
              <w:rPr>
                <w:rFonts w:ascii="宋体" w:hAnsi="宋体" w:cs="宋体" w:eastAsia="宋体" w:hint="default"/>
                <w:spacing w:val="-5"/>
                <w:w w:val="101"/>
                <w:sz w:val="18"/>
                <w:szCs w:val="18"/>
              </w:rPr>
              <w:t>元</w:t>
            </w:r>
            <w:r>
              <w:rPr>
                <w:rFonts w:ascii="宋体" w:hAnsi="宋体" w:cs="宋体" w:eastAsia="宋体" w:hint="default"/>
                <w:spacing w:val="-91"/>
                <w:w w:val="101"/>
                <w:sz w:val="18"/>
                <w:szCs w:val="18"/>
              </w:rPr>
              <w:t>）</w:t>
            </w:r>
            <w:r>
              <w:rPr>
                <w:rFonts w:ascii="宋体" w:hAnsi="宋体" w:cs="宋体" w:eastAsia="宋体" w:hint="default"/>
                <w:spacing w:val="-5"/>
                <w:w w:val="101"/>
                <w:sz w:val="18"/>
                <w:szCs w:val="18"/>
              </w:rPr>
              <w:t>（</w:t>
            </w:r>
            <w:r>
              <w:rPr>
                <w:rFonts w:ascii="宋体" w:hAnsi="宋体" w:cs="宋体" w:eastAsia="宋体" w:hint="default"/>
                <w:w w:val="101"/>
                <w:sz w:val="18"/>
                <w:szCs w:val="18"/>
              </w:rPr>
              <w:t>含</w:t>
            </w:r>
            <w:r>
              <w:rPr>
                <w:rFonts w:ascii="宋体" w:hAnsi="宋体" w:cs="宋体" w:eastAsia="宋体" w:hint="default"/>
                <w:spacing w:val="-5"/>
                <w:w w:val="101"/>
                <w:sz w:val="18"/>
                <w:szCs w:val="18"/>
              </w:rPr>
              <w:t>税</w:t>
            </w:r>
            <w:r>
              <w:rPr>
                <w:rFonts w:ascii="宋体" w:hAnsi="宋体" w:cs="宋体" w:eastAsia="宋体" w:hint="default"/>
                <w:w w:val="101"/>
                <w:sz w:val="18"/>
                <w:szCs w:val="18"/>
              </w:rPr>
              <w:t>）</w:t>
            </w:r>
            <w:r>
              <w:rPr>
                <w:rFonts w:ascii="宋体" w:hAnsi="宋体" w:cs="宋体" w:eastAsia="宋体" w:hint="default"/>
                <w:sz w:val="18"/>
                <w:szCs w:val="18"/>
              </w:rPr>
            </w:r>
          </w:p>
        </w:tc>
        <w:tc>
          <w:tcPr>
            <w:tcW w:w="578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3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分配预案的股本基数（股）</w:t>
            </w:r>
          </w:p>
        </w:tc>
        <w:tc>
          <w:tcPr>
            <w:tcW w:w="578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298,186,000</w:t>
            </w:r>
          </w:p>
        </w:tc>
      </w:tr>
      <w:tr>
        <w:trPr>
          <w:trHeight w:val="398" w:hRule="exact"/>
        </w:trPr>
        <w:tc>
          <w:tcPr>
            <w:tcW w:w="3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w w:val="101"/>
                <w:sz w:val="18"/>
                <w:szCs w:val="18"/>
              </w:rPr>
              <w:t>现</w:t>
            </w:r>
            <w:r>
              <w:rPr>
                <w:rFonts w:ascii="宋体" w:hAnsi="宋体" w:cs="宋体" w:eastAsia="宋体" w:hint="default"/>
                <w:spacing w:val="-5"/>
                <w:w w:val="101"/>
                <w:sz w:val="18"/>
                <w:szCs w:val="18"/>
              </w:rPr>
              <w:t>金</w:t>
            </w:r>
            <w:r>
              <w:rPr>
                <w:rFonts w:ascii="宋体" w:hAnsi="宋体" w:cs="宋体" w:eastAsia="宋体" w:hint="default"/>
                <w:w w:val="101"/>
                <w:sz w:val="18"/>
                <w:szCs w:val="18"/>
              </w:rPr>
              <w:t>分</w:t>
            </w:r>
            <w:r>
              <w:rPr>
                <w:rFonts w:ascii="宋体" w:hAnsi="宋体" w:cs="宋体" w:eastAsia="宋体" w:hint="default"/>
                <w:spacing w:val="-5"/>
                <w:w w:val="101"/>
                <w:sz w:val="18"/>
                <w:szCs w:val="18"/>
              </w:rPr>
              <w:t>红</w:t>
            </w:r>
            <w:r>
              <w:rPr>
                <w:rFonts w:ascii="宋体" w:hAnsi="宋体" w:cs="宋体" w:eastAsia="宋体" w:hint="default"/>
                <w:w w:val="101"/>
                <w:sz w:val="18"/>
                <w:szCs w:val="18"/>
              </w:rPr>
              <w:t>总</w:t>
            </w:r>
            <w:r>
              <w:rPr>
                <w:rFonts w:ascii="宋体" w:hAnsi="宋体" w:cs="宋体" w:eastAsia="宋体" w:hint="default"/>
                <w:spacing w:val="-5"/>
                <w:w w:val="101"/>
                <w:sz w:val="18"/>
                <w:szCs w:val="18"/>
              </w:rPr>
              <w:t>额</w:t>
            </w:r>
            <w:r>
              <w:rPr>
                <w:rFonts w:ascii="宋体" w:hAnsi="宋体" w:cs="宋体" w:eastAsia="宋体" w:hint="default"/>
                <w:w w:val="101"/>
                <w:sz w:val="18"/>
                <w:szCs w:val="18"/>
              </w:rPr>
              <w:t>（元</w:t>
            </w:r>
            <w:r>
              <w:rPr>
                <w:rFonts w:ascii="宋体" w:hAnsi="宋体" w:cs="宋体" w:eastAsia="宋体" w:hint="default"/>
                <w:spacing w:val="-96"/>
                <w:w w:val="101"/>
                <w:sz w:val="18"/>
                <w:szCs w:val="18"/>
              </w:rPr>
              <w:t>）</w:t>
            </w:r>
            <w:r>
              <w:rPr>
                <w:rFonts w:ascii="宋体" w:hAnsi="宋体" w:cs="宋体" w:eastAsia="宋体" w:hint="default"/>
                <w:w w:val="101"/>
                <w:sz w:val="18"/>
                <w:szCs w:val="18"/>
              </w:rPr>
              <w:t>（</w:t>
            </w:r>
            <w:r>
              <w:rPr>
                <w:rFonts w:ascii="宋体" w:hAnsi="宋体" w:cs="宋体" w:eastAsia="宋体" w:hint="default"/>
                <w:spacing w:val="-5"/>
                <w:w w:val="101"/>
                <w:sz w:val="18"/>
                <w:szCs w:val="18"/>
              </w:rPr>
              <w:t>含</w:t>
            </w:r>
            <w:r>
              <w:rPr>
                <w:rFonts w:ascii="宋体" w:hAnsi="宋体" w:cs="宋体" w:eastAsia="宋体" w:hint="default"/>
                <w:w w:val="101"/>
                <w:sz w:val="18"/>
                <w:szCs w:val="18"/>
              </w:rPr>
              <w:t>税）</w:t>
            </w:r>
            <w:r>
              <w:rPr>
                <w:rFonts w:ascii="宋体" w:hAnsi="宋体" w:cs="宋体" w:eastAsia="宋体" w:hint="default"/>
                <w:sz w:val="18"/>
                <w:szCs w:val="18"/>
              </w:rPr>
            </w:r>
          </w:p>
        </w:tc>
        <w:tc>
          <w:tcPr>
            <w:tcW w:w="578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3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78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199,202,457.75</w:t>
            </w:r>
          </w:p>
        </w:tc>
      </w:tr>
      <w:tr>
        <w:trPr>
          <w:trHeight w:val="403" w:hRule="exact"/>
        </w:trPr>
        <w:tc>
          <w:tcPr>
            <w:tcW w:w="3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现金分红占利润分配总额的比例</w:t>
            </w:r>
          </w:p>
        </w:tc>
        <w:tc>
          <w:tcPr>
            <w:tcW w:w="578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955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0"/>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713" w:hRule="exact"/>
        </w:trPr>
        <w:tc>
          <w:tcPr>
            <w:tcW w:w="95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1" w:right="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公司发展阶段不易区分但有重大资金支出安排的，进行利润分配时，现金分红在本次利润分配中所占比例最低应达到 </w:t>
            </w:r>
            <w:r>
              <w:rPr>
                <w:rFonts w:ascii="宋体" w:hAnsi="宋体" w:cs="宋体" w:eastAsia="宋体" w:hint="default"/>
                <w:spacing w:val="16"/>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11" w:right="0"/>
              <w:jc w:val="left"/>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tc>
      </w:tr>
      <w:tr>
        <w:trPr>
          <w:trHeight w:val="403" w:hRule="exact"/>
        </w:trPr>
        <w:tc>
          <w:tcPr>
            <w:tcW w:w="955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877" w:right="0"/>
              <w:jc w:val="left"/>
              <w:rPr>
                <w:rFonts w:ascii="宋体" w:hAnsi="宋体" w:cs="宋体" w:eastAsia="宋体" w:hint="default"/>
                <w:sz w:val="18"/>
                <w:szCs w:val="18"/>
              </w:rPr>
            </w:pPr>
            <w:r>
              <w:rPr>
                <w:rFonts w:ascii="宋体" w:hAnsi="宋体" w:cs="宋体" w:eastAsia="宋体" w:hint="default"/>
                <w:spacing w:val="-3"/>
                <w:sz w:val="18"/>
                <w:szCs w:val="18"/>
              </w:rPr>
              <w:t>利润分配或资本公积金转增预案的详细情况说明</w:t>
            </w:r>
          </w:p>
        </w:tc>
      </w:tr>
    </w:tbl>
    <w:p>
      <w:pPr>
        <w:spacing w:after="0" w:line="240" w:lineRule="auto"/>
        <w:jc w:val="left"/>
        <w:rPr>
          <w:rFonts w:ascii="宋体" w:hAnsi="宋体" w:cs="宋体" w:eastAsia="宋体" w:hint="default"/>
          <w:sz w:val="18"/>
          <w:szCs w:val="18"/>
        </w:rPr>
        <w:sectPr>
          <w:pgSz w:w="11900" w:h="16840"/>
          <w:pgMar w:header="742" w:footer="984" w:top="1060" w:bottom="1180" w:left="980" w:right="980"/>
        </w:sectPr>
      </w:pPr>
    </w:p>
    <w:p>
      <w:pPr>
        <w:spacing w:line="240" w:lineRule="auto" w:before="10"/>
        <w:rPr>
          <w:rFonts w:ascii="宋体" w:hAnsi="宋体" w:cs="宋体" w:eastAsia="宋体" w:hint="default"/>
          <w:sz w:val="23"/>
          <w:szCs w:val="23"/>
        </w:rPr>
      </w:pPr>
    </w:p>
    <w:p>
      <w:pPr>
        <w:pStyle w:val="Heading2"/>
        <w:spacing w:line="367" w:lineRule="exact"/>
        <w:ind w:right="0"/>
        <w:jc w:val="left"/>
        <w:rPr>
          <w:b w:val="0"/>
          <w:bCs w:val="0"/>
        </w:rPr>
      </w:pPr>
      <w:r>
        <w:rPr/>
        <w:t>三、承诺事项履行情况</w:t>
      </w:r>
      <w:r>
        <w:rPr>
          <w:b w:val="0"/>
          <w:bCs w:val="0"/>
        </w:rPr>
      </w:r>
    </w:p>
    <w:p>
      <w:pPr>
        <w:spacing w:line="240" w:lineRule="auto" w:before="6"/>
        <w:rPr>
          <w:rFonts w:ascii="Microsoft JhengHei" w:hAnsi="Microsoft JhengHei" w:cs="Microsoft JhengHei" w:eastAsia="Microsoft JhengHei" w:hint="default"/>
          <w:b/>
          <w:bCs/>
          <w:sz w:val="17"/>
          <w:szCs w:val="17"/>
        </w:rPr>
      </w:pPr>
    </w:p>
    <w:p>
      <w:pPr>
        <w:pStyle w:val="Heading4"/>
        <w:spacing w:line="308" w:lineRule="exact"/>
        <w:ind w:right="0"/>
        <w:jc w:val="left"/>
        <w:rPr>
          <w:b w:val="0"/>
          <w:bCs w:val="0"/>
        </w:rPr>
      </w:pPr>
      <w:r>
        <w:rPr>
          <w:rFonts w:ascii="Times New Roman" w:hAnsi="Times New Roman" w:cs="Times New Roman" w:eastAsia="Times New Roman" w:hint="default"/>
        </w:rPr>
        <w:t>1</w:t>
      </w:r>
      <w:r>
        <w:rPr/>
        <w:t>、公司、股东、实际控制人、收购人、董事、监事、高级管理人员或其他关联方在报告期内履行完毕及</w:t>
      </w:r>
      <w:r>
        <w:rPr>
          <w:spacing w:val="24"/>
        </w:rPr>
        <w:t> </w:t>
      </w:r>
      <w:r>
        <w:rPr>
          <w:spacing w:val="24"/>
        </w:rPr>
      </w:r>
      <w:r>
        <w:rPr/>
        <w:t>截至报告期末尚未履行完毕的承诺事项</w:t>
      </w:r>
      <w:r>
        <w:rPr>
          <w:b w:val="0"/>
          <w:bCs w:val="0"/>
        </w:rPr>
      </w:r>
    </w:p>
    <w:p>
      <w:pPr>
        <w:spacing w:line="240" w:lineRule="auto" w:before="7"/>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spacing w:line="316" w:lineRule="auto" w:before="46"/>
        <w:ind w:left="4930" w:right="3427" w:firstLine="0"/>
        <w:jc w:val="center"/>
        <w:rPr>
          <w:rFonts w:ascii="宋体" w:hAnsi="宋体" w:cs="宋体" w:eastAsia="宋体" w:hint="default"/>
          <w:sz w:val="18"/>
          <w:szCs w:val="18"/>
        </w:rPr>
      </w:pPr>
      <w:r>
        <w:rPr/>
        <w:pict>
          <v:shape style="position:absolute;margin-left:56.400002pt;margin-top:-579.988281pt;width:479.05pt;height:589.2pt;mso-position-horizontal-relative:page;mso-position-vertical-relative:paragraph;z-index:12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837"/>
                    <w:gridCol w:w="1123"/>
                    <w:gridCol w:w="1128"/>
                    <w:gridCol w:w="1123"/>
                    <w:gridCol w:w="1128"/>
                    <w:gridCol w:w="1123"/>
                    <w:gridCol w:w="1104"/>
                  </w:tblGrid>
                  <w:tr>
                    <w:trPr>
                      <w:trHeight w:val="403" w:hRule="exact"/>
                    </w:trPr>
                    <w:tc>
                      <w:tcPr>
                        <w:tcW w:w="2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承诺事由</w:t>
                        </w:r>
                      </w:p>
                    </w:tc>
                    <w:tc>
                      <w:tcPr>
                        <w:tcW w:w="11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87"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11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96"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11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96" w:right="0"/>
                          <w:jc w:val="left"/>
                          <w:rPr>
                            <w:rFonts w:ascii="宋体" w:hAnsi="宋体" w:cs="宋体" w:eastAsia="宋体" w:hint="default"/>
                            <w:sz w:val="18"/>
                            <w:szCs w:val="18"/>
                          </w:rPr>
                        </w:pPr>
                        <w:r>
                          <w:rPr>
                            <w:rFonts w:ascii="宋体" w:hAnsi="宋体" w:cs="宋体" w:eastAsia="宋体" w:hint="default"/>
                            <w:sz w:val="18"/>
                            <w:szCs w:val="18"/>
                          </w:rPr>
                          <w:t>承诺内容</w:t>
                        </w:r>
                      </w:p>
                    </w:tc>
                    <w:tc>
                      <w:tcPr>
                        <w:tcW w:w="11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96"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11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91" w:right="0"/>
                          <w:jc w:val="left"/>
                          <w:rPr>
                            <w:rFonts w:ascii="宋体" w:hAnsi="宋体" w:cs="宋体" w:eastAsia="宋体" w:hint="default"/>
                            <w:sz w:val="18"/>
                            <w:szCs w:val="18"/>
                          </w:rPr>
                        </w:pPr>
                        <w:r>
                          <w:rPr>
                            <w:rFonts w:ascii="宋体" w:hAnsi="宋体" w:cs="宋体" w:eastAsia="宋体" w:hint="default"/>
                            <w:sz w:val="18"/>
                            <w:szCs w:val="18"/>
                          </w:rPr>
                          <w:t>承诺期限</w:t>
                        </w:r>
                      </w:p>
                    </w:tc>
                    <w:tc>
                      <w:tcPr>
                        <w:tcW w:w="11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82"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403" w:hRule="exact"/>
                    </w:trPr>
                    <w:tc>
                      <w:tcPr>
                        <w:tcW w:w="2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股改承诺</w:t>
                        </w:r>
                      </w:p>
                    </w:tc>
                    <w:tc>
                      <w:tcPr>
                        <w:tcW w:w="1123" w:type="dxa"/>
                        <w:tcBorders>
                          <w:top w:val="single" w:sz="4" w:space="0" w:color="000000"/>
                          <w:left w:val="single" w:sz="13" w:space="0" w:color="D2D2D2"/>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r>
                  <w:tr>
                    <w:trPr>
                      <w:trHeight w:val="5126" w:hRule="exact"/>
                    </w:trPr>
                    <w:tc>
                      <w:tcPr>
                        <w:tcW w:w="2837" w:type="dxa"/>
                        <w:tcBorders>
                          <w:top w:val="single" w:sz="4" w:space="0" w:color="000000"/>
                          <w:left w:val="single" w:sz="4" w:space="0" w:color="000000"/>
                          <w:bottom w:val="nil" w:sz="6" w:space="0" w:color="auto"/>
                          <w:right w:val="single" w:sz="4" w:space="0" w:color="000000"/>
                        </w:tcBorders>
                        <w:shd w:val="clear" w:color="auto" w:fill="D2D2D2"/>
                      </w:tcPr>
                      <w:p>
                        <w:pPr/>
                      </w:p>
                    </w:tc>
                    <w:tc>
                      <w:tcPr>
                        <w:tcW w:w="1123" w:type="dxa"/>
                        <w:tcBorders>
                          <w:top w:val="single" w:sz="4" w:space="0" w:color="000000"/>
                          <w:left w:val="single" w:sz="4" w:space="0" w:color="000000"/>
                          <w:bottom w:val="nil" w:sz="6" w:space="0" w:color="auto"/>
                          <w:right w:val="single" w:sz="4" w:space="0" w:color="000000"/>
                        </w:tcBorders>
                      </w:tcPr>
                      <w:p>
                        <w:pPr/>
                      </w:p>
                    </w:tc>
                    <w:tc>
                      <w:tcPr>
                        <w:tcW w:w="1128" w:type="dxa"/>
                        <w:vMerge w:val="restart"/>
                        <w:tcBorders>
                          <w:top w:val="single" w:sz="4" w:space="0" w:color="000000"/>
                          <w:left w:val="single" w:sz="4" w:space="0" w:color="000000"/>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
                    </w:tc>
                    <w:tc>
                      <w:tcPr>
                        <w:tcW w:w="1128" w:type="dxa"/>
                        <w:tcBorders>
                          <w:top w:val="single" w:sz="4" w:space="0" w:color="000000"/>
                          <w:left w:val="single" w:sz="4" w:space="0" w:color="000000"/>
                          <w:bottom w:val="nil" w:sz="6" w:space="0" w:color="auto"/>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
                    </w:tc>
                    <w:tc>
                      <w:tcPr>
                        <w:tcW w:w="1104" w:type="dxa"/>
                        <w:tcBorders>
                          <w:top w:val="single" w:sz="4" w:space="0" w:color="000000"/>
                          <w:left w:val="single" w:sz="4" w:space="0" w:color="000000"/>
                          <w:bottom w:val="nil" w:sz="6" w:space="0" w:color="auto"/>
                          <w:right w:val="single" w:sz="4" w:space="0" w:color="000000"/>
                        </w:tcBorders>
                      </w:tcPr>
                      <w:p>
                        <w:pPr/>
                      </w:p>
                    </w:tc>
                  </w:tr>
                  <w:tr>
                    <w:trPr>
                      <w:trHeight w:val="701"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54"/>
                          <w:ind w:left="24" w:right="98"/>
                          <w:jc w:val="left"/>
                          <w:rPr>
                            <w:rFonts w:ascii="宋体" w:hAnsi="宋体" w:cs="宋体" w:eastAsia="宋体" w:hint="default"/>
                            <w:sz w:val="18"/>
                            <w:szCs w:val="18"/>
                          </w:rPr>
                        </w:pPr>
                        <w:r>
                          <w:rPr>
                            <w:rFonts w:ascii="宋体" w:hAnsi="宋体" w:cs="宋体" w:eastAsia="宋体" w:hint="default"/>
                            <w:spacing w:val="-3"/>
                            <w:sz w:val="18"/>
                            <w:szCs w:val="18"/>
                          </w:rPr>
                          <w:t>收购报告书或权益变动报告书中所</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作承诺</w:t>
                        </w:r>
                      </w:p>
                    </w:tc>
                    <w:tc>
                      <w:tcPr>
                        <w:tcW w:w="1123" w:type="dxa"/>
                        <w:tcBorders>
                          <w:top w:val="nil" w:sz="6" w:space="0" w:color="auto"/>
                          <w:left w:val="single" w:sz="13" w:space="0" w:color="D2D2D2"/>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1"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5"/>
                            <w:sz w:val="18"/>
                            <w:szCs w:val="18"/>
                          </w:rPr>
                          <w:t> </w:t>
                        </w:r>
                        <w:r>
                          <w:rPr>
                            <w:rFonts w:ascii="Times New Roman" w:hAnsi="Times New Roman" w:cs="Times New Roman" w:eastAsia="Times New Roman" w:hint="default"/>
                            <w:sz w:val="18"/>
                            <w:szCs w:val="18"/>
                          </w:rPr>
                          <w:t>2</w:t>
                        </w:r>
                      </w:p>
                    </w:tc>
                    <w:tc>
                      <w:tcPr>
                        <w:tcW w:w="112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w:t>
                        </w:r>
                      </w:p>
                    </w:tc>
                    <w:tc>
                      <w:tcPr>
                        <w:tcW w:w="110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严格履行</w:t>
                        </w:r>
                      </w:p>
                    </w:tc>
                  </w:tr>
                  <w:tr>
                    <w:trPr>
                      <w:trHeight w:val="323" w:hRule="exact"/>
                    </w:trPr>
                    <w:tc>
                      <w:tcPr>
                        <w:tcW w:w="2837" w:type="dxa"/>
                        <w:vMerge w:val="restart"/>
                        <w:tcBorders>
                          <w:top w:val="nil" w:sz="6" w:space="0" w:color="auto"/>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23" w:right="0"/>
                          <w:jc w:val="left"/>
                          <w:rPr>
                            <w:rFonts w:ascii="宋体" w:hAnsi="宋体" w:cs="宋体" w:eastAsia="宋体" w:hint="default"/>
                            <w:sz w:val="18"/>
                            <w:szCs w:val="18"/>
                          </w:rPr>
                        </w:pPr>
                        <w:r>
                          <w:rPr>
                            <w:rFonts w:ascii="宋体" w:hAnsi="宋体" w:cs="宋体" w:eastAsia="宋体" w:hint="default"/>
                            <w:sz w:val="18"/>
                            <w:szCs w:val="18"/>
                          </w:rPr>
                          <w:t>月 </w:t>
                        </w:r>
                        <w:r>
                          <w:rPr>
                            <w:rFonts w:ascii="Times New Roman" w:hAnsi="Times New Roman" w:cs="Times New Roman" w:eastAsia="Times New Roman" w:hint="default"/>
                            <w:sz w:val="18"/>
                            <w:szCs w:val="18"/>
                          </w:rPr>
                          <w:t>1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日，公</w:t>
                        </w:r>
                      </w:p>
                    </w:tc>
                    <w:tc>
                      <w:tcPr>
                        <w:tcW w:w="1128" w:type="dxa"/>
                        <w:tcBorders>
                          <w:top w:val="nil" w:sz="6" w:space="0" w:color="auto"/>
                          <w:left w:val="single" w:sz="4" w:space="0" w:color="000000"/>
                          <w:bottom w:val="nil" w:sz="6" w:space="0" w:color="auto"/>
                          <w:right w:val="single" w:sz="4" w:space="0" w:color="000000"/>
                        </w:tcBorders>
                      </w:tcPr>
                      <w:p>
                        <w:pPr>
                          <w:pStyle w:val="TableParagraph"/>
                          <w:spacing w:line="240" w:lineRule="auto" w:before="1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23" w:right="0"/>
                          <w:jc w:val="left"/>
                          <w:rPr>
                            <w:rFonts w:ascii="宋体" w:hAnsi="宋体" w:cs="宋体" w:eastAsia="宋体" w:hint="default"/>
                            <w:sz w:val="18"/>
                            <w:szCs w:val="18"/>
                          </w:rPr>
                        </w:pPr>
                        <w:r>
                          <w:rPr>
                            <w:rFonts w:ascii="宋体" w:hAnsi="宋体" w:cs="宋体" w:eastAsia="宋体" w:hint="default"/>
                            <w:sz w:val="18"/>
                            <w:szCs w:val="18"/>
                          </w:rPr>
                          <w:t>日至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104" w:type="dxa"/>
                        <w:tcBorders>
                          <w:top w:val="nil" w:sz="6" w:space="0" w:color="auto"/>
                          <w:left w:val="single" w:sz="4" w:space="0" w:color="000000"/>
                          <w:bottom w:val="nil" w:sz="6" w:space="0" w:color="auto"/>
                          <w:right w:val="single" w:sz="4" w:space="0" w:color="000000"/>
                        </w:tcBorders>
                      </w:tcPr>
                      <w:p>
                        <w:pPr/>
                      </w:p>
                    </w:tc>
                  </w:tr>
                  <w:tr>
                    <w:trPr>
                      <w:trHeight w:val="310"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宋体" w:hAnsi="宋体" w:cs="宋体" w:eastAsia="宋体" w:hint="default"/>
                            <w:sz w:val="18"/>
                            <w:szCs w:val="18"/>
                          </w:rPr>
                        </w:pPr>
                        <w:r>
                          <w:rPr>
                            <w:rFonts w:ascii="宋体" w:hAnsi="宋体" w:cs="宋体" w:eastAsia="宋体" w:hint="default"/>
                            <w:sz w:val="18"/>
                            <w:szCs w:val="18"/>
                          </w:rPr>
                          <w:t>司与正栋厂</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 </w:t>
                        </w:r>
                        <w:r>
                          <w:rPr>
                            <w:rFonts w:ascii="Times New Roman" w:hAnsi="Times New Roman" w:cs="Times New Roman" w:eastAsia="Times New Roman" w:hint="default"/>
                            <w:sz w:val="18"/>
                            <w:szCs w:val="18"/>
                          </w:rPr>
                          <w:t>31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及邓正栋先</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或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tc>
                    <w:tc>
                      <w:tcPr>
                        <w:tcW w:w="1104" w:type="dxa"/>
                        <w:tcBorders>
                          <w:top w:val="nil" w:sz="6" w:space="0" w:color="auto"/>
                          <w:left w:val="single" w:sz="4" w:space="0" w:color="000000"/>
                          <w:bottom w:val="nil" w:sz="6" w:space="0" w:color="auto"/>
                          <w:right w:val="single" w:sz="4" w:space="0" w:color="000000"/>
                        </w:tcBorders>
                      </w:tcPr>
                      <w:p>
                        <w:pPr/>
                      </w:p>
                    </w:tc>
                  </w:tr>
                  <w:tr>
                    <w:trPr>
                      <w:trHeight w:val="314"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生就无锡双</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 </w:t>
                        </w:r>
                        <w:r>
                          <w:rPr>
                            <w:rFonts w:ascii="Times New Roman" w:hAnsi="Times New Roman" w:cs="Times New Roman" w:eastAsia="Times New Roman" w:hint="default"/>
                            <w:sz w:val="18"/>
                            <w:szCs w:val="18"/>
                          </w:rPr>
                          <w:t>31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04" w:type="dxa"/>
                        <w:tcBorders>
                          <w:top w:val="nil" w:sz="6" w:space="0" w:color="auto"/>
                          <w:left w:val="single" w:sz="4" w:space="0" w:color="000000"/>
                          <w:bottom w:val="nil" w:sz="6" w:space="0" w:color="auto"/>
                          <w:right w:val="single" w:sz="4" w:space="0" w:color="000000"/>
                        </w:tcBorders>
                      </w:tcPr>
                      <w:p>
                        <w:pPr/>
                      </w:p>
                    </w:tc>
                  </w:tr>
                  <w:tr>
                    <w:trPr>
                      <w:trHeight w:val="310"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宋体" w:hAnsi="宋体" w:cs="宋体" w:eastAsia="宋体" w:hint="default"/>
                            <w:sz w:val="18"/>
                            <w:szCs w:val="18"/>
                          </w:rPr>
                        </w:pPr>
                        <w:r>
                          <w:rPr>
                            <w:rFonts w:ascii="宋体" w:hAnsi="宋体" w:cs="宋体" w:eastAsia="宋体" w:hint="default"/>
                            <w:sz w:val="18"/>
                            <w:szCs w:val="18"/>
                          </w:rPr>
                          <w:t>龙</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60%</w:t>
                        </w:r>
                        <w:r>
                          <w:rPr>
                            <w:rFonts w:ascii="宋体" w:hAnsi="宋体" w:cs="宋体" w:eastAsia="宋体" w:hint="default"/>
                            <w:sz w:val="18"/>
                            <w:szCs w:val="18"/>
                          </w:rPr>
                          <w:t>股权</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转让事宜签</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pacing w:val="-4"/>
                            <w:sz w:val="18"/>
                            <w:szCs w:val="18"/>
                          </w:rPr>
                          <w:t>署了《股权转</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pacing w:val="-4"/>
                            <w:sz w:val="18"/>
                            <w:szCs w:val="18"/>
                          </w:rPr>
                          <w:t>让协议书》并</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已实际履行。</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5"/>
                            <w:sz w:val="18"/>
                            <w:szCs w:val="18"/>
                          </w:rPr>
                          <w:t> </w:t>
                        </w:r>
                        <w:r>
                          <w:rPr>
                            <w:rFonts w:ascii="Times New Roman" w:hAnsi="Times New Roman" w:cs="Times New Roman" w:eastAsia="Times New Roman" w:hint="default"/>
                            <w:sz w:val="18"/>
                            <w:szCs w:val="18"/>
                          </w:rPr>
                          <w:t>3</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月 </w:t>
                        </w:r>
                        <w:r>
                          <w:rPr>
                            <w:rFonts w:ascii="Times New Roman" w:hAnsi="Times New Roman" w:cs="Times New Roman" w:eastAsia="Times New Roman" w:hint="default"/>
                            <w:sz w:val="18"/>
                            <w:szCs w:val="18"/>
                          </w:rPr>
                          <w:t>2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日公司</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第三届董事</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会 </w:t>
                        </w:r>
                        <w:r>
                          <w:rPr>
                            <w:rFonts w:ascii="Times New Roman" w:hAnsi="Times New Roman" w:cs="Times New Roman" w:eastAsia="Times New Roman" w:hint="default"/>
                            <w:sz w:val="18"/>
                            <w:szCs w:val="18"/>
                          </w:rPr>
                          <w:t>2015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第一次临时</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会议审议通</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457" w:hRule="exact"/>
                    </w:trPr>
                    <w:tc>
                      <w:tcPr>
                        <w:tcW w:w="2837" w:type="dxa"/>
                        <w:vMerge/>
                        <w:tcBorders>
                          <w:left w:val="single" w:sz="4" w:space="0" w:color="000000"/>
                          <w:bottom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single" w:sz="4" w:space="0" w:color="000000"/>
                          <w:right w:val="single" w:sz="4" w:space="0" w:color="000000"/>
                        </w:tcBorders>
                      </w:tcPr>
                      <w:p>
                        <w:pPr/>
                      </w:p>
                    </w:tc>
                    <w:tc>
                      <w:tcPr>
                        <w:tcW w:w="1128" w:type="dxa"/>
                        <w:vMerge/>
                        <w:tcBorders>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pacing w:val="-4"/>
                            <w:sz w:val="18"/>
                            <w:szCs w:val="18"/>
                          </w:rPr>
                          <w:t>过了《关于与</w:t>
                        </w:r>
                      </w:p>
                    </w:tc>
                    <w:tc>
                      <w:tcPr>
                        <w:tcW w:w="1128" w:type="dxa"/>
                        <w:tcBorders>
                          <w:top w:val="nil" w:sz="6" w:space="0" w:color="auto"/>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
                    </w:tc>
                    <w:tc>
                      <w:tcPr>
                        <w:tcW w:w="1104" w:type="dxa"/>
                        <w:tcBorders>
                          <w:top w:val="nil" w:sz="6" w:space="0" w:color="auto"/>
                          <w:left w:val="single" w:sz="4" w:space="0" w:color="000000"/>
                          <w:bottom w:val="single" w:sz="4" w:space="0" w:color="000000"/>
                          <w:right w:val="single" w:sz="4" w:space="0" w:color="000000"/>
                        </w:tcBorders>
                      </w:tcPr>
                      <w:p>
                        <w:pPr/>
                      </w:p>
                    </w:tc>
                  </w:tr>
                </w:tbl>
                <w:p>
                  <w:pPr/>
                </w:p>
              </w:txbxContent>
            </v:textbox>
            <w10:wrap type="none"/>
          </v:shape>
        </w:pict>
      </w:r>
      <w:r>
        <w:rPr>
          <w:rFonts w:ascii="宋体" w:hAnsi="宋体" w:cs="宋体" w:eastAsia="宋体" w:hint="default"/>
          <w:spacing w:val="-2"/>
          <w:sz w:val="18"/>
          <w:szCs w:val="18"/>
        </w:rPr>
        <w:t>无锡市正栋</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2"/>
          <w:sz w:val="18"/>
          <w:szCs w:val="18"/>
        </w:rPr>
        <w:t>电脑纸品厂</w:t>
      </w:r>
    </w:p>
    <w:p>
      <w:pPr>
        <w:tabs>
          <w:tab w:pos="9791" w:val="right" w:leader="none"/>
        </w:tabs>
        <w:spacing w:before="19"/>
        <w:ind w:left="5269"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签订</w:t>
      </w:r>
      <w:r>
        <w:rPr>
          <w:rFonts w:ascii="Times New Roman" w:hAnsi="Times New Roman" w:cs="Times New Roman" w:eastAsia="Times New Roman" w:hint="default"/>
          <w:sz w:val="18"/>
          <w:szCs w:val="18"/>
        </w:rPr>
        <w:t>&lt;</w:t>
      </w:r>
      <w:r>
        <w:rPr>
          <w:rFonts w:ascii="宋体" w:hAnsi="宋体" w:cs="宋体" w:eastAsia="宋体" w:hint="default"/>
          <w:sz w:val="18"/>
          <w:szCs w:val="18"/>
        </w:rPr>
        <w:t>补充协</w:t>
      </w:r>
      <w:r>
        <w:rPr>
          <w:rFonts w:ascii="Times New Roman" w:hAnsi="Times New Roman" w:cs="Times New Roman" w:eastAsia="Times New Roman" w:hint="default"/>
          <w:position w:val="1"/>
          <w:sz w:val="18"/>
          <w:szCs w:val="18"/>
        </w:rPr>
        <w:tab/>
      </w:r>
      <w:r>
        <w:rPr>
          <w:rFonts w:ascii="Times New Roman" w:hAnsi="Times New Roman" w:cs="Times New Roman" w:eastAsia="Times New Roman" w:hint="default"/>
          <w:position w:val="1"/>
          <w:sz w:val="18"/>
          <w:szCs w:val="18"/>
        </w:rPr>
        <w:t>28</w:t>
      </w:r>
      <w:r>
        <w:rPr>
          <w:rFonts w:ascii="Times New Roman" w:hAnsi="Times New Roman" w:cs="Times New Roman" w:eastAsia="Times New Roman" w:hint="default"/>
          <w:sz w:val="18"/>
          <w:szCs w:val="18"/>
        </w:rPr>
      </w:r>
    </w:p>
    <w:p>
      <w:pPr>
        <w:spacing w:line="309" w:lineRule="auto" w:before="63"/>
        <w:ind w:left="5269" w:right="3660" w:firstLine="0"/>
        <w:jc w:val="both"/>
        <w:rPr>
          <w:rFonts w:ascii="Times New Roman" w:hAnsi="Times New Roman" w:cs="Times New Roman" w:eastAsia="Times New Roman" w:hint="default"/>
          <w:sz w:val="18"/>
          <w:szCs w:val="18"/>
        </w:rPr>
      </w:pPr>
      <w:r>
        <w:rPr>
          <w:rFonts w:ascii="宋体" w:hAnsi="宋体" w:cs="宋体" w:eastAsia="宋体" w:hint="default"/>
          <w:spacing w:val="-2"/>
          <w:sz w:val="18"/>
          <w:szCs w:val="18"/>
        </w:rPr>
        <w:t>议（二）</w:t>
      </w:r>
      <w:r>
        <w:rPr>
          <w:rFonts w:ascii="Times New Roman" w:hAnsi="Times New Roman" w:cs="Times New Roman" w:eastAsia="Times New Roman" w:hint="default"/>
          <w:spacing w:val="-2"/>
          <w:sz w:val="18"/>
          <w:szCs w:val="18"/>
        </w:rPr>
        <w:t>&gt;</w:t>
      </w:r>
      <w:r>
        <w:rPr>
          <w:rFonts w:ascii="宋体" w:hAnsi="宋体" w:cs="宋体" w:eastAsia="宋体" w:hint="default"/>
          <w:spacing w:val="-2"/>
          <w:sz w:val="18"/>
          <w:szCs w:val="18"/>
        </w:rPr>
        <w:t>的</w:t>
      </w:r>
      <w:r>
        <w:rPr>
          <w:rFonts w:ascii="宋体" w:hAnsi="宋体" w:cs="宋体" w:eastAsia="宋体" w:hint="default"/>
          <w:spacing w:val="-73"/>
          <w:sz w:val="18"/>
          <w:szCs w:val="18"/>
        </w:rPr>
        <w:t> </w:t>
      </w:r>
      <w:r>
        <w:rPr>
          <w:rFonts w:ascii="宋体" w:hAnsi="宋体" w:cs="宋体" w:eastAsia="宋体" w:hint="default"/>
          <w:spacing w:val="-17"/>
          <w:w w:val="101"/>
          <w:sz w:val="18"/>
          <w:szCs w:val="18"/>
        </w:rPr>
        <w:t>议案》，公司</w:t>
      </w:r>
      <w:r>
        <w:rPr>
          <w:rFonts w:ascii="宋体" w:hAnsi="宋体" w:cs="宋体" w:eastAsia="宋体" w:hint="default"/>
          <w:w w:val="101"/>
          <w:sz w:val="18"/>
          <w:szCs w:val="18"/>
        </w:rPr>
        <w:t> </w:t>
      </w:r>
      <w:r>
        <w:rPr>
          <w:rFonts w:ascii="宋体" w:hAnsi="宋体" w:cs="宋体" w:eastAsia="宋体" w:hint="default"/>
          <w:sz w:val="18"/>
          <w:szCs w:val="18"/>
        </w:rPr>
        <w:t>承诺在</w:t>
      </w:r>
      <w:r>
        <w:rPr>
          <w:rFonts w:ascii="宋体" w:hAnsi="宋体" w:cs="宋体" w:eastAsia="宋体" w:hint="default"/>
          <w:spacing w:val="2"/>
          <w:sz w:val="18"/>
          <w:szCs w:val="18"/>
        </w:rPr>
        <w:t> </w:t>
      </w:r>
      <w:r>
        <w:rPr>
          <w:rFonts w:ascii="Times New Roman" w:hAnsi="Times New Roman" w:cs="Times New Roman" w:eastAsia="Times New Roman" w:hint="default"/>
          <w:sz w:val="18"/>
          <w:szCs w:val="18"/>
        </w:rPr>
        <w:t>2016</w:t>
      </w:r>
    </w:p>
    <w:p>
      <w:pPr>
        <w:spacing w:after="0" w:line="309" w:lineRule="auto"/>
        <w:jc w:val="both"/>
        <w:rPr>
          <w:rFonts w:ascii="Times New Roman" w:hAnsi="Times New Roman" w:cs="Times New Roman" w:eastAsia="Times New Roman" w:hint="default"/>
          <w:sz w:val="18"/>
          <w:szCs w:val="18"/>
        </w:rPr>
        <w:sectPr>
          <w:headerReference w:type="default" r:id="rId13"/>
          <w:footerReference w:type="default" r:id="rId14"/>
          <w:pgSz w:w="11900" w:h="16840"/>
          <w:pgMar w:header="872" w:footer="0" w:top="1060" w:bottom="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837"/>
        <w:gridCol w:w="1123"/>
        <w:gridCol w:w="1128"/>
        <w:gridCol w:w="1123"/>
        <w:gridCol w:w="1128"/>
        <w:gridCol w:w="1123"/>
        <w:gridCol w:w="1104"/>
      </w:tblGrid>
      <w:tr>
        <w:trPr>
          <w:trHeight w:val="316" w:hRule="exact"/>
        </w:trPr>
        <w:tc>
          <w:tcPr>
            <w:tcW w:w="2837" w:type="dxa"/>
            <w:vMerge w:val="restart"/>
            <w:tcBorders>
              <w:top w:val="single" w:sz="4" w:space="0" w:color="000000"/>
              <w:left w:val="single" w:sz="4" w:space="0" w:color="000000"/>
              <w:right w:val="single" w:sz="4" w:space="0" w:color="000000"/>
            </w:tcBorders>
            <w:shd w:val="clear" w:color="auto" w:fill="D2D2D2"/>
          </w:tcPr>
          <w:p>
            <w:pPr/>
          </w:p>
        </w:tc>
        <w:tc>
          <w:tcPr>
            <w:tcW w:w="1123" w:type="dxa"/>
            <w:vMerge w:val="restart"/>
            <w:tcBorders>
              <w:top w:val="single" w:sz="4" w:space="0" w:color="000000"/>
              <w:left w:val="single" w:sz="4" w:space="0" w:color="000000"/>
              <w:right w:val="single" w:sz="4" w:space="0" w:color="000000"/>
            </w:tcBorders>
          </w:tcPr>
          <w:p>
            <w:pPr/>
          </w:p>
        </w:tc>
        <w:tc>
          <w:tcPr>
            <w:tcW w:w="1128" w:type="dxa"/>
            <w:vMerge w:val="restart"/>
            <w:tcBorders>
              <w:top w:val="single" w:sz="4" w:space="0" w:color="000000"/>
              <w:left w:val="single" w:sz="4" w:space="0" w:color="000000"/>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导权这二种</w:t>
            </w:r>
          </w:p>
        </w:tc>
        <w:tc>
          <w:tcPr>
            <w:tcW w:w="1128" w:type="dxa"/>
            <w:vMerge w:val="restart"/>
            <w:tcBorders>
              <w:top w:val="single" w:sz="4" w:space="0" w:color="000000"/>
              <w:left w:val="single" w:sz="4" w:space="0" w:color="000000"/>
              <w:right w:val="single" w:sz="4" w:space="0" w:color="000000"/>
            </w:tcBorders>
          </w:tcPr>
          <w:p>
            <w:pPr/>
          </w:p>
        </w:tc>
        <w:tc>
          <w:tcPr>
            <w:tcW w:w="1123" w:type="dxa"/>
            <w:vMerge w:val="restart"/>
            <w:tcBorders>
              <w:top w:val="single" w:sz="4" w:space="0" w:color="000000"/>
              <w:left w:val="single" w:sz="4" w:space="0" w:color="000000"/>
              <w:right w:val="single" w:sz="4" w:space="0" w:color="000000"/>
            </w:tcBorders>
          </w:tcPr>
          <w:p>
            <w:pPr/>
          </w:p>
        </w:tc>
        <w:tc>
          <w:tcPr>
            <w:tcW w:w="1104" w:type="dxa"/>
            <w:vMerge w:val="restart"/>
            <w:tcBorders>
              <w:top w:val="single" w:sz="4" w:space="0" w:color="000000"/>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情形之一出</w:t>
            </w:r>
          </w:p>
        </w:tc>
        <w:tc>
          <w:tcPr>
            <w:tcW w:w="1128" w:type="dxa"/>
            <w:vMerge/>
            <w:tcBorders>
              <w:left w:val="single" w:sz="4" w:space="0" w:color="000000"/>
              <w:right w:val="single" w:sz="4" w:space="0" w:color="000000"/>
            </w:tcBorders>
          </w:tcPr>
          <w:p>
            <w:pPr/>
          </w:p>
        </w:tc>
        <w:tc>
          <w:tcPr>
            <w:tcW w:w="1123" w:type="dxa"/>
            <w:vMerge/>
            <w:tcBorders>
              <w:left w:val="single" w:sz="4" w:space="0" w:color="000000"/>
              <w:right w:val="single" w:sz="4" w:space="0" w:color="000000"/>
            </w:tcBorders>
          </w:tcPr>
          <w:p>
            <w:pPr/>
          </w:p>
        </w:tc>
        <w:tc>
          <w:tcPr>
            <w:tcW w:w="1104"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现时收购正</w:t>
            </w:r>
          </w:p>
        </w:tc>
        <w:tc>
          <w:tcPr>
            <w:tcW w:w="1128" w:type="dxa"/>
            <w:vMerge/>
            <w:tcBorders>
              <w:left w:val="single" w:sz="4" w:space="0" w:color="000000"/>
              <w:right w:val="single" w:sz="4" w:space="0" w:color="000000"/>
            </w:tcBorders>
          </w:tcPr>
          <w:p>
            <w:pPr/>
          </w:p>
        </w:tc>
        <w:tc>
          <w:tcPr>
            <w:tcW w:w="1123" w:type="dxa"/>
            <w:vMerge/>
            <w:tcBorders>
              <w:left w:val="single" w:sz="4" w:space="0" w:color="000000"/>
              <w:right w:val="single" w:sz="4" w:space="0" w:color="000000"/>
            </w:tcBorders>
          </w:tcPr>
          <w:p>
            <w:pPr/>
          </w:p>
        </w:tc>
        <w:tc>
          <w:tcPr>
            <w:tcW w:w="1104"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栋厂所持有</w:t>
            </w:r>
          </w:p>
        </w:tc>
        <w:tc>
          <w:tcPr>
            <w:tcW w:w="1128" w:type="dxa"/>
            <w:vMerge/>
            <w:tcBorders>
              <w:left w:val="single" w:sz="4" w:space="0" w:color="000000"/>
              <w:right w:val="single" w:sz="4" w:space="0" w:color="000000"/>
            </w:tcBorders>
          </w:tcPr>
          <w:p>
            <w:pPr/>
          </w:p>
        </w:tc>
        <w:tc>
          <w:tcPr>
            <w:tcW w:w="1123" w:type="dxa"/>
            <w:vMerge/>
            <w:tcBorders>
              <w:left w:val="single" w:sz="4" w:space="0" w:color="000000"/>
              <w:right w:val="single" w:sz="4" w:space="0" w:color="000000"/>
            </w:tcBorders>
          </w:tcPr>
          <w:p>
            <w:pPr/>
          </w:p>
        </w:tc>
        <w:tc>
          <w:tcPr>
            <w:tcW w:w="1104" w:type="dxa"/>
            <w:vMerge/>
            <w:tcBorders>
              <w:left w:val="single" w:sz="4" w:space="0" w:color="000000"/>
              <w:right w:val="single" w:sz="4" w:space="0" w:color="000000"/>
            </w:tcBorders>
          </w:tcPr>
          <w:p>
            <w:pPr/>
          </w:p>
        </w:tc>
      </w:tr>
      <w:tr>
        <w:trPr>
          <w:trHeight w:val="314"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的双龙公司</w:t>
            </w:r>
          </w:p>
        </w:tc>
        <w:tc>
          <w:tcPr>
            <w:tcW w:w="1128" w:type="dxa"/>
            <w:vMerge/>
            <w:tcBorders>
              <w:left w:val="single" w:sz="4" w:space="0" w:color="000000"/>
              <w:right w:val="single" w:sz="4" w:space="0" w:color="000000"/>
            </w:tcBorders>
          </w:tcPr>
          <w:p>
            <w:pPr/>
          </w:p>
        </w:tc>
        <w:tc>
          <w:tcPr>
            <w:tcW w:w="1123" w:type="dxa"/>
            <w:vMerge/>
            <w:tcBorders>
              <w:left w:val="single" w:sz="4" w:space="0" w:color="000000"/>
              <w:right w:val="single" w:sz="4" w:space="0" w:color="000000"/>
            </w:tcBorders>
          </w:tcPr>
          <w:p>
            <w:pPr/>
          </w:p>
        </w:tc>
        <w:tc>
          <w:tcPr>
            <w:tcW w:w="1104" w:type="dxa"/>
            <w:vMerge/>
            <w:tcBorders>
              <w:left w:val="single" w:sz="4" w:space="0" w:color="000000"/>
              <w:right w:val="single" w:sz="4" w:space="0" w:color="000000"/>
            </w:tcBorders>
          </w:tcPr>
          <w:p>
            <w:pPr/>
          </w:p>
        </w:tc>
      </w:tr>
      <w:tr>
        <w:trPr>
          <w:trHeight w:val="354"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bottom w:val="single" w:sz="4" w:space="0" w:color="000000"/>
              <w:right w:val="single" w:sz="4" w:space="0" w:color="000000"/>
            </w:tcBorders>
          </w:tcPr>
          <w:p>
            <w:pPr/>
          </w:p>
        </w:tc>
        <w:tc>
          <w:tcPr>
            <w:tcW w:w="1128" w:type="dxa"/>
            <w:vMerge/>
            <w:tcBorders>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40%</w:t>
            </w:r>
            <w:r>
              <w:rPr>
                <w:rFonts w:ascii="宋体" w:hAnsi="宋体" w:cs="宋体" w:eastAsia="宋体" w:hint="default"/>
                <w:sz w:val="18"/>
                <w:szCs w:val="18"/>
              </w:rPr>
              <w:t>的股权。</w:t>
            </w:r>
          </w:p>
        </w:tc>
        <w:tc>
          <w:tcPr>
            <w:tcW w:w="1128" w:type="dxa"/>
            <w:vMerge/>
            <w:tcBorders>
              <w:left w:val="single" w:sz="4" w:space="0" w:color="000000"/>
              <w:bottom w:val="single" w:sz="4" w:space="0" w:color="000000"/>
              <w:right w:val="single" w:sz="4" w:space="0" w:color="000000"/>
            </w:tcBorders>
          </w:tcPr>
          <w:p>
            <w:pPr/>
          </w:p>
        </w:tc>
        <w:tc>
          <w:tcPr>
            <w:tcW w:w="1123" w:type="dxa"/>
            <w:vMerge/>
            <w:tcBorders>
              <w:left w:val="single" w:sz="4" w:space="0" w:color="000000"/>
              <w:bottom w:val="single" w:sz="4" w:space="0" w:color="000000"/>
              <w:right w:val="single" w:sz="4" w:space="0" w:color="000000"/>
            </w:tcBorders>
          </w:tcPr>
          <w:p>
            <w:pPr/>
          </w:p>
        </w:tc>
        <w:tc>
          <w:tcPr>
            <w:tcW w:w="1104" w:type="dxa"/>
            <w:vMerge/>
            <w:tcBorders>
              <w:left w:val="single" w:sz="4" w:space="0" w:color="000000"/>
              <w:bottom w:val="single" w:sz="4" w:space="0" w:color="000000"/>
              <w:right w:val="single" w:sz="4" w:space="0" w:color="000000"/>
            </w:tcBorders>
          </w:tcPr>
          <w:p>
            <w:pPr/>
          </w:p>
        </w:tc>
      </w:tr>
      <w:tr>
        <w:trPr>
          <w:trHeight w:val="359" w:hRule="exact"/>
        </w:trPr>
        <w:tc>
          <w:tcPr>
            <w:tcW w:w="2837" w:type="dxa"/>
            <w:vMerge/>
            <w:tcBorders>
              <w:left w:val="single" w:sz="4" w:space="0" w:color="000000"/>
              <w:right w:val="single" w:sz="4" w:space="0" w:color="000000"/>
            </w:tcBorders>
            <w:shd w:val="clear" w:color="auto" w:fill="D2D2D2"/>
          </w:tcPr>
          <w:p>
            <w:pPr/>
          </w:p>
        </w:tc>
        <w:tc>
          <w:tcPr>
            <w:tcW w:w="1123" w:type="dxa"/>
            <w:tcBorders>
              <w:top w:val="single" w:sz="4" w:space="0" w:color="000000"/>
              <w:left w:val="single" w:sz="4" w:space="0" w:color="000000"/>
              <w:bottom w:val="nil" w:sz="6" w:space="0" w:color="auto"/>
              <w:right w:val="single" w:sz="4" w:space="0" w:color="000000"/>
            </w:tcBorders>
          </w:tcPr>
          <w:p>
            <w:pPr/>
          </w:p>
        </w:tc>
        <w:tc>
          <w:tcPr>
            <w:tcW w:w="1128" w:type="dxa"/>
            <w:vMerge w:val="restart"/>
            <w:tcBorders>
              <w:top w:val="single" w:sz="4" w:space="0" w:color="000000"/>
              <w:left w:val="single" w:sz="4" w:space="0" w:color="000000"/>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未经正栋厂</w:t>
            </w:r>
          </w:p>
        </w:tc>
        <w:tc>
          <w:tcPr>
            <w:tcW w:w="1128" w:type="dxa"/>
            <w:tcBorders>
              <w:top w:val="single" w:sz="4" w:space="0" w:color="000000"/>
              <w:left w:val="single" w:sz="4" w:space="0" w:color="000000"/>
              <w:bottom w:val="nil" w:sz="6" w:space="0" w:color="auto"/>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
        </w:tc>
        <w:tc>
          <w:tcPr>
            <w:tcW w:w="1104"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pacing w:val="-4"/>
                <w:sz w:val="18"/>
                <w:szCs w:val="18"/>
              </w:rPr>
              <w:t>书面同意，自</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股权转让协</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议签订后五</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pacing w:val="-4"/>
                <w:sz w:val="18"/>
                <w:szCs w:val="18"/>
              </w:rPr>
              <w:t>年之内，公司</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5"/>
                <w:sz w:val="18"/>
                <w:szCs w:val="18"/>
              </w:rPr>
              <w:t> </w:t>
            </w:r>
            <w:r>
              <w:rPr>
                <w:rFonts w:ascii="Times New Roman" w:hAnsi="Times New Roman" w:cs="Times New Roman" w:eastAsia="Times New Roman" w:hint="default"/>
                <w:sz w:val="18"/>
                <w:szCs w:val="18"/>
              </w:rPr>
              <w:t>2</w:t>
            </w:r>
          </w:p>
        </w:tc>
        <w:tc>
          <w:tcPr>
            <w:tcW w:w="1104" w:type="dxa"/>
            <w:tcBorders>
              <w:top w:val="nil" w:sz="6" w:space="0" w:color="auto"/>
              <w:left w:val="single" w:sz="4" w:space="0" w:color="000000"/>
              <w:bottom w:val="nil" w:sz="6" w:space="0" w:color="auto"/>
              <w:right w:val="single" w:sz="4" w:space="0" w:color="000000"/>
            </w:tcBorders>
          </w:tcPr>
          <w:p>
            <w:pPr/>
          </w:p>
        </w:tc>
      </w:tr>
      <w:tr>
        <w:trPr>
          <w:trHeight w:val="626"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left="2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316" w:lineRule="auto" w:before="6"/>
              <w:ind w:left="23" w:right="185"/>
              <w:jc w:val="left"/>
              <w:rPr>
                <w:rFonts w:ascii="宋体" w:hAnsi="宋体" w:cs="宋体" w:eastAsia="宋体" w:hint="default"/>
                <w:sz w:val="18"/>
                <w:szCs w:val="18"/>
              </w:rPr>
            </w:pPr>
            <w:r>
              <w:rPr>
                <w:rFonts w:ascii="宋体" w:hAnsi="宋体" w:cs="宋体" w:eastAsia="宋体" w:hint="default"/>
                <w:spacing w:val="-2"/>
                <w:sz w:val="18"/>
                <w:szCs w:val="18"/>
              </w:rPr>
              <w:t>不得在江苏</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省区域对与</w:t>
            </w:r>
          </w:p>
        </w:tc>
        <w:tc>
          <w:tcPr>
            <w:tcW w:w="112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7"/>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月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8"/>
                <w:sz w:val="18"/>
                <w:szCs w:val="18"/>
              </w:rPr>
              <w:t> </w:t>
            </w:r>
            <w:r>
              <w:rPr>
                <w:rFonts w:ascii="宋体" w:hAnsi="宋体" w:cs="宋体" w:eastAsia="宋体" w:hint="default"/>
                <w:spacing w:val="-3"/>
                <w:sz w:val="18"/>
                <w:szCs w:val="18"/>
              </w:rPr>
              <w:t>日至</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tc>
        <w:tc>
          <w:tcPr>
            <w:tcW w:w="1104"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left="19" w:right="0"/>
              <w:jc w:val="left"/>
              <w:rPr>
                <w:rFonts w:ascii="宋体" w:hAnsi="宋体" w:cs="宋体" w:eastAsia="宋体" w:hint="default"/>
                <w:sz w:val="18"/>
                <w:szCs w:val="18"/>
              </w:rPr>
            </w:pPr>
            <w:r>
              <w:rPr>
                <w:rFonts w:ascii="宋体" w:hAnsi="宋体" w:cs="宋体" w:eastAsia="宋体" w:hint="default"/>
                <w:sz w:val="18"/>
                <w:szCs w:val="18"/>
              </w:rPr>
              <w:t>已履行完毕</w:t>
            </w: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宋体" w:hAnsi="宋体" w:cs="宋体" w:eastAsia="宋体" w:hint="default"/>
                <w:sz w:val="18"/>
                <w:szCs w:val="18"/>
              </w:rPr>
            </w:pPr>
            <w:r>
              <w:rPr>
                <w:rFonts w:ascii="宋体" w:hAnsi="宋体" w:cs="宋体" w:eastAsia="宋体" w:hint="default"/>
                <w:sz w:val="18"/>
                <w:szCs w:val="18"/>
              </w:rPr>
              <w:t>无锡双龙存</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 </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w:t>
            </w:r>
          </w:p>
        </w:tc>
        <w:tc>
          <w:tcPr>
            <w:tcW w:w="1104" w:type="dxa"/>
            <w:tcBorders>
              <w:top w:val="nil" w:sz="6" w:space="0" w:color="auto"/>
              <w:left w:val="single" w:sz="4" w:space="0" w:color="000000"/>
              <w:bottom w:val="nil" w:sz="6" w:space="0" w:color="auto"/>
              <w:right w:val="single" w:sz="4" w:space="0" w:color="000000"/>
            </w:tcBorders>
          </w:tcPr>
          <w:p>
            <w:pPr/>
          </w:p>
        </w:tc>
      </w:tr>
      <w:tr>
        <w:trPr>
          <w:trHeight w:val="305"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宋体" w:hAnsi="宋体" w:cs="宋体" w:eastAsia="宋体" w:hint="default"/>
                <w:sz w:val="18"/>
                <w:szCs w:val="18"/>
              </w:rPr>
            </w:pPr>
            <w:r>
              <w:rPr>
                <w:rFonts w:ascii="宋体" w:hAnsi="宋体" w:cs="宋体" w:eastAsia="宋体" w:hint="default"/>
                <w:sz w:val="18"/>
                <w:szCs w:val="18"/>
              </w:rPr>
              <w:t>在业务竞争</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关系的其他</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4"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公司实施并</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54" w:hRule="exact"/>
        </w:trPr>
        <w:tc>
          <w:tcPr>
            <w:tcW w:w="2837" w:type="dxa"/>
            <w:vMerge/>
            <w:tcBorders>
              <w:left w:val="single" w:sz="4" w:space="0" w:color="000000"/>
              <w:bottom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single" w:sz="4" w:space="0" w:color="000000"/>
              <w:right w:val="single" w:sz="4" w:space="0" w:color="000000"/>
            </w:tcBorders>
          </w:tcPr>
          <w:p>
            <w:pPr/>
          </w:p>
        </w:tc>
        <w:tc>
          <w:tcPr>
            <w:tcW w:w="1128" w:type="dxa"/>
            <w:vMerge/>
            <w:tcBorders>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购行为。</w:t>
            </w:r>
          </w:p>
        </w:tc>
        <w:tc>
          <w:tcPr>
            <w:tcW w:w="1128" w:type="dxa"/>
            <w:tcBorders>
              <w:top w:val="nil" w:sz="6" w:space="0" w:color="auto"/>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
        </w:tc>
        <w:tc>
          <w:tcPr>
            <w:tcW w:w="1104" w:type="dxa"/>
            <w:tcBorders>
              <w:top w:val="nil" w:sz="6" w:space="0" w:color="auto"/>
              <w:left w:val="single" w:sz="4" w:space="0" w:color="000000"/>
              <w:bottom w:val="single" w:sz="4" w:space="0" w:color="000000"/>
              <w:right w:val="single" w:sz="4" w:space="0" w:color="000000"/>
            </w:tcBorders>
          </w:tcPr>
          <w:p>
            <w:pPr/>
          </w:p>
        </w:tc>
      </w:tr>
      <w:tr>
        <w:trPr>
          <w:trHeight w:val="403" w:hRule="exact"/>
        </w:trPr>
        <w:tc>
          <w:tcPr>
            <w:tcW w:w="2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资产重组时所作承诺</w:t>
            </w:r>
          </w:p>
        </w:tc>
        <w:tc>
          <w:tcPr>
            <w:tcW w:w="1123"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r>
      <w:tr>
        <w:trPr>
          <w:trHeight w:val="357" w:hRule="exact"/>
        </w:trPr>
        <w:tc>
          <w:tcPr>
            <w:tcW w:w="2837" w:type="dxa"/>
            <w:tcBorders>
              <w:top w:val="single" w:sz="4" w:space="0" w:color="000000"/>
              <w:left w:val="single" w:sz="4" w:space="0" w:color="000000"/>
              <w:bottom w:val="nil" w:sz="6" w:space="0" w:color="auto"/>
              <w:right w:val="single" w:sz="4" w:space="0" w:color="000000"/>
            </w:tcBorders>
            <w:shd w:val="clear" w:color="auto" w:fill="D2D2D2"/>
          </w:tcPr>
          <w:p>
            <w:pPr/>
          </w:p>
        </w:tc>
        <w:tc>
          <w:tcPr>
            <w:tcW w:w="1123" w:type="dxa"/>
            <w:tcBorders>
              <w:top w:val="single" w:sz="4" w:space="0" w:color="000000"/>
              <w:left w:val="single" w:sz="4" w:space="0" w:color="000000"/>
              <w:bottom w:val="nil" w:sz="6" w:space="0" w:color="auto"/>
              <w:right w:val="single" w:sz="4" w:space="0" w:color="000000"/>
            </w:tcBorders>
          </w:tcPr>
          <w:p>
            <w:pPr/>
          </w:p>
        </w:tc>
        <w:tc>
          <w:tcPr>
            <w:tcW w:w="1128" w:type="dxa"/>
            <w:vMerge w:val="restart"/>
            <w:tcBorders>
              <w:top w:val="single" w:sz="4" w:space="0" w:color="000000"/>
              <w:left w:val="single" w:sz="4" w:space="0" w:color="000000"/>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在本人及本</w:t>
            </w:r>
          </w:p>
        </w:tc>
        <w:tc>
          <w:tcPr>
            <w:tcW w:w="1128" w:type="dxa"/>
            <w:tcBorders>
              <w:top w:val="single" w:sz="4" w:space="0" w:color="000000"/>
              <w:left w:val="single" w:sz="4" w:space="0" w:color="000000"/>
              <w:bottom w:val="nil" w:sz="6" w:space="0" w:color="auto"/>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
        </w:tc>
        <w:tc>
          <w:tcPr>
            <w:tcW w:w="1104" w:type="dxa"/>
            <w:tcBorders>
              <w:top w:val="single" w:sz="4" w:space="0" w:color="000000"/>
              <w:left w:val="single" w:sz="4" w:space="0" w:color="000000"/>
              <w:bottom w:val="nil" w:sz="6" w:space="0" w:color="auto"/>
              <w:right w:val="single" w:sz="4" w:space="0" w:color="000000"/>
            </w:tcBorders>
          </w:tcPr>
          <w:p>
            <w:pPr/>
          </w:p>
        </w:tc>
      </w:tr>
      <w:tr>
        <w:trPr>
          <w:trHeight w:val="310"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人三代以内</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pacing w:val="-4"/>
                <w:sz w:val="18"/>
                <w:szCs w:val="18"/>
              </w:rPr>
              <w:t>的直系、旁系</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亲属拥有贵</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公司实际控</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pacing w:val="-4"/>
                <w:sz w:val="18"/>
                <w:szCs w:val="18"/>
              </w:rPr>
              <w:t>制权期间，本</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人及本人投</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资控股的公</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pacing w:val="-4"/>
                <w:sz w:val="18"/>
                <w:szCs w:val="18"/>
              </w:rPr>
              <w:t>司、企业将不</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187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left="24" w:right="0"/>
              <w:jc w:val="left"/>
              <w:rPr>
                <w:rFonts w:ascii="宋体" w:hAnsi="宋体" w:cs="宋体" w:eastAsia="宋体" w:hint="default"/>
                <w:sz w:val="18"/>
                <w:szCs w:val="18"/>
              </w:rPr>
            </w:pPr>
            <w:r>
              <w:rPr>
                <w:rFonts w:ascii="宋体" w:hAnsi="宋体" w:cs="宋体" w:eastAsia="宋体" w:hint="default"/>
                <w:spacing w:val="-3"/>
                <w:sz w:val="18"/>
                <w:szCs w:val="18"/>
              </w:rPr>
              <w:t>首次公开发行或再融资时所作承诺</w:t>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300" w:lineRule="auto" w:before="150"/>
              <w:ind w:left="23" w:right="81"/>
              <w:jc w:val="both"/>
              <w:rPr>
                <w:rFonts w:ascii="宋体" w:hAnsi="宋体" w:cs="宋体" w:eastAsia="宋体" w:hint="default"/>
                <w:sz w:val="18"/>
                <w:szCs w:val="18"/>
              </w:rPr>
            </w:pPr>
            <w:r>
              <w:rPr>
                <w:rFonts w:ascii="宋体" w:hAnsi="宋体" w:cs="宋体" w:eastAsia="宋体" w:hint="default"/>
                <w:sz w:val="18"/>
                <w:szCs w:val="18"/>
              </w:rPr>
              <w:t>尤丽娟</w:t>
            </w:r>
            <w:r>
              <w:rPr>
                <w:rFonts w:ascii="Times New Roman" w:hAnsi="Times New Roman" w:cs="Times New Roman" w:eastAsia="Times New Roman" w:hint="default"/>
                <w:sz w:val="18"/>
                <w:szCs w:val="18"/>
              </w:rPr>
              <w:t>;</w:t>
            </w:r>
            <w:r>
              <w:rPr>
                <w:rFonts w:ascii="宋体" w:hAnsi="宋体" w:cs="宋体" w:eastAsia="宋体" w:hint="default"/>
                <w:sz w:val="18"/>
                <w:szCs w:val="18"/>
              </w:rPr>
              <w:t>尤玉</w:t>
            </w:r>
            <w:r>
              <w:rPr>
                <w:rFonts w:ascii="宋体" w:hAnsi="宋体" w:cs="宋体" w:eastAsia="宋体" w:hint="default"/>
                <w:spacing w:val="-86"/>
                <w:sz w:val="18"/>
                <w:szCs w:val="18"/>
              </w:rPr>
              <w:t> </w:t>
            </w:r>
            <w:r>
              <w:rPr>
                <w:rFonts w:ascii="宋体" w:hAnsi="宋体" w:cs="宋体" w:eastAsia="宋体" w:hint="default"/>
                <w:sz w:val="18"/>
                <w:szCs w:val="18"/>
              </w:rPr>
              <w:t>仙</w:t>
            </w:r>
            <w:r>
              <w:rPr>
                <w:rFonts w:ascii="Times New Roman" w:hAnsi="Times New Roman" w:cs="Times New Roman" w:eastAsia="Times New Roman" w:hint="default"/>
                <w:sz w:val="18"/>
                <w:szCs w:val="18"/>
              </w:rPr>
              <w:t>;</w:t>
            </w:r>
            <w:r>
              <w:rPr>
                <w:rFonts w:ascii="宋体" w:hAnsi="宋体" w:cs="宋体" w:eastAsia="宋体" w:hint="default"/>
                <w:sz w:val="18"/>
                <w:szCs w:val="18"/>
              </w:rPr>
              <w:t>尤友岳</w:t>
            </w:r>
            <w:r>
              <w:rPr>
                <w:rFonts w:ascii="Times New Roman" w:hAnsi="Times New Roman" w:cs="Times New Roman" w:eastAsia="Times New Roman" w:hint="default"/>
                <w:sz w:val="18"/>
                <w:szCs w:val="18"/>
              </w:rPr>
              <w:t>;</w:t>
            </w:r>
            <w:r>
              <w:rPr>
                <w:rFonts w:ascii="宋体" w:hAnsi="宋体" w:cs="宋体" w:eastAsia="宋体" w:hint="default"/>
                <w:sz w:val="18"/>
                <w:szCs w:val="18"/>
              </w:rPr>
              <w:t>尤</w:t>
            </w:r>
            <w:r>
              <w:rPr>
                <w:rFonts w:ascii="宋体" w:hAnsi="宋体" w:cs="宋体" w:eastAsia="宋体" w:hint="default"/>
                <w:spacing w:val="-88"/>
                <w:sz w:val="18"/>
                <w:szCs w:val="18"/>
              </w:rPr>
              <w:t> </w:t>
            </w:r>
            <w:r>
              <w:rPr>
                <w:rFonts w:ascii="宋体" w:hAnsi="宋体" w:cs="宋体" w:eastAsia="宋体" w:hint="default"/>
                <w:sz w:val="18"/>
                <w:szCs w:val="18"/>
              </w:rPr>
              <w:t>雪仙</w:t>
            </w:r>
            <w:r>
              <w:rPr>
                <w:rFonts w:ascii="Times New Roman" w:hAnsi="Times New Roman" w:cs="Times New Roman" w:eastAsia="Times New Roman" w:hint="default"/>
                <w:sz w:val="18"/>
                <w:szCs w:val="18"/>
              </w:rPr>
              <w:t>;</w:t>
            </w:r>
            <w:r>
              <w:rPr>
                <w:rFonts w:ascii="宋体" w:hAnsi="宋体" w:cs="宋体" w:eastAsia="宋体" w:hint="default"/>
                <w:sz w:val="18"/>
                <w:szCs w:val="18"/>
              </w:rPr>
              <w:t>尤友鸾</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章棉桃</w:t>
            </w:r>
            <w:r>
              <w:rPr>
                <w:rFonts w:ascii="Times New Roman" w:hAnsi="Times New Roman" w:cs="Times New Roman" w:eastAsia="Times New Roman" w:hint="default"/>
                <w:sz w:val="18"/>
                <w:szCs w:val="18"/>
              </w:rPr>
              <w:t>;</w:t>
            </w:r>
            <w:r>
              <w:rPr>
                <w:rFonts w:ascii="宋体" w:hAnsi="宋体" w:cs="宋体" w:eastAsia="宋体" w:hint="default"/>
                <w:sz w:val="18"/>
                <w:szCs w:val="18"/>
              </w:rPr>
              <w:t>苏凤</w:t>
            </w:r>
            <w:r>
              <w:rPr>
                <w:rFonts w:ascii="宋体" w:hAnsi="宋体" w:cs="宋体" w:eastAsia="宋体" w:hint="default"/>
                <w:spacing w:val="-86"/>
                <w:sz w:val="18"/>
                <w:szCs w:val="18"/>
              </w:rPr>
              <w:t> </w:t>
            </w:r>
            <w:r>
              <w:rPr>
                <w:rFonts w:ascii="宋体" w:hAnsi="宋体" w:cs="宋体" w:eastAsia="宋体" w:hint="default"/>
                <w:sz w:val="18"/>
                <w:szCs w:val="18"/>
              </w:rPr>
              <w:t>娇</w:t>
            </w: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316" w:lineRule="auto" w:before="11"/>
              <w:ind w:left="23" w:right="185"/>
              <w:jc w:val="both"/>
              <w:rPr>
                <w:rFonts w:ascii="宋体" w:hAnsi="宋体" w:cs="宋体" w:eastAsia="宋体" w:hint="default"/>
                <w:sz w:val="18"/>
                <w:szCs w:val="18"/>
              </w:rPr>
            </w:pPr>
            <w:r>
              <w:rPr>
                <w:rFonts w:ascii="宋体" w:hAnsi="宋体" w:cs="宋体" w:eastAsia="宋体" w:hint="default"/>
                <w:spacing w:val="-2"/>
                <w:sz w:val="18"/>
                <w:szCs w:val="18"/>
              </w:rPr>
              <w:t>在中国境内</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外以任何形</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式从事与贵</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公司主营业</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务或者主要</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产品相同或</w:t>
            </w:r>
          </w:p>
        </w:tc>
        <w:tc>
          <w:tcPr>
            <w:tcW w:w="112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3"/>
              <w:ind w:left="2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110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3"/>
              <w:ind w:left="19" w:right="0"/>
              <w:jc w:val="left"/>
              <w:rPr>
                <w:rFonts w:ascii="宋体" w:hAnsi="宋体" w:cs="宋体" w:eastAsia="宋体" w:hint="default"/>
                <w:sz w:val="18"/>
                <w:szCs w:val="18"/>
              </w:rPr>
            </w:pPr>
            <w:r>
              <w:rPr>
                <w:rFonts w:ascii="宋体" w:hAnsi="宋体" w:cs="宋体" w:eastAsia="宋体" w:hint="default"/>
                <w:sz w:val="18"/>
                <w:szCs w:val="18"/>
              </w:rPr>
              <w:t>严格履行</w:t>
            </w: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者相似的公</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pacing w:val="-4"/>
                <w:sz w:val="18"/>
                <w:szCs w:val="18"/>
              </w:rPr>
              <w:t>司、企业或者</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其他经济组</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pacing w:val="-4"/>
                <w:sz w:val="18"/>
                <w:szCs w:val="18"/>
              </w:rPr>
              <w:t>织；若贵公司</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将来开拓新</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的业务领域，</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贵公司享有</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pacing w:val="-4"/>
                <w:sz w:val="18"/>
                <w:szCs w:val="18"/>
              </w:rPr>
              <w:t>优先权，本人</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2837" w:type="dxa"/>
            <w:tcBorders>
              <w:top w:val="nil" w:sz="6" w:space="0" w:color="auto"/>
              <w:left w:val="single" w:sz="4" w:space="0" w:color="000000"/>
              <w:bottom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single" w:sz="4" w:space="0" w:color="000000"/>
              <w:right w:val="single" w:sz="4" w:space="0" w:color="000000"/>
            </w:tcBorders>
          </w:tcPr>
          <w:p>
            <w:pPr/>
          </w:p>
        </w:tc>
        <w:tc>
          <w:tcPr>
            <w:tcW w:w="1128" w:type="dxa"/>
            <w:vMerge/>
            <w:tcBorders>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及本人投资</w:t>
            </w:r>
          </w:p>
        </w:tc>
        <w:tc>
          <w:tcPr>
            <w:tcW w:w="1128" w:type="dxa"/>
            <w:tcBorders>
              <w:top w:val="nil" w:sz="6" w:space="0" w:color="auto"/>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
        </w:tc>
        <w:tc>
          <w:tcPr>
            <w:tcW w:w="1104" w:type="dxa"/>
            <w:tcBorders>
              <w:top w:val="nil" w:sz="6" w:space="0" w:color="auto"/>
              <w:left w:val="single" w:sz="4" w:space="0" w:color="000000"/>
              <w:bottom w:val="single" w:sz="4" w:space="0" w:color="000000"/>
              <w:right w:val="single" w:sz="4" w:space="0" w:color="000000"/>
            </w:tcBorders>
          </w:tcPr>
          <w:p>
            <w:pPr/>
          </w:p>
        </w:tc>
      </w:tr>
    </w:tbl>
    <w:p>
      <w:pPr>
        <w:spacing w:after="0"/>
        <w:sectPr>
          <w:footerReference w:type="default" r:id="rId15"/>
          <w:pgSz w:w="11900" w:h="16840"/>
          <w:pgMar w:footer="1310" w:header="872" w:top="1060" w:bottom="150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837"/>
        <w:gridCol w:w="1123"/>
        <w:gridCol w:w="1128"/>
        <w:gridCol w:w="1123"/>
        <w:gridCol w:w="1128"/>
        <w:gridCol w:w="1123"/>
        <w:gridCol w:w="1104"/>
      </w:tblGrid>
      <w:tr>
        <w:trPr>
          <w:trHeight w:val="316" w:hRule="exact"/>
        </w:trPr>
        <w:tc>
          <w:tcPr>
            <w:tcW w:w="2837" w:type="dxa"/>
            <w:vMerge w:val="restart"/>
            <w:tcBorders>
              <w:top w:val="single" w:sz="4" w:space="0" w:color="000000"/>
              <w:left w:val="single" w:sz="4" w:space="0" w:color="000000"/>
              <w:right w:val="single" w:sz="4" w:space="0" w:color="000000"/>
            </w:tcBorders>
            <w:shd w:val="clear" w:color="auto" w:fill="D2D2D2"/>
          </w:tcPr>
          <w:p>
            <w:pPr/>
          </w:p>
        </w:tc>
        <w:tc>
          <w:tcPr>
            <w:tcW w:w="1123" w:type="dxa"/>
            <w:vMerge w:val="restart"/>
            <w:tcBorders>
              <w:top w:val="single" w:sz="4" w:space="0" w:color="000000"/>
              <w:left w:val="single" w:sz="4" w:space="0" w:color="000000"/>
              <w:right w:val="single" w:sz="4" w:space="0" w:color="000000"/>
            </w:tcBorders>
          </w:tcPr>
          <w:p>
            <w:pPr/>
          </w:p>
        </w:tc>
        <w:tc>
          <w:tcPr>
            <w:tcW w:w="1128" w:type="dxa"/>
            <w:vMerge w:val="restart"/>
            <w:tcBorders>
              <w:top w:val="single" w:sz="4" w:space="0" w:color="000000"/>
              <w:left w:val="single" w:sz="4" w:space="0" w:color="000000"/>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控股的公司、</w:t>
            </w:r>
          </w:p>
        </w:tc>
        <w:tc>
          <w:tcPr>
            <w:tcW w:w="1128" w:type="dxa"/>
            <w:vMerge w:val="restart"/>
            <w:tcBorders>
              <w:top w:val="single" w:sz="4" w:space="0" w:color="000000"/>
              <w:left w:val="single" w:sz="4" w:space="0" w:color="000000"/>
              <w:right w:val="single" w:sz="4" w:space="0" w:color="000000"/>
            </w:tcBorders>
          </w:tcPr>
          <w:p>
            <w:pPr/>
          </w:p>
        </w:tc>
        <w:tc>
          <w:tcPr>
            <w:tcW w:w="1123" w:type="dxa"/>
            <w:vMerge w:val="restart"/>
            <w:tcBorders>
              <w:top w:val="single" w:sz="4" w:space="0" w:color="000000"/>
              <w:left w:val="single" w:sz="4" w:space="0" w:color="000000"/>
              <w:right w:val="single" w:sz="4" w:space="0" w:color="000000"/>
            </w:tcBorders>
          </w:tcPr>
          <w:p>
            <w:pPr/>
          </w:p>
        </w:tc>
        <w:tc>
          <w:tcPr>
            <w:tcW w:w="1104" w:type="dxa"/>
            <w:vMerge w:val="restart"/>
            <w:tcBorders>
              <w:top w:val="single" w:sz="4" w:space="0" w:color="000000"/>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企业将不再</w:t>
            </w:r>
          </w:p>
        </w:tc>
        <w:tc>
          <w:tcPr>
            <w:tcW w:w="1128" w:type="dxa"/>
            <w:vMerge/>
            <w:tcBorders>
              <w:left w:val="single" w:sz="4" w:space="0" w:color="000000"/>
              <w:right w:val="single" w:sz="4" w:space="0" w:color="000000"/>
            </w:tcBorders>
          </w:tcPr>
          <w:p>
            <w:pPr/>
          </w:p>
        </w:tc>
        <w:tc>
          <w:tcPr>
            <w:tcW w:w="1123" w:type="dxa"/>
            <w:vMerge/>
            <w:tcBorders>
              <w:left w:val="single" w:sz="4" w:space="0" w:color="000000"/>
              <w:right w:val="single" w:sz="4" w:space="0" w:color="000000"/>
            </w:tcBorders>
          </w:tcPr>
          <w:p>
            <w:pPr/>
          </w:p>
        </w:tc>
        <w:tc>
          <w:tcPr>
            <w:tcW w:w="1104" w:type="dxa"/>
            <w:vMerge/>
            <w:tcBorders>
              <w:left w:val="single" w:sz="4" w:space="0" w:color="000000"/>
              <w:right w:val="single" w:sz="4" w:space="0" w:color="000000"/>
            </w:tcBorders>
          </w:tcPr>
          <w:p>
            <w:pPr/>
          </w:p>
        </w:tc>
      </w:tr>
      <w:tr>
        <w:trPr>
          <w:trHeight w:val="314"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发展同类业</w:t>
            </w:r>
          </w:p>
        </w:tc>
        <w:tc>
          <w:tcPr>
            <w:tcW w:w="1128" w:type="dxa"/>
            <w:vMerge/>
            <w:tcBorders>
              <w:left w:val="single" w:sz="4" w:space="0" w:color="000000"/>
              <w:right w:val="single" w:sz="4" w:space="0" w:color="000000"/>
            </w:tcBorders>
          </w:tcPr>
          <w:p>
            <w:pPr/>
          </w:p>
        </w:tc>
        <w:tc>
          <w:tcPr>
            <w:tcW w:w="1123" w:type="dxa"/>
            <w:vMerge/>
            <w:tcBorders>
              <w:left w:val="single" w:sz="4" w:space="0" w:color="000000"/>
              <w:right w:val="single" w:sz="4" w:space="0" w:color="000000"/>
            </w:tcBorders>
          </w:tcPr>
          <w:p>
            <w:pPr/>
          </w:p>
        </w:tc>
        <w:tc>
          <w:tcPr>
            <w:tcW w:w="1104" w:type="dxa"/>
            <w:vMerge/>
            <w:tcBorders>
              <w:left w:val="single" w:sz="4" w:space="0" w:color="000000"/>
              <w:right w:val="single" w:sz="4" w:space="0" w:color="000000"/>
            </w:tcBorders>
          </w:tcPr>
          <w:p>
            <w:pPr/>
          </w:p>
        </w:tc>
      </w:tr>
      <w:tr>
        <w:trPr>
          <w:trHeight w:val="354" w:hRule="exact"/>
        </w:trPr>
        <w:tc>
          <w:tcPr>
            <w:tcW w:w="2837" w:type="dxa"/>
            <w:vMerge/>
            <w:tcBorders>
              <w:left w:val="single" w:sz="4" w:space="0" w:color="000000"/>
              <w:bottom w:val="single" w:sz="4" w:space="0" w:color="000000"/>
              <w:right w:val="single" w:sz="4" w:space="0" w:color="000000"/>
            </w:tcBorders>
            <w:shd w:val="clear" w:color="auto" w:fill="D2D2D2"/>
          </w:tcPr>
          <w:p>
            <w:pPr/>
          </w:p>
        </w:tc>
        <w:tc>
          <w:tcPr>
            <w:tcW w:w="1123" w:type="dxa"/>
            <w:vMerge/>
            <w:tcBorders>
              <w:left w:val="single" w:sz="4" w:space="0" w:color="000000"/>
              <w:bottom w:val="single" w:sz="4" w:space="0" w:color="000000"/>
              <w:right w:val="single" w:sz="4" w:space="0" w:color="000000"/>
            </w:tcBorders>
          </w:tcPr>
          <w:p>
            <w:pPr/>
          </w:p>
        </w:tc>
        <w:tc>
          <w:tcPr>
            <w:tcW w:w="1128" w:type="dxa"/>
            <w:vMerge/>
            <w:tcBorders>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务。</w:t>
            </w:r>
          </w:p>
        </w:tc>
        <w:tc>
          <w:tcPr>
            <w:tcW w:w="1128" w:type="dxa"/>
            <w:vMerge/>
            <w:tcBorders>
              <w:left w:val="single" w:sz="4" w:space="0" w:color="000000"/>
              <w:bottom w:val="single" w:sz="4" w:space="0" w:color="000000"/>
              <w:right w:val="single" w:sz="4" w:space="0" w:color="000000"/>
            </w:tcBorders>
          </w:tcPr>
          <w:p>
            <w:pPr/>
          </w:p>
        </w:tc>
        <w:tc>
          <w:tcPr>
            <w:tcW w:w="1123" w:type="dxa"/>
            <w:vMerge/>
            <w:tcBorders>
              <w:left w:val="single" w:sz="4" w:space="0" w:color="000000"/>
              <w:bottom w:val="single" w:sz="4" w:space="0" w:color="000000"/>
              <w:right w:val="single" w:sz="4" w:space="0" w:color="000000"/>
            </w:tcBorders>
          </w:tcPr>
          <w:p>
            <w:pPr/>
          </w:p>
        </w:tc>
        <w:tc>
          <w:tcPr>
            <w:tcW w:w="1104" w:type="dxa"/>
            <w:vMerge/>
            <w:tcBorders>
              <w:left w:val="single" w:sz="4" w:space="0" w:color="000000"/>
              <w:bottom w:val="single" w:sz="4" w:space="0" w:color="000000"/>
              <w:right w:val="single" w:sz="4" w:space="0" w:color="000000"/>
            </w:tcBorders>
          </w:tcPr>
          <w:p>
            <w:pPr/>
          </w:p>
        </w:tc>
      </w:tr>
      <w:tr>
        <w:trPr>
          <w:trHeight w:val="403" w:hRule="exact"/>
        </w:trPr>
        <w:tc>
          <w:tcPr>
            <w:tcW w:w="2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股权激励承诺</w:t>
            </w:r>
          </w:p>
        </w:tc>
        <w:tc>
          <w:tcPr>
            <w:tcW w:w="1123"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r>
      <w:tr>
        <w:trPr>
          <w:trHeight w:val="357" w:hRule="exact"/>
        </w:trPr>
        <w:tc>
          <w:tcPr>
            <w:tcW w:w="2837" w:type="dxa"/>
            <w:tcBorders>
              <w:top w:val="single" w:sz="4" w:space="0" w:color="000000"/>
              <w:left w:val="single" w:sz="4" w:space="0" w:color="000000"/>
              <w:bottom w:val="nil" w:sz="6" w:space="0" w:color="auto"/>
              <w:right w:val="single" w:sz="4" w:space="0" w:color="000000"/>
            </w:tcBorders>
            <w:shd w:val="clear" w:color="auto" w:fill="D2D2D2"/>
          </w:tcPr>
          <w:p>
            <w:pPr/>
          </w:p>
        </w:tc>
        <w:tc>
          <w:tcPr>
            <w:tcW w:w="1123" w:type="dxa"/>
            <w:tcBorders>
              <w:top w:val="single" w:sz="4" w:space="0" w:color="000000"/>
              <w:left w:val="single" w:sz="4" w:space="0" w:color="000000"/>
              <w:bottom w:val="nil" w:sz="6" w:space="0" w:color="auto"/>
              <w:right w:val="single" w:sz="4" w:space="0" w:color="000000"/>
            </w:tcBorders>
          </w:tcPr>
          <w:p>
            <w:pPr/>
          </w:p>
        </w:tc>
        <w:tc>
          <w:tcPr>
            <w:tcW w:w="1128" w:type="dxa"/>
            <w:vMerge w:val="restart"/>
            <w:tcBorders>
              <w:top w:val="single" w:sz="4" w:space="0" w:color="000000"/>
              <w:left w:val="single" w:sz="4" w:space="0" w:color="000000"/>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本人将避免</w:t>
            </w:r>
          </w:p>
        </w:tc>
        <w:tc>
          <w:tcPr>
            <w:tcW w:w="1128" w:type="dxa"/>
            <w:tcBorders>
              <w:top w:val="single" w:sz="4" w:space="0" w:color="000000"/>
              <w:left w:val="single" w:sz="4" w:space="0" w:color="000000"/>
              <w:bottom w:val="nil" w:sz="6" w:space="0" w:color="auto"/>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
        </w:tc>
        <w:tc>
          <w:tcPr>
            <w:tcW w:w="1104" w:type="dxa"/>
            <w:tcBorders>
              <w:top w:val="single" w:sz="4" w:space="0" w:color="000000"/>
              <w:left w:val="single" w:sz="4" w:space="0" w:color="000000"/>
              <w:bottom w:val="nil" w:sz="6" w:space="0" w:color="auto"/>
              <w:right w:val="single" w:sz="4" w:space="0" w:color="000000"/>
            </w:tcBorders>
          </w:tcPr>
          <w:p>
            <w:pPr/>
          </w:p>
        </w:tc>
      </w:tr>
      <w:tr>
        <w:trPr>
          <w:trHeight w:val="310"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与贵公司进</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行关联交易；</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如因贵公司</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生产经营需</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要而无法避</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免关联交易</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pacing w:val="-4"/>
                <w:sz w:val="18"/>
                <w:szCs w:val="18"/>
              </w:rPr>
              <w:t>时，本人将严</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格执行相关</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pacing w:val="-4"/>
                <w:sz w:val="18"/>
                <w:szCs w:val="18"/>
              </w:rPr>
              <w:t>回避制度，依</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法诚信地履</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行股东的义</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9"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23" w:right="0"/>
              <w:jc w:val="left"/>
              <w:rPr>
                <w:rFonts w:ascii="宋体" w:hAnsi="宋体" w:cs="宋体" w:eastAsia="宋体" w:hint="default"/>
                <w:sz w:val="18"/>
                <w:szCs w:val="18"/>
              </w:rPr>
            </w:pPr>
            <w:r>
              <w:rPr>
                <w:rFonts w:ascii="宋体" w:hAnsi="宋体" w:cs="宋体" w:eastAsia="宋体" w:hint="default"/>
                <w:sz w:val="18"/>
                <w:szCs w:val="18"/>
              </w:rPr>
              <w:t>尤丽娟</w:t>
            </w:r>
            <w:r>
              <w:rPr>
                <w:rFonts w:ascii="Times New Roman" w:hAnsi="Times New Roman" w:cs="Times New Roman" w:eastAsia="Times New Roman" w:hint="default"/>
                <w:sz w:val="18"/>
                <w:szCs w:val="18"/>
              </w:rPr>
              <w:t>;</w:t>
            </w:r>
            <w:r>
              <w:rPr>
                <w:rFonts w:ascii="宋体" w:hAnsi="宋体" w:cs="宋体" w:eastAsia="宋体" w:hint="default"/>
                <w:sz w:val="18"/>
                <w:szCs w:val="18"/>
              </w:rPr>
              <w:t>尤玉</w:t>
            </w: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pacing w:val="-4"/>
                <w:sz w:val="18"/>
                <w:szCs w:val="18"/>
              </w:rPr>
              <w:t>务，不会利用</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934"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24" w:right="0"/>
              <w:jc w:val="left"/>
              <w:rPr>
                <w:rFonts w:ascii="宋体" w:hAnsi="宋体" w:cs="宋体" w:eastAsia="宋体" w:hint="default"/>
                <w:sz w:val="18"/>
                <w:szCs w:val="18"/>
              </w:rPr>
            </w:pPr>
            <w:r>
              <w:rPr>
                <w:rFonts w:ascii="宋体" w:hAnsi="宋体" w:cs="宋体" w:eastAsia="宋体" w:hint="default"/>
                <w:spacing w:val="-3"/>
                <w:sz w:val="18"/>
                <w:szCs w:val="18"/>
              </w:rPr>
              <w:t>其他对公司中小股东所作承诺</w:t>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300" w:lineRule="auto" w:before="4"/>
              <w:ind w:left="23" w:right="81"/>
              <w:jc w:val="both"/>
              <w:rPr>
                <w:rFonts w:ascii="宋体" w:hAnsi="宋体" w:cs="宋体" w:eastAsia="宋体" w:hint="default"/>
                <w:sz w:val="18"/>
                <w:szCs w:val="18"/>
              </w:rPr>
            </w:pPr>
            <w:r>
              <w:rPr>
                <w:rFonts w:ascii="宋体" w:hAnsi="宋体" w:cs="宋体" w:eastAsia="宋体" w:hint="default"/>
                <w:sz w:val="18"/>
                <w:szCs w:val="18"/>
              </w:rPr>
              <w:t>仙</w:t>
            </w:r>
            <w:r>
              <w:rPr>
                <w:rFonts w:ascii="Times New Roman" w:hAnsi="Times New Roman" w:cs="Times New Roman" w:eastAsia="Times New Roman" w:hint="default"/>
                <w:sz w:val="18"/>
                <w:szCs w:val="18"/>
              </w:rPr>
              <w:t>;</w:t>
            </w:r>
            <w:r>
              <w:rPr>
                <w:rFonts w:ascii="宋体" w:hAnsi="宋体" w:cs="宋体" w:eastAsia="宋体" w:hint="default"/>
                <w:sz w:val="18"/>
                <w:szCs w:val="18"/>
              </w:rPr>
              <w:t>尤友岳</w:t>
            </w:r>
            <w:r>
              <w:rPr>
                <w:rFonts w:ascii="Times New Roman" w:hAnsi="Times New Roman" w:cs="Times New Roman" w:eastAsia="Times New Roman" w:hint="default"/>
                <w:sz w:val="18"/>
                <w:szCs w:val="18"/>
              </w:rPr>
              <w:t>;</w:t>
            </w:r>
            <w:r>
              <w:rPr>
                <w:rFonts w:ascii="宋体" w:hAnsi="宋体" w:cs="宋体" w:eastAsia="宋体" w:hint="default"/>
                <w:sz w:val="18"/>
                <w:szCs w:val="18"/>
              </w:rPr>
              <w:t>尤</w:t>
            </w:r>
            <w:r>
              <w:rPr>
                <w:rFonts w:ascii="宋体" w:hAnsi="宋体" w:cs="宋体" w:eastAsia="宋体" w:hint="default"/>
                <w:spacing w:val="-88"/>
                <w:sz w:val="18"/>
                <w:szCs w:val="18"/>
              </w:rPr>
              <w:t> </w:t>
            </w:r>
            <w:r>
              <w:rPr>
                <w:rFonts w:ascii="宋体" w:hAnsi="宋体" w:cs="宋体" w:eastAsia="宋体" w:hint="default"/>
                <w:sz w:val="18"/>
                <w:szCs w:val="18"/>
              </w:rPr>
              <w:t>雪仙</w:t>
            </w:r>
            <w:r>
              <w:rPr>
                <w:rFonts w:ascii="Times New Roman" w:hAnsi="Times New Roman" w:cs="Times New Roman" w:eastAsia="Times New Roman" w:hint="default"/>
                <w:sz w:val="18"/>
                <w:szCs w:val="18"/>
              </w:rPr>
              <w:t>;</w:t>
            </w:r>
            <w:r>
              <w:rPr>
                <w:rFonts w:ascii="宋体" w:hAnsi="宋体" w:cs="宋体" w:eastAsia="宋体" w:hint="default"/>
                <w:sz w:val="18"/>
                <w:szCs w:val="18"/>
              </w:rPr>
              <w:t>尤友鸾</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章棉桃</w:t>
            </w:r>
            <w:r>
              <w:rPr>
                <w:rFonts w:ascii="Times New Roman" w:hAnsi="Times New Roman" w:cs="Times New Roman" w:eastAsia="Times New Roman" w:hint="default"/>
                <w:sz w:val="18"/>
                <w:szCs w:val="18"/>
              </w:rPr>
              <w:t>;</w:t>
            </w:r>
            <w:r>
              <w:rPr>
                <w:rFonts w:ascii="宋体" w:hAnsi="宋体" w:cs="宋体" w:eastAsia="宋体" w:hint="default"/>
                <w:sz w:val="18"/>
                <w:szCs w:val="18"/>
              </w:rPr>
              <w:t>苏凤</w:t>
            </w: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316" w:lineRule="auto" w:before="4"/>
              <w:ind w:left="23" w:right="12"/>
              <w:jc w:val="left"/>
              <w:rPr>
                <w:rFonts w:ascii="宋体" w:hAnsi="宋体" w:cs="宋体" w:eastAsia="宋体" w:hint="default"/>
                <w:sz w:val="18"/>
                <w:szCs w:val="18"/>
              </w:rPr>
            </w:pPr>
            <w:r>
              <w:rPr>
                <w:rFonts w:ascii="宋体" w:hAnsi="宋体" w:cs="宋体" w:eastAsia="宋体" w:hint="default"/>
                <w:sz w:val="18"/>
                <w:szCs w:val="18"/>
              </w:rPr>
              <w:t>关联人的地</w:t>
            </w:r>
            <w:r>
              <w:rPr>
                <w:rFonts w:ascii="宋体" w:hAnsi="宋体" w:cs="宋体" w:eastAsia="宋体" w:hint="default"/>
                <w:w w:val="101"/>
                <w:sz w:val="18"/>
                <w:szCs w:val="18"/>
              </w:rPr>
              <w:t> </w:t>
            </w:r>
            <w:r>
              <w:rPr>
                <w:rFonts w:ascii="宋体" w:hAnsi="宋体" w:cs="宋体" w:eastAsia="宋体" w:hint="default"/>
                <w:spacing w:val="-4"/>
                <w:sz w:val="18"/>
                <w:szCs w:val="18"/>
              </w:rPr>
              <w:t>位，就上述关</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联交易采取</w:t>
            </w:r>
          </w:p>
        </w:tc>
        <w:tc>
          <w:tcPr>
            <w:tcW w:w="112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110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19" w:right="0"/>
              <w:jc w:val="left"/>
              <w:rPr>
                <w:rFonts w:ascii="宋体" w:hAnsi="宋体" w:cs="宋体" w:eastAsia="宋体" w:hint="default"/>
                <w:sz w:val="18"/>
                <w:szCs w:val="18"/>
              </w:rPr>
            </w:pPr>
            <w:r>
              <w:rPr>
                <w:rFonts w:ascii="宋体" w:hAnsi="宋体" w:cs="宋体" w:eastAsia="宋体" w:hint="default"/>
                <w:sz w:val="18"/>
                <w:szCs w:val="18"/>
              </w:rPr>
              <w:t>严格履行</w:t>
            </w:r>
          </w:p>
        </w:tc>
      </w:tr>
      <w:tr>
        <w:trPr>
          <w:trHeight w:val="309"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w w:val="101"/>
                <w:sz w:val="18"/>
                <w:szCs w:val="18"/>
              </w:rPr>
              <w:t>娇</w:t>
            </w:r>
            <w:r>
              <w:rPr>
                <w:rFonts w:ascii="宋体" w:hAnsi="宋体" w:cs="宋体" w:eastAsia="宋体" w:hint="default"/>
                <w:sz w:val="18"/>
                <w:szCs w:val="18"/>
              </w:rPr>
            </w: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任何行动以</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0"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促使贵公司</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pacing w:val="-4"/>
                <w:sz w:val="18"/>
                <w:szCs w:val="18"/>
              </w:rPr>
              <w:t>股东大会、董</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事会作出侵</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犯贵公司及</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其他股东合</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法权益的决</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pacing w:val="-4"/>
                <w:sz w:val="18"/>
                <w:szCs w:val="18"/>
              </w:rPr>
              <w:t>议；贵公司与</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本人之间的</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关联交易将</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pacing w:val="-4"/>
                <w:sz w:val="18"/>
                <w:szCs w:val="18"/>
              </w:rPr>
              <w:t>遵循公正、公</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4"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平的原则进</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58"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single" w:sz="4" w:space="0" w:color="000000"/>
              <w:right w:val="single" w:sz="4" w:space="0" w:color="000000"/>
            </w:tcBorders>
          </w:tcPr>
          <w:p>
            <w:pPr/>
          </w:p>
        </w:tc>
        <w:tc>
          <w:tcPr>
            <w:tcW w:w="1128" w:type="dxa"/>
            <w:vMerge/>
            <w:tcBorders>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行。</w:t>
            </w:r>
          </w:p>
        </w:tc>
        <w:tc>
          <w:tcPr>
            <w:tcW w:w="1128" w:type="dxa"/>
            <w:tcBorders>
              <w:top w:val="nil" w:sz="6" w:space="0" w:color="auto"/>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
        </w:tc>
        <w:tc>
          <w:tcPr>
            <w:tcW w:w="1104" w:type="dxa"/>
            <w:tcBorders>
              <w:top w:val="nil" w:sz="6" w:space="0" w:color="auto"/>
              <w:left w:val="single" w:sz="4" w:space="0" w:color="000000"/>
              <w:bottom w:val="single" w:sz="4" w:space="0" w:color="000000"/>
              <w:right w:val="single" w:sz="4" w:space="0" w:color="000000"/>
            </w:tcBorders>
          </w:tcPr>
          <w:p>
            <w:pPr/>
          </w:p>
        </w:tc>
      </w:tr>
      <w:tr>
        <w:trPr>
          <w:trHeight w:val="36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single" w:sz="4" w:space="0" w:color="000000"/>
              <w:left w:val="single" w:sz="4" w:space="0" w:color="000000"/>
              <w:bottom w:val="nil" w:sz="6" w:space="0" w:color="auto"/>
              <w:right w:val="single" w:sz="4" w:space="0" w:color="000000"/>
            </w:tcBorders>
          </w:tcPr>
          <w:p>
            <w:pPr/>
          </w:p>
        </w:tc>
        <w:tc>
          <w:tcPr>
            <w:tcW w:w="1128" w:type="dxa"/>
            <w:vMerge w:val="restart"/>
            <w:tcBorders>
              <w:top w:val="single" w:sz="4" w:space="0" w:color="000000"/>
              <w:left w:val="single" w:sz="4" w:space="0" w:color="000000"/>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自</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9</w:t>
            </w:r>
          </w:p>
        </w:tc>
        <w:tc>
          <w:tcPr>
            <w:tcW w:w="1128" w:type="dxa"/>
            <w:tcBorders>
              <w:top w:val="single" w:sz="4" w:space="0" w:color="000000"/>
              <w:left w:val="single" w:sz="4" w:space="0" w:color="000000"/>
              <w:bottom w:val="nil" w:sz="6" w:space="0" w:color="auto"/>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
        </w:tc>
        <w:tc>
          <w:tcPr>
            <w:tcW w:w="1104"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尤丽娟</w:t>
            </w:r>
            <w:r>
              <w:rPr>
                <w:rFonts w:ascii="Times New Roman" w:hAnsi="Times New Roman" w:cs="Times New Roman" w:eastAsia="Times New Roman" w:hint="default"/>
                <w:sz w:val="18"/>
                <w:szCs w:val="18"/>
              </w:rPr>
              <w:t>;</w:t>
            </w:r>
            <w:r>
              <w:rPr>
                <w:rFonts w:ascii="宋体" w:hAnsi="宋体" w:cs="宋体" w:eastAsia="宋体" w:hint="default"/>
                <w:sz w:val="18"/>
                <w:szCs w:val="18"/>
              </w:rPr>
              <w:t>尤玉</w:t>
            </w: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日起连</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936"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300" w:lineRule="auto" w:before="4"/>
              <w:ind w:left="23" w:right="81"/>
              <w:jc w:val="both"/>
              <w:rPr>
                <w:rFonts w:ascii="宋体" w:hAnsi="宋体" w:cs="宋体" w:eastAsia="宋体" w:hint="default"/>
                <w:sz w:val="18"/>
                <w:szCs w:val="18"/>
              </w:rPr>
            </w:pPr>
            <w:r>
              <w:rPr>
                <w:rFonts w:ascii="宋体" w:hAnsi="宋体" w:cs="宋体" w:eastAsia="宋体" w:hint="default"/>
                <w:sz w:val="18"/>
                <w:szCs w:val="18"/>
              </w:rPr>
              <w:t>仙</w:t>
            </w:r>
            <w:r>
              <w:rPr>
                <w:rFonts w:ascii="Times New Roman" w:hAnsi="Times New Roman" w:cs="Times New Roman" w:eastAsia="Times New Roman" w:hint="default"/>
                <w:sz w:val="18"/>
                <w:szCs w:val="18"/>
              </w:rPr>
              <w:t>;</w:t>
            </w:r>
            <w:r>
              <w:rPr>
                <w:rFonts w:ascii="宋体" w:hAnsi="宋体" w:cs="宋体" w:eastAsia="宋体" w:hint="default"/>
                <w:sz w:val="18"/>
                <w:szCs w:val="18"/>
              </w:rPr>
              <w:t>尤友岳</w:t>
            </w:r>
            <w:r>
              <w:rPr>
                <w:rFonts w:ascii="Times New Roman" w:hAnsi="Times New Roman" w:cs="Times New Roman" w:eastAsia="Times New Roman" w:hint="default"/>
                <w:sz w:val="18"/>
                <w:szCs w:val="18"/>
              </w:rPr>
              <w:t>;</w:t>
            </w:r>
            <w:r>
              <w:rPr>
                <w:rFonts w:ascii="宋体" w:hAnsi="宋体" w:cs="宋体" w:eastAsia="宋体" w:hint="default"/>
                <w:sz w:val="18"/>
                <w:szCs w:val="18"/>
              </w:rPr>
              <w:t>尤</w:t>
            </w:r>
            <w:r>
              <w:rPr>
                <w:rFonts w:ascii="宋体" w:hAnsi="宋体" w:cs="宋体" w:eastAsia="宋体" w:hint="default"/>
                <w:spacing w:val="-88"/>
                <w:sz w:val="18"/>
                <w:szCs w:val="18"/>
              </w:rPr>
              <w:t> </w:t>
            </w:r>
            <w:r>
              <w:rPr>
                <w:rFonts w:ascii="宋体" w:hAnsi="宋体" w:cs="宋体" w:eastAsia="宋体" w:hint="default"/>
                <w:sz w:val="18"/>
                <w:szCs w:val="18"/>
              </w:rPr>
              <w:t>雪仙</w:t>
            </w:r>
            <w:r>
              <w:rPr>
                <w:rFonts w:ascii="Times New Roman" w:hAnsi="Times New Roman" w:cs="Times New Roman" w:eastAsia="Times New Roman" w:hint="default"/>
                <w:sz w:val="18"/>
                <w:szCs w:val="18"/>
              </w:rPr>
              <w:t>;</w:t>
            </w:r>
            <w:r>
              <w:rPr>
                <w:rFonts w:ascii="宋体" w:hAnsi="宋体" w:cs="宋体" w:eastAsia="宋体" w:hint="default"/>
                <w:sz w:val="18"/>
                <w:szCs w:val="18"/>
              </w:rPr>
              <w:t>尤友鸾</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章棉桃</w:t>
            </w:r>
            <w:r>
              <w:rPr>
                <w:rFonts w:ascii="Times New Roman" w:hAnsi="Times New Roman" w:cs="Times New Roman" w:eastAsia="Times New Roman" w:hint="default"/>
                <w:sz w:val="18"/>
                <w:szCs w:val="18"/>
              </w:rPr>
              <w:t>;</w:t>
            </w:r>
            <w:r>
              <w:rPr>
                <w:rFonts w:ascii="宋体" w:hAnsi="宋体" w:cs="宋体" w:eastAsia="宋体" w:hint="default"/>
                <w:sz w:val="18"/>
                <w:szCs w:val="18"/>
              </w:rPr>
              <w:t>苏凤</w:t>
            </w: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316" w:lineRule="auto" w:before="4"/>
              <w:ind w:left="23" w:right="185"/>
              <w:jc w:val="both"/>
              <w:rPr>
                <w:rFonts w:ascii="宋体" w:hAnsi="宋体" w:cs="宋体" w:eastAsia="宋体" w:hint="default"/>
                <w:sz w:val="18"/>
                <w:szCs w:val="18"/>
              </w:rPr>
            </w:pPr>
            <w:r>
              <w:rPr>
                <w:rFonts w:ascii="宋体" w:hAnsi="宋体" w:cs="宋体" w:eastAsia="宋体" w:hint="default"/>
                <w:spacing w:val="-2"/>
                <w:sz w:val="18"/>
                <w:szCs w:val="18"/>
              </w:rPr>
              <w:t>续六个月内</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减持公司股</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份的比例低</w:t>
            </w:r>
          </w:p>
        </w:tc>
        <w:tc>
          <w:tcPr>
            <w:tcW w:w="112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58"/>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18 </w:t>
            </w:r>
            <w:r>
              <w:rPr>
                <w:rFonts w:ascii="宋体" w:hAnsi="宋体" w:cs="宋体" w:eastAsia="宋体" w:hint="default"/>
                <w:sz w:val="18"/>
                <w:szCs w:val="18"/>
              </w:rPr>
              <w:t>日至</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2015</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03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19" w:right="0"/>
              <w:jc w:val="left"/>
              <w:rPr>
                <w:rFonts w:ascii="宋体" w:hAnsi="宋体" w:cs="宋体" w:eastAsia="宋体" w:hint="default"/>
                <w:sz w:val="18"/>
                <w:szCs w:val="18"/>
              </w:rPr>
            </w:pPr>
            <w:r>
              <w:rPr>
                <w:rFonts w:ascii="宋体" w:hAnsi="宋体" w:cs="宋体" w:eastAsia="宋体" w:hint="default"/>
                <w:sz w:val="18"/>
                <w:szCs w:val="18"/>
              </w:rPr>
              <w:t>已履行完毕</w:t>
            </w:r>
          </w:p>
        </w:tc>
      </w:tr>
      <w:tr>
        <w:trPr>
          <w:trHeight w:val="309"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w w:val="101"/>
                <w:sz w:val="18"/>
                <w:szCs w:val="18"/>
              </w:rPr>
              <w:t>娇</w:t>
            </w:r>
            <w:r>
              <w:rPr>
                <w:rFonts w:ascii="宋体" w:hAnsi="宋体" w:cs="宋体" w:eastAsia="宋体" w:hint="default"/>
                <w:sz w:val="18"/>
                <w:szCs w:val="18"/>
              </w:rPr>
            </w: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宋体" w:hAnsi="宋体" w:cs="宋体" w:eastAsia="宋体" w:hint="default"/>
                <w:sz w:val="18"/>
                <w:szCs w:val="18"/>
              </w:rPr>
            </w:pPr>
            <w:r>
              <w:rPr>
                <w:rFonts w:ascii="宋体" w:hAnsi="宋体" w:cs="宋体" w:eastAsia="宋体" w:hint="default"/>
                <w:sz w:val="18"/>
                <w:szCs w:val="18"/>
              </w:rPr>
              <w:t>于公司总股</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56"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
        </w:tc>
        <w:tc>
          <w:tcPr>
            <w:tcW w:w="1123" w:type="dxa"/>
            <w:tcBorders>
              <w:top w:val="nil" w:sz="6" w:space="0" w:color="auto"/>
              <w:left w:val="single" w:sz="4" w:space="0" w:color="000000"/>
              <w:bottom w:val="single" w:sz="4" w:space="0" w:color="000000"/>
              <w:right w:val="single" w:sz="4" w:space="0" w:color="000000"/>
            </w:tcBorders>
          </w:tcPr>
          <w:p>
            <w:pPr/>
          </w:p>
        </w:tc>
        <w:tc>
          <w:tcPr>
            <w:tcW w:w="1128" w:type="dxa"/>
            <w:vMerge/>
            <w:tcBorders>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本的</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p>
        </w:tc>
        <w:tc>
          <w:tcPr>
            <w:tcW w:w="1128" w:type="dxa"/>
            <w:tcBorders>
              <w:top w:val="nil" w:sz="6" w:space="0" w:color="auto"/>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
        </w:tc>
        <w:tc>
          <w:tcPr>
            <w:tcW w:w="1104" w:type="dxa"/>
            <w:tcBorders>
              <w:top w:val="nil" w:sz="6" w:space="0" w:color="auto"/>
              <w:left w:val="single" w:sz="4" w:space="0" w:color="000000"/>
              <w:bottom w:val="single" w:sz="4" w:space="0" w:color="000000"/>
              <w:right w:val="single" w:sz="4" w:space="0" w:color="000000"/>
            </w:tcBorders>
          </w:tcPr>
          <w:p>
            <w:pPr/>
          </w:p>
        </w:tc>
      </w:tr>
      <w:tr>
        <w:trPr>
          <w:trHeight w:val="710" w:hRule="exact"/>
        </w:trPr>
        <w:tc>
          <w:tcPr>
            <w:tcW w:w="2837" w:type="dxa"/>
            <w:tcBorders>
              <w:top w:val="nil" w:sz="6" w:space="0" w:color="auto"/>
              <w:left w:val="single" w:sz="4" w:space="0" w:color="000000"/>
              <w:bottom w:val="single" w:sz="4" w:space="0" w:color="000000"/>
              <w:right w:val="single" w:sz="4" w:space="0" w:color="000000"/>
            </w:tcBorders>
            <w:shd w:val="clear" w:color="auto" w:fill="D2D2D2"/>
          </w:tcPr>
          <w:p>
            <w:pP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尤丽娟</w:t>
            </w:r>
            <w:r>
              <w:rPr>
                <w:rFonts w:ascii="Times New Roman" w:hAnsi="Times New Roman" w:cs="Times New Roman" w:eastAsia="Times New Roman" w:hint="default"/>
                <w:sz w:val="18"/>
                <w:szCs w:val="18"/>
              </w:rPr>
              <w:t>;</w:t>
            </w:r>
            <w:r>
              <w:rPr>
                <w:rFonts w:ascii="宋体" w:hAnsi="宋体" w:cs="宋体" w:eastAsia="宋体" w:hint="default"/>
                <w:sz w:val="18"/>
                <w:szCs w:val="18"/>
              </w:rPr>
              <w:t>尤玉</w:t>
            </w:r>
          </w:p>
        </w:tc>
        <w:tc>
          <w:tcPr>
            <w:tcW w:w="1128"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自</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4</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已履行完毕</w:t>
            </w:r>
          </w:p>
        </w:tc>
      </w:tr>
    </w:tbl>
    <w:p>
      <w:pPr>
        <w:spacing w:after="0" w:line="240" w:lineRule="auto"/>
        <w:jc w:val="left"/>
        <w:rPr>
          <w:rFonts w:ascii="宋体" w:hAnsi="宋体" w:cs="宋体" w:eastAsia="宋体" w:hint="default"/>
          <w:sz w:val="18"/>
          <w:szCs w:val="18"/>
        </w:rPr>
        <w:sectPr>
          <w:footerReference w:type="default" r:id="rId16"/>
          <w:pgSz w:w="11900" w:h="16840"/>
          <w:pgMar w:footer="1310" w:header="872" w:top="1060" w:bottom="1500" w:left="980" w:right="980"/>
          <w:pgNumType w:start="3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837"/>
        <w:gridCol w:w="1123"/>
        <w:gridCol w:w="1128"/>
        <w:gridCol w:w="1123"/>
        <w:gridCol w:w="1128"/>
        <w:gridCol w:w="1123"/>
        <w:gridCol w:w="1104"/>
      </w:tblGrid>
      <w:tr>
        <w:trPr>
          <w:trHeight w:val="323" w:hRule="exact"/>
        </w:trPr>
        <w:tc>
          <w:tcPr>
            <w:tcW w:w="2837" w:type="dxa"/>
            <w:vMerge w:val="restart"/>
            <w:tcBorders>
              <w:top w:val="single" w:sz="4" w:space="0" w:color="000000"/>
              <w:left w:val="single" w:sz="4" w:space="0" w:color="000000"/>
              <w:right w:val="single" w:sz="4" w:space="0" w:color="000000"/>
            </w:tcBorders>
            <w:shd w:val="clear" w:color="auto" w:fill="D2D2D2"/>
          </w:tcPr>
          <w:p>
            <w:pPr/>
          </w:p>
        </w:tc>
        <w:tc>
          <w:tcPr>
            <w:tcW w:w="112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雪仙</w:t>
            </w:r>
            <w:r>
              <w:rPr>
                <w:rFonts w:ascii="Times New Roman" w:hAnsi="Times New Roman" w:cs="Times New Roman" w:eastAsia="Times New Roman" w:hint="default"/>
                <w:sz w:val="18"/>
                <w:szCs w:val="18"/>
              </w:rPr>
              <w:t>;</w:t>
            </w:r>
            <w:r>
              <w:rPr>
                <w:rFonts w:ascii="宋体" w:hAnsi="宋体" w:cs="宋体" w:eastAsia="宋体" w:hint="default"/>
                <w:sz w:val="18"/>
                <w:szCs w:val="18"/>
              </w:rPr>
              <w:t>尤友鸾</w:t>
            </w:r>
            <w:r>
              <w:rPr>
                <w:rFonts w:ascii="Times New Roman" w:hAnsi="Times New Roman" w:cs="Times New Roman" w:eastAsia="Times New Roman" w:hint="default"/>
                <w:sz w:val="18"/>
                <w:szCs w:val="18"/>
              </w:rPr>
              <w:t>;</w:t>
            </w:r>
          </w:p>
        </w:tc>
        <w:tc>
          <w:tcPr>
            <w:tcW w:w="1128" w:type="dxa"/>
            <w:vMerge w:val="restart"/>
            <w:tcBorders>
              <w:top w:val="single" w:sz="4" w:space="0" w:color="000000"/>
              <w:left w:val="single" w:sz="4" w:space="0" w:color="000000"/>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续六个月内</w:t>
            </w:r>
          </w:p>
        </w:tc>
        <w:tc>
          <w:tcPr>
            <w:tcW w:w="1128" w:type="dxa"/>
            <w:vMerge w:val="restart"/>
            <w:tcBorders>
              <w:top w:val="single" w:sz="4" w:space="0" w:color="000000"/>
              <w:left w:val="single" w:sz="4" w:space="0" w:color="000000"/>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5"/>
              <w:ind w:left="2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4" w:type="dxa"/>
            <w:vMerge w:val="restart"/>
            <w:tcBorders>
              <w:top w:val="single" w:sz="4" w:space="0" w:color="000000"/>
              <w:left w:val="single" w:sz="4" w:space="0" w:color="000000"/>
              <w:right w:val="single" w:sz="4" w:space="0" w:color="000000"/>
            </w:tcBorders>
          </w:tcPr>
          <w:p>
            <w:pPr/>
          </w:p>
        </w:tc>
      </w:tr>
      <w:tr>
        <w:trPr>
          <w:trHeight w:val="307"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章棉桃</w:t>
            </w: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宋体" w:hAnsi="宋体" w:cs="宋体" w:eastAsia="宋体" w:hint="default"/>
                <w:sz w:val="18"/>
                <w:szCs w:val="18"/>
              </w:rPr>
            </w:pPr>
            <w:r>
              <w:rPr>
                <w:rFonts w:ascii="宋体" w:hAnsi="宋体" w:cs="宋体" w:eastAsia="宋体" w:hint="default"/>
                <w:sz w:val="18"/>
                <w:szCs w:val="18"/>
              </w:rPr>
              <w:t>减持公司股</w:t>
            </w: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vMerge/>
            <w:tcBorders>
              <w:left w:val="single" w:sz="4" w:space="0" w:color="000000"/>
              <w:right w:val="single" w:sz="4" w:space="0" w:color="000000"/>
            </w:tcBorders>
          </w:tcPr>
          <w:p>
            <w:pPr/>
          </w:p>
        </w:tc>
      </w:tr>
      <w:tr>
        <w:trPr>
          <w:trHeight w:val="310"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份的比例低</w:t>
            </w: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vMerge/>
            <w:tcBorders>
              <w:left w:val="single" w:sz="4" w:space="0" w:color="000000"/>
              <w:right w:val="single" w:sz="4" w:space="0" w:color="000000"/>
            </w:tcBorders>
          </w:tcPr>
          <w:p>
            <w:pPr/>
          </w:p>
        </w:tc>
      </w:tr>
      <w:tr>
        <w:trPr>
          <w:trHeight w:val="314"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于公司总股</w:t>
            </w: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vMerge/>
            <w:tcBorders>
              <w:left w:val="single" w:sz="4" w:space="0" w:color="000000"/>
              <w:right w:val="single" w:sz="4" w:space="0" w:color="000000"/>
            </w:tcBorders>
          </w:tcPr>
          <w:p>
            <w:pPr/>
          </w:p>
        </w:tc>
      </w:tr>
      <w:tr>
        <w:trPr>
          <w:trHeight w:val="354"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single" w:sz="4" w:space="0" w:color="000000"/>
              <w:right w:val="single" w:sz="4" w:space="0" w:color="000000"/>
            </w:tcBorders>
          </w:tcPr>
          <w:p>
            <w:pPr/>
          </w:p>
        </w:tc>
        <w:tc>
          <w:tcPr>
            <w:tcW w:w="1128" w:type="dxa"/>
            <w:vMerge/>
            <w:tcBorders>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本的</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p>
        </w:tc>
        <w:tc>
          <w:tcPr>
            <w:tcW w:w="1128" w:type="dxa"/>
            <w:vMerge/>
            <w:tcBorders>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
        </w:tc>
        <w:tc>
          <w:tcPr>
            <w:tcW w:w="1104" w:type="dxa"/>
            <w:vMerge/>
            <w:tcBorders>
              <w:left w:val="single" w:sz="4" w:space="0" w:color="000000"/>
              <w:bottom w:val="single" w:sz="4" w:space="0" w:color="000000"/>
              <w:right w:val="single" w:sz="4" w:space="0" w:color="000000"/>
            </w:tcBorders>
          </w:tcPr>
          <w:p>
            <w:pPr/>
          </w:p>
        </w:tc>
      </w:tr>
      <w:tr>
        <w:trPr>
          <w:trHeight w:val="364" w:hRule="exact"/>
        </w:trPr>
        <w:tc>
          <w:tcPr>
            <w:tcW w:w="2837" w:type="dxa"/>
            <w:vMerge/>
            <w:tcBorders>
              <w:left w:val="single" w:sz="4" w:space="0" w:color="000000"/>
              <w:right w:val="single" w:sz="4" w:space="0" w:color="000000"/>
            </w:tcBorders>
            <w:shd w:val="clear" w:color="auto" w:fill="D2D2D2"/>
          </w:tcPr>
          <w:p>
            <w:pPr/>
          </w:p>
        </w:tc>
        <w:tc>
          <w:tcPr>
            <w:tcW w:w="1123" w:type="dxa"/>
            <w:tcBorders>
              <w:top w:val="single" w:sz="4" w:space="0" w:color="000000"/>
              <w:left w:val="single" w:sz="4" w:space="0" w:color="000000"/>
              <w:bottom w:val="nil" w:sz="6" w:space="0" w:color="auto"/>
              <w:right w:val="single" w:sz="4" w:space="0" w:color="000000"/>
            </w:tcBorders>
          </w:tcPr>
          <w:p>
            <w:pPr/>
          </w:p>
        </w:tc>
        <w:tc>
          <w:tcPr>
            <w:tcW w:w="1128" w:type="dxa"/>
            <w:vMerge w:val="restart"/>
            <w:tcBorders>
              <w:top w:val="single" w:sz="4" w:space="0" w:color="000000"/>
              <w:left w:val="single" w:sz="4" w:space="0" w:color="000000"/>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自</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w:t>
            </w:r>
          </w:p>
        </w:tc>
        <w:tc>
          <w:tcPr>
            <w:tcW w:w="1128" w:type="dxa"/>
            <w:tcBorders>
              <w:top w:val="single" w:sz="4" w:space="0" w:color="000000"/>
              <w:left w:val="single" w:sz="4" w:space="0" w:color="000000"/>
              <w:bottom w:val="nil" w:sz="6" w:space="0" w:color="auto"/>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
        </w:tc>
        <w:tc>
          <w:tcPr>
            <w:tcW w:w="1104" w:type="dxa"/>
            <w:tcBorders>
              <w:top w:val="single" w:sz="4" w:space="0" w:color="000000"/>
              <w:left w:val="single" w:sz="4" w:space="0" w:color="000000"/>
              <w:bottom w:val="nil" w:sz="6" w:space="0" w:color="auto"/>
              <w:right w:val="single" w:sz="4" w:space="0" w:color="000000"/>
            </w:tcBorders>
          </w:tcPr>
          <w:p>
            <w:pPr/>
          </w:p>
        </w:tc>
      </w:tr>
      <w:tr>
        <w:trPr>
          <w:trHeight w:val="1248"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302" w:lineRule="auto" w:before="6"/>
              <w:ind w:left="23" w:right="81"/>
              <w:jc w:val="both"/>
              <w:rPr>
                <w:rFonts w:ascii="宋体" w:hAnsi="宋体" w:cs="宋体" w:eastAsia="宋体" w:hint="default"/>
                <w:sz w:val="18"/>
                <w:szCs w:val="18"/>
              </w:rPr>
            </w:pPr>
            <w:r>
              <w:rPr>
                <w:rFonts w:ascii="宋体" w:hAnsi="宋体" w:cs="宋体" w:eastAsia="宋体" w:hint="default"/>
                <w:sz w:val="18"/>
                <w:szCs w:val="18"/>
              </w:rPr>
              <w:t>尤丽娟</w:t>
            </w:r>
            <w:r>
              <w:rPr>
                <w:rFonts w:ascii="Times New Roman" w:hAnsi="Times New Roman" w:cs="Times New Roman" w:eastAsia="Times New Roman" w:hint="default"/>
                <w:sz w:val="18"/>
                <w:szCs w:val="18"/>
              </w:rPr>
              <w:t>;</w:t>
            </w:r>
            <w:r>
              <w:rPr>
                <w:rFonts w:ascii="宋体" w:hAnsi="宋体" w:cs="宋体" w:eastAsia="宋体" w:hint="default"/>
                <w:sz w:val="18"/>
                <w:szCs w:val="18"/>
              </w:rPr>
              <w:t>尤玉</w:t>
            </w:r>
            <w:r>
              <w:rPr>
                <w:rFonts w:ascii="宋体" w:hAnsi="宋体" w:cs="宋体" w:eastAsia="宋体" w:hint="default"/>
                <w:spacing w:val="-86"/>
                <w:sz w:val="18"/>
                <w:szCs w:val="18"/>
              </w:rPr>
              <w:t> </w:t>
            </w:r>
            <w:r>
              <w:rPr>
                <w:rFonts w:ascii="宋体" w:hAnsi="宋体" w:cs="宋体" w:eastAsia="宋体" w:hint="default"/>
                <w:sz w:val="18"/>
                <w:szCs w:val="18"/>
              </w:rPr>
              <w:t>仙</w:t>
            </w:r>
            <w:r>
              <w:rPr>
                <w:rFonts w:ascii="Times New Roman" w:hAnsi="Times New Roman" w:cs="Times New Roman" w:eastAsia="Times New Roman" w:hint="default"/>
                <w:sz w:val="18"/>
                <w:szCs w:val="18"/>
              </w:rPr>
              <w:t>;</w:t>
            </w:r>
            <w:r>
              <w:rPr>
                <w:rFonts w:ascii="宋体" w:hAnsi="宋体" w:cs="宋体" w:eastAsia="宋体" w:hint="default"/>
                <w:sz w:val="18"/>
                <w:szCs w:val="18"/>
              </w:rPr>
              <w:t>尤友岳</w:t>
            </w:r>
            <w:r>
              <w:rPr>
                <w:rFonts w:ascii="Times New Roman" w:hAnsi="Times New Roman" w:cs="Times New Roman" w:eastAsia="Times New Roman" w:hint="default"/>
                <w:sz w:val="18"/>
                <w:szCs w:val="18"/>
              </w:rPr>
              <w:t>;</w:t>
            </w:r>
            <w:r>
              <w:rPr>
                <w:rFonts w:ascii="宋体" w:hAnsi="宋体" w:cs="宋体" w:eastAsia="宋体" w:hint="default"/>
                <w:sz w:val="18"/>
                <w:szCs w:val="18"/>
              </w:rPr>
              <w:t>尤</w:t>
            </w:r>
            <w:r>
              <w:rPr>
                <w:rFonts w:ascii="宋体" w:hAnsi="宋体" w:cs="宋体" w:eastAsia="宋体" w:hint="default"/>
                <w:spacing w:val="-88"/>
                <w:sz w:val="18"/>
                <w:szCs w:val="18"/>
              </w:rPr>
              <w:t> </w:t>
            </w:r>
            <w:r>
              <w:rPr>
                <w:rFonts w:ascii="宋体" w:hAnsi="宋体" w:cs="宋体" w:eastAsia="宋体" w:hint="default"/>
                <w:sz w:val="18"/>
                <w:szCs w:val="18"/>
              </w:rPr>
              <w:t>雪仙</w:t>
            </w:r>
            <w:r>
              <w:rPr>
                <w:rFonts w:ascii="Times New Roman" w:hAnsi="Times New Roman" w:cs="Times New Roman" w:eastAsia="Times New Roman" w:hint="default"/>
                <w:sz w:val="18"/>
                <w:szCs w:val="18"/>
              </w:rPr>
              <w:t>;</w:t>
            </w:r>
            <w:r>
              <w:rPr>
                <w:rFonts w:ascii="宋体" w:hAnsi="宋体" w:cs="宋体" w:eastAsia="宋体" w:hint="default"/>
                <w:sz w:val="18"/>
                <w:szCs w:val="18"/>
              </w:rPr>
              <w:t>尤友鸾</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章棉桃</w:t>
            </w: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4"/>
                <w:sz w:val="18"/>
                <w:szCs w:val="18"/>
              </w:rPr>
              <w:t> </w:t>
            </w:r>
            <w:r>
              <w:rPr>
                <w:rFonts w:ascii="宋体" w:hAnsi="宋体" w:cs="宋体" w:eastAsia="宋体" w:hint="default"/>
                <w:spacing w:val="-3"/>
                <w:sz w:val="18"/>
                <w:szCs w:val="18"/>
              </w:rPr>
              <w:t>日至</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2015</w:t>
            </w:r>
          </w:p>
          <w:p>
            <w:pPr>
              <w:pStyle w:val="TableParagraph"/>
              <w:spacing w:line="309" w:lineRule="auto" w:before="63"/>
              <w:ind w:left="23" w:right="98"/>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日</w:t>
            </w:r>
            <w:r>
              <w:rPr>
                <w:rFonts w:ascii="宋体" w:hAnsi="宋体" w:cs="宋体" w:eastAsia="宋体" w:hint="default"/>
                <w:w w:val="101"/>
                <w:sz w:val="18"/>
                <w:szCs w:val="18"/>
              </w:rPr>
              <w:t> </w:t>
            </w:r>
            <w:r>
              <w:rPr>
                <w:rFonts w:ascii="宋体" w:hAnsi="宋体" w:cs="宋体" w:eastAsia="宋体" w:hint="default"/>
                <w:sz w:val="18"/>
                <w:szCs w:val="18"/>
              </w:rPr>
              <w:t>的六个月内</w:t>
            </w:r>
            <w:r>
              <w:rPr>
                <w:rFonts w:ascii="宋体" w:hAnsi="宋体" w:cs="宋体" w:eastAsia="宋体" w:hint="default"/>
                <w:w w:val="101"/>
                <w:sz w:val="18"/>
                <w:szCs w:val="18"/>
              </w:rPr>
              <w:t> </w:t>
            </w:r>
            <w:r>
              <w:rPr>
                <w:rFonts w:ascii="宋体" w:hAnsi="宋体" w:cs="宋体" w:eastAsia="宋体" w:hint="default"/>
                <w:sz w:val="18"/>
                <w:szCs w:val="18"/>
              </w:rPr>
              <w:t>不再减持公</w:t>
            </w:r>
          </w:p>
        </w:tc>
        <w:tc>
          <w:tcPr>
            <w:tcW w:w="112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7"/>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05 </w:t>
            </w:r>
            <w:r>
              <w:rPr>
                <w:rFonts w:ascii="宋体" w:hAnsi="宋体" w:cs="宋体" w:eastAsia="宋体" w:hint="default"/>
                <w:sz w:val="18"/>
                <w:szCs w:val="18"/>
              </w:rPr>
              <w:t>日至</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2015</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已履行完毕</w:t>
            </w:r>
          </w:p>
        </w:tc>
      </w:tr>
      <w:tr>
        <w:trPr>
          <w:trHeight w:val="351"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single" w:sz="4" w:space="0" w:color="000000"/>
              <w:right w:val="single" w:sz="4" w:space="0" w:color="000000"/>
            </w:tcBorders>
          </w:tcPr>
          <w:p>
            <w:pPr/>
          </w:p>
        </w:tc>
        <w:tc>
          <w:tcPr>
            <w:tcW w:w="1128" w:type="dxa"/>
            <w:vMerge/>
            <w:tcBorders>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司股份。</w:t>
            </w:r>
          </w:p>
        </w:tc>
        <w:tc>
          <w:tcPr>
            <w:tcW w:w="1128" w:type="dxa"/>
            <w:tcBorders>
              <w:top w:val="nil" w:sz="6" w:space="0" w:color="auto"/>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
        </w:tc>
        <w:tc>
          <w:tcPr>
            <w:tcW w:w="1104"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2837" w:type="dxa"/>
            <w:vMerge/>
            <w:tcBorders>
              <w:left w:val="single" w:sz="4" w:space="0" w:color="000000"/>
              <w:right w:val="single" w:sz="4" w:space="0" w:color="000000"/>
            </w:tcBorders>
            <w:shd w:val="clear" w:color="auto" w:fill="D2D2D2"/>
          </w:tcPr>
          <w:p>
            <w:pPr/>
          </w:p>
        </w:tc>
        <w:tc>
          <w:tcPr>
            <w:tcW w:w="1123" w:type="dxa"/>
            <w:tcBorders>
              <w:top w:val="single" w:sz="4" w:space="0" w:color="000000"/>
              <w:left w:val="single" w:sz="4" w:space="0" w:color="000000"/>
              <w:bottom w:val="nil" w:sz="6" w:space="0" w:color="auto"/>
              <w:right w:val="single" w:sz="4" w:space="0" w:color="000000"/>
            </w:tcBorders>
          </w:tcPr>
          <w:p>
            <w:pPr/>
          </w:p>
        </w:tc>
        <w:tc>
          <w:tcPr>
            <w:tcW w:w="1128" w:type="dxa"/>
            <w:vMerge w:val="restart"/>
            <w:tcBorders>
              <w:top w:val="single" w:sz="4" w:space="0" w:color="000000"/>
              <w:left w:val="single" w:sz="4" w:space="0" w:color="000000"/>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通过深圳证</w:t>
            </w:r>
          </w:p>
        </w:tc>
        <w:tc>
          <w:tcPr>
            <w:tcW w:w="1128" w:type="dxa"/>
            <w:tcBorders>
              <w:top w:val="single" w:sz="4" w:space="0" w:color="000000"/>
              <w:left w:val="single" w:sz="4" w:space="0" w:color="000000"/>
              <w:bottom w:val="nil" w:sz="6" w:space="0" w:color="auto"/>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
        </w:tc>
        <w:tc>
          <w:tcPr>
            <w:tcW w:w="1104" w:type="dxa"/>
            <w:tcBorders>
              <w:top w:val="single" w:sz="4" w:space="0" w:color="000000"/>
              <w:left w:val="single" w:sz="4" w:space="0" w:color="000000"/>
              <w:bottom w:val="nil" w:sz="6" w:space="0" w:color="auto"/>
              <w:right w:val="single" w:sz="4" w:space="0" w:color="000000"/>
            </w:tcBorders>
          </w:tcPr>
          <w:p>
            <w:pPr/>
          </w:p>
        </w:tc>
      </w:tr>
      <w:tr>
        <w:trPr>
          <w:trHeight w:val="310"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券交易所证</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券交易系统</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（包括但不</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限于集中竞</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1565"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300" w:lineRule="auto"/>
              <w:ind w:left="23" w:right="81"/>
              <w:jc w:val="both"/>
              <w:rPr>
                <w:rFonts w:ascii="宋体" w:hAnsi="宋体" w:cs="宋体" w:eastAsia="宋体" w:hint="default"/>
                <w:sz w:val="18"/>
                <w:szCs w:val="18"/>
              </w:rPr>
            </w:pPr>
            <w:r>
              <w:rPr>
                <w:rFonts w:ascii="宋体" w:hAnsi="宋体" w:cs="宋体" w:eastAsia="宋体" w:hint="default"/>
                <w:sz w:val="18"/>
                <w:szCs w:val="18"/>
              </w:rPr>
              <w:t>尤丽娟</w:t>
            </w:r>
            <w:r>
              <w:rPr>
                <w:rFonts w:ascii="Times New Roman" w:hAnsi="Times New Roman" w:cs="Times New Roman" w:eastAsia="Times New Roman" w:hint="default"/>
                <w:sz w:val="18"/>
                <w:szCs w:val="18"/>
              </w:rPr>
              <w:t>;</w:t>
            </w:r>
            <w:r>
              <w:rPr>
                <w:rFonts w:ascii="宋体" w:hAnsi="宋体" w:cs="宋体" w:eastAsia="宋体" w:hint="default"/>
                <w:sz w:val="18"/>
                <w:szCs w:val="18"/>
              </w:rPr>
              <w:t>尤玉</w:t>
            </w:r>
            <w:r>
              <w:rPr>
                <w:rFonts w:ascii="宋体" w:hAnsi="宋体" w:cs="宋体" w:eastAsia="宋体" w:hint="default"/>
                <w:spacing w:val="-86"/>
                <w:sz w:val="18"/>
                <w:szCs w:val="18"/>
              </w:rPr>
              <w:t> </w:t>
            </w:r>
            <w:r>
              <w:rPr>
                <w:rFonts w:ascii="宋体" w:hAnsi="宋体" w:cs="宋体" w:eastAsia="宋体" w:hint="default"/>
                <w:sz w:val="18"/>
                <w:szCs w:val="18"/>
              </w:rPr>
              <w:t>仙</w:t>
            </w:r>
            <w:r>
              <w:rPr>
                <w:rFonts w:ascii="Times New Roman" w:hAnsi="Times New Roman" w:cs="Times New Roman" w:eastAsia="Times New Roman" w:hint="default"/>
                <w:sz w:val="18"/>
                <w:szCs w:val="18"/>
              </w:rPr>
              <w:t>;</w:t>
            </w:r>
            <w:r>
              <w:rPr>
                <w:rFonts w:ascii="宋体" w:hAnsi="宋体" w:cs="宋体" w:eastAsia="宋体" w:hint="default"/>
                <w:sz w:val="18"/>
                <w:szCs w:val="18"/>
              </w:rPr>
              <w:t>尤友岳</w:t>
            </w:r>
            <w:r>
              <w:rPr>
                <w:rFonts w:ascii="Times New Roman" w:hAnsi="Times New Roman" w:cs="Times New Roman" w:eastAsia="Times New Roman" w:hint="default"/>
                <w:sz w:val="18"/>
                <w:szCs w:val="18"/>
              </w:rPr>
              <w:t>;</w:t>
            </w:r>
            <w:r>
              <w:rPr>
                <w:rFonts w:ascii="宋体" w:hAnsi="宋体" w:cs="宋体" w:eastAsia="宋体" w:hint="default"/>
                <w:sz w:val="18"/>
                <w:szCs w:val="18"/>
              </w:rPr>
              <w:t>尤</w:t>
            </w:r>
            <w:r>
              <w:rPr>
                <w:rFonts w:ascii="宋体" w:hAnsi="宋体" w:cs="宋体" w:eastAsia="宋体" w:hint="default"/>
                <w:spacing w:val="-88"/>
                <w:sz w:val="18"/>
                <w:szCs w:val="18"/>
              </w:rPr>
              <w:t> </w:t>
            </w:r>
            <w:r>
              <w:rPr>
                <w:rFonts w:ascii="宋体" w:hAnsi="宋体" w:cs="宋体" w:eastAsia="宋体" w:hint="default"/>
                <w:sz w:val="18"/>
                <w:szCs w:val="18"/>
              </w:rPr>
              <w:t>雪仙</w:t>
            </w:r>
            <w:r>
              <w:rPr>
                <w:rFonts w:ascii="Times New Roman" w:hAnsi="Times New Roman" w:cs="Times New Roman" w:eastAsia="Times New Roman" w:hint="default"/>
                <w:sz w:val="18"/>
                <w:szCs w:val="18"/>
              </w:rPr>
              <w:t>;</w:t>
            </w:r>
            <w:r>
              <w:rPr>
                <w:rFonts w:ascii="宋体" w:hAnsi="宋体" w:cs="宋体" w:eastAsia="宋体" w:hint="default"/>
                <w:sz w:val="18"/>
                <w:szCs w:val="18"/>
              </w:rPr>
              <w:t>尤友鸾</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章棉桃</w:t>
            </w: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316" w:lineRule="auto" w:before="11"/>
              <w:ind w:left="23" w:right="2"/>
              <w:jc w:val="left"/>
              <w:rPr>
                <w:rFonts w:ascii="宋体" w:hAnsi="宋体" w:cs="宋体" w:eastAsia="宋体" w:hint="default"/>
                <w:sz w:val="18"/>
                <w:szCs w:val="18"/>
              </w:rPr>
            </w:pPr>
            <w:r>
              <w:rPr>
                <w:rFonts w:ascii="宋体" w:hAnsi="宋体" w:cs="宋体" w:eastAsia="宋体" w:hint="default"/>
                <w:sz w:val="18"/>
                <w:szCs w:val="18"/>
              </w:rPr>
              <w:t>价和大宗交</w:t>
            </w:r>
            <w:r>
              <w:rPr>
                <w:rFonts w:ascii="宋体" w:hAnsi="宋体" w:cs="宋体" w:eastAsia="宋体" w:hint="default"/>
                <w:w w:val="101"/>
                <w:sz w:val="18"/>
                <w:szCs w:val="18"/>
              </w:rPr>
              <w:t> </w:t>
            </w:r>
            <w:r>
              <w:rPr>
                <w:rFonts w:ascii="宋体" w:hAnsi="宋体" w:cs="宋体" w:eastAsia="宋体" w:hint="default"/>
                <w:spacing w:val="-4"/>
                <w:sz w:val="18"/>
                <w:szCs w:val="18"/>
              </w:rPr>
              <w:t>易等方式）增</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2"/>
                <w:sz w:val="18"/>
                <w:szCs w:val="18"/>
              </w:rPr>
              <w:t>持公司股份，</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合计增持总</w:t>
            </w:r>
            <w:r>
              <w:rPr>
                <w:rFonts w:ascii="宋体" w:hAnsi="宋体" w:cs="宋体" w:eastAsia="宋体" w:hint="default"/>
                <w:w w:val="101"/>
                <w:sz w:val="18"/>
                <w:szCs w:val="18"/>
              </w:rPr>
              <w:t> </w:t>
            </w:r>
            <w:r>
              <w:rPr>
                <w:rFonts w:ascii="宋体" w:hAnsi="宋体" w:cs="宋体" w:eastAsia="宋体" w:hint="default"/>
                <w:sz w:val="18"/>
                <w:szCs w:val="18"/>
              </w:rPr>
              <w:t>金额超过</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亿</w:t>
            </w:r>
          </w:p>
        </w:tc>
        <w:tc>
          <w:tcPr>
            <w:tcW w:w="112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58"/>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 </w:t>
            </w:r>
            <w:r>
              <w:rPr>
                <w:rFonts w:ascii="宋体" w:hAnsi="宋体" w:cs="宋体" w:eastAsia="宋体" w:hint="default"/>
                <w:sz w:val="18"/>
                <w:szCs w:val="18"/>
              </w:rPr>
              <w:t>日至</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2016</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p>
        </w:tc>
        <w:tc>
          <w:tcPr>
            <w:tcW w:w="110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严格履行</w:t>
            </w:r>
          </w:p>
        </w:tc>
      </w:tr>
      <w:tr>
        <w:trPr>
          <w:trHeight w:val="307"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pacing w:val="-4"/>
                <w:sz w:val="18"/>
                <w:szCs w:val="18"/>
              </w:rPr>
              <w:t>元人民币，且</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增持完成的</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未来六个月</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14"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内不减持所</w:t>
            </w:r>
          </w:p>
        </w:tc>
        <w:tc>
          <w:tcPr>
            <w:tcW w:w="1128"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r>
      <w:tr>
        <w:trPr>
          <w:trHeight w:val="358"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single" w:sz="4" w:space="0" w:color="000000"/>
              <w:right w:val="single" w:sz="4" w:space="0" w:color="000000"/>
            </w:tcBorders>
          </w:tcPr>
          <w:p>
            <w:pPr/>
          </w:p>
        </w:tc>
        <w:tc>
          <w:tcPr>
            <w:tcW w:w="1128" w:type="dxa"/>
            <w:vMerge/>
            <w:tcBorders>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增持的股票。</w:t>
            </w:r>
          </w:p>
        </w:tc>
        <w:tc>
          <w:tcPr>
            <w:tcW w:w="1128" w:type="dxa"/>
            <w:tcBorders>
              <w:top w:val="nil" w:sz="6" w:space="0" w:color="auto"/>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
        </w:tc>
        <w:tc>
          <w:tcPr>
            <w:tcW w:w="1104" w:type="dxa"/>
            <w:tcBorders>
              <w:top w:val="nil" w:sz="6" w:space="0" w:color="auto"/>
              <w:left w:val="single" w:sz="4" w:space="0" w:color="000000"/>
              <w:bottom w:val="single" w:sz="4" w:space="0" w:color="000000"/>
              <w:right w:val="single" w:sz="4" w:space="0" w:color="000000"/>
            </w:tcBorders>
          </w:tcPr>
          <w:p>
            <w:pPr/>
          </w:p>
        </w:tc>
      </w:tr>
      <w:tr>
        <w:trPr>
          <w:trHeight w:val="362" w:hRule="exact"/>
        </w:trPr>
        <w:tc>
          <w:tcPr>
            <w:tcW w:w="2837" w:type="dxa"/>
            <w:vMerge/>
            <w:tcBorders>
              <w:left w:val="single" w:sz="4" w:space="0" w:color="000000"/>
              <w:right w:val="single" w:sz="4" w:space="0" w:color="000000"/>
            </w:tcBorders>
            <w:shd w:val="clear" w:color="auto" w:fill="D2D2D2"/>
          </w:tcPr>
          <w:p>
            <w:pPr/>
          </w:p>
        </w:tc>
        <w:tc>
          <w:tcPr>
            <w:tcW w:w="1123" w:type="dxa"/>
            <w:tcBorders>
              <w:top w:val="single" w:sz="4" w:space="0" w:color="000000"/>
              <w:left w:val="single" w:sz="4" w:space="0" w:color="000000"/>
              <w:bottom w:val="nil" w:sz="6" w:space="0" w:color="auto"/>
              <w:right w:val="single" w:sz="4" w:space="0" w:color="000000"/>
            </w:tcBorders>
          </w:tcPr>
          <w:p>
            <w:pPr/>
          </w:p>
        </w:tc>
        <w:tc>
          <w:tcPr>
            <w:tcW w:w="1128" w:type="dxa"/>
            <w:vMerge w:val="restart"/>
            <w:tcBorders>
              <w:top w:val="single" w:sz="4" w:space="0" w:color="000000"/>
              <w:left w:val="single" w:sz="4" w:space="0" w:color="000000"/>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自</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7</w:t>
            </w:r>
          </w:p>
        </w:tc>
        <w:tc>
          <w:tcPr>
            <w:tcW w:w="1128" w:type="dxa"/>
            <w:tcBorders>
              <w:top w:val="single" w:sz="4" w:space="0" w:color="000000"/>
              <w:left w:val="single" w:sz="4" w:space="0" w:color="000000"/>
              <w:bottom w:val="nil" w:sz="6" w:space="0" w:color="auto"/>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
        </w:tc>
        <w:tc>
          <w:tcPr>
            <w:tcW w:w="1104" w:type="dxa"/>
            <w:tcBorders>
              <w:top w:val="single" w:sz="4" w:space="0" w:color="000000"/>
              <w:left w:val="single" w:sz="4" w:space="0" w:color="000000"/>
              <w:bottom w:val="nil" w:sz="6" w:space="0" w:color="auto"/>
              <w:right w:val="single" w:sz="4" w:space="0" w:color="000000"/>
            </w:tcBorders>
          </w:tcPr>
          <w:p>
            <w:pPr/>
          </w:p>
        </w:tc>
      </w:tr>
      <w:tr>
        <w:trPr>
          <w:trHeight w:val="1245"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300" w:lineRule="auto" w:before="8"/>
              <w:ind w:left="23" w:right="81"/>
              <w:jc w:val="both"/>
              <w:rPr>
                <w:rFonts w:ascii="宋体" w:hAnsi="宋体" w:cs="宋体" w:eastAsia="宋体" w:hint="default"/>
                <w:sz w:val="18"/>
                <w:szCs w:val="18"/>
              </w:rPr>
            </w:pPr>
            <w:r>
              <w:rPr>
                <w:rFonts w:ascii="宋体" w:hAnsi="宋体" w:cs="宋体" w:eastAsia="宋体" w:hint="default"/>
                <w:sz w:val="18"/>
                <w:szCs w:val="18"/>
              </w:rPr>
              <w:t>尤丽娟</w:t>
            </w:r>
            <w:r>
              <w:rPr>
                <w:rFonts w:ascii="Times New Roman" w:hAnsi="Times New Roman" w:cs="Times New Roman" w:eastAsia="Times New Roman" w:hint="default"/>
                <w:sz w:val="18"/>
                <w:szCs w:val="18"/>
              </w:rPr>
              <w:t>;</w:t>
            </w:r>
            <w:r>
              <w:rPr>
                <w:rFonts w:ascii="宋体" w:hAnsi="宋体" w:cs="宋体" w:eastAsia="宋体" w:hint="default"/>
                <w:sz w:val="18"/>
                <w:szCs w:val="18"/>
              </w:rPr>
              <w:t>尤玉</w:t>
            </w:r>
            <w:r>
              <w:rPr>
                <w:rFonts w:ascii="宋体" w:hAnsi="宋体" w:cs="宋体" w:eastAsia="宋体" w:hint="default"/>
                <w:spacing w:val="-86"/>
                <w:sz w:val="18"/>
                <w:szCs w:val="18"/>
              </w:rPr>
              <w:t> </w:t>
            </w:r>
            <w:r>
              <w:rPr>
                <w:rFonts w:ascii="宋体" w:hAnsi="宋体" w:cs="宋体" w:eastAsia="宋体" w:hint="default"/>
                <w:sz w:val="18"/>
                <w:szCs w:val="18"/>
              </w:rPr>
              <w:t>仙</w:t>
            </w:r>
            <w:r>
              <w:rPr>
                <w:rFonts w:ascii="Times New Roman" w:hAnsi="Times New Roman" w:cs="Times New Roman" w:eastAsia="Times New Roman" w:hint="default"/>
                <w:sz w:val="18"/>
                <w:szCs w:val="18"/>
              </w:rPr>
              <w:t>;</w:t>
            </w:r>
            <w:r>
              <w:rPr>
                <w:rFonts w:ascii="宋体" w:hAnsi="宋体" w:cs="宋体" w:eastAsia="宋体" w:hint="default"/>
                <w:sz w:val="18"/>
                <w:szCs w:val="18"/>
              </w:rPr>
              <w:t>尤友岳</w:t>
            </w:r>
            <w:r>
              <w:rPr>
                <w:rFonts w:ascii="Times New Roman" w:hAnsi="Times New Roman" w:cs="Times New Roman" w:eastAsia="Times New Roman" w:hint="default"/>
                <w:sz w:val="18"/>
                <w:szCs w:val="18"/>
              </w:rPr>
              <w:t>;</w:t>
            </w:r>
            <w:r>
              <w:rPr>
                <w:rFonts w:ascii="宋体" w:hAnsi="宋体" w:cs="宋体" w:eastAsia="宋体" w:hint="default"/>
                <w:sz w:val="18"/>
                <w:szCs w:val="18"/>
              </w:rPr>
              <w:t>尤</w:t>
            </w:r>
            <w:r>
              <w:rPr>
                <w:rFonts w:ascii="宋体" w:hAnsi="宋体" w:cs="宋体" w:eastAsia="宋体" w:hint="default"/>
                <w:spacing w:val="-88"/>
                <w:sz w:val="18"/>
                <w:szCs w:val="18"/>
              </w:rPr>
              <w:t> </w:t>
            </w:r>
            <w:r>
              <w:rPr>
                <w:rFonts w:ascii="宋体" w:hAnsi="宋体" w:cs="宋体" w:eastAsia="宋体" w:hint="default"/>
                <w:sz w:val="18"/>
                <w:szCs w:val="18"/>
              </w:rPr>
              <w:t>雪仙</w:t>
            </w:r>
            <w:r>
              <w:rPr>
                <w:rFonts w:ascii="Times New Roman" w:hAnsi="Times New Roman" w:cs="Times New Roman" w:eastAsia="Times New Roman" w:hint="default"/>
                <w:sz w:val="18"/>
                <w:szCs w:val="18"/>
              </w:rPr>
              <w:t>;</w:t>
            </w:r>
            <w:r>
              <w:rPr>
                <w:rFonts w:ascii="宋体" w:hAnsi="宋体" w:cs="宋体" w:eastAsia="宋体" w:hint="default"/>
                <w:sz w:val="18"/>
                <w:szCs w:val="18"/>
              </w:rPr>
              <w:t>尤友鸾</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章棉桃；</w:t>
            </w: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4"/>
                <w:sz w:val="18"/>
                <w:szCs w:val="18"/>
              </w:rPr>
              <w:t> </w:t>
            </w:r>
            <w:r>
              <w:rPr>
                <w:rFonts w:ascii="宋体" w:hAnsi="宋体" w:cs="宋体" w:eastAsia="宋体" w:hint="default"/>
                <w:spacing w:val="-3"/>
                <w:sz w:val="18"/>
                <w:szCs w:val="18"/>
              </w:rPr>
              <w:t>日至</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2016</w:t>
            </w:r>
          </w:p>
          <w:p>
            <w:pPr>
              <w:pStyle w:val="TableParagraph"/>
              <w:spacing w:line="309" w:lineRule="auto" w:before="63"/>
              <w:ind w:left="23" w:right="12"/>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日的</w:t>
            </w:r>
            <w:r>
              <w:rPr>
                <w:rFonts w:ascii="宋体" w:hAnsi="宋体" w:cs="宋体" w:eastAsia="宋体" w:hint="default"/>
                <w:w w:val="101"/>
                <w:sz w:val="18"/>
                <w:szCs w:val="18"/>
              </w:rPr>
              <w:t> </w:t>
            </w:r>
            <w:r>
              <w:rPr>
                <w:rFonts w:ascii="宋体" w:hAnsi="宋体" w:cs="宋体" w:eastAsia="宋体" w:hint="default"/>
                <w:sz w:val="18"/>
                <w:szCs w:val="18"/>
              </w:rPr>
              <w:t>未来六个月</w:t>
            </w:r>
            <w:r>
              <w:rPr>
                <w:rFonts w:ascii="宋体" w:hAnsi="宋体" w:cs="宋体" w:eastAsia="宋体" w:hint="default"/>
                <w:w w:val="101"/>
                <w:sz w:val="18"/>
                <w:szCs w:val="18"/>
              </w:rPr>
              <w:t> </w:t>
            </w:r>
            <w:r>
              <w:rPr>
                <w:rFonts w:ascii="宋体" w:hAnsi="宋体" w:cs="宋体" w:eastAsia="宋体" w:hint="default"/>
                <w:sz w:val="18"/>
                <w:szCs w:val="18"/>
              </w:rPr>
              <w:t>不减持公司</w:t>
            </w:r>
          </w:p>
        </w:tc>
        <w:tc>
          <w:tcPr>
            <w:tcW w:w="112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9</w:t>
            </w:r>
          </w:p>
          <w:p>
            <w:pPr>
              <w:pStyle w:val="TableParagraph"/>
              <w:spacing w:line="304" w:lineRule="auto" w:before="58"/>
              <w:ind w:left="23" w:right="17"/>
              <w:jc w:val="left"/>
              <w:rPr>
                <w:rFonts w:ascii="宋体" w:hAnsi="宋体" w:cs="宋体" w:eastAsia="宋体" w:hint="default"/>
                <w:sz w:val="18"/>
                <w:szCs w:val="18"/>
              </w:rPr>
            </w:pPr>
            <w:r>
              <w:rPr>
                <w:rFonts w:ascii="宋体" w:hAnsi="宋体" w:cs="宋体" w:eastAsia="宋体" w:hint="default"/>
                <w:sz w:val="18"/>
                <w:szCs w:val="18"/>
              </w:rPr>
              <w:t>日至</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w w:val="10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日</w:t>
            </w:r>
          </w:p>
        </w:tc>
        <w:tc>
          <w:tcPr>
            <w:tcW w:w="110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严格履行</w:t>
            </w:r>
          </w:p>
        </w:tc>
      </w:tr>
      <w:tr>
        <w:trPr>
          <w:trHeight w:val="356"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single" w:sz="4" w:space="0" w:color="000000"/>
              <w:right w:val="single" w:sz="4" w:space="0" w:color="000000"/>
            </w:tcBorders>
          </w:tcPr>
          <w:p>
            <w:pPr/>
          </w:p>
        </w:tc>
        <w:tc>
          <w:tcPr>
            <w:tcW w:w="1128" w:type="dxa"/>
            <w:vMerge/>
            <w:tcBorders>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股票</w:t>
            </w:r>
          </w:p>
        </w:tc>
        <w:tc>
          <w:tcPr>
            <w:tcW w:w="1128" w:type="dxa"/>
            <w:tcBorders>
              <w:top w:val="nil" w:sz="6" w:space="0" w:color="auto"/>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
        </w:tc>
        <w:tc>
          <w:tcPr>
            <w:tcW w:w="1104" w:type="dxa"/>
            <w:tcBorders>
              <w:top w:val="nil" w:sz="6" w:space="0" w:color="auto"/>
              <w:left w:val="single" w:sz="4" w:space="0" w:color="000000"/>
              <w:bottom w:val="single" w:sz="4" w:space="0" w:color="000000"/>
              <w:right w:val="single" w:sz="4" w:space="0" w:color="000000"/>
            </w:tcBorders>
          </w:tcPr>
          <w:p>
            <w:pPr/>
          </w:p>
        </w:tc>
      </w:tr>
      <w:tr>
        <w:trPr>
          <w:trHeight w:val="362" w:hRule="exact"/>
        </w:trPr>
        <w:tc>
          <w:tcPr>
            <w:tcW w:w="2837" w:type="dxa"/>
            <w:vMerge/>
            <w:tcBorders>
              <w:left w:val="single" w:sz="4" w:space="0" w:color="000000"/>
              <w:right w:val="single" w:sz="4" w:space="0" w:color="000000"/>
            </w:tcBorders>
            <w:shd w:val="clear" w:color="auto" w:fill="D2D2D2"/>
          </w:tcPr>
          <w:p>
            <w:pPr/>
          </w:p>
        </w:tc>
        <w:tc>
          <w:tcPr>
            <w:tcW w:w="1123" w:type="dxa"/>
            <w:tcBorders>
              <w:top w:val="single" w:sz="4" w:space="0" w:color="000000"/>
              <w:left w:val="single" w:sz="4" w:space="0" w:color="000000"/>
              <w:bottom w:val="nil" w:sz="6" w:space="0" w:color="auto"/>
              <w:right w:val="single" w:sz="4" w:space="0" w:color="000000"/>
            </w:tcBorders>
          </w:tcPr>
          <w:p>
            <w:pPr/>
          </w:p>
        </w:tc>
        <w:tc>
          <w:tcPr>
            <w:tcW w:w="1128" w:type="dxa"/>
            <w:vMerge w:val="restart"/>
            <w:tcBorders>
              <w:top w:val="single" w:sz="4" w:space="0" w:color="000000"/>
              <w:left w:val="single" w:sz="4" w:space="0" w:color="000000"/>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自</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7</w:t>
            </w:r>
          </w:p>
        </w:tc>
        <w:tc>
          <w:tcPr>
            <w:tcW w:w="1128" w:type="dxa"/>
            <w:tcBorders>
              <w:top w:val="single" w:sz="4" w:space="0" w:color="000000"/>
              <w:left w:val="single" w:sz="4" w:space="0" w:color="000000"/>
              <w:bottom w:val="nil" w:sz="6" w:space="0" w:color="auto"/>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
        </w:tc>
        <w:tc>
          <w:tcPr>
            <w:tcW w:w="1104" w:type="dxa"/>
            <w:tcBorders>
              <w:top w:val="single" w:sz="4" w:space="0" w:color="000000"/>
              <w:left w:val="single" w:sz="4" w:space="0" w:color="000000"/>
              <w:bottom w:val="nil" w:sz="6" w:space="0" w:color="auto"/>
              <w:right w:val="single" w:sz="4" w:space="0" w:color="000000"/>
            </w:tcBorders>
          </w:tcPr>
          <w:p>
            <w:pPr/>
          </w:p>
        </w:tc>
      </w:tr>
      <w:tr>
        <w:trPr>
          <w:trHeight w:val="1243" w:hRule="exact"/>
        </w:trPr>
        <w:tc>
          <w:tcPr>
            <w:tcW w:w="2837" w:type="dxa"/>
            <w:vMerge/>
            <w:tcBorders>
              <w:left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4"/>
                <w:szCs w:val="14"/>
              </w:rPr>
            </w:pPr>
          </w:p>
          <w:p>
            <w:pPr>
              <w:pStyle w:val="TableParagraph"/>
              <w:spacing w:line="316" w:lineRule="auto"/>
              <w:ind w:left="23" w:right="12"/>
              <w:jc w:val="left"/>
              <w:rPr>
                <w:rFonts w:ascii="宋体" w:hAnsi="宋体" w:cs="宋体" w:eastAsia="宋体" w:hint="default"/>
                <w:sz w:val="18"/>
                <w:szCs w:val="18"/>
              </w:rPr>
            </w:pPr>
            <w:r>
              <w:rPr>
                <w:rFonts w:ascii="宋体" w:hAnsi="宋体" w:cs="宋体" w:eastAsia="宋体" w:hint="default"/>
                <w:sz w:val="18"/>
                <w:szCs w:val="18"/>
              </w:rPr>
              <w:t>公司全体董</w:t>
            </w:r>
            <w:r>
              <w:rPr>
                <w:rFonts w:ascii="宋体" w:hAnsi="宋体" w:cs="宋体" w:eastAsia="宋体" w:hint="default"/>
                <w:w w:val="101"/>
                <w:sz w:val="18"/>
                <w:szCs w:val="18"/>
              </w:rPr>
              <w:t> </w:t>
            </w:r>
            <w:r>
              <w:rPr>
                <w:rFonts w:ascii="宋体" w:hAnsi="宋体" w:cs="宋体" w:eastAsia="宋体" w:hint="default"/>
                <w:spacing w:val="-4"/>
                <w:sz w:val="18"/>
                <w:szCs w:val="18"/>
              </w:rPr>
              <w:t>事、监事、高</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级管理人员</w:t>
            </w:r>
          </w:p>
        </w:tc>
        <w:tc>
          <w:tcPr>
            <w:tcW w:w="1128" w:type="dxa"/>
            <w:vMerge/>
            <w:tcBorders>
              <w:left w:val="single" w:sz="4" w:space="0" w:color="000000"/>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4"/>
                <w:sz w:val="18"/>
                <w:szCs w:val="18"/>
              </w:rPr>
              <w:t> </w:t>
            </w:r>
            <w:r>
              <w:rPr>
                <w:rFonts w:ascii="宋体" w:hAnsi="宋体" w:cs="宋体" w:eastAsia="宋体" w:hint="default"/>
                <w:spacing w:val="-3"/>
                <w:sz w:val="18"/>
                <w:szCs w:val="18"/>
              </w:rPr>
              <w:t>日至</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2016</w:t>
            </w:r>
          </w:p>
          <w:p>
            <w:pPr>
              <w:pStyle w:val="TableParagraph"/>
              <w:spacing w:line="309" w:lineRule="auto" w:before="63"/>
              <w:ind w:left="23" w:right="12"/>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日的</w:t>
            </w:r>
            <w:r>
              <w:rPr>
                <w:rFonts w:ascii="宋体" w:hAnsi="宋体" w:cs="宋体" w:eastAsia="宋体" w:hint="default"/>
                <w:w w:val="101"/>
                <w:sz w:val="18"/>
                <w:szCs w:val="18"/>
              </w:rPr>
              <w:t> </w:t>
            </w:r>
            <w:r>
              <w:rPr>
                <w:rFonts w:ascii="宋体" w:hAnsi="宋体" w:cs="宋体" w:eastAsia="宋体" w:hint="default"/>
                <w:sz w:val="18"/>
                <w:szCs w:val="18"/>
              </w:rPr>
              <w:t>未来六个月</w:t>
            </w:r>
            <w:r>
              <w:rPr>
                <w:rFonts w:ascii="宋体" w:hAnsi="宋体" w:cs="宋体" w:eastAsia="宋体" w:hint="default"/>
                <w:w w:val="101"/>
                <w:sz w:val="18"/>
                <w:szCs w:val="18"/>
              </w:rPr>
              <w:t> </w:t>
            </w:r>
            <w:r>
              <w:rPr>
                <w:rFonts w:ascii="宋体" w:hAnsi="宋体" w:cs="宋体" w:eastAsia="宋体" w:hint="default"/>
                <w:sz w:val="18"/>
                <w:szCs w:val="18"/>
              </w:rPr>
              <w:t>不减持公司</w:t>
            </w:r>
          </w:p>
        </w:tc>
        <w:tc>
          <w:tcPr>
            <w:tcW w:w="112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9</w:t>
            </w:r>
          </w:p>
          <w:p>
            <w:pPr>
              <w:pStyle w:val="TableParagraph"/>
              <w:spacing w:line="304" w:lineRule="auto" w:before="58"/>
              <w:ind w:left="23" w:right="17"/>
              <w:jc w:val="left"/>
              <w:rPr>
                <w:rFonts w:ascii="宋体" w:hAnsi="宋体" w:cs="宋体" w:eastAsia="宋体" w:hint="default"/>
                <w:sz w:val="18"/>
                <w:szCs w:val="18"/>
              </w:rPr>
            </w:pPr>
            <w:r>
              <w:rPr>
                <w:rFonts w:ascii="宋体" w:hAnsi="宋体" w:cs="宋体" w:eastAsia="宋体" w:hint="default"/>
                <w:sz w:val="18"/>
                <w:szCs w:val="18"/>
              </w:rPr>
              <w:t>日至</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w w:val="10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日</w:t>
            </w:r>
          </w:p>
        </w:tc>
        <w:tc>
          <w:tcPr>
            <w:tcW w:w="110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严格履行</w:t>
            </w:r>
          </w:p>
        </w:tc>
      </w:tr>
      <w:tr>
        <w:trPr>
          <w:trHeight w:val="354" w:hRule="exact"/>
        </w:trPr>
        <w:tc>
          <w:tcPr>
            <w:tcW w:w="2837" w:type="dxa"/>
            <w:vMerge/>
            <w:tcBorders>
              <w:left w:val="single" w:sz="4" w:space="0" w:color="000000"/>
              <w:bottom w:val="single" w:sz="4" w:space="0" w:color="000000"/>
              <w:right w:val="single" w:sz="4" w:space="0" w:color="000000"/>
            </w:tcBorders>
            <w:shd w:val="clear" w:color="auto" w:fill="D2D2D2"/>
          </w:tcPr>
          <w:p>
            <w:pPr/>
          </w:p>
        </w:tc>
        <w:tc>
          <w:tcPr>
            <w:tcW w:w="1123" w:type="dxa"/>
            <w:tcBorders>
              <w:top w:val="nil" w:sz="6" w:space="0" w:color="auto"/>
              <w:left w:val="single" w:sz="4" w:space="0" w:color="000000"/>
              <w:bottom w:val="single" w:sz="4" w:space="0" w:color="000000"/>
              <w:right w:val="single" w:sz="4" w:space="0" w:color="000000"/>
            </w:tcBorders>
          </w:tcPr>
          <w:p>
            <w:pPr/>
          </w:p>
        </w:tc>
        <w:tc>
          <w:tcPr>
            <w:tcW w:w="1128" w:type="dxa"/>
            <w:vMerge/>
            <w:tcBorders>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股票</w:t>
            </w:r>
          </w:p>
        </w:tc>
        <w:tc>
          <w:tcPr>
            <w:tcW w:w="1128" w:type="dxa"/>
            <w:tcBorders>
              <w:top w:val="nil" w:sz="6" w:space="0" w:color="auto"/>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
        </w:tc>
        <w:tc>
          <w:tcPr>
            <w:tcW w:w="1104" w:type="dxa"/>
            <w:tcBorders>
              <w:top w:val="nil" w:sz="6" w:space="0" w:color="auto"/>
              <w:left w:val="single" w:sz="4" w:space="0" w:color="000000"/>
              <w:bottom w:val="single" w:sz="4" w:space="0" w:color="000000"/>
              <w:right w:val="single" w:sz="4" w:space="0" w:color="000000"/>
            </w:tcBorders>
          </w:tcPr>
          <w:p>
            <w:pPr/>
          </w:p>
        </w:tc>
      </w:tr>
      <w:tr>
        <w:trPr>
          <w:trHeight w:val="403" w:hRule="exact"/>
        </w:trPr>
        <w:tc>
          <w:tcPr>
            <w:tcW w:w="2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6730"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357" w:hRule="exact"/>
        </w:trPr>
        <w:tc>
          <w:tcPr>
            <w:tcW w:w="2837"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如承诺超期未履行完毕的，应当详</w:t>
            </w:r>
          </w:p>
        </w:tc>
        <w:tc>
          <w:tcPr>
            <w:tcW w:w="6730" w:type="dxa"/>
            <w:gridSpan w:val="6"/>
            <w:tcBorders>
              <w:top w:val="single" w:sz="4" w:space="0" w:color="000000"/>
              <w:left w:val="single" w:sz="4" w:space="0" w:color="000000"/>
              <w:bottom w:val="nil" w:sz="6" w:space="0" w:color="auto"/>
              <w:right w:val="single" w:sz="4" w:space="0" w:color="000000"/>
            </w:tcBorders>
          </w:tcPr>
          <w:p>
            <w:pPr/>
          </w:p>
        </w:tc>
      </w:tr>
      <w:tr>
        <w:trPr>
          <w:trHeight w:val="314" w:hRule="exact"/>
        </w:trPr>
        <w:tc>
          <w:tcPr>
            <w:tcW w:w="283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left="24" w:right="0"/>
              <w:jc w:val="left"/>
              <w:rPr>
                <w:rFonts w:ascii="宋体" w:hAnsi="宋体" w:cs="宋体" w:eastAsia="宋体" w:hint="default"/>
                <w:sz w:val="18"/>
                <w:szCs w:val="18"/>
              </w:rPr>
            </w:pPr>
            <w:r>
              <w:rPr>
                <w:rFonts w:ascii="宋体" w:hAnsi="宋体" w:cs="宋体" w:eastAsia="宋体" w:hint="default"/>
                <w:spacing w:val="-3"/>
                <w:sz w:val="18"/>
                <w:szCs w:val="18"/>
              </w:rPr>
              <w:t>细说明未完成履行的具体原因及下</w:t>
            </w:r>
          </w:p>
        </w:tc>
        <w:tc>
          <w:tcPr>
            <w:tcW w:w="6730" w:type="dxa"/>
            <w:gridSpan w:val="6"/>
            <w:tcBorders>
              <w:top w:val="nil" w:sz="6" w:space="0" w:color="auto"/>
              <w:left w:val="single" w:sz="4" w:space="0" w:color="000000"/>
              <w:bottom w:val="nil" w:sz="6" w:space="0" w:color="auto"/>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r>
        <w:trPr>
          <w:trHeight w:val="356" w:hRule="exact"/>
        </w:trPr>
        <w:tc>
          <w:tcPr>
            <w:tcW w:w="283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pacing w:val="-3"/>
                <w:sz w:val="18"/>
                <w:szCs w:val="18"/>
              </w:rPr>
              <w:t>一步的工作计划</w:t>
            </w:r>
          </w:p>
        </w:tc>
        <w:tc>
          <w:tcPr>
            <w:tcW w:w="6730" w:type="dxa"/>
            <w:gridSpan w:val="6"/>
            <w:tcBorders>
              <w:top w:val="nil" w:sz="6" w:space="0" w:color="auto"/>
              <w:left w:val="single" w:sz="4" w:space="0" w:color="000000"/>
              <w:bottom w:val="single" w:sz="4" w:space="0" w:color="000000"/>
              <w:right w:val="single" w:sz="4" w:space="0" w:color="000000"/>
            </w:tcBorders>
          </w:tcPr>
          <w:p>
            <w:pPr/>
          </w:p>
        </w:tc>
      </w:tr>
    </w:tbl>
    <w:p>
      <w:pPr>
        <w:spacing w:after="0"/>
        <w:sectPr>
          <w:footerReference w:type="default" r:id="rId17"/>
          <w:pgSz w:w="11900" w:h="16840"/>
          <w:pgMar w:footer="984" w:header="872" w:top="1060" w:bottom="1180" w:left="980" w:right="980"/>
          <w:pgNumType w:start="31"/>
        </w:sectPr>
      </w:pPr>
    </w:p>
    <w:p>
      <w:pPr>
        <w:spacing w:line="240" w:lineRule="auto" w:before="9"/>
        <w:rPr>
          <w:rFonts w:ascii="Times New Roman" w:hAnsi="Times New Roman" w:cs="Times New Roman" w:eastAsia="Times New Roman" w:hint="default"/>
          <w:sz w:val="28"/>
          <w:szCs w:val="28"/>
        </w:rPr>
      </w:pPr>
    </w:p>
    <w:p>
      <w:pPr>
        <w:pStyle w:val="Heading4"/>
        <w:spacing w:line="308" w:lineRule="exact" w:before="35"/>
        <w:ind w:right="109"/>
        <w:jc w:val="left"/>
        <w:rPr>
          <w:b w:val="0"/>
          <w:bCs w:val="0"/>
        </w:rPr>
      </w:pPr>
      <w:r>
        <w:rPr>
          <w:rFonts w:ascii="Times New Roman" w:hAnsi="Times New Roman" w:cs="Times New Roman" w:eastAsia="Times New Roman" w:hint="default"/>
        </w:rPr>
        <w:t>2</w:t>
      </w:r>
      <w:r>
        <w:rPr/>
        <w:t>、公司资产或项目存在盈利预测，且报告期仍处在盈利预测期间，公司就资产或项目达到原盈利预测及</w:t>
      </w:r>
      <w:r>
        <w:rPr>
          <w:spacing w:val="24"/>
        </w:rPr>
        <w:t> </w:t>
      </w:r>
      <w:r>
        <w:rPr>
          <w:spacing w:val="24"/>
        </w:rPr>
      </w:r>
      <w:r>
        <w:rPr/>
        <w:t>其原因做出说明</w:t>
      </w:r>
      <w:r>
        <w:rPr>
          <w:b w:val="0"/>
          <w:bCs w:val="0"/>
        </w:rPr>
      </w:r>
    </w:p>
    <w:p>
      <w:pPr>
        <w:spacing w:line="240" w:lineRule="auto" w:before="7"/>
        <w:rPr>
          <w:rFonts w:ascii="Microsoft JhengHei" w:hAnsi="Microsoft JhengHei" w:cs="Microsoft JhengHei" w:eastAsia="Microsoft JhengHei" w:hint="default"/>
          <w:b/>
          <w:bCs/>
          <w:sz w:val="19"/>
          <w:szCs w:val="19"/>
        </w:rPr>
      </w:pPr>
    </w:p>
    <w:p>
      <w:pPr>
        <w:spacing w:before="0"/>
        <w:ind w:left="152" w:right="109"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18"/>
          <w:szCs w:val="18"/>
        </w:rPr>
      </w:pPr>
    </w:p>
    <w:p>
      <w:pPr>
        <w:pStyle w:val="Heading2"/>
        <w:spacing w:line="240" w:lineRule="auto"/>
        <w:ind w:right="109"/>
        <w:jc w:val="left"/>
        <w:rPr>
          <w:b w:val="0"/>
          <w:bCs w:val="0"/>
        </w:rPr>
      </w:pPr>
      <w:r>
        <w:rPr/>
        <w:t>四、控股股东及其关联方对上市公司的非经营性占用资金情况</w:t>
      </w:r>
      <w:r>
        <w:rPr>
          <w:b w:val="0"/>
          <w:bCs w:val="0"/>
        </w:rPr>
      </w:r>
    </w:p>
    <w:p>
      <w:pPr>
        <w:spacing w:line="240" w:lineRule="auto" w:before="3"/>
        <w:rPr>
          <w:rFonts w:ascii="Microsoft JhengHei" w:hAnsi="Microsoft JhengHei" w:cs="Microsoft JhengHei" w:eastAsia="Microsoft JhengHei" w:hint="default"/>
          <w:b/>
          <w:bCs/>
          <w:sz w:val="19"/>
          <w:szCs w:val="19"/>
        </w:rPr>
      </w:pPr>
    </w:p>
    <w:p>
      <w:pPr>
        <w:spacing w:line="362" w:lineRule="auto" w:before="0"/>
        <w:ind w:left="152" w:right="3411"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 不适用</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3"/>
          <w:sz w:val="18"/>
          <w:szCs w:val="18"/>
        </w:rPr>
        <w:t>公司报告期不存在控股股东及其关联方对上市公司的非经营性占用资金。</w:t>
      </w:r>
    </w:p>
    <w:p>
      <w:pPr>
        <w:spacing w:line="240" w:lineRule="auto" w:before="7"/>
        <w:rPr>
          <w:rFonts w:ascii="宋体" w:hAnsi="宋体" w:cs="宋体" w:eastAsia="宋体" w:hint="default"/>
          <w:sz w:val="18"/>
          <w:szCs w:val="18"/>
        </w:rPr>
      </w:pPr>
    </w:p>
    <w:p>
      <w:pPr>
        <w:pStyle w:val="Heading2"/>
        <w:spacing w:line="177" w:lineRule="auto"/>
        <w:ind w:right="109"/>
        <w:jc w:val="left"/>
        <w:rPr>
          <w:b w:val="0"/>
          <w:bCs w:val="0"/>
        </w:rPr>
      </w:pPr>
      <w:r>
        <w:rPr/>
        <w:t>五、董事会、监事会、独立董事（如有）对会计师事务所本报告期“非标准审计报告”的说</w:t>
      </w:r>
      <w:r>
        <w:rPr>
          <w:spacing w:val="-31"/>
        </w:rPr>
        <w:t> </w:t>
      </w:r>
      <w:r>
        <w:rPr>
          <w:spacing w:val="-31"/>
        </w:rPr>
      </w:r>
      <w:r>
        <w:rPr/>
        <w:t>明</w:t>
      </w:r>
      <w:r>
        <w:rPr>
          <w:b w:val="0"/>
          <w:bCs w:val="0"/>
        </w:rPr>
      </w:r>
    </w:p>
    <w:p>
      <w:pPr>
        <w:spacing w:line="240" w:lineRule="auto" w:before="1"/>
        <w:rPr>
          <w:rFonts w:ascii="Microsoft JhengHei" w:hAnsi="Microsoft JhengHei" w:cs="Microsoft JhengHei" w:eastAsia="Microsoft JhengHei" w:hint="default"/>
          <w:b/>
          <w:bCs/>
          <w:sz w:val="20"/>
          <w:szCs w:val="20"/>
        </w:rPr>
      </w:pPr>
    </w:p>
    <w:p>
      <w:pPr>
        <w:spacing w:before="0"/>
        <w:ind w:left="152" w:right="109"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6"/>
        <w:rPr>
          <w:rFonts w:ascii="宋体" w:hAnsi="宋体" w:cs="宋体" w:eastAsia="宋体" w:hint="default"/>
          <w:sz w:val="18"/>
          <w:szCs w:val="18"/>
        </w:rPr>
      </w:pPr>
    </w:p>
    <w:p>
      <w:pPr>
        <w:pStyle w:val="Heading2"/>
        <w:spacing w:line="240" w:lineRule="auto"/>
        <w:ind w:right="109"/>
        <w:jc w:val="left"/>
        <w:rPr>
          <w:b w:val="0"/>
          <w:bCs w:val="0"/>
        </w:rPr>
      </w:pPr>
      <w:r>
        <w:rPr/>
        <w:t>六、与上年度财务报告相比，会计政策、会计估计和核算方法发生变化的情况说明</w:t>
      </w:r>
      <w:r>
        <w:rPr>
          <w:b w:val="0"/>
          <w:bCs w:val="0"/>
        </w:rPr>
      </w:r>
    </w:p>
    <w:p>
      <w:pPr>
        <w:spacing w:line="240" w:lineRule="auto" w:before="15"/>
        <w:rPr>
          <w:rFonts w:ascii="Microsoft JhengHei" w:hAnsi="Microsoft JhengHei" w:cs="Microsoft JhengHei" w:eastAsia="Microsoft JhengHei" w:hint="default"/>
          <w:b/>
          <w:bCs/>
          <w:sz w:val="18"/>
          <w:szCs w:val="18"/>
        </w:rPr>
      </w:pPr>
    </w:p>
    <w:p>
      <w:pPr>
        <w:spacing w:line="362" w:lineRule="auto" w:before="0"/>
        <w:ind w:left="152" w:right="3411"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 不适用</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3"/>
          <w:sz w:val="18"/>
          <w:szCs w:val="18"/>
        </w:rPr>
        <w:t>公司报告期无会计政策、会计估计和核算方法发生变化的情况。</w:t>
      </w:r>
    </w:p>
    <w:p>
      <w:pPr>
        <w:pStyle w:val="Heading2"/>
        <w:spacing w:line="240" w:lineRule="auto" w:before="145"/>
        <w:ind w:right="109"/>
        <w:jc w:val="left"/>
        <w:rPr>
          <w:b w:val="0"/>
          <w:bCs w:val="0"/>
        </w:rPr>
      </w:pPr>
      <w:r>
        <w:rPr/>
        <w:t>七、报告期内发生重大会计差错更正需追溯重述的情况说明</w:t>
      </w:r>
      <w:r>
        <w:rPr>
          <w:b w:val="0"/>
          <w:bCs w:val="0"/>
        </w:rPr>
      </w:r>
    </w:p>
    <w:p>
      <w:pPr>
        <w:spacing w:line="240" w:lineRule="auto" w:before="3"/>
        <w:rPr>
          <w:rFonts w:ascii="Microsoft JhengHei" w:hAnsi="Microsoft JhengHei" w:cs="Microsoft JhengHei" w:eastAsia="Microsoft JhengHei" w:hint="default"/>
          <w:b/>
          <w:bCs/>
          <w:sz w:val="19"/>
          <w:szCs w:val="19"/>
        </w:rPr>
      </w:pPr>
    </w:p>
    <w:p>
      <w:pPr>
        <w:spacing w:line="357" w:lineRule="auto" w:before="0"/>
        <w:ind w:left="152" w:right="5384"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 不适用</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3"/>
          <w:sz w:val="18"/>
          <w:szCs w:val="18"/>
        </w:rPr>
        <w:t>公司报告期无重大会计差错更正需追溯重述的情况。</w:t>
      </w:r>
    </w:p>
    <w:p>
      <w:pPr>
        <w:pStyle w:val="Heading2"/>
        <w:spacing w:line="240" w:lineRule="auto" w:before="154"/>
        <w:ind w:right="109"/>
        <w:jc w:val="left"/>
        <w:rPr>
          <w:b w:val="0"/>
          <w:bCs w:val="0"/>
        </w:rPr>
      </w:pPr>
      <w:r>
        <w:rPr/>
        <w:t>八、与上年度财务报告相比，合并报表范围发生变化的情况说明</w:t>
      </w:r>
      <w:r>
        <w:rPr>
          <w:b w:val="0"/>
          <w:bCs w:val="0"/>
        </w:rPr>
      </w:r>
    </w:p>
    <w:p>
      <w:pPr>
        <w:spacing w:line="240" w:lineRule="auto" w:before="3"/>
        <w:rPr>
          <w:rFonts w:ascii="Microsoft JhengHei" w:hAnsi="Microsoft JhengHei" w:cs="Microsoft JhengHei" w:eastAsia="Microsoft JhengHei" w:hint="default"/>
          <w:b/>
          <w:bCs/>
          <w:sz w:val="19"/>
          <w:szCs w:val="19"/>
        </w:rPr>
      </w:pPr>
    </w:p>
    <w:p>
      <w:pPr>
        <w:spacing w:before="0"/>
        <w:ind w:left="152" w:right="109"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pStyle w:val="BodyText"/>
        <w:spacing w:line="273" w:lineRule="auto" w:before="84"/>
        <w:ind w:right="303" w:firstLine="422"/>
        <w:jc w:val="both"/>
      </w:pPr>
      <w:r>
        <w:rPr>
          <w:spacing w:val="-2"/>
        </w:rPr>
        <w:t>1、清算注销全资子公司广州鸿博文化传播有限公司和子公司北京青禾阳光文化传播有限公司导致合</w:t>
      </w:r>
      <w:r>
        <w:rPr>
          <w:w w:val="100"/>
        </w:rPr>
        <w:t> </w:t>
      </w:r>
      <w:r>
        <w:rPr/>
        <w:t>并范围减少。</w:t>
      </w:r>
    </w:p>
    <w:p>
      <w:pPr>
        <w:pStyle w:val="BodyText"/>
        <w:spacing w:line="273" w:lineRule="auto" w:before="7"/>
        <w:ind w:right="222" w:firstLine="422"/>
        <w:jc w:val="both"/>
      </w:pPr>
      <w:r>
        <w:rPr>
          <w:spacing w:val="-2"/>
        </w:rPr>
        <w:t>2、公司于2015年11月17日召开第三届董事会第十二次会议以及2015年12月3日召开的2015年第五次临</w:t>
      </w:r>
      <w:r>
        <w:rPr>
          <w:w w:val="100"/>
        </w:rPr>
        <w:t> </w:t>
      </w:r>
      <w:r>
        <w:rPr>
          <w:spacing w:val="-2"/>
        </w:rPr>
        <w:t>时股东大会审议通过了《关于收购北京科信盛彩投资有限公司》，于2015年12月25日完成了北京科信盛彩</w:t>
      </w:r>
      <w:r>
        <w:rPr>
          <w:spacing w:val="-27"/>
        </w:rPr>
        <w:t> </w:t>
      </w:r>
      <w:r>
        <w:rPr>
          <w:spacing w:val="-27"/>
        </w:rPr>
      </w:r>
      <w:r>
        <w:rPr/>
        <w:t>投资有限公司的工商变更登记手续，本期新增科信盛彩导致合并范围增加。</w:t>
      </w:r>
    </w:p>
    <w:p>
      <w:pPr>
        <w:pStyle w:val="BodyText"/>
        <w:spacing w:line="273" w:lineRule="auto" w:before="7"/>
        <w:ind w:right="109" w:firstLine="422"/>
        <w:jc w:val="left"/>
      </w:pPr>
      <w:r>
        <w:rPr>
          <w:spacing w:val="-6"/>
        </w:rPr>
        <w:t>3、本公司报告期内新设子公司深圳青石软件有限公司，法定代表人为苏凤娇，由本公司持有股权100%，</w:t>
      </w:r>
      <w:r>
        <w:rPr>
          <w:w w:val="100"/>
        </w:rPr>
        <w:t> </w:t>
      </w:r>
      <w:r>
        <w:rPr/>
        <w:t>截至报告日未投入注册资本，公司无经济业务发生。</w:t>
      </w:r>
    </w:p>
    <w:p>
      <w:pPr>
        <w:spacing w:line="240" w:lineRule="auto" w:before="7"/>
        <w:rPr>
          <w:rFonts w:ascii="宋体" w:hAnsi="宋体" w:cs="宋体" w:eastAsia="宋体" w:hint="default"/>
          <w:sz w:val="15"/>
          <w:szCs w:val="15"/>
        </w:rPr>
      </w:pPr>
    </w:p>
    <w:p>
      <w:pPr>
        <w:pStyle w:val="Heading2"/>
        <w:spacing w:line="240" w:lineRule="auto"/>
        <w:ind w:right="109"/>
        <w:jc w:val="left"/>
        <w:rPr>
          <w:b w:val="0"/>
          <w:bCs w:val="0"/>
        </w:rPr>
      </w:pPr>
      <w:r>
        <w:rPr/>
        <w:t>九、聘任、解聘会计师事务所情况</w:t>
      </w:r>
      <w:r>
        <w:rPr>
          <w:b w:val="0"/>
          <w:bCs w:val="0"/>
        </w:rPr>
      </w:r>
    </w:p>
    <w:p>
      <w:pPr>
        <w:spacing w:line="240" w:lineRule="auto" w:before="15"/>
        <w:rPr>
          <w:rFonts w:ascii="Microsoft JhengHei" w:hAnsi="Microsoft JhengHei" w:cs="Microsoft JhengHei" w:eastAsia="Microsoft JhengHei" w:hint="default"/>
          <w:b/>
          <w:bCs/>
          <w:sz w:val="18"/>
          <w:szCs w:val="18"/>
        </w:rPr>
      </w:pPr>
    </w:p>
    <w:p>
      <w:pPr>
        <w:spacing w:before="0"/>
        <w:ind w:left="152" w:right="109" w:firstLine="0"/>
        <w:jc w:val="left"/>
        <w:rPr>
          <w:rFonts w:ascii="宋体" w:hAnsi="宋体" w:cs="宋体" w:eastAsia="宋体" w:hint="default"/>
          <w:sz w:val="18"/>
          <w:szCs w:val="18"/>
        </w:rPr>
      </w:pPr>
      <w:r>
        <w:rPr>
          <w:rFonts w:ascii="宋体" w:hAnsi="宋体" w:cs="宋体" w:eastAsia="宋体" w:hint="default"/>
          <w:sz w:val="18"/>
          <w:szCs w:val="18"/>
        </w:rPr>
        <w:t>现聘任的会计师事务所</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888"/>
        <w:gridCol w:w="5678"/>
      </w:tblGrid>
      <w:tr>
        <w:trPr>
          <w:trHeight w:val="398" w:hRule="exact"/>
        </w:trPr>
        <w:tc>
          <w:tcPr>
            <w:tcW w:w="38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5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pacing w:val="-3"/>
                <w:sz w:val="18"/>
                <w:szCs w:val="18"/>
              </w:rPr>
              <w:t>致同会计师事务所（特殊普通合伙）</w:t>
            </w:r>
          </w:p>
        </w:tc>
      </w:tr>
      <w:tr>
        <w:trPr>
          <w:trHeight w:val="403" w:hRule="exact"/>
        </w:trPr>
        <w:tc>
          <w:tcPr>
            <w:tcW w:w="38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境内会计师事务所报酬（万元）</w:t>
            </w:r>
          </w:p>
        </w:tc>
        <w:tc>
          <w:tcPr>
            <w:tcW w:w="5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100.7</w:t>
            </w:r>
          </w:p>
        </w:tc>
      </w:tr>
      <w:tr>
        <w:trPr>
          <w:trHeight w:val="403" w:hRule="exact"/>
        </w:trPr>
        <w:tc>
          <w:tcPr>
            <w:tcW w:w="38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境内会计师事务所审计服务的连续年限</w:t>
            </w:r>
          </w:p>
        </w:tc>
        <w:tc>
          <w:tcPr>
            <w:tcW w:w="5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四年</w:t>
            </w:r>
          </w:p>
        </w:tc>
      </w:tr>
      <w:tr>
        <w:trPr>
          <w:trHeight w:val="403" w:hRule="exact"/>
        </w:trPr>
        <w:tc>
          <w:tcPr>
            <w:tcW w:w="38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境内会计师事务所注册会计师姓名</w:t>
            </w:r>
          </w:p>
        </w:tc>
        <w:tc>
          <w:tcPr>
            <w:tcW w:w="5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林新田 </w:t>
            </w:r>
            <w:r>
              <w:rPr>
                <w:rFonts w:ascii="宋体" w:hAnsi="宋体" w:cs="宋体" w:eastAsia="宋体" w:hint="default"/>
                <w:spacing w:val="1"/>
                <w:sz w:val="18"/>
                <w:szCs w:val="18"/>
              </w:rPr>
              <w:t> </w:t>
            </w:r>
            <w:r>
              <w:rPr>
                <w:rFonts w:ascii="宋体" w:hAnsi="宋体" w:cs="宋体" w:eastAsia="宋体" w:hint="default"/>
                <w:sz w:val="18"/>
                <w:szCs w:val="18"/>
              </w:rPr>
              <w:t>张孝仲</w:t>
            </w:r>
          </w:p>
        </w:tc>
      </w:tr>
    </w:tbl>
    <w:p>
      <w:pPr>
        <w:spacing w:after="0" w:line="240" w:lineRule="auto"/>
        <w:jc w:val="left"/>
        <w:rPr>
          <w:rFonts w:ascii="宋体" w:hAnsi="宋体" w:cs="宋体" w:eastAsia="宋体" w:hint="default"/>
          <w:sz w:val="18"/>
          <w:szCs w:val="18"/>
        </w:rPr>
        <w:sectPr>
          <w:pgSz w:w="11900" w:h="16840"/>
          <w:pgMar w:header="872" w:footer="984" w:top="1060" w:bottom="1180" w:left="980" w:right="90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888"/>
        <w:gridCol w:w="5678"/>
      </w:tblGrid>
      <w:tr>
        <w:trPr>
          <w:trHeight w:val="403" w:hRule="exact"/>
        </w:trPr>
        <w:tc>
          <w:tcPr>
            <w:tcW w:w="38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境外会计师事务所名称（如有）</w:t>
            </w:r>
          </w:p>
        </w:tc>
        <w:tc>
          <w:tcPr>
            <w:tcW w:w="5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r>
        <w:trPr>
          <w:trHeight w:val="398" w:hRule="exact"/>
        </w:trPr>
        <w:tc>
          <w:tcPr>
            <w:tcW w:w="38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境外会计师事务所审计服务的连续年限（如有）</w:t>
            </w:r>
          </w:p>
        </w:tc>
        <w:tc>
          <w:tcPr>
            <w:tcW w:w="5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r>
        <w:trPr>
          <w:trHeight w:val="403" w:hRule="exact"/>
        </w:trPr>
        <w:tc>
          <w:tcPr>
            <w:tcW w:w="38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境外会计师事务所注册会计师姓名（如有）</w:t>
            </w:r>
          </w:p>
        </w:tc>
        <w:tc>
          <w:tcPr>
            <w:tcW w:w="5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当期是否改聘会计师事务所</w:t>
      </w:r>
    </w:p>
    <w:p>
      <w:pPr>
        <w:spacing w:line="357" w:lineRule="auto" w:before="119"/>
        <w:ind w:left="152" w:right="5284"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1"/>
          <w:sz w:val="18"/>
          <w:szCs w:val="18"/>
        </w:rPr>
        <w:t> </w:t>
      </w:r>
      <w:r>
        <w:rPr>
          <w:rFonts w:ascii="宋体" w:hAnsi="宋体" w:cs="宋体" w:eastAsia="宋体" w:hint="default"/>
          <w:sz w:val="18"/>
          <w:szCs w:val="18"/>
        </w:rPr>
        <w:t>是</w:t>
      </w:r>
      <w:r>
        <w:rPr>
          <w:rFonts w:ascii="宋体" w:hAnsi="宋体" w:cs="宋体" w:eastAsia="宋体" w:hint="default"/>
          <w:spacing w:val="-4"/>
          <w:sz w:val="18"/>
          <w:szCs w:val="18"/>
        </w:rPr>
        <w:t> </w:t>
      </w:r>
      <w:r>
        <w:rPr>
          <w:rFonts w:ascii="宋体" w:hAnsi="宋体" w:cs="宋体" w:eastAsia="宋体" w:hint="default"/>
          <w:sz w:val="18"/>
          <w:szCs w:val="18"/>
        </w:rPr>
        <w:t>√</w:t>
      </w:r>
      <w:r>
        <w:rPr>
          <w:rFonts w:ascii="宋体" w:hAnsi="宋体" w:cs="宋体" w:eastAsia="宋体" w:hint="default"/>
          <w:spacing w:val="-4"/>
          <w:sz w:val="18"/>
          <w:szCs w:val="18"/>
        </w:rPr>
        <w:t> </w:t>
      </w:r>
      <w:r>
        <w:rPr>
          <w:rFonts w:ascii="宋体" w:hAnsi="宋体" w:cs="宋体" w:eastAsia="宋体" w:hint="default"/>
          <w:sz w:val="18"/>
          <w:szCs w:val="18"/>
        </w:rPr>
        <w:t>否</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3"/>
          <w:sz w:val="18"/>
          <w:szCs w:val="18"/>
        </w:rPr>
        <w:t>聘请内部控制审计会计师事务所、财务顾问或保荐人情况</w:t>
      </w:r>
    </w:p>
    <w:p>
      <w:pPr>
        <w:spacing w:before="31"/>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18"/>
          <w:szCs w:val="18"/>
        </w:rPr>
      </w:pPr>
    </w:p>
    <w:p>
      <w:pPr>
        <w:pStyle w:val="Heading2"/>
        <w:spacing w:line="240" w:lineRule="auto"/>
        <w:ind w:right="0"/>
        <w:jc w:val="left"/>
        <w:rPr>
          <w:b w:val="0"/>
          <w:bCs w:val="0"/>
        </w:rPr>
      </w:pPr>
      <w:r>
        <w:rPr/>
        <w:t>十、年度报告披露后面临暂停上市和终止上市情况</w:t>
      </w:r>
      <w:r>
        <w:rPr>
          <w:b w:val="0"/>
          <w:bCs w:val="0"/>
        </w:rPr>
      </w:r>
    </w:p>
    <w:p>
      <w:pPr>
        <w:spacing w:line="240" w:lineRule="auto" w:before="3"/>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18"/>
          <w:szCs w:val="18"/>
        </w:rPr>
      </w:pPr>
    </w:p>
    <w:p>
      <w:pPr>
        <w:pStyle w:val="Heading2"/>
        <w:spacing w:line="240" w:lineRule="auto"/>
        <w:ind w:right="0"/>
        <w:jc w:val="left"/>
        <w:rPr>
          <w:b w:val="0"/>
          <w:bCs w:val="0"/>
        </w:rPr>
      </w:pPr>
      <w:r>
        <w:rPr/>
        <w:t>十一、破产重整相关事项</w:t>
      </w:r>
      <w:r>
        <w:rPr>
          <w:b w:val="0"/>
          <w:bCs w:val="0"/>
        </w:rPr>
      </w:r>
    </w:p>
    <w:p>
      <w:pPr>
        <w:spacing w:line="240" w:lineRule="auto" w:before="3"/>
        <w:rPr>
          <w:rFonts w:ascii="Microsoft JhengHei" w:hAnsi="Microsoft JhengHei" w:cs="Microsoft JhengHei" w:eastAsia="Microsoft JhengHei" w:hint="default"/>
          <w:b/>
          <w:bCs/>
          <w:sz w:val="19"/>
          <w:szCs w:val="19"/>
        </w:rPr>
      </w:pPr>
    </w:p>
    <w:p>
      <w:pPr>
        <w:spacing w:line="362" w:lineRule="auto" w:before="0"/>
        <w:ind w:left="152" w:right="5284"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 不适用</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3"/>
          <w:sz w:val="18"/>
          <w:szCs w:val="18"/>
        </w:rPr>
        <w:t>公司报告期未发生破产重整相关事项。</w:t>
      </w:r>
    </w:p>
    <w:p>
      <w:pPr>
        <w:pStyle w:val="Heading2"/>
        <w:spacing w:line="240" w:lineRule="auto" w:before="145"/>
        <w:ind w:right="0"/>
        <w:jc w:val="left"/>
        <w:rPr>
          <w:b w:val="0"/>
          <w:bCs w:val="0"/>
        </w:rPr>
      </w:pPr>
      <w:r>
        <w:rPr/>
        <w:t>十二、重大诉讼、仲裁事项</w:t>
      </w:r>
      <w:r>
        <w:rPr>
          <w:b w:val="0"/>
          <w:bCs w:val="0"/>
        </w:rPr>
      </w:r>
    </w:p>
    <w:p>
      <w:pPr>
        <w:spacing w:line="240" w:lineRule="auto" w:before="3"/>
        <w:rPr>
          <w:rFonts w:ascii="Microsoft JhengHei" w:hAnsi="Microsoft JhengHei" w:cs="Microsoft JhengHei" w:eastAsia="Microsoft JhengHei" w:hint="default"/>
          <w:b/>
          <w:bCs/>
          <w:sz w:val="19"/>
          <w:szCs w:val="19"/>
        </w:rPr>
      </w:pPr>
    </w:p>
    <w:p>
      <w:pPr>
        <w:spacing w:line="357" w:lineRule="auto" w:before="0"/>
        <w:ind w:left="152" w:right="5284"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 不适用</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3"/>
          <w:sz w:val="18"/>
          <w:szCs w:val="18"/>
        </w:rPr>
        <w:t>本报告期公司无重大诉讼、仲裁事项。</w:t>
      </w:r>
    </w:p>
    <w:p>
      <w:pPr>
        <w:pStyle w:val="Heading2"/>
        <w:spacing w:line="240" w:lineRule="auto" w:before="149"/>
        <w:ind w:right="0"/>
        <w:jc w:val="left"/>
        <w:rPr>
          <w:b w:val="0"/>
          <w:bCs w:val="0"/>
        </w:rPr>
      </w:pPr>
      <w:r>
        <w:rPr/>
        <w:t>十三、处罚及整改情况</w:t>
      </w:r>
      <w:r>
        <w:rPr>
          <w:b w:val="0"/>
          <w:bCs w:val="0"/>
        </w:rPr>
      </w:r>
    </w:p>
    <w:p>
      <w:pPr>
        <w:spacing w:line="240" w:lineRule="auto" w:before="3"/>
        <w:rPr>
          <w:rFonts w:ascii="Microsoft JhengHei" w:hAnsi="Microsoft JhengHei" w:cs="Microsoft JhengHei" w:eastAsia="Microsoft JhengHei" w:hint="default"/>
          <w:b/>
          <w:bCs/>
          <w:sz w:val="19"/>
          <w:szCs w:val="19"/>
        </w:rPr>
      </w:pPr>
    </w:p>
    <w:p>
      <w:pPr>
        <w:spacing w:line="362" w:lineRule="auto" w:before="0"/>
        <w:ind w:left="152" w:right="6405"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 不适用</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3"/>
          <w:sz w:val="18"/>
          <w:szCs w:val="18"/>
        </w:rPr>
        <w:t>公司报告期不存在处罚及整改情况。</w:t>
      </w:r>
    </w:p>
    <w:p>
      <w:pPr>
        <w:pStyle w:val="Heading2"/>
        <w:spacing w:line="240" w:lineRule="auto" w:before="145"/>
        <w:ind w:right="0"/>
        <w:jc w:val="left"/>
        <w:rPr>
          <w:b w:val="0"/>
          <w:bCs w:val="0"/>
        </w:rPr>
      </w:pPr>
      <w:r>
        <w:rPr/>
        <w:t>十四、公司及其控股股东、实际控制人的诚信状况</w:t>
      </w:r>
      <w:r>
        <w:rPr>
          <w:b w:val="0"/>
          <w:bCs w:val="0"/>
        </w:rPr>
      </w:r>
    </w:p>
    <w:p>
      <w:pPr>
        <w:spacing w:line="240" w:lineRule="auto" w:before="3"/>
        <w:rPr>
          <w:rFonts w:ascii="Microsoft JhengHei" w:hAnsi="Microsoft JhengHei" w:cs="Microsoft JhengHei" w:eastAsia="Microsoft JhengHei" w:hint="default"/>
          <w:b/>
          <w:bCs/>
          <w:sz w:val="19"/>
          <w:szCs w:val="19"/>
        </w:rPr>
      </w:pPr>
    </w:p>
    <w:p>
      <w:pPr>
        <w:spacing w:line="352" w:lineRule="auto"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 不适用</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3"/>
          <w:sz w:val="18"/>
          <w:szCs w:val="18"/>
        </w:rPr>
        <w:t>公司控股股东、实际控制人诚信状况良好，不存在未履行法院生效判决、所负数额较大的债务到期末未清偿等情况看。</w:t>
      </w:r>
    </w:p>
    <w:p>
      <w:pPr>
        <w:spacing w:line="240" w:lineRule="auto" w:before="5"/>
        <w:rPr>
          <w:rFonts w:ascii="宋体" w:hAnsi="宋体" w:cs="宋体" w:eastAsia="宋体" w:hint="default"/>
          <w:sz w:val="12"/>
          <w:szCs w:val="12"/>
        </w:rPr>
      </w:pPr>
    </w:p>
    <w:p>
      <w:pPr>
        <w:pStyle w:val="Heading2"/>
        <w:spacing w:line="240" w:lineRule="auto"/>
        <w:ind w:right="0"/>
        <w:jc w:val="left"/>
        <w:rPr>
          <w:b w:val="0"/>
          <w:bCs w:val="0"/>
        </w:rPr>
      </w:pPr>
      <w:r>
        <w:rPr/>
        <w:t>十五、公司股权激励计划、员工持股计划或其他员工激励措施的实施情况</w:t>
      </w:r>
      <w:r>
        <w:rPr>
          <w:b w:val="0"/>
          <w:bCs w:val="0"/>
        </w:rPr>
      </w:r>
    </w:p>
    <w:p>
      <w:pPr>
        <w:spacing w:line="240" w:lineRule="auto" w:before="3"/>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不适用</w:t>
      </w:r>
    </w:p>
    <w:p>
      <w:pPr>
        <w:pStyle w:val="BodyText"/>
        <w:spacing w:line="256" w:lineRule="auto" w:before="71"/>
        <w:ind w:right="0"/>
        <w:jc w:val="left"/>
      </w:pPr>
      <w:r>
        <w:rPr>
          <w:spacing w:val="-2"/>
        </w:rPr>
        <w:t>员工持股计划事项。经公司第三届董事会第九次会议及</w:t>
      </w:r>
      <w:r>
        <w:rPr>
          <w:rFonts w:ascii="Times New Roman" w:hAnsi="Times New Roman" w:cs="Times New Roman" w:eastAsia="Times New Roman" w:hint="default"/>
          <w:spacing w:val="-2"/>
        </w:rPr>
        <w:t>2015</w:t>
      </w:r>
      <w:r>
        <w:rPr>
          <w:spacing w:val="-2"/>
        </w:rPr>
        <w:t>年第三次临时股东大会审议通过，公司拟开展</w:t>
      </w:r>
      <w:r>
        <w:rPr>
          <w:spacing w:val="-31"/>
        </w:rPr>
        <w:t> </w:t>
      </w:r>
      <w:r>
        <w:rPr>
          <w:spacing w:val="-31"/>
        </w:rPr>
      </w:r>
      <w:r>
        <w:rPr/>
        <w:t>总额为</w:t>
      </w:r>
      <w:r>
        <w:rPr>
          <w:rFonts w:ascii="Times New Roman" w:hAnsi="Times New Roman" w:cs="Times New Roman" w:eastAsia="Times New Roman" w:hint="default"/>
        </w:rPr>
        <w:t>2000</w:t>
      </w:r>
      <w:r>
        <w:rPr/>
        <w:t>万元的员工持股计划。详细情况请查阅巨潮资讯网（</w:t>
      </w:r>
      <w:hyperlink r:id="rId11">
        <w:r>
          <w:rPr>
            <w:rFonts w:ascii="Times New Roman" w:hAnsi="Times New Roman" w:cs="Times New Roman" w:eastAsia="Times New Roman" w:hint="default"/>
          </w:rPr>
          <w:t>http://www.cninfo.com.cn</w:t>
        </w:r>
      </w:hyperlink>
      <w:r>
        <w:rPr/>
        <w:t>）。</w:t>
      </w:r>
    </w:p>
    <w:p>
      <w:pPr>
        <w:pStyle w:val="BodyText"/>
        <w:spacing w:line="256" w:lineRule="auto" w:before="5"/>
        <w:ind w:right="225"/>
        <w:jc w:val="left"/>
      </w:pPr>
      <w:r>
        <w:rPr>
          <w:rFonts w:ascii="Times New Roman" w:hAnsi="Times New Roman" w:cs="Times New Roman" w:eastAsia="Times New Roman" w:hint="default"/>
        </w:rPr>
        <w:t>2016 </w:t>
      </w:r>
      <w:r>
        <w:rPr/>
        <w:t>年 </w:t>
      </w:r>
      <w:r>
        <w:rPr>
          <w:rFonts w:ascii="Times New Roman" w:hAnsi="Times New Roman" w:cs="Times New Roman" w:eastAsia="Times New Roman" w:hint="default"/>
        </w:rPr>
        <w:t>1 </w:t>
      </w:r>
      <w:r>
        <w:rPr/>
        <w:t>月 </w:t>
      </w:r>
      <w:r>
        <w:rPr>
          <w:rFonts w:ascii="Times New Roman" w:hAnsi="Times New Roman" w:cs="Times New Roman" w:eastAsia="Times New Roman" w:hint="default"/>
        </w:rPr>
        <w:t>20 </w:t>
      </w:r>
      <w:r>
        <w:rPr/>
        <w:t>日，公司第一期员工持股计划通过深圳证券交易所二级市场已买入公司股票</w:t>
      </w:r>
      <w:r>
        <w:rPr>
          <w:spacing w:val="-25"/>
        </w:rPr>
        <w:t> </w:t>
      </w:r>
      <w:r>
        <w:rPr>
          <w:rFonts w:ascii="Times New Roman" w:hAnsi="Times New Roman" w:cs="Times New Roman" w:eastAsia="Times New Roman" w:hint="default"/>
        </w:rPr>
        <w:t>1,003,319</w:t>
      </w:r>
      <w:r>
        <w:rPr>
          <w:rFonts w:ascii="Times New Roman" w:hAnsi="Times New Roman" w:cs="Times New Roman" w:eastAsia="Times New Roman" w:hint="default"/>
          <w:w w:val="100"/>
        </w:rPr>
        <w:t> </w:t>
      </w:r>
      <w:r>
        <w:rPr/>
        <w:t>股，成交均价为 </w:t>
      </w:r>
      <w:r>
        <w:rPr>
          <w:rFonts w:ascii="Times New Roman" w:hAnsi="Times New Roman" w:cs="Times New Roman" w:eastAsia="Times New Roman" w:hint="default"/>
        </w:rPr>
        <w:t>19.53 </w:t>
      </w:r>
      <w:r>
        <w:rPr/>
        <w:t>元</w:t>
      </w:r>
      <w:r>
        <w:rPr>
          <w:rFonts w:ascii="Times New Roman" w:hAnsi="Times New Roman" w:cs="Times New Roman" w:eastAsia="Times New Roman" w:hint="default"/>
        </w:rPr>
        <w:t>/</w:t>
      </w:r>
      <w:r>
        <w:rPr/>
        <w:t>股，购买金额</w:t>
      </w:r>
      <w:r>
        <w:rPr>
          <w:rFonts w:ascii="Times New Roman" w:hAnsi="Times New Roman" w:cs="Times New Roman" w:eastAsia="Times New Roman" w:hint="default"/>
        </w:rPr>
        <w:t>19,593,471.96 </w:t>
      </w:r>
      <w:r>
        <w:rPr/>
        <w:t>元，占公司已发行总股本的</w:t>
      </w:r>
      <w:r>
        <w:rPr>
          <w:spacing w:val="17"/>
        </w:rPr>
        <w:t> </w:t>
      </w:r>
      <w:r>
        <w:rPr>
          <w:rFonts w:ascii="Times New Roman" w:hAnsi="Times New Roman" w:cs="Times New Roman" w:eastAsia="Times New Roman" w:hint="default"/>
        </w:rPr>
        <w:t>0.34%</w:t>
      </w:r>
      <w:r>
        <w:rPr/>
        <w:t>，已完成股票购</w:t>
      </w:r>
      <w:r>
        <w:rPr>
          <w:w w:val="100"/>
        </w:rPr>
        <w:t> </w:t>
      </w:r>
      <w:r>
        <w:rPr/>
        <w:t>买。</w:t>
      </w:r>
    </w:p>
    <w:p>
      <w:pPr>
        <w:spacing w:after="0" w:line="256" w:lineRule="auto"/>
        <w:jc w:val="left"/>
        <w:sectPr>
          <w:pgSz w:w="11900" w:h="16840"/>
          <w:pgMar w:header="872" w:footer="984" w:top="1060" w:bottom="1180" w:left="980" w:right="980"/>
        </w:sectPr>
      </w:pPr>
    </w:p>
    <w:p>
      <w:pPr>
        <w:spacing w:line="240" w:lineRule="auto" w:before="10"/>
        <w:rPr>
          <w:rFonts w:ascii="宋体" w:hAnsi="宋体" w:cs="宋体" w:eastAsia="宋体" w:hint="default"/>
          <w:sz w:val="23"/>
          <w:szCs w:val="23"/>
        </w:rPr>
      </w:pPr>
    </w:p>
    <w:p>
      <w:pPr>
        <w:pStyle w:val="Heading2"/>
        <w:spacing w:line="367" w:lineRule="exact"/>
        <w:ind w:right="0"/>
        <w:jc w:val="left"/>
        <w:rPr>
          <w:b w:val="0"/>
          <w:bCs w:val="0"/>
        </w:rPr>
      </w:pPr>
      <w:r>
        <w:rPr/>
        <w:t>十六、重大关联交易</w:t>
      </w:r>
      <w:r>
        <w:rPr>
          <w:b w:val="0"/>
          <w:bCs w:val="0"/>
        </w:rPr>
      </w:r>
    </w:p>
    <w:p>
      <w:pPr>
        <w:spacing w:line="240" w:lineRule="auto" w:before="5"/>
        <w:rPr>
          <w:rFonts w:ascii="Microsoft JhengHei" w:hAnsi="Microsoft JhengHei" w:cs="Microsoft JhengHei" w:eastAsia="Microsoft JhengHei" w:hint="default"/>
          <w:b/>
          <w:bCs/>
          <w:sz w:val="13"/>
          <w:szCs w:val="13"/>
        </w:rPr>
      </w:pPr>
    </w:p>
    <w:p>
      <w:pPr>
        <w:pStyle w:val="Heading4"/>
        <w:spacing w:line="240" w:lineRule="auto"/>
        <w:ind w:right="0"/>
        <w:jc w:val="left"/>
        <w:rPr>
          <w:b w:val="0"/>
          <w:bCs w:val="0"/>
        </w:rPr>
      </w:pPr>
      <w:r>
        <w:rPr>
          <w:rFonts w:ascii="Times New Roman" w:hAnsi="Times New Roman" w:cs="Times New Roman" w:eastAsia="Times New Roman" w:hint="default"/>
        </w:rPr>
        <w:t>1</w:t>
      </w:r>
      <w:r>
        <w:rPr/>
        <w:t>、与日常经营相关的关联交易</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line="357" w:lineRule="auto" w:before="0"/>
        <w:ind w:left="152" w:right="5284"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 不适用</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3"/>
          <w:sz w:val="18"/>
          <w:szCs w:val="18"/>
        </w:rPr>
        <w:t>公司报告期未发生与日常经营相关的关联交易。</w:t>
      </w:r>
    </w:p>
    <w:p>
      <w:pPr>
        <w:spacing w:line="240" w:lineRule="auto" w:before="6"/>
        <w:rPr>
          <w:rFonts w:ascii="宋体" w:hAnsi="宋体" w:cs="宋体" w:eastAsia="宋体" w:hint="default"/>
          <w:sz w:val="14"/>
          <w:szCs w:val="14"/>
        </w:rPr>
      </w:pPr>
    </w:p>
    <w:p>
      <w:pPr>
        <w:pStyle w:val="Heading4"/>
        <w:spacing w:line="240" w:lineRule="auto"/>
        <w:ind w:right="0"/>
        <w:jc w:val="left"/>
        <w:rPr>
          <w:b w:val="0"/>
          <w:bCs w:val="0"/>
        </w:rPr>
      </w:pPr>
      <w:r>
        <w:rPr>
          <w:rFonts w:ascii="Times New Roman" w:hAnsi="Times New Roman" w:cs="Times New Roman" w:eastAsia="Times New Roman" w:hint="default"/>
        </w:rPr>
        <w:t>2</w:t>
      </w:r>
      <w:r>
        <w:rPr/>
        <w:t>、资产或股权收购、出售发生的关联交易</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line="357" w:lineRule="auto" w:before="0"/>
        <w:ind w:left="152" w:right="5284"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 不适用</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3"/>
          <w:sz w:val="18"/>
          <w:szCs w:val="18"/>
        </w:rPr>
        <w:t>公司报告期未发生资产或股权收购、出售的关联交易。</w:t>
      </w:r>
    </w:p>
    <w:p>
      <w:pPr>
        <w:spacing w:line="240" w:lineRule="auto" w:before="10"/>
        <w:rPr>
          <w:rFonts w:ascii="宋体" w:hAnsi="宋体" w:cs="宋体" w:eastAsia="宋体" w:hint="default"/>
          <w:sz w:val="14"/>
          <w:szCs w:val="14"/>
        </w:rPr>
      </w:pPr>
    </w:p>
    <w:p>
      <w:pPr>
        <w:pStyle w:val="Heading4"/>
        <w:spacing w:line="240" w:lineRule="auto"/>
        <w:ind w:right="0"/>
        <w:jc w:val="left"/>
        <w:rPr>
          <w:b w:val="0"/>
          <w:bCs w:val="0"/>
        </w:rPr>
      </w:pPr>
      <w:r>
        <w:rPr>
          <w:rFonts w:ascii="Times New Roman" w:hAnsi="Times New Roman" w:cs="Times New Roman" w:eastAsia="Times New Roman" w:hint="default"/>
        </w:rPr>
        <w:t>3</w:t>
      </w:r>
      <w:r>
        <w:rPr/>
        <w:t>、共同对外投资的关联交易</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line="357" w:lineRule="auto" w:before="0"/>
        <w:ind w:left="152" w:right="5284"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 不适用</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3"/>
          <w:sz w:val="18"/>
          <w:szCs w:val="18"/>
        </w:rPr>
        <w:t>公司报告期未发生共同对外投资的关联交易。</w:t>
      </w:r>
    </w:p>
    <w:p>
      <w:pPr>
        <w:spacing w:line="240" w:lineRule="auto" w:before="6"/>
        <w:rPr>
          <w:rFonts w:ascii="宋体" w:hAnsi="宋体" w:cs="宋体" w:eastAsia="宋体" w:hint="default"/>
          <w:sz w:val="14"/>
          <w:szCs w:val="14"/>
        </w:rPr>
      </w:pPr>
    </w:p>
    <w:p>
      <w:pPr>
        <w:pStyle w:val="Heading4"/>
        <w:spacing w:line="240" w:lineRule="auto"/>
        <w:ind w:right="0"/>
        <w:jc w:val="left"/>
        <w:rPr>
          <w:b w:val="0"/>
          <w:bCs w:val="0"/>
        </w:rPr>
      </w:pPr>
      <w:r>
        <w:rPr>
          <w:rFonts w:ascii="Times New Roman" w:hAnsi="Times New Roman" w:cs="Times New Roman" w:eastAsia="Times New Roman" w:hint="default"/>
        </w:rPr>
        <w:t>4</w:t>
      </w:r>
      <w:r>
        <w:rPr/>
        <w:t>、关联债权债务往来</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line="362" w:lineRule="auto" w:before="0"/>
        <w:ind w:left="152" w:right="5284"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 不适用</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3"/>
          <w:sz w:val="18"/>
          <w:szCs w:val="18"/>
        </w:rPr>
        <w:t>公司报告期不存在关联债权债务往来。</w:t>
      </w:r>
    </w:p>
    <w:p>
      <w:pPr>
        <w:spacing w:line="240" w:lineRule="auto" w:before="2"/>
        <w:rPr>
          <w:rFonts w:ascii="宋体" w:hAnsi="宋体" w:cs="宋体" w:eastAsia="宋体" w:hint="default"/>
          <w:sz w:val="14"/>
          <w:szCs w:val="14"/>
        </w:rPr>
      </w:pPr>
    </w:p>
    <w:p>
      <w:pPr>
        <w:pStyle w:val="Heading4"/>
        <w:spacing w:line="240" w:lineRule="auto"/>
        <w:ind w:right="0"/>
        <w:jc w:val="left"/>
        <w:rPr>
          <w:b w:val="0"/>
          <w:bCs w:val="0"/>
        </w:rPr>
      </w:pPr>
      <w:r>
        <w:rPr>
          <w:rFonts w:ascii="Times New Roman" w:hAnsi="Times New Roman" w:cs="Times New Roman" w:eastAsia="Times New Roman" w:hint="default"/>
        </w:rPr>
        <w:t>5</w:t>
      </w:r>
      <w:r>
        <w:rPr/>
        <w:t>、其他重大关联交易</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11"/>
        <w:rPr>
          <w:rFonts w:ascii="宋体" w:hAnsi="宋体" w:cs="宋体" w:eastAsia="宋体" w:hint="default"/>
          <w:sz w:val="21"/>
          <w:szCs w:val="21"/>
        </w:rPr>
      </w:pPr>
    </w:p>
    <w:p>
      <w:pPr>
        <w:pStyle w:val="BodyText"/>
        <w:spacing w:line="273" w:lineRule="auto"/>
        <w:ind w:right="0" w:firstLine="422"/>
        <w:jc w:val="left"/>
      </w:pPr>
      <w:r>
        <w:rPr>
          <w:spacing w:val="-2"/>
        </w:rPr>
        <w:t>为满足公司业务开展需要，保证公司日常资金周转，降低公司财务成本，公司拟向控股股东及实际控</w:t>
      </w:r>
      <w:r>
        <w:rPr>
          <w:w w:val="100"/>
        </w:rPr>
        <w:t> </w:t>
      </w:r>
      <w:r>
        <w:rPr/>
        <w:t>制人之一尤丽娟女士借款不超过</w:t>
      </w:r>
      <w:r>
        <w:rPr>
          <w:rFonts w:ascii="Times New Roman" w:hAnsi="Times New Roman" w:cs="Times New Roman" w:eastAsia="Times New Roman" w:hint="default"/>
        </w:rPr>
        <w:t>1</w:t>
      </w:r>
      <w:r>
        <w:rPr/>
        <w:t>亿元人民币，借款期限为一年。具体内容详见公司于巨潮资讯网披露的</w:t>
      </w:r>
    </w:p>
    <w:p>
      <w:pPr>
        <w:pStyle w:val="BodyText"/>
        <w:spacing w:line="256" w:lineRule="auto"/>
        <w:ind w:right="0"/>
        <w:jc w:val="left"/>
      </w:pPr>
      <w:r>
        <w:rPr>
          <w:spacing w:val="-2"/>
        </w:rPr>
        <w:t>《控股股东向公司提供无偿借款暨关联交易公告》（</w:t>
      </w:r>
      <w:r>
        <w:rPr>
          <w:rFonts w:ascii="Times New Roman" w:hAnsi="Times New Roman" w:cs="Times New Roman" w:eastAsia="Times New Roman" w:hint="default"/>
          <w:spacing w:val="-2"/>
        </w:rPr>
        <w:t>2015-054</w:t>
      </w:r>
      <w:r>
        <w:rPr>
          <w:spacing w:val="-2"/>
        </w:rPr>
        <w:t>）。以上事项已经公司第三届董事会第九次</w:t>
      </w:r>
      <w:r>
        <w:rPr>
          <w:spacing w:val="-6"/>
        </w:rPr>
        <w:t> </w:t>
      </w:r>
      <w:r>
        <w:rPr>
          <w:spacing w:val="-6"/>
        </w:rPr>
      </w:r>
      <w:r>
        <w:rPr/>
        <w:t>会议和</w:t>
      </w:r>
      <w:r>
        <w:rPr>
          <w:rFonts w:ascii="Times New Roman" w:hAnsi="Times New Roman" w:cs="Times New Roman" w:eastAsia="Times New Roman" w:hint="default"/>
        </w:rPr>
        <w:t>2015</w:t>
      </w:r>
      <w:r>
        <w:rPr/>
        <w:t>年第三次临时股东大会审议通过。</w:t>
      </w:r>
    </w:p>
    <w:p>
      <w:pPr>
        <w:spacing w:line="240" w:lineRule="auto" w:before="0"/>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重大关联交易临时报告披露网站相关查询</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461"/>
        <w:gridCol w:w="2650"/>
        <w:gridCol w:w="3456"/>
      </w:tblGrid>
      <w:tr>
        <w:trPr>
          <w:trHeight w:val="403" w:hRule="exact"/>
        </w:trPr>
        <w:tc>
          <w:tcPr>
            <w:tcW w:w="34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临时公告名称</w:t>
            </w:r>
          </w:p>
        </w:tc>
        <w:tc>
          <w:tcPr>
            <w:tcW w:w="2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临时公告披露日期</w:t>
            </w:r>
          </w:p>
        </w:tc>
        <w:tc>
          <w:tcPr>
            <w:tcW w:w="34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20" w:right="0"/>
              <w:jc w:val="left"/>
              <w:rPr>
                <w:rFonts w:ascii="宋体" w:hAnsi="宋体" w:cs="宋体" w:eastAsia="宋体" w:hint="default"/>
                <w:sz w:val="18"/>
                <w:szCs w:val="18"/>
              </w:rPr>
            </w:pPr>
            <w:r>
              <w:rPr>
                <w:rFonts w:ascii="宋体" w:hAnsi="宋体" w:cs="宋体" w:eastAsia="宋体" w:hint="default"/>
                <w:sz w:val="18"/>
                <w:szCs w:val="18"/>
              </w:rPr>
              <w:t>临时公告披露网站名称</w:t>
            </w:r>
          </w:p>
        </w:tc>
      </w:tr>
      <w:tr>
        <w:trPr>
          <w:trHeight w:val="715" w:hRule="exact"/>
        </w:trPr>
        <w:tc>
          <w:tcPr>
            <w:tcW w:w="34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80"/>
              <w:jc w:val="left"/>
              <w:rPr>
                <w:rFonts w:ascii="宋体" w:hAnsi="宋体" w:cs="宋体" w:eastAsia="宋体" w:hint="default"/>
                <w:sz w:val="18"/>
                <w:szCs w:val="18"/>
              </w:rPr>
            </w:pPr>
            <w:r>
              <w:rPr>
                <w:rFonts w:ascii="宋体" w:hAnsi="宋体" w:cs="宋体" w:eastAsia="宋体" w:hint="default"/>
                <w:spacing w:val="-3"/>
                <w:sz w:val="18"/>
                <w:szCs w:val="18"/>
              </w:rPr>
              <w:t>控股股东向公司提供无偿借款暨关联交易</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z w:val="18"/>
                <w:szCs w:val="18"/>
              </w:rPr>
              <w:t>公告</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3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3" w:right="0"/>
              <w:jc w:val="left"/>
              <w:rPr>
                <w:rFonts w:ascii="Times New Roman" w:hAnsi="Times New Roman" w:cs="Times New Roman" w:eastAsia="Times New Roman" w:hint="default"/>
                <w:sz w:val="18"/>
                <w:szCs w:val="18"/>
              </w:rPr>
            </w:pPr>
            <w:hyperlink r:id="rId11">
              <w:r>
                <w:rPr>
                  <w:rFonts w:ascii="Times New Roman"/>
                  <w:spacing w:val="-3"/>
                  <w:sz w:val="18"/>
                </w:rPr>
                <w:t>http://www.cninfo.com.cn/</w:t>
              </w:r>
            </w:hyperlink>
          </w:p>
        </w:tc>
      </w:tr>
    </w:tbl>
    <w:p>
      <w:pPr>
        <w:spacing w:line="240" w:lineRule="auto" w:before="9"/>
        <w:rPr>
          <w:rFonts w:ascii="宋体" w:hAnsi="宋体" w:cs="宋体" w:eastAsia="宋体" w:hint="default"/>
          <w:sz w:val="17"/>
          <w:szCs w:val="17"/>
        </w:rPr>
      </w:pPr>
    </w:p>
    <w:p>
      <w:pPr>
        <w:pStyle w:val="Heading2"/>
        <w:spacing w:line="367" w:lineRule="exact"/>
        <w:ind w:right="0"/>
        <w:jc w:val="left"/>
        <w:rPr>
          <w:b w:val="0"/>
          <w:bCs w:val="0"/>
        </w:rPr>
      </w:pPr>
      <w:r>
        <w:rPr/>
        <w:t>十七、重大合同及其履行情况</w:t>
      </w:r>
      <w:r>
        <w:rPr>
          <w:b w:val="0"/>
          <w:bCs w:val="0"/>
        </w:rPr>
      </w:r>
    </w:p>
    <w:p>
      <w:pPr>
        <w:spacing w:line="240" w:lineRule="auto" w:before="5"/>
        <w:rPr>
          <w:rFonts w:ascii="Microsoft JhengHei" w:hAnsi="Microsoft JhengHei" w:cs="Microsoft JhengHei" w:eastAsia="Microsoft JhengHei" w:hint="default"/>
          <w:b/>
          <w:bCs/>
          <w:sz w:val="13"/>
          <w:szCs w:val="13"/>
        </w:rPr>
      </w:pPr>
    </w:p>
    <w:p>
      <w:pPr>
        <w:pStyle w:val="Heading4"/>
        <w:spacing w:line="240" w:lineRule="auto"/>
        <w:ind w:right="0"/>
        <w:jc w:val="left"/>
        <w:rPr>
          <w:b w:val="0"/>
          <w:bCs w:val="0"/>
        </w:rPr>
      </w:pPr>
      <w:r>
        <w:rPr>
          <w:rFonts w:ascii="Times New Roman" w:hAnsi="Times New Roman" w:cs="Times New Roman" w:eastAsia="Times New Roman" w:hint="default"/>
        </w:rPr>
        <w:t>1</w:t>
      </w:r>
      <w:r>
        <w:rPr/>
        <w:t>、托管、承包、租赁事项情况</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）托管情况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line="338" w:lineRule="auto" w:before="0"/>
        <w:ind w:left="152" w:right="640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公司报告期不存在托管情况。</w:t>
      </w:r>
    </w:p>
    <w:p>
      <w:pPr>
        <w:spacing w:after="0" w:line="338" w:lineRule="auto"/>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）承包情况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line="338" w:lineRule="auto" w:before="0"/>
        <w:ind w:left="152" w:right="640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公司报告期不存在承包情况。</w:t>
      </w:r>
    </w:p>
    <w:p>
      <w:pPr>
        <w:spacing w:line="240" w:lineRule="auto" w:before="7"/>
        <w:rPr>
          <w:rFonts w:ascii="宋体" w:hAnsi="宋体" w:cs="宋体" w:eastAsia="宋体" w:hint="default"/>
          <w:sz w:val="15"/>
          <w:szCs w:val="15"/>
        </w:rPr>
      </w:pPr>
    </w:p>
    <w:p>
      <w:pPr>
        <w:pStyle w:val="Heading4"/>
        <w:spacing w:line="240" w:lineRule="auto"/>
        <w:ind w:right="0"/>
        <w:jc w:val="left"/>
        <w:rPr>
          <w:b w:val="0"/>
          <w:bCs w:val="0"/>
        </w:rPr>
      </w:pPr>
      <w:r>
        <w:rPr/>
        <w:t>（</w:t>
      </w:r>
      <w:r>
        <w:rPr>
          <w:rFonts w:ascii="Times New Roman" w:hAnsi="Times New Roman" w:cs="Times New Roman" w:eastAsia="Times New Roman" w:hint="default"/>
        </w:rPr>
        <w:t>3</w:t>
      </w:r>
      <w:r>
        <w:rPr/>
        <w:t>）租赁情况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line="343" w:lineRule="auto" w:before="0"/>
        <w:ind w:left="152" w:right="640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公司报告期不存在租赁情况。</w:t>
      </w:r>
    </w:p>
    <w:p>
      <w:pPr>
        <w:spacing w:line="240" w:lineRule="auto" w:before="3"/>
        <w:rPr>
          <w:rFonts w:ascii="宋体" w:hAnsi="宋体" w:cs="宋体" w:eastAsia="宋体" w:hint="default"/>
          <w:sz w:val="15"/>
          <w:szCs w:val="15"/>
        </w:rPr>
      </w:pPr>
    </w:p>
    <w:p>
      <w:pPr>
        <w:pStyle w:val="Heading4"/>
        <w:spacing w:line="240" w:lineRule="auto"/>
        <w:ind w:right="0"/>
        <w:jc w:val="left"/>
        <w:rPr>
          <w:b w:val="0"/>
          <w:bCs w:val="0"/>
        </w:rPr>
      </w:pPr>
      <w:r>
        <w:rPr>
          <w:rFonts w:ascii="Times New Roman" w:hAnsi="Times New Roman" w:cs="Times New Roman" w:eastAsia="Times New Roman" w:hint="default"/>
        </w:rPr>
        <w:t>2</w:t>
      </w:r>
      <w:r>
        <w:rPr/>
        <w:t>、重大担保</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）担保情况</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pacing w:val="-2"/>
          <w:sz w:val="18"/>
          <w:szCs w:val="18"/>
        </w:rPr>
        <w:t>单位：万元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710"/>
        <w:gridCol w:w="918"/>
        <w:gridCol w:w="928"/>
        <w:gridCol w:w="1298"/>
        <w:gridCol w:w="1058"/>
        <w:gridCol w:w="1043"/>
        <w:gridCol w:w="1045"/>
        <w:gridCol w:w="790"/>
        <w:gridCol w:w="781"/>
      </w:tblGrid>
      <w:tr>
        <w:trPr>
          <w:trHeight w:val="398" w:hRule="exact"/>
        </w:trPr>
        <w:tc>
          <w:tcPr>
            <w:tcW w:w="9571"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529" w:right="0"/>
              <w:jc w:val="left"/>
              <w:rPr>
                <w:rFonts w:ascii="宋体" w:hAnsi="宋体" w:cs="宋体" w:eastAsia="宋体" w:hint="default"/>
                <w:sz w:val="18"/>
                <w:szCs w:val="18"/>
              </w:rPr>
            </w:pPr>
            <w:r>
              <w:rPr>
                <w:rFonts w:ascii="宋体" w:hAnsi="宋体" w:cs="宋体" w:eastAsia="宋体" w:hint="default"/>
                <w:spacing w:val="-3"/>
                <w:sz w:val="18"/>
                <w:szCs w:val="18"/>
              </w:rPr>
              <w:t>公司及其子公司对外担保情况（不包括对子公司的担保）</w:t>
            </w:r>
          </w:p>
        </w:tc>
      </w:tr>
      <w:tr>
        <w:trPr>
          <w:trHeight w:val="1027" w:hRule="exact"/>
        </w:trPr>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95" w:right="82" w:firstLine="4"/>
              <w:jc w:val="both"/>
              <w:rPr>
                <w:rFonts w:ascii="宋体" w:hAnsi="宋体" w:cs="宋体" w:eastAsia="宋体" w:hint="default"/>
                <w:sz w:val="18"/>
                <w:szCs w:val="18"/>
              </w:rPr>
            </w:pPr>
            <w:r>
              <w:rPr>
                <w:rFonts w:ascii="宋体" w:hAnsi="宋体" w:cs="宋体" w:eastAsia="宋体" w:hint="default"/>
                <w:sz w:val="18"/>
                <w:szCs w:val="18"/>
              </w:rPr>
              <w:t>担保额度</w:t>
            </w:r>
            <w:r>
              <w:rPr>
                <w:rFonts w:ascii="宋体" w:hAnsi="宋体" w:cs="宋体" w:eastAsia="宋体" w:hint="default"/>
                <w:w w:val="101"/>
                <w:sz w:val="18"/>
                <w:szCs w:val="18"/>
              </w:rPr>
              <w:t> </w:t>
            </w:r>
            <w:r>
              <w:rPr>
                <w:rFonts w:ascii="宋体" w:hAnsi="宋体" w:cs="宋体" w:eastAsia="宋体" w:hint="default"/>
                <w:sz w:val="18"/>
                <w:szCs w:val="18"/>
              </w:rPr>
              <w:t>相关公告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披露日期</w:t>
            </w:r>
          </w:p>
        </w:tc>
        <w:tc>
          <w:tcPr>
            <w:tcW w:w="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03"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before="81"/>
              <w:ind w:left="24" w:right="0"/>
              <w:jc w:val="left"/>
              <w:rPr>
                <w:rFonts w:ascii="宋体" w:hAnsi="宋体" w:cs="宋体" w:eastAsia="宋体" w:hint="default"/>
                <w:sz w:val="18"/>
                <w:szCs w:val="18"/>
              </w:rPr>
            </w:pPr>
            <w:r>
              <w:rPr>
                <w:rFonts w:ascii="宋体" w:hAnsi="宋体" w:cs="宋体" w:eastAsia="宋体" w:hint="default"/>
                <w:spacing w:val="-3"/>
                <w:sz w:val="18"/>
                <w:szCs w:val="18"/>
              </w:rPr>
              <w:t>（协议签署日）</w:t>
            </w:r>
          </w:p>
        </w:tc>
        <w:tc>
          <w:tcPr>
            <w:tcW w:w="1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436" w:right="68" w:hanging="360"/>
              <w:jc w:val="left"/>
              <w:rPr>
                <w:rFonts w:ascii="宋体" w:hAnsi="宋体" w:cs="宋体" w:eastAsia="宋体" w:hint="default"/>
                <w:sz w:val="18"/>
                <w:szCs w:val="18"/>
              </w:rPr>
            </w:pPr>
            <w:r>
              <w:rPr>
                <w:rFonts w:ascii="宋体" w:hAnsi="宋体" w:cs="宋体" w:eastAsia="宋体" w:hint="default"/>
                <w:spacing w:val="-2"/>
                <w:sz w:val="18"/>
                <w:szCs w:val="18"/>
              </w:rPr>
              <w:t>实际担保金</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额</w:t>
            </w:r>
          </w:p>
        </w:tc>
        <w:tc>
          <w:tcPr>
            <w:tcW w:w="10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246"/>
              <w:jc w:val="right"/>
              <w:rPr>
                <w:rFonts w:ascii="宋体" w:hAnsi="宋体" w:cs="宋体" w:eastAsia="宋体" w:hint="default"/>
                <w:sz w:val="18"/>
                <w:szCs w:val="18"/>
              </w:rPr>
            </w:pPr>
            <w:r>
              <w:rPr>
                <w:rFonts w:ascii="宋体" w:hAnsi="宋体" w:cs="宋体" w:eastAsia="宋体" w:hint="default"/>
                <w:spacing w:val="-2"/>
                <w:sz w:val="18"/>
                <w:szCs w:val="18"/>
              </w:rPr>
              <w:t>担保期</w:t>
            </w: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212" w:right="18" w:hanging="178"/>
              <w:jc w:val="left"/>
              <w:rPr>
                <w:rFonts w:ascii="宋体" w:hAnsi="宋体" w:cs="宋体" w:eastAsia="宋体" w:hint="default"/>
                <w:sz w:val="18"/>
                <w:szCs w:val="18"/>
              </w:rPr>
            </w:pPr>
            <w:r>
              <w:rPr>
                <w:rFonts w:ascii="宋体" w:hAnsi="宋体" w:cs="宋体" w:eastAsia="宋体" w:hint="default"/>
                <w:sz w:val="18"/>
                <w:szCs w:val="18"/>
              </w:rPr>
              <w:t>是否履行</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完毕</w:t>
            </w:r>
          </w:p>
        </w:tc>
        <w:tc>
          <w:tcPr>
            <w:tcW w:w="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27" w:right="17"/>
              <w:jc w:val="left"/>
              <w:rPr>
                <w:rFonts w:ascii="宋体" w:hAnsi="宋体" w:cs="宋体" w:eastAsia="宋体" w:hint="default"/>
                <w:sz w:val="18"/>
                <w:szCs w:val="18"/>
              </w:rPr>
            </w:pPr>
            <w:r>
              <w:rPr>
                <w:rFonts w:ascii="宋体" w:hAnsi="宋体" w:cs="宋体" w:eastAsia="宋体" w:hint="default"/>
                <w:sz w:val="18"/>
                <w:szCs w:val="18"/>
              </w:rPr>
              <w:t>是否为关</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联方担保</w:t>
            </w:r>
          </w:p>
        </w:tc>
      </w:tr>
      <w:tr>
        <w:trPr>
          <w:trHeight w:val="404" w:hRule="exact"/>
        </w:trPr>
        <w:tc>
          <w:tcPr>
            <w:tcW w:w="9571"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pacing w:val="-3"/>
                <w:sz w:val="18"/>
                <w:szCs w:val="18"/>
              </w:rPr>
              <w:t>公司与子公司之间担保情况</w:t>
            </w:r>
          </w:p>
        </w:tc>
      </w:tr>
      <w:tr>
        <w:trPr>
          <w:trHeight w:val="1027" w:hRule="exact"/>
        </w:trPr>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95" w:right="86"/>
              <w:jc w:val="both"/>
              <w:rPr>
                <w:rFonts w:ascii="宋体" w:hAnsi="宋体" w:cs="宋体" w:eastAsia="宋体" w:hint="default"/>
                <w:sz w:val="18"/>
                <w:szCs w:val="18"/>
              </w:rPr>
            </w:pPr>
            <w:r>
              <w:rPr>
                <w:rFonts w:ascii="宋体" w:hAnsi="宋体" w:cs="宋体" w:eastAsia="宋体" w:hint="default"/>
                <w:sz w:val="18"/>
                <w:szCs w:val="18"/>
              </w:rPr>
              <w:t>担保额度</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相关公告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披露日期</w:t>
            </w:r>
          </w:p>
        </w:tc>
        <w:tc>
          <w:tcPr>
            <w:tcW w:w="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98"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pacing w:val="-3"/>
                <w:sz w:val="18"/>
                <w:szCs w:val="18"/>
              </w:rPr>
              <w:t>（协议签署日）</w:t>
            </w:r>
          </w:p>
        </w:tc>
        <w:tc>
          <w:tcPr>
            <w:tcW w:w="1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6" w:right="68" w:hanging="360"/>
              <w:jc w:val="left"/>
              <w:rPr>
                <w:rFonts w:ascii="宋体" w:hAnsi="宋体" w:cs="宋体" w:eastAsia="宋体" w:hint="default"/>
                <w:sz w:val="18"/>
                <w:szCs w:val="18"/>
              </w:rPr>
            </w:pPr>
            <w:r>
              <w:rPr>
                <w:rFonts w:ascii="宋体" w:hAnsi="宋体" w:cs="宋体" w:eastAsia="宋体" w:hint="default"/>
                <w:spacing w:val="-2"/>
                <w:sz w:val="18"/>
                <w:szCs w:val="18"/>
              </w:rPr>
              <w:t>实际担保金</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额</w:t>
            </w:r>
          </w:p>
        </w:tc>
        <w:tc>
          <w:tcPr>
            <w:tcW w:w="10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250"/>
              <w:jc w:val="right"/>
              <w:rPr>
                <w:rFonts w:ascii="宋体" w:hAnsi="宋体" w:cs="宋体" w:eastAsia="宋体" w:hint="default"/>
                <w:sz w:val="18"/>
                <w:szCs w:val="18"/>
              </w:rPr>
            </w:pPr>
            <w:r>
              <w:rPr>
                <w:rFonts w:ascii="宋体" w:hAnsi="宋体" w:cs="宋体" w:eastAsia="宋体" w:hint="default"/>
                <w:spacing w:val="-2"/>
                <w:sz w:val="18"/>
                <w:szCs w:val="18"/>
              </w:rPr>
              <w:t>担保期</w:t>
            </w: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07" w:right="23" w:hanging="178"/>
              <w:jc w:val="left"/>
              <w:rPr>
                <w:rFonts w:ascii="宋体" w:hAnsi="宋体" w:cs="宋体" w:eastAsia="宋体" w:hint="default"/>
                <w:sz w:val="18"/>
                <w:szCs w:val="18"/>
              </w:rPr>
            </w:pPr>
            <w:r>
              <w:rPr>
                <w:rFonts w:ascii="宋体" w:hAnsi="宋体" w:cs="宋体" w:eastAsia="宋体" w:hint="default"/>
                <w:sz w:val="18"/>
                <w:szCs w:val="18"/>
              </w:rPr>
              <w:t>是否履行</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完毕</w:t>
            </w:r>
          </w:p>
        </w:tc>
        <w:tc>
          <w:tcPr>
            <w:tcW w:w="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7" w:right="17"/>
              <w:jc w:val="left"/>
              <w:rPr>
                <w:rFonts w:ascii="宋体" w:hAnsi="宋体" w:cs="宋体" w:eastAsia="宋体" w:hint="default"/>
                <w:sz w:val="18"/>
                <w:szCs w:val="18"/>
              </w:rPr>
            </w:pPr>
            <w:r>
              <w:rPr>
                <w:rFonts w:ascii="宋体" w:hAnsi="宋体" w:cs="宋体" w:eastAsia="宋体" w:hint="default"/>
                <w:sz w:val="18"/>
                <w:szCs w:val="18"/>
              </w:rPr>
              <w:t>是否为关</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联方担保</w:t>
            </w:r>
          </w:p>
        </w:tc>
      </w:tr>
      <w:tr>
        <w:trPr>
          <w:trHeight w:val="710" w:hRule="exact"/>
        </w:trPr>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51"/>
              <w:jc w:val="left"/>
              <w:rPr>
                <w:rFonts w:ascii="宋体" w:hAnsi="宋体" w:cs="宋体" w:eastAsia="宋体" w:hint="default"/>
                <w:sz w:val="18"/>
                <w:szCs w:val="18"/>
              </w:rPr>
            </w:pPr>
            <w:r>
              <w:rPr>
                <w:rFonts w:ascii="宋体" w:hAnsi="宋体" w:cs="宋体" w:eastAsia="宋体" w:hint="default"/>
                <w:spacing w:val="-3"/>
                <w:sz w:val="18"/>
                <w:szCs w:val="18"/>
              </w:rPr>
              <w:t>重庆市鸿海印务有限</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公司</w:t>
            </w:r>
          </w:p>
        </w:tc>
        <w:tc>
          <w:tcPr>
            <w:tcW w:w="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04</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5,000</w:t>
            </w:r>
          </w:p>
        </w:tc>
        <w:tc>
          <w:tcPr>
            <w:tcW w:w="1298" w:type="dxa"/>
            <w:tcBorders>
              <w:top w:val="single" w:sz="4" w:space="0" w:color="000000"/>
              <w:left w:val="single" w:sz="4" w:space="0" w:color="000000"/>
              <w:bottom w:val="single" w:sz="4" w:space="0" w:color="000000"/>
              <w:right w:val="single" w:sz="4" w:space="0" w:color="000000"/>
            </w:tcBorders>
          </w:tcPr>
          <w:p>
            <w:pP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pacing w:val="-1"/>
                <w:sz w:val="18"/>
              </w:rPr>
              <w:t>4,000</w:t>
            </w:r>
          </w:p>
        </w:tc>
        <w:tc>
          <w:tcPr>
            <w:tcW w:w="104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30" w:right="98"/>
              <w:jc w:val="left"/>
              <w:rPr>
                <w:rFonts w:ascii="宋体" w:hAnsi="宋体" w:cs="宋体" w:eastAsia="宋体" w:hint="default"/>
                <w:sz w:val="18"/>
                <w:szCs w:val="18"/>
              </w:rPr>
            </w:pPr>
            <w:r>
              <w:rPr>
                <w:rFonts w:ascii="宋体" w:hAnsi="宋体" w:cs="宋体" w:eastAsia="宋体" w:hint="default"/>
                <w:spacing w:val="-2"/>
                <w:sz w:val="18"/>
                <w:szCs w:val="18"/>
              </w:rPr>
              <w:t>连带责任保</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证</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一年</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7"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5" w:hRule="exact"/>
        </w:trPr>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4" w:right="51"/>
              <w:jc w:val="left"/>
              <w:rPr>
                <w:rFonts w:ascii="宋体" w:hAnsi="宋体" w:cs="宋体" w:eastAsia="宋体" w:hint="default"/>
                <w:sz w:val="18"/>
                <w:szCs w:val="18"/>
              </w:rPr>
            </w:pPr>
            <w:r>
              <w:rPr>
                <w:rFonts w:ascii="宋体" w:hAnsi="宋体" w:cs="宋体" w:eastAsia="宋体" w:hint="default"/>
                <w:spacing w:val="-3"/>
                <w:sz w:val="18"/>
                <w:szCs w:val="18"/>
              </w:rPr>
              <w:t>无锡双龙信息纸有限</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公司</w:t>
            </w:r>
          </w:p>
        </w:tc>
        <w:tc>
          <w:tcPr>
            <w:tcW w:w="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08</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5,000</w:t>
            </w:r>
          </w:p>
        </w:tc>
        <w:tc>
          <w:tcPr>
            <w:tcW w:w="1298" w:type="dxa"/>
            <w:tcBorders>
              <w:top w:val="single" w:sz="4" w:space="0" w:color="000000"/>
              <w:left w:val="single" w:sz="4" w:space="0" w:color="000000"/>
              <w:bottom w:val="single" w:sz="4" w:space="0" w:color="000000"/>
              <w:right w:val="single" w:sz="4" w:space="0" w:color="000000"/>
            </w:tcBorders>
          </w:tcPr>
          <w:p>
            <w:pP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pacing w:val="-1"/>
                <w:sz w:val="18"/>
              </w:rPr>
              <w:t>1,000</w:t>
            </w:r>
          </w:p>
        </w:tc>
        <w:tc>
          <w:tcPr>
            <w:tcW w:w="1043"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30" w:right="98"/>
              <w:jc w:val="left"/>
              <w:rPr>
                <w:rFonts w:ascii="宋体" w:hAnsi="宋体" w:cs="宋体" w:eastAsia="宋体" w:hint="default"/>
                <w:sz w:val="18"/>
                <w:szCs w:val="18"/>
              </w:rPr>
            </w:pPr>
            <w:r>
              <w:rPr>
                <w:rFonts w:ascii="宋体" w:hAnsi="宋体" w:cs="宋体" w:eastAsia="宋体" w:hint="default"/>
                <w:spacing w:val="-2"/>
                <w:sz w:val="18"/>
                <w:szCs w:val="18"/>
              </w:rPr>
              <w:t>连带责任保</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证</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一年</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7"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5" w:hRule="exact"/>
        </w:trPr>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51"/>
              <w:jc w:val="left"/>
              <w:rPr>
                <w:rFonts w:ascii="宋体" w:hAnsi="宋体" w:cs="宋体" w:eastAsia="宋体" w:hint="default"/>
                <w:sz w:val="18"/>
                <w:szCs w:val="18"/>
              </w:rPr>
            </w:pPr>
            <w:r>
              <w:rPr>
                <w:rFonts w:ascii="宋体" w:hAnsi="宋体" w:cs="宋体" w:eastAsia="宋体" w:hint="default"/>
                <w:spacing w:val="-3"/>
                <w:sz w:val="18"/>
                <w:szCs w:val="18"/>
              </w:rPr>
              <w:t>鸿博（福建）数据网</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3"/>
                <w:sz w:val="18"/>
                <w:szCs w:val="18"/>
              </w:rPr>
              <w:t>络科技股份有限公司</w:t>
            </w:r>
          </w:p>
        </w:tc>
        <w:tc>
          <w:tcPr>
            <w:tcW w:w="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pacing w:val="-5"/>
                <w:sz w:val="18"/>
                <w:szCs w:val="18"/>
              </w:rPr>
              <w:t>11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298" w:type="dxa"/>
            <w:tcBorders>
              <w:top w:val="single" w:sz="4" w:space="0" w:color="000000"/>
              <w:left w:val="single" w:sz="4" w:space="0" w:color="000000"/>
              <w:bottom w:val="single" w:sz="4" w:space="0" w:color="000000"/>
              <w:right w:val="single" w:sz="4" w:space="0" w:color="000000"/>
            </w:tcBorders>
          </w:tcPr>
          <w:p>
            <w:pP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pacing w:val="-1"/>
                <w:sz w:val="18"/>
              </w:rPr>
              <w:t>10,000</w:t>
            </w:r>
          </w:p>
        </w:tc>
        <w:tc>
          <w:tcPr>
            <w:tcW w:w="104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30" w:right="98"/>
              <w:jc w:val="left"/>
              <w:rPr>
                <w:rFonts w:ascii="宋体" w:hAnsi="宋体" w:cs="宋体" w:eastAsia="宋体" w:hint="default"/>
                <w:sz w:val="18"/>
                <w:szCs w:val="18"/>
              </w:rPr>
            </w:pPr>
            <w:r>
              <w:rPr>
                <w:rFonts w:ascii="宋体" w:hAnsi="宋体" w:cs="宋体" w:eastAsia="宋体" w:hint="default"/>
                <w:spacing w:val="-2"/>
                <w:sz w:val="18"/>
                <w:szCs w:val="18"/>
              </w:rPr>
              <w:t>连带责任保</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证</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一年</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7"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5" w:hRule="exact"/>
        </w:trPr>
        <w:tc>
          <w:tcPr>
            <w:tcW w:w="26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67"/>
              <w:jc w:val="left"/>
              <w:rPr>
                <w:rFonts w:ascii="宋体" w:hAnsi="宋体" w:cs="宋体" w:eastAsia="宋体" w:hint="default"/>
                <w:sz w:val="18"/>
                <w:szCs w:val="18"/>
              </w:rPr>
            </w:pPr>
            <w:r>
              <w:rPr>
                <w:rFonts w:ascii="宋体" w:hAnsi="宋体" w:cs="宋体" w:eastAsia="宋体" w:hint="default"/>
                <w:spacing w:val="-3"/>
                <w:sz w:val="18"/>
                <w:szCs w:val="18"/>
              </w:rPr>
              <w:t>报告期内审批对子公司担保额度</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2226" w:type="dxa"/>
            <w:gridSpan w:val="2"/>
            <w:tcBorders>
              <w:top w:val="single" w:sz="4" w:space="0" w:color="000000"/>
              <w:left w:val="single" w:sz="8" w:space="0" w:color="D2D2D2"/>
              <w:bottom w:val="single" w:sz="4" w:space="0" w:color="000000"/>
              <w:right w:val="single" w:sz="10" w:space="0" w:color="D2D2D2"/>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pacing w:val="-1"/>
                <w:sz w:val="18"/>
              </w:rPr>
              <w:t>20,000</w:t>
            </w:r>
          </w:p>
        </w:tc>
        <w:tc>
          <w:tcPr>
            <w:tcW w:w="210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3" w:right="84"/>
              <w:jc w:val="left"/>
              <w:rPr>
                <w:rFonts w:ascii="宋体" w:hAnsi="宋体" w:cs="宋体" w:eastAsia="宋体" w:hint="default"/>
                <w:sz w:val="18"/>
                <w:szCs w:val="18"/>
              </w:rPr>
            </w:pPr>
            <w:r>
              <w:rPr>
                <w:rFonts w:ascii="宋体" w:hAnsi="宋体" w:cs="宋体" w:eastAsia="宋体" w:hint="default"/>
                <w:spacing w:val="-3"/>
                <w:sz w:val="18"/>
                <w:szCs w:val="18"/>
              </w:rPr>
              <w:t>报告期内对子公司担保实</w:t>
            </w:r>
            <w:r>
              <w:rPr>
                <w:rFonts w:ascii="宋体" w:hAnsi="宋体" w:cs="宋体" w:eastAsia="宋体" w:hint="default"/>
                <w:spacing w:val="-57"/>
                <w:sz w:val="18"/>
                <w:szCs w:val="18"/>
              </w:rPr>
              <w:t> </w:t>
            </w:r>
            <w:r>
              <w:rPr>
                <w:rFonts w:ascii="宋体" w:hAnsi="宋体" w:cs="宋体" w:eastAsia="宋体" w:hint="default"/>
                <w:spacing w:val="-57"/>
                <w:sz w:val="18"/>
                <w:szCs w:val="18"/>
              </w:rPr>
            </w:r>
            <w:r>
              <w:rPr>
                <w:rFonts w:ascii="宋体" w:hAnsi="宋体" w:cs="宋体" w:eastAsia="宋体" w:hint="default"/>
                <w:sz w:val="18"/>
                <w:szCs w:val="18"/>
              </w:rPr>
              <w:t>际发生额合计（</w:t>
            </w:r>
            <w:r>
              <w:rPr>
                <w:rFonts w:ascii="Times New Roman" w:hAnsi="Times New Roman" w:cs="Times New Roman" w:eastAsia="Times New Roman" w:hint="default"/>
                <w:sz w:val="18"/>
                <w:szCs w:val="18"/>
              </w:rPr>
              <w:t>B2</w:t>
            </w:r>
            <w:r>
              <w:rPr>
                <w:rFonts w:ascii="宋体" w:hAnsi="宋体" w:cs="宋体" w:eastAsia="宋体" w:hint="default"/>
                <w:sz w:val="18"/>
                <w:szCs w:val="18"/>
              </w:rPr>
              <w:t>）</w:t>
            </w:r>
          </w:p>
        </w:tc>
        <w:tc>
          <w:tcPr>
            <w:tcW w:w="2616"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15,000</w:t>
            </w:r>
          </w:p>
        </w:tc>
      </w:tr>
      <w:tr>
        <w:trPr>
          <w:trHeight w:val="715" w:hRule="exact"/>
        </w:trPr>
        <w:tc>
          <w:tcPr>
            <w:tcW w:w="26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67"/>
              <w:jc w:val="left"/>
              <w:rPr>
                <w:rFonts w:ascii="宋体" w:hAnsi="宋体" w:cs="宋体" w:eastAsia="宋体" w:hint="default"/>
                <w:sz w:val="18"/>
                <w:szCs w:val="18"/>
              </w:rPr>
            </w:pPr>
            <w:r>
              <w:rPr>
                <w:rFonts w:ascii="宋体" w:hAnsi="宋体" w:cs="宋体" w:eastAsia="宋体" w:hint="default"/>
                <w:spacing w:val="-3"/>
                <w:sz w:val="18"/>
                <w:szCs w:val="18"/>
              </w:rPr>
              <w:t>报告期末已审批的对子公司担保</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2226" w:type="dxa"/>
            <w:gridSpan w:val="2"/>
            <w:tcBorders>
              <w:top w:val="single" w:sz="4" w:space="0" w:color="000000"/>
              <w:left w:val="single" w:sz="8" w:space="0" w:color="D2D2D2"/>
              <w:bottom w:val="single" w:sz="4" w:space="0" w:color="000000"/>
              <w:right w:val="single" w:sz="10" w:space="0" w:color="D2D2D2"/>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pacing w:val="-1"/>
                <w:sz w:val="18"/>
              </w:rPr>
              <w:t>20,000</w:t>
            </w:r>
          </w:p>
        </w:tc>
        <w:tc>
          <w:tcPr>
            <w:tcW w:w="210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3" w:right="84"/>
              <w:jc w:val="left"/>
              <w:rPr>
                <w:rFonts w:ascii="宋体" w:hAnsi="宋体" w:cs="宋体" w:eastAsia="宋体" w:hint="default"/>
                <w:sz w:val="18"/>
                <w:szCs w:val="18"/>
              </w:rPr>
            </w:pPr>
            <w:r>
              <w:rPr>
                <w:rFonts w:ascii="宋体" w:hAnsi="宋体" w:cs="宋体" w:eastAsia="宋体" w:hint="default"/>
                <w:spacing w:val="-3"/>
                <w:sz w:val="18"/>
                <w:szCs w:val="18"/>
              </w:rPr>
              <w:t>报告期末对子公司实际担</w:t>
            </w:r>
            <w:r>
              <w:rPr>
                <w:rFonts w:ascii="宋体" w:hAnsi="宋体" w:cs="宋体" w:eastAsia="宋体" w:hint="default"/>
                <w:spacing w:val="-57"/>
                <w:sz w:val="18"/>
                <w:szCs w:val="18"/>
              </w:rPr>
              <w:t> </w:t>
            </w:r>
            <w:r>
              <w:rPr>
                <w:rFonts w:ascii="宋体" w:hAnsi="宋体" w:cs="宋体" w:eastAsia="宋体" w:hint="default"/>
                <w:spacing w:val="-57"/>
                <w:sz w:val="18"/>
                <w:szCs w:val="18"/>
              </w:rPr>
            </w:r>
            <w:r>
              <w:rPr>
                <w:rFonts w:ascii="宋体" w:hAnsi="宋体" w:cs="宋体" w:eastAsia="宋体" w:hint="default"/>
                <w:sz w:val="18"/>
                <w:szCs w:val="18"/>
              </w:rPr>
              <w:t>保余额合计（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616"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15,000</w:t>
            </w:r>
          </w:p>
        </w:tc>
      </w:tr>
      <w:tr>
        <w:trPr>
          <w:trHeight w:val="394" w:hRule="exact"/>
        </w:trPr>
        <w:tc>
          <w:tcPr>
            <w:tcW w:w="9571"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pacing w:val="-3"/>
                <w:sz w:val="18"/>
                <w:szCs w:val="18"/>
              </w:rPr>
              <w:t>子公司对子公司的担保情况</w:t>
            </w:r>
          </w:p>
        </w:tc>
      </w:tr>
      <w:tr>
        <w:trPr>
          <w:trHeight w:val="164" w:hRule="exact"/>
        </w:trPr>
        <w:tc>
          <w:tcPr>
            <w:tcW w:w="1710" w:type="dxa"/>
            <w:vMerge w:val="restart"/>
            <w:tcBorders>
              <w:top w:val="single" w:sz="4" w:space="0" w:color="000000"/>
              <w:left w:val="single" w:sz="4" w:space="0" w:color="000000"/>
              <w:right w:val="single" w:sz="4" w:space="0" w:color="000000"/>
            </w:tcBorders>
            <w:shd w:val="clear" w:color="auto" w:fill="D2D2D2"/>
          </w:tcPr>
          <w:p>
            <w:pPr/>
          </w:p>
        </w:tc>
        <w:tc>
          <w:tcPr>
            <w:tcW w:w="91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8"/>
              <w:ind w:left="90" w:right="91"/>
              <w:jc w:val="both"/>
              <w:rPr>
                <w:rFonts w:ascii="宋体" w:hAnsi="宋体" w:cs="宋体" w:eastAsia="宋体" w:hint="default"/>
                <w:sz w:val="18"/>
                <w:szCs w:val="18"/>
              </w:rPr>
            </w:pPr>
            <w:r>
              <w:rPr>
                <w:rFonts w:ascii="宋体" w:hAnsi="宋体" w:cs="宋体" w:eastAsia="宋体" w:hint="default"/>
                <w:sz w:val="18"/>
                <w:szCs w:val="18"/>
              </w:rPr>
              <w:t>担保额度</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相关公告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披露日期</w:t>
            </w:r>
          </w:p>
        </w:tc>
        <w:tc>
          <w:tcPr>
            <w:tcW w:w="928" w:type="dxa"/>
            <w:vMerge w:val="restart"/>
            <w:tcBorders>
              <w:top w:val="single" w:sz="4" w:space="0" w:color="000000"/>
              <w:left w:val="single" w:sz="4" w:space="0" w:color="000000"/>
              <w:right w:val="single" w:sz="4" w:space="0" w:color="000000"/>
            </w:tcBorders>
            <w:shd w:val="clear" w:color="auto" w:fill="D2D2D2"/>
          </w:tcPr>
          <w:p>
            <w:pPr/>
          </w:p>
        </w:tc>
        <w:tc>
          <w:tcPr>
            <w:tcW w:w="1298" w:type="dxa"/>
            <w:tcBorders>
              <w:top w:val="single" w:sz="4" w:space="0" w:color="000000"/>
              <w:left w:val="single" w:sz="4" w:space="0" w:color="000000"/>
              <w:bottom w:val="nil" w:sz="6" w:space="0" w:color="auto"/>
              <w:right w:val="single" w:sz="4" w:space="0" w:color="000000"/>
            </w:tcBorders>
            <w:shd w:val="clear" w:color="auto" w:fill="D2D2D2"/>
          </w:tcPr>
          <w:p>
            <w:pPr/>
          </w:p>
        </w:tc>
        <w:tc>
          <w:tcPr>
            <w:tcW w:w="1058" w:type="dxa"/>
            <w:tcBorders>
              <w:top w:val="single" w:sz="4" w:space="0" w:color="000000"/>
              <w:left w:val="single" w:sz="4" w:space="0" w:color="000000"/>
              <w:bottom w:val="nil" w:sz="6" w:space="0" w:color="auto"/>
              <w:right w:val="single" w:sz="4" w:space="0" w:color="000000"/>
            </w:tcBorders>
            <w:shd w:val="clear" w:color="auto" w:fill="D2D2D2"/>
          </w:tcPr>
          <w:p>
            <w:pPr/>
          </w:p>
        </w:tc>
        <w:tc>
          <w:tcPr>
            <w:tcW w:w="1043" w:type="dxa"/>
            <w:vMerge w:val="restart"/>
            <w:tcBorders>
              <w:top w:val="single" w:sz="4" w:space="0" w:color="000000"/>
              <w:left w:val="single" w:sz="4" w:space="0" w:color="000000"/>
              <w:right w:val="single" w:sz="4" w:space="0" w:color="000000"/>
            </w:tcBorders>
            <w:shd w:val="clear" w:color="auto" w:fill="D2D2D2"/>
          </w:tcPr>
          <w:p>
            <w:pPr/>
          </w:p>
        </w:tc>
        <w:tc>
          <w:tcPr>
            <w:tcW w:w="1045" w:type="dxa"/>
            <w:vMerge w:val="restart"/>
            <w:tcBorders>
              <w:top w:val="single" w:sz="4" w:space="0" w:color="000000"/>
              <w:left w:val="single" w:sz="4" w:space="0" w:color="000000"/>
              <w:right w:val="single" w:sz="4" w:space="0" w:color="000000"/>
            </w:tcBorders>
            <w:shd w:val="clear" w:color="auto" w:fill="D2D2D2"/>
          </w:tcPr>
          <w:p>
            <w:pPr/>
          </w:p>
        </w:tc>
        <w:tc>
          <w:tcPr>
            <w:tcW w:w="790" w:type="dxa"/>
            <w:tcBorders>
              <w:top w:val="single" w:sz="4" w:space="0" w:color="000000"/>
              <w:left w:val="single" w:sz="4" w:space="0" w:color="000000"/>
              <w:bottom w:val="nil" w:sz="6" w:space="0" w:color="auto"/>
              <w:right w:val="single" w:sz="4" w:space="0" w:color="000000"/>
            </w:tcBorders>
            <w:shd w:val="clear" w:color="auto" w:fill="D2D2D2"/>
          </w:tcPr>
          <w:p>
            <w:pPr/>
          </w:p>
        </w:tc>
        <w:tc>
          <w:tcPr>
            <w:tcW w:w="781"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8" w:hRule="exact"/>
        </w:trPr>
        <w:tc>
          <w:tcPr>
            <w:tcW w:w="1710" w:type="dxa"/>
            <w:vMerge/>
            <w:tcBorders>
              <w:left w:val="single" w:sz="4" w:space="0" w:color="000000"/>
              <w:bottom w:val="nil" w:sz="6" w:space="0" w:color="auto"/>
              <w:right w:val="single" w:sz="4" w:space="0" w:color="000000"/>
            </w:tcBorders>
            <w:shd w:val="clear" w:color="auto" w:fill="D2D2D2"/>
          </w:tcPr>
          <w:p>
            <w:pPr/>
          </w:p>
        </w:tc>
        <w:tc>
          <w:tcPr>
            <w:tcW w:w="918" w:type="dxa"/>
            <w:vMerge/>
            <w:tcBorders>
              <w:left w:val="single" w:sz="4" w:space="0" w:color="000000"/>
              <w:right w:val="single" w:sz="4" w:space="0" w:color="000000"/>
            </w:tcBorders>
            <w:shd w:val="clear" w:color="auto" w:fill="D2D2D2"/>
          </w:tcPr>
          <w:p>
            <w:pPr/>
          </w:p>
        </w:tc>
        <w:tc>
          <w:tcPr>
            <w:tcW w:w="928" w:type="dxa"/>
            <w:vMerge/>
            <w:tcBorders>
              <w:left w:val="single" w:sz="4" w:space="0" w:color="000000"/>
              <w:bottom w:val="nil" w:sz="6" w:space="0" w:color="auto"/>
              <w:right w:val="single" w:sz="4" w:space="0" w:color="000000"/>
            </w:tcBorders>
            <w:shd w:val="clear" w:color="auto" w:fill="D2D2D2"/>
          </w:tcPr>
          <w:p>
            <w:pPr/>
          </w:p>
        </w:tc>
        <w:tc>
          <w:tcPr>
            <w:tcW w:w="129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96"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before="76"/>
              <w:ind w:left="10" w:right="0"/>
              <w:jc w:val="left"/>
              <w:rPr>
                <w:rFonts w:ascii="宋体" w:hAnsi="宋体" w:cs="宋体" w:eastAsia="宋体" w:hint="default"/>
                <w:sz w:val="18"/>
                <w:szCs w:val="18"/>
              </w:rPr>
            </w:pPr>
            <w:r>
              <w:rPr>
                <w:rFonts w:ascii="宋体" w:hAnsi="宋体" w:cs="宋体" w:eastAsia="宋体" w:hint="default"/>
                <w:sz w:val="18"/>
                <w:szCs w:val="18"/>
              </w:rPr>
              <w:t>（协议签署日）</w:t>
            </w:r>
          </w:p>
        </w:tc>
        <w:tc>
          <w:tcPr>
            <w:tcW w:w="1058"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3"/>
              <w:ind w:left="426" w:right="78" w:hanging="360"/>
              <w:jc w:val="left"/>
              <w:rPr>
                <w:rFonts w:ascii="宋体" w:hAnsi="宋体" w:cs="宋体" w:eastAsia="宋体" w:hint="default"/>
                <w:sz w:val="18"/>
                <w:szCs w:val="18"/>
              </w:rPr>
            </w:pPr>
            <w:r>
              <w:rPr>
                <w:rFonts w:ascii="宋体" w:hAnsi="宋体" w:cs="宋体" w:eastAsia="宋体" w:hint="default"/>
                <w:spacing w:val="-2"/>
                <w:sz w:val="18"/>
                <w:szCs w:val="18"/>
              </w:rPr>
              <w:t>实际担保金</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额</w:t>
            </w:r>
          </w:p>
        </w:tc>
        <w:tc>
          <w:tcPr>
            <w:tcW w:w="1043" w:type="dxa"/>
            <w:vMerge/>
            <w:tcBorders>
              <w:left w:val="single" w:sz="4" w:space="0" w:color="000000"/>
              <w:bottom w:val="nil" w:sz="6" w:space="0" w:color="auto"/>
              <w:right w:val="single" w:sz="4" w:space="0" w:color="000000"/>
            </w:tcBorders>
            <w:shd w:val="clear" w:color="auto" w:fill="D2D2D2"/>
          </w:tcPr>
          <w:p>
            <w:pPr/>
          </w:p>
        </w:tc>
        <w:tc>
          <w:tcPr>
            <w:tcW w:w="1045" w:type="dxa"/>
            <w:vMerge/>
            <w:tcBorders>
              <w:left w:val="single" w:sz="4" w:space="0" w:color="000000"/>
              <w:bottom w:val="nil" w:sz="6" w:space="0" w:color="auto"/>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3"/>
              <w:ind w:left="203" w:right="28" w:hanging="178"/>
              <w:jc w:val="left"/>
              <w:rPr>
                <w:rFonts w:ascii="宋体" w:hAnsi="宋体" w:cs="宋体" w:eastAsia="宋体" w:hint="default"/>
                <w:sz w:val="18"/>
                <w:szCs w:val="18"/>
              </w:rPr>
            </w:pPr>
            <w:r>
              <w:rPr>
                <w:rFonts w:ascii="宋体" w:hAnsi="宋体" w:cs="宋体" w:eastAsia="宋体" w:hint="default"/>
                <w:sz w:val="18"/>
                <w:szCs w:val="18"/>
              </w:rPr>
              <w:t>是否履行</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完毕</w:t>
            </w:r>
          </w:p>
        </w:tc>
        <w:tc>
          <w:tcPr>
            <w:tcW w:w="781"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3"/>
              <w:ind w:left="22" w:right="22"/>
              <w:jc w:val="left"/>
              <w:rPr>
                <w:rFonts w:ascii="宋体" w:hAnsi="宋体" w:cs="宋体" w:eastAsia="宋体" w:hint="default"/>
                <w:sz w:val="18"/>
                <w:szCs w:val="18"/>
              </w:rPr>
            </w:pPr>
            <w:r>
              <w:rPr>
                <w:rFonts w:ascii="宋体" w:hAnsi="宋体" w:cs="宋体" w:eastAsia="宋体" w:hint="default"/>
                <w:sz w:val="18"/>
                <w:szCs w:val="18"/>
              </w:rPr>
              <w:t>是否为关</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联方担保</w:t>
            </w:r>
          </w:p>
        </w:tc>
      </w:tr>
      <w:tr>
        <w:trPr>
          <w:trHeight w:val="394" w:hRule="exact"/>
        </w:trPr>
        <w:tc>
          <w:tcPr>
            <w:tcW w:w="171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18" w:type="dxa"/>
            <w:vMerge/>
            <w:tcBorders>
              <w:left w:val="single" w:sz="4" w:space="0" w:color="000000"/>
              <w:right w:val="single" w:sz="4" w:space="0" w:color="000000"/>
            </w:tcBorders>
            <w:shd w:val="clear" w:color="auto" w:fill="D2D2D2"/>
          </w:tcPr>
          <w:p>
            <w:pPr/>
          </w:p>
        </w:tc>
        <w:tc>
          <w:tcPr>
            <w:tcW w:w="92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88"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8" w:type="dxa"/>
            <w:vMerge/>
            <w:tcBorders>
              <w:left w:val="single" w:sz="4" w:space="0" w:color="000000"/>
              <w:right w:val="single" w:sz="4" w:space="0" w:color="000000"/>
            </w:tcBorders>
            <w:shd w:val="clear" w:color="auto" w:fill="D2D2D2"/>
          </w:tcPr>
          <w:p>
            <w:pPr/>
          </w:p>
        </w:tc>
        <w:tc>
          <w:tcPr>
            <w:tcW w:w="1058" w:type="dxa"/>
            <w:vMerge/>
            <w:tcBorders>
              <w:left w:val="single" w:sz="4" w:space="0" w:color="000000"/>
              <w:right w:val="single" w:sz="4" w:space="0" w:color="000000"/>
            </w:tcBorders>
            <w:shd w:val="clear" w:color="auto" w:fill="D2D2D2"/>
          </w:tcPr>
          <w:p>
            <w:pPr/>
          </w:p>
        </w:tc>
        <w:tc>
          <w:tcPr>
            <w:tcW w:w="104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15"/>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250"/>
              <w:jc w:val="right"/>
              <w:rPr>
                <w:rFonts w:ascii="宋体" w:hAnsi="宋体" w:cs="宋体" w:eastAsia="宋体" w:hint="default"/>
                <w:sz w:val="18"/>
                <w:szCs w:val="18"/>
              </w:rPr>
            </w:pPr>
            <w:r>
              <w:rPr>
                <w:rFonts w:ascii="宋体" w:hAnsi="宋体" w:cs="宋体" w:eastAsia="宋体" w:hint="default"/>
                <w:spacing w:val="-2"/>
                <w:sz w:val="18"/>
                <w:szCs w:val="18"/>
              </w:rPr>
              <w:t>担保期</w:t>
            </w:r>
          </w:p>
        </w:tc>
        <w:tc>
          <w:tcPr>
            <w:tcW w:w="790"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154" w:hRule="exact"/>
        </w:trPr>
        <w:tc>
          <w:tcPr>
            <w:tcW w:w="1710" w:type="dxa"/>
            <w:vMerge w:val="restart"/>
            <w:tcBorders>
              <w:top w:val="nil" w:sz="6" w:space="0" w:color="auto"/>
              <w:left w:val="single" w:sz="4" w:space="0" w:color="000000"/>
              <w:right w:val="single" w:sz="4" w:space="0" w:color="000000"/>
            </w:tcBorders>
            <w:shd w:val="clear" w:color="auto" w:fill="D2D2D2"/>
          </w:tcPr>
          <w:p>
            <w:pPr/>
          </w:p>
        </w:tc>
        <w:tc>
          <w:tcPr>
            <w:tcW w:w="918" w:type="dxa"/>
            <w:vMerge/>
            <w:tcBorders>
              <w:left w:val="single" w:sz="4" w:space="0" w:color="000000"/>
              <w:right w:val="single" w:sz="4" w:space="0" w:color="000000"/>
            </w:tcBorders>
            <w:shd w:val="clear" w:color="auto" w:fill="D2D2D2"/>
          </w:tcPr>
          <w:p>
            <w:pPr/>
          </w:p>
        </w:tc>
        <w:tc>
          <w:tcPr>
            <w:tcW w:w="928" w:type="dxa"/>
            <w:vMerge w:val="restart"/>
            <w:tcBorders>
              <w:top w:val="nil" w:sz="6" w:space="0" w:color="auto"/>
              <w:left w:val="single" w:sz="4" w:space="0" w:color="000000"/>
              <w:right w:val="single" w:sz="4" w:space="0" w:color="000000"/>
            </w:tcBorders>
            <w:shd w:val="clear" w:color="auto" w:fill="D2D2D2"/>
          </w:tcPr>
          <w:p>
            <w:pPr/>
          </w:p>
        </w:tc>
        <w:tc>
          <w:tcPr>
            <w:tcW w:w="1298" w:type="dxa"/>
            <w:vMerge/>
            <w:tcBorders>
              <w:left w:val="single" w:sz="4" w:space="0" w:color="000000"/>
              <w:bottom w:val="nil" w:sz="6" w:space="0" w:color="auto"/>
              <w:right w:val="single" w:sz="4" w:space="0" w:color="000000"/>
            </w:tcBorders>
            <w:shd w:val="clear" w:color="auto" w:fill="D2D2D2"/>
          </w:tcPr>
          <w:p>
            <w:pPr/>
          </w:p>
        </w:tc>
        <w:tc>
          <w:tcPr>
            <w:tcW w:w="1058" w:type="dxa"/>
            <w:vMerge/>
            <w:tcBorders>
              <w:left w:val="single" w:sz="4" w:space="0" w:color="000000"/>
              <w:bottom w:val="nil" w:sz="6" w:space="0" w:color="auto"/>
              <w:right w:val="single" w:sz="4" w:space="0" w:color="000000"/>
            </w:tcBorders>
            <w:shd w:val="clear" w:color="auto" w:fill="D2D2D2"/>
          </w:tcPr>
          <w:p>
            <w:pPr/>
          </w:p>
        </w:tc>
        <w:tc>
          <w:tcPr>
            <w:tcW w:w="1043" w:type="dxa"/>
            <w:vMerge w:val="restart"/>
            <w:tcBorders>
              <w:top w:val="nil" w:sz="6" w:space="0" w:color="auto"/>
              <w:left w:val="single" w:sz="4" w:space="0" w:color="000000"/>
              <w:right w:val="single" w:sz="4" w:space="0" w:color="000000"/>
            </w:tcBorders>
            <w:shd w:val="clear" w:color="auto" w:fill="D2D2D2"/>
          </w:tcPr>
          <w:p>
            <w:pPr/>
          </w:p>
        </w:tc>
        <w:tc>
          <w:tcPr>
            <w:tcW w:w="1045" w:type="dxa"/>
            <w:vMerge w:val="restart"/>
            <w:tcBorders>
              <w:top w:val="nil" w:sz="6" w:space="0" w:color="auto"/>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781" w:type="dxa"/>
            <w:vMerge/>
            <w:tcBorders>
              <w:left w:val="single" w:sz="4" w:space="0" w:color="000000"/>
              <w:bottom w:val="nil" w:sz="6" w:space="0" w:color="auto"/>
              <w:right w:val="single" w:sz="4" w:space="0" w:color="000000"/>
            </w:tcBorders>
            <w:shd w:val="clear" w:color="auto" w:fill="D2D2D2"/>
          </w:tcPr>
          <w:p>
            <w:pPr/>
          </w:p>
        </w:tc>
      </w:tr>
      <w:tr>
        <w:trPr>
          <w:trHeight w:val="167" w:hRule="exact"/>
        </w:trPr>
        <w:tc>
          <w:tcPr>
            <w:tcW w:w="1710" w:type="dxa"/>
            <w:vMerge/>
            <w:tcBorders>
              <w:left w:val="single" w:sz="4" w:space="0" w:color="000000"/>
              <w:bottom w:val="single" w:sz="4" w:space="0" w:color="000000"/>
              <w:right w:val="single" w:sz="4" w:space="0" w:color="000000"/>
            </w:tcBorders>
            <w:shd w:val="clear" w:color="auto" w:fill="D2D2D2"/>
          </w:tcPr>
          <w:p>
            <w:pPr/>
          </w:p>
        </w:tc>
        <w:tc>
          <w:tcPr>
            <w:tcW w:w="918" w:type="dxa"/>
            <w:vMerge/>
            <w:tcBorders>
              <w:left w:val="single" w:sz="4" w:space="0" w:color="000000"/>
              <w:bottom w:val="single" w:sz="4" w:space="0" w:color="000000"/>
              <w:right w:val="single" w:sz="4" w:space="0" w:color="000000"/>
            </w:tcBorders>
            <w:shd w:val="clear" w:color="auto" w:fill="D2D2D2"/>
          </w:tcPr>
          <w:p>
            <w:pPr/>
          </w:p>
        </w:tc>
        <w:tc>
          <w:tcPr>
            <w:tcW w:w="928" w:type="dxa"/>
            <w:vMerge/>
            <w:tcBorders>
              <w:left w:val="single" w:sz="4" w:space="0" w:color="000000"/>
              <w:bottom w:val="single" w:sz="4" w:space="0" w:color="000000"/>
              <w:right w:val="single" w:sz="4" w:space="0" w:color="000000"/>
            </w:tcBorders>
            <w:shd w:val="clear" w:color="auto" w:fill="D2D2D2"/>
          </w:tcPr>
          <w:p>
            <w:pPr/>
          </w:p>
        </w:tc>
        <w:tc>
          <w:tcPr>
            <w:tcW w:w="1298" w:type="dxa"/>
            <w:tcBorders>
              <w:top w:val="nil" w:sz="6" w:space="0" w:color="auto"/>
              <w:left w:val="single" w:sz="4" w:space="0" w:color="000000"/>
              <w:bottom w:val="single" w:sz="4" w:space="0" w:color="000000"/>
              <w:right w:val="single" w:sz="4" w:space="0" w:color="000000"/>
            </w:tcBorders>
            <w:shd w:val="clear" w:color="auto" w:fill="D2D2D2"/>
          </w:tcPr>
          <w:p>
            <w:pPr/>
          </w:p>
        </w:tc>
        <w:tc>
          <w:tcPr>
            <w:tcW w:w="1058" w:type="dxa"/>
            <w:tcBorders>
              <w:top w:val="nil" w:sz="6" w:space="0" w:color="auto"/>
              <w:left w:val="single" w:sz="4" w:space="0" w:color="000000"/>
              <w:bottom w:val="single" w:sz="4" w:space="0" w:color="000000"/>
              <w:right w:val="single" w:sz="4" w:space="0" w:color="000000"/>
            </w:tcBorders>
            <w:shd w:val="clear" w:color="auto" w:fill="D2D2D2"/>
          </w:tcPr>
          <w:p>
            <w:pPr/>
          </w:p>
        </w:tc>
        <w:tc>
          <w:tcPr>
            <w:tcW w:w="1043" w:type="dxa"/>
            <w:vMerge/>
            <w:tcBorders>
              <w:left w:val="single" w:sz="4" w:space="0" w:color="000000"/>
              <w:bottom w:val="single" w:sz="4" w:space="0" w:color="000000"/>
              <w:right w:val="single" w:sz="4" w:space="0" w:color="000000"/>
            </w:tcBorders>
            <w:shd w:val="clear" w:color="auto" w:fill="D2D2D2"/>
          </w:tcPr>
          <w:p>
            <w:pPr/>
          </w:p>
        </w:tc>
        <w:tc>
          <w:tcPr>
            <w:tcW w:w="1045" w:type="dxa"/>
            <w:vMerge/>
            <w:tcBorders>
              <w:left w:val="single" w:sz="4" w:space="0" w:color="000000"/>
              <w:bottom w:val="single" w:sz="4" w:space="0" w:color="000000"/>
              <w:right w:val="single" w:sz="4" w:space="0" w:color="000000"/>
            </w:tcBorders>
            <w:shd w:val="clear" w:color="auto" w:fill="D2D2D2"/>
          </w:tcPr>
          <w:p>
            <w:pPr/>
          </w:p>
        </w:tc>
        <w:tc>
          <w:tcPr>
            <w:tcW w:w="790" w:type="dxa"/>
            <w:tcBorders>
              <w:top w:val="nil" w:sz="6" w:space="0" w:color="auto"/>
              <w:left w:val="single" w:sz="4" w:space="0" w:color="000000"/>
              <w:bottom w:val="single" w:sz="4" w:space="0" w:color="000000"/>
              <w:right w:val="single" w:sz="4" w:space="0" w:color="000000"/>
            </w:tcBorders>
            <w:shd w:val="clear" w:color="auto" w:fill="D2D2D2"/>
          </w:tcPr>
          <w:p>
            <w:pPr/>
          </w:p>
        </w:tc>
        <w:tc>
          <w:tcPr>
            <w:tcW w:w="781"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96" w:hRule="exact"/>
        </w:trPr>
        <w:tc>
          <w:tcPr>
            <w:tcW w:w="9571"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3"/>
                <w:sz w:val="18"/>
                <w:szCs w:val="18"/>
              </w:rPr>
              <w:t>公司担保总额（即前三大项的合计）</w:t>
            </w:r>
          </w:p>
        </w:tc>
      </w:tr>
    </w:tbl>
    <w:p>
      <w:pPr>
        <w:spacing w:after="0" w:line="240" w:lineRule="auto"/>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2609"/>
        <w:gridCol w:w="2244"/>
        <w:gridCol w:w="2078"/>
        <w:gridCol w:w="2628"/>
      </w:tblGrid>
      <w:tr>
        <w:trPr>
          <w:trHeight w:val="715" w:hRule="exact"/>
        </w:trPr>
        <w:tc>
          <w:tcPr>
            <w:tcW w:w="26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报告期内审批担保额度合计</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A1+B1+C1</w:t>
            </w:r>
            <w:r>
              <w:rPr>
                <w:rFonts w:ascii="宋体" w:hAnsi="宋体" w:cs="宋体" w:eastAsia="宋体" w:hint="default"/>
                <w:sz w:val="18"/>
                <w:szCs w:val="18"/>
              </w:rPr>
              <w:t>）</w:t>
            </w:r>
          </w:p>
        </w:tc>
        <w:tc>
          <w:tcPr>
            <w:tcW w:w="2244" w:type="dxa"/>
            <w:tcBorders>
              <w:top w:val="single" w:sz="4" w:space="0" w:color="000000"/>
              <w:left w:val="single" w:sz="8" w:space="0" w:color="D2D2D2"/>
              <w:bottom w:val="single" w:sz="4" w:space="0" w:color="000000"/>
              <w:right w:val="single" w:sz="10" w:space="0" w:color="D2D2D2"/>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20,000</w:t>
            </w:r>
          </w:p>
        </w:tc>
        <w:tc>
          <w:tcPr>
            <w:tcW w:w="20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2" w:right="72"/>
              <w:jc w:val="left"/>
              <w:rPr>
                <w:rFonts w:ascii="宋体" w:hAnsi="宋体" w:cs="宋体" w:eastAsia="宋体" w:hint="default"/>
                <w:sz w:val="18"/>
                <w:szCs w:val="18"/>
              </w:rPr>
            </w:pPr>
            <w:r>
              <w:rPr>
                <w:rFonts w:ascii="宋体" w:hAnsi="宋体" w:cs="宋体" w:eastAsia="宋体" w:hint="default"/>
                <w:spacing w:val="-3"/>
                <w:sz w:val="18"/>
                <w:szCs w:val="18"/>
              </w:rPr>
              <w:t>报告期内担保实际发生额</w:t>
            </w:r>
            <w:r>
              <w:rPr>
                <w:rFonts w:ascii="宋体" w:hAnsi="宋体" w:cs="宋体" w:eastAsia="宋体" w:hint="default"/>
                <w:spacing w:val="-57"/>
                <w:sz w:val="18"/>
                <w:szCs w:val="18"/>
              </w:rPr>
              <w:t> </w:t>
            </w:r>
            <w:r>
              <w:rPr>
                <w:rFonts w:ascii="宋体" w:hAnsi="宋体" w:cs="宋体" w:eastAsia="宋体" w:hint="default"/>
                <w:spacing w:val="-57"/>
                <w:sz w:val="18"/>
                <w:szCs w:val="18"/>
              </w:rPr>
            </w:r>
            <w:r>
              <w:rPr>
                <w:rFonts w:ascii="宋体" w:hAnsi="宋体" w:cs="宋体" w:eastAsia="宋体" w:hint="default"/>
                <w:sz w:val="18"/>
                <w:szCs w:val="18"/>
              </w:rPr>
              <w:t>合计（</w:t>
            </w:r>
            <w:r>
              <w:rPr>
                <w:rFonts w:ascii="Times New Roman" w:hAnsi="Times New Roman" w:cs="Times New Roman" w:eastAsia="Times New Roman" w:hint="default"/>
                <w:sz w:val="18"/>
                <w:szCs w:val="18"/>
              </w:rPr>
              <w:t>A2+B2+C2</w:t>
            </w:r>
            <w:r>
              <w:rPr>
                <w:rFonts w:ascii="宋体" w:hAnsi="宋体" w:cs="宋体" w:eastAsia="宋体" w:hint="default"/>
                <w:sz w:val="18"/>
                <w:szCs w:val="18"/>
              </w:rPr>
              <w:t>）</w:t>
            </w:r>
          </w:p>
        </w:tc>
        <w:tc>
          <w:tcPr>
            <w:tcW w:w="26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15,000</w:t>
            </w:r>
          </w:p>
        </w:tc>
      </w:tr>
      <w:tr>
        <w:trPr>
          <w:trHeight w:val="710" w:hRule="exact"/>
        </w:trPr>
        <w:tc>
          <w:tcPr>
            <w:tcW w:w="26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报告期末已审批的担保额度合计</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A3+B3+C3</w:t>
            </w:r>
            <w:r>
              <w:rPr>
                <w:rFonts w:ascii="宋体" w:hAnsi="宋体" w:cs="宋体" w:eastAsia="宋体" w:hint="default"/>
                <w:sz w:val="18"/>
                <w:szCs w:val="18"/>
              </w:rPr>
              <w:t>）</w:t>
            </w:r>
          </w:p>
        </w:tc>
        <w:tc>
          <w:tcPr>
            <w:tcW w:w="2244" w:type="dxa"/>
            <w:tcBorders>
              <w:top w:val="single" w:sz="4" w:space="0" w:color="000000"/>
              <w:left w:val="single" w:sz="8" w:space="0" w:color="D2D2D2"/>
              <w:bottom w:val="single" w:sz="4" w:space="0" w:color="000000"/>
              <w:right w:val="single" w:sz="10" w:space="0" w:color="D2D2D2"/>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20,000</w:t>
            </w:r>
          </w:p>
        </w:tc>
        <w:tc>
          <w:tcPr>
            <w:tcW w:w="20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2" w:right="72"/>
              <w:jc w:val="left"/>
              <w:rPr>
                <w:rFonts w:ascii="宋体" w:hAnsi="宋体" w:cs="宋体" w:eastAsia="宋体" w:hint="default"/>
                <w:sz w:val="18"/>
                <w:szCs w:val="18"/>
              </w:rPr>
            </w:pPr>
            <w:r>
              <w:rPr>
                <w:rFonts w:ascii="宋体" w:hAnsi="宋体" w:cs="宋体" w:eastAsia="宋体" w:hint="default"/>
                <w:spacing w:val="-3"/>
                <w:sz w:val="18"/>
                <w:szCs w:val="18"/>
              </w:rPr>
              <w:t>报告期末实际担保余额合</w:t>
            </w:r>
            <w:r>
              <w:rPr>
                <w:rFonts w:ascii="宋体" w:hAnsi="宋体" w:cs="宋体" w:eastAsia="宋体" w:hint="default"/>
                <w:spacing w:val="-57"/>
                <w:sz w:val="18"/>
                <w:szCs w:val="18"/>
              </w:rPr>
              <w:t> </w:t>
            </w:r>
            <w:r>
              <w:rPr>
                <w:rFonts w:ascii="宋体" w:hAnsi="宋体" w:cs="宋体" w:eastAsia="宋体" w:hint="default"/>
                <w:spacing w:val="-57"/>
                <w:sz w:val="18"/>
                <w:szCs w:val="18"/>
              </w:rPr>
            </w:r>
            <w:r>
              <w:rPr>
                <w:rFonts w:ascii="宋体" w:hAnsi="宋体" w:cs="宋体" w:eastAsia="宋体" w:hint="default"/>
                <w:sz w:val="18"/>
                <w:szCs w:val="18"/>
              </w:rPr>
              <w:t>计（</w:t>
            </w:r>
            <w:r>
              <w:rPr>
                <w:rFonts w:ascii="Times New Roman" w:hAnsi="Times New Roman" w:cs="Times New Roman" w:eastAsia="Times New Roman" w:hint="default"/>
                <w:sz w:val="18"/>
                <w:szCs w:val="18"/>
              </w:rPr>
              <w:t>A4+B4+C4</w:t>
            </w:r>
            <w:r>
              <w:rPr>
                <w:rFonts w:ascii="宋体" w:hAnsi="宋体" w:cs="宋体" w:eastAsia="宋体" w:hint="default"/>
                <w:sz w:val="18"/>
                <w:szCs w:val="18"/>
              </w:rPr>
              <w:t>）</w:t>
            </w:r>
          </w:p>
        </w:tc>
        <w:tc>
          <w:tcPr>
            <w:tcW w:w="26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15,000</w:t>
            </w:r>
          </w:p>
        </w:tc>
      </w:tr>
      <w:tr>
        <w:trPr>
          <w:trHeight w:val="408" w:hRule="exact"/>
        </w:trPr>
        <w:tc>
          <w:tcPr>
            <w:tcW w:w="485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2"/>
                <w:sz w:val="18"/>
                <w:szCs w:val="18"/>
              </w:rPr>
              <w:t>实际担保总额（即</w:t>
            </w:r>
            <w:r>
              <w:rPr>
                <w:rFonts w:ascii="宋体" w:hAnsi="宋体" w:cs="宋体" w:eastAsia="宋体" w:hint="default"/>
                <w:spacing w:val="7"/>
                <w:sz w:val="18"/>
                <w:szCs w:val="18"/>
              </w:rPr>
              <w:t> </w:t>
            </w:r>
            <w:r>
              <w:rPr>
                <w:rFonts w:ascii="Times New Roman" w:hAnsi="Times New Roman" w:cs="Times New Roman" w:eastAsia="Times New Roman" w:hint="default"/>
                <w:spacing w:val="-2"/>
                <w:sz w:val="18"/>
                <w:szCs w:val="18"/>
              </w:rPr>
              <w:t>A4+B4+C4</w:t>
            </w:r>
            <w:r>
              <w:rPr>
                <w:rFonts w:ascii="宋体" w:hAnsi="宋体" w:cs="宋体" w:eastAsia="宋体" w:hint="default"/>
                <w:spacing w:val="-2"/>
                <w:sz w:val="18"/>
                <w:szCs w:val="18"/>
              </w:rPr>
              <w:t>）占公司净资产的比例</w:t>
            </w:r>
          </w:p>
        </w:tc>
        <w:tc>
          <w:tcPr>
            <w:tcW w:w="4706" w:type="dxa"/>
            <w:gridSpan w:val="2"/>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17.22%</w:t>
            </w:r>
          </w:p>
        </w:tc>
      </w:tr>
      <w:tr>
        <w:trPr>
          <w:trHeight w:val="398" w:hRule="exact"/>
        </w:trPr>
        <w:tc>
          <w:tcPr>
            <w:tcW w:w="955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 w:right="0"/>
              <w:jc w:val="left"/>
              <w:rPr>
                <w:rFonts w:ascii="宋体" w:hAnsi="宋体" w:cs="宋体" w:eastAsia="宋体" w:hint="default"/>
                <w:sz w:val="18"/>
                <w:szCs w:val="18"/>
              </w:rPr>
            </w:pPr>
            <w:r>
              <w:rPr>
                <w:rFonts w:ascii="宋体" w:hAnsi="宋体" w:cs="宋体" w:eastAsia="宋体" w:hint="default"/>
                <w:sz w:val="18"/>
                <w:szCs w:val="18"/>
              </w:rPr>
              <w:t>其中：</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采用复合方式担保的具体情况说明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）违规对外担保情况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line="338" w:lineRule="auto" w:before="0"/>
        <w:ind w:left="152" w:right="640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公司报告期无违规对外担保情况。</w:t>
      </w:r>
    </w:p>
    <w:p>
      <w:pPr>
        <w:spacing w:line="240" w:lineRule="auto" w:before="7"/>
        <w:rPr>
          <w:rFonts w:ascii="宋体" w:hAnsi="宋体" w:cs="宋体" w:eastAsia="宋体" w:hint="default"/>
          <w:sz w:val="15"/>
          <w:szCs w:val="15"/>
        </w:rPr>
      </w:pPr>
    </w:p>
    <w:p>
      <w:pPr>
        <w:pStyle w:val="Heading4"/>
        <w:spacing w:line="240" w:lineRule="auto"/>
        <w:ind w:right="0"/>
        <w:jc w:val="left"/>
        <w:rPr>
          <w:b w:val="0"/>
          <w:bCs w:val="0"/>
        </w:rPr>
      </w:pPr>
      <w:r>
        <w:rPr>
          <w:rFonts w:ascii="Times New Roman" w:hAnsi="Times New Roman" w:cs="Times New Roman" w:eastAsia="Times New Roman" w:hint="default"/>
        </w:rPr>
        <w:t>3</w:t>
      </w:r>
      <w:r>
        <w:rPr/>
        <w:t>、委托他人进行现金资产管理情况</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）委托理财情况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line="338" w:lineRule="auto" w:before="0"/>
        <w:ind w:left="152" w:right="640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公司报告期不存在委托理财。</w:t>
      </w:r>
    </w:p>
    <w:p>
      <w:pPr>
        <w:spacing w:line="240" w:lineRule="auto" w:before="12"/>
        <w:rPr>
          <w:rFonts w:ascii="宋体" w:hAnsi="宋体" w:cs="宋体" w:eastAsia="宋体" w:hint="default"/>
          <w:sz w:val="15"/>
          <w:szCs w:val="15"/>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）委托贷款情况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line="338" w:lineRule="auto" w:before="0"/>
        <w:ind w:left="152" w:right="640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公司报告期不存在委托贷款。</w:t>
      </w:r>
    </w:p>
    <w:p>
      <w:pPr>
        <w:spacing w:line="240" w:lineRule="auto" w:before="7"/>
        <w:rPr>
          <w:rFonts w:ascii="宋体" w:hAnsi="宋体" w:cs="宋体" w:eastAsia="宋体" w:hint="default"/>
          <w:sz w:val="15"/>
          <w:szCs w:val="15"/>
        </w:rPr>
      </w:pPr>
    </w:p>
    <w:p>
      <w:pPr>
        <w:pStyle w:val="Heading4"/>
        <w:spacing w:line="240" w:lineRule="auto"/>
        <w:ind w:right="0"/>
        <w:jc w:val="left"/>
        <w:rPr>
          <w:b w:val="0"/>
          <w:bCs w:val="0"/>
        </w:rPr>
      </w:pPr>
      <w:r>
        <w:rPr>
          <w:rFonts w:ascii="Times New Roman" w:hAnsi="Times New Roman" w:cs="Times New Roman" w:eastAsia="Times New Roman" w:hint="default"/>
        </w:rPr>
        <w:t>4</w:t>
      </w:r>
      <w:r>
        <w:rPr/>
        <w:t>、其他重大合同</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line="343" w:lineRule="auto" w:before="0"/>
        <w:ind w:left="152" w:right="640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公司报告期不存在其他重大合同。</w:t>
      </w:r>
    </w:p>
    <w:p>
      <w:pPr>
        <w:pStyle w:val="Heading2"/>
        <w:spacing w:line="240" w:lineRule="auto" w:before="160"/>
        <w:ind w:right="0"/>
        <w:jc w:val="left"/>
        <w:rPr>
          <w:b w:val="0"/>
          <w:bCs w:val="0"/>
        </w:rPr>
      </w:pPr>
      <w:r>
        <w:rPr/>
        <w:t>十八、其他重大事项的说明</w:t>
      </w:r>
      <w:r>
        <w:rPr>
          <w:b w:val="0"/>
          <w:bCs w:val="0"/>
        </w:rPr>
      </w:r>
    </w:p>
    <w:p>
      <w:pPr>
        <w:spacing w:line="240" w:lineRule="auto" w:before="3"/>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不适用</w:t>
      </w:r>
    </w:p>
    <w:p>
      <w:pPr>
        <w:pStyle w:val="BodyText"/>
        <w:spacing w:line="264" w:lineRule="auto" w:before="71"/>
        <w:ind w:right="141" w:firstLine="422"/>
        <w:jc w:val="both"/>
      </w:pPr>
      <w:r>
        <w:rPr>
          <w:rFonts w:ascii="Times New Roman" w:hAnsi="Times New Roman" w:cs="Times New Roman" w:eastAsia="Times New Roman" w:hint="default"/>
        </w:rPr>
        <w:t>1</w:t>
      </w:r>
      <w:r>
        <w:rPr/>
        <w:t>、中标福建省体彩中心电话销售体育彩票代理供应商项目事项。</w:t>
      </w:r>
      <w:r>
        <w:rPr>
          <w:rFonts w:ascii="Times New Roman" w:hAnsi="Times New Roman" w:cs="Times New Roman" w:eastAsia="Times New Roman" w:hint="default"/>
        </w:rPr>
        <w:t>2015 </w:t>
      </w:r>
      <w:r>
        <w:rPr/>
        <w:t>年 </w:t>
      </w:r>
      <w:r>
        <w:rPr>
          <w:rFonts w:ascii="Times New Roman" w:hAnsi="Times New Roman" w:cs="Times New Roman" w:eastAsia="Times New Roman" w:hint="default"/>
        </w:rPr>
        <w:t>2 </w:t>
      </w:r>
      <w:r>
        <w:rPr/>
        <w:t>月 </w:t>
      </w:r>
      <w:r>
        <w:rPr>
          <w:rFonts w:ascii="Times New Roman" w:hAnsi="Times New Roman" w:cs="Times New Roman" w:eastAsia="Times New Roman" w:hint="default"/>
        </w:rPr>
        <w:t>11</w:t>
      </w:r>
      <w:r>
        <w:rPr>
          <w:rFonts w:ascii="Times New Roman" w:hAnsi="Times New Roman" w:cs="Times New Roman" w:eastAsia="Times New Roman" w:hint="default"/>
          <w:spacing w:val="-3"/>
        </w:rPr>
        <w:t> </w:t>
      </w:r>
      <w:r>
        <w:rPr>
          <w:spacing w:val="-3"/>
        </w:rPr>
        <w:t>日，公司收到福建</w:t>
      </w:r>
      <w:r>
        <w:rPr>
          <w:w w:val="100"/>
        </w:rPr>
        <w:t> </w:t>
      </w:r>
      <w:r>
        <w:rPr>
          <w:spacing w:val="-3"/>
        </w:rPr>
        <w:t>省运动家体育装备公司发出的中标通知书</w:t>
      </w:r>
      <w:r>
        <w:rPr>
          <w:rFonts w:ascii="Times New Roman" w:hAnsi="Times New Roman" w:cs="Times New Roman" w:eastAsia="Times New Roman" w:hint="default"/>
          <w:spacing w:val="-3"/>
        </w:rPr>
        <w:t>,</w:t>
      </w:r>
      <w:r>
        <w:rPr>
          <w:spacing w:val="-3"/>
        </w:rPr>
        <w:t>根据中标通知书的内容，公司为福建省体育彩票游戏及游戏平台</w:t>
      </w:r>
      <w:r>
        <w:rPr>
          <w:spacing w:val="-38"/>
        </w:rPr>
        <w:t> </w:t>
      </w:r>
      <w:r>
        <w:rPr>
          <w:spacing w:val="-38"/>
        </w:rPr>
      </w:r>
      <w:r>
        <w:rPr>
          <w:spacing w:val="-2"/>
        </w:rPr>
        <w:t>建设者拟中标候选人，中标候选人可同时获得福建省体育彩票电话销售体育彩票代销者资格，按照招标文</w:t>
      </w:r>
      <w:r>
        <w:rPr>
          <w:spacing w:val="-35"/>
        </w:rPr>
        <w:t> </w:t>
      </w:r>
      <w:r>
        <w:rPr>
          <w:spacing w:val="-35"/>
        </w:rPr>
      </w:r>
      <w:r>
        <w:rPr/>
        <w:t>件条款，项目合同期限为 </w:t>
      </w:r>
      <w:r>
        <w:rPr>
          <w:rFonts w:ascii="Times New Roman" w:hAnsi="Times New Roman" w:cs="Times New Roman" w:eastAsia="Times New Roman" w:hint="default"/>
        </w:rPr>
        <w:t>2014 </w:t>
      </w:r>
      <w:r>
        <w:rPr/>
        <w:t>年至 </w:t>
      </w:r>
      <w:r>
        <w:rPr>
          <w:rFonts w:ascii="Times New Roman" w:hAnsi="Times New Roman" w:cs="Times New Roman" w:eastAsia="Times New Roman" w:hint="default"/>
        </w:rPr>
        <w:t>2017</w:t>
      </w:r>
      <w:r>
        <w:rPr>
          <w:rFonts w:ascii="Times New Roman" w:hAnsi="Times New Roman" w:cs="Times New Roman" w:eastAsia="Times New Roman" w:hint="default"/>
          <w:spacing w:val="20"/>
        </w:rPr>
        <w:t> </w:t>
      </w:r>
      <w:r>
        <w:rPr/>
        <w:t>年。本次中标是公司在无纸化彩票业务中迈出的重要一步，将</w:t>
      </w:r>
      <w:r>
        <w:rPr>
          <w:w w:val="100"/>
        </w:rPr>
        <w:t> </w:t>
      </w:r>
      <w:r>
        <w:rPr>
          <w:spacing w:val="-2"/>
        </w:rPr>
        <w:t>对公司无纸化彩票业务的销售和彩种研发业务方面产生积极的推动作用，实现公司彩票业务发展战略奠定</w:t>
      </w:r>
      <w:r>
        <w:rPr>
          <w:spacing w:val="-34"/>
        </w:rPr>
        <w:t> </w:t>
      </w:r>
      <w:r>
        <w:rPr>
          <w:spacing w:val="-34"/>
        </w:rPr>
      </w:r>
      <w:r>
        <w:rPr/>
        <w:t>基础。详细情况请查阅巨潮资讯网（</w:t>
      </w:r>
      <w:hyperlink r:id="rId11">
        <w:r>
          <w:rPr>
            <w:rFonts w:ascii="Times New Roman" w:hAnsi="Times New Roman" w:cs="Times New Roman" w:eastAsia="Times New Roman" w:hint="default"/>
          </w:rPr>
          <w:t>http://www.cninfo.com.cn</w:t>
        </w:r>
      </w:hyperlink>
      <w:r>
        <w:rPr/>
        <w:t>）。</w:t>
      </w:r>
    </w:p>
    <w:p>
      <w:pPr>
        <w:pStyle w:val="BodyText"/>
        <w:spacing w:line="259" w:lineRule="auto" w:before="36"/>
        <w:ind w:right="0" w:firstLine="422"/>
        <w:jc w:val="left"/>
      </w:pPr>
      <w:r>
        <w:rPr>
          <w:rFonts w:ascii="Times New Roman" w:hAnsi="Times New Roman" w:cs="Times New Roman" w:eastAsia="Times New Roman" w:hint="default"/>
        </w:rPr>
        <w:t>2</w:t>
      </w:r>
      <w:r>
        <w:rPr/>
        <w:t>、开展员工持股计划事项。经公司第三届董事会第九次会议、</w:t>
      </w:r>
      <w:r>
        <w:rPr>
          <w:rFonts w:ascii="Times New Roman" w:hAnsi="Times New Roman" w:cs="Times New Roman" w:eastAsia="Times New Roman" w:hint="default"/>
        </w:rPr>
        <w:t>2015</w:t>
      </w:r>
      <w:r>
        <w:rPr/>
        <w:t>年第三次临时股东大会及第三届</w:t>
      </w:r>
      <w:r>
        <w:rPr>
          <w:w w:val="100"/>
        </w:rPr>
        <w:t> </w:t>
      </w:r>
      <w:r>
        <w:rPr>
          <w:spacing w:val="-2"/>
        </w:rPr>
        <w:t>董事会</w:t>
      </w:r>
      <w:r>
        <w:rPr>
          <w:rFonts w:ascii="Times New Roman" w:hAnsi="Times New Roman" w:cs="Times New Roman" w:eastAsia="Times New Roman" w:hint="default"/>
          <w:spacing w:val="-2"/>
        </w:rPr>
        <w:t>2015</w:t>
      </w:r>
      <w:r>
        <w:rPr>
          <w:spacing w:val="-2"/>
        </w:rPr>
        <w:t>年第八次临时会议审议通过，公司拟开展总额为不超过</w:t>
      </w:r>
      <w:r>
        <w:rPr>
          <w:rFonts w:ascii="Times New Roman" w:hAnsi="Times New Roman" w:cs="Times New Roman" w:eastAsia="Times New Roman" w:hint="default"/>
          <w:spacing w:val="-2"/>
        </w:rPr>
        <w:t>2000</w:t>
      </w:r>
      <w:r>
        <w:rPr>
          <w:spacing w:val="-2"/>
        </w:rPr>
        <w:t>万元的员工持股计划，详细情况请</w:t>
      </w:r>
      <w:r>
        <w:rPr>
          <w:spacing w:val="-27"/>
        </w:rPr>
        <w:t> </w:t>
      </w:r>
      <w:r>
        <w:rPr>
          <w:spacing w:val="-27"/>
        </w:rPr>
      </w:r>
      <w:r>
        <w:rPr/>
        <w:t>查阅巨潮资讯网（</w:t>
      </w:r>
      <w:hyperlink r:id="rId11">
        <w:r>
          <w:rPr>
            <w:rFonts w:ascii="Times New Roman" w:hAnsi="Times New Roman" w:cs="Times New Roman" w:eastAsia="Times New Roman" w:hint="default"/>
          </w:rPr>
          <w:t>http://www.cninfo.com.cn</w:t>
        </w:r>
      </w:hyperlink>
      <w:r>
        <w:rPr/>
        <w:t>）。</w:t>
      </w:r>
    </w:p>
    <w:p>
      <w:pPr>
        <w:spacing w:after="0" w:line="259" w:lineRule="auto"/>
        <w:jc w:val="left"/>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BodyText"/>
        <w:spacing w:line="259" w:lineRule="auto" w:before="36"/>
        <w:ind w:right="109" w:firstLine="422"/>
        <w:jc w:val="left"/>
      </w:pPr>
      <w:r>
        <w:rPr>
          <w:rFonts w:ascii="Times New Roman" w:hAnsi="Times New Roman" w:cs="Times New Roman" w:eastAsia="Times New Roman" w:hint="default"/>
          <w:spacing w:val="-2"/>
        </w:rPr>
        <w:t>3</w:t>
      </w:r>
      <w:r>
        <w:rPr>
          <w:spacing w:val="-2"/>
        </w:rPr>
        <w:t>、投资中证信用增进股份有限公司事项。报告期内，公司以</w:t>
      </w:r>
      <w:r>
        <w:rPr>
          <w:rFonts w:ascii="Times New Roman" w:hAnsi="Times New Roman" w:cs="Times New Roman" w:eastAsia="Times New Roman" w:hint="default"/>
          <w:spacing w:val="-2"/>
        </w:rPr>
        <w:t>1</w:t>
      </w:r>
      <w:r>
        <w:rPr>
          <w:spacing w:val="-2"/>
        </w:rPr>
        <w:t>亿资金向中证信用增进股份有限公司增</w:t>
      </w:r>
      <w:r>
        <w:rPr>
          <w:w w:val="100"/>
        </w:rPr>
        <w:t> </w:t>
      </w:r>
      <w:r>
        <w:rPr/>
        <w:t>资，占其增发后总股本的</w:t>
      </w:r>
      <w:r>
        <w:rPr>
          <w:rFonts w:ascii="Times New Roman" w:hAnsi="Times New Roman" w:cs="Times New Roman" w:eastAsia="Times New Roman" w:hint="default"/>
        </w:rPr>
        <w:t>2.44%</w:t>
      </w:r>
      <w:r>
        <w:rPr/>
        <w:t>。增资中证信用符合公司整体战略发展规划，有利于公司拓展金融服务业</w:t>
      </w:r>
      <w:r>
        <w:rPr>
          <w:w w:val="100"/>
        </w:rPr>
        <w:t> </w:t>
      </w:r>
      <w:r>
        <w:rPr>
          <w:spacing w:val="-6"/>
        </w:rPr>
        <w:t>务，完善资本结构，逐步发展为综合型企业集团。详细情况请查阅巨潮资讯网（</w:t>
      </w:r>
      <w:hyperlink r:id="rId11">
        <w:r>
          <w:rPr>
            <w:rFonts w:ascii="Times New Roman" w:hAnsi="Times New Roman" w:cs="Times New Roman" w:eastAsia="Times New Roman" w:hint="default"/>
            <w:spacing w:val="-6"/>
          </w:rPr>
          <w:t>http://www.cninfo.com.cn</w:t>
        </w:r>
      </w:hyperlink>
      <w:r>
        <w:rPr>
          <w:spacing w:val="-6"/>
        </w:rPr>
        <w:t>）。</w:t>
      </w:r>
    </w:p>
    <w:p>
      <w:pPr>
        <w:pStyle w:val="BodyText"/>
        <w:spacing w:line="264" w:lineRule="auto" w:before="36"/>
        <w:ind w:right="109" w:firstLine="422"/>
        <w:jc w:val="left"/>
      </w:pPr>
      <w:r>
        <w:rPr>
          <w:rFonts w:ascii="Times New Roman" w:hAnsi="Times New Roman" w:cs="Times New Roman" w:eastAsia="Times New Roman" w:hint="default"/>
        </w:rPr>
        <w:t>4</w:t>
      </w:r>
      <w:r>
        <w:rPr/>
        <w:t>、收购北京科信盛彩投资有限公司</w:t>
      </w:r>
      <w:r>
        <w:rPr>
          <w:rFonts w:ascii="Times New Roman" w:hAnsi="Times New Roman" w:cs="Times New Roman" w:eastAsia="Times New Roman" w:hint="default"/>
        </w:rPr>
        <w:t>100%</w:t>
      </w:r>
      <w:r>
        <w:rPr/>
        <w:t>股权事项。报告期内，公司收购了北京科信盛彩投资有限公</w:t>
      </w:r>
      <w:r>
        <w:rPr>
          <w:w w:val="100"/>
        </w:rPr>
        <w:t> </w:t>
      </w:r>
      <w:r>
        <w:rPr>
          <w:spacing w:val="-3"/>
        </w:rPr>
        <w:t>司</w:t>
      </w:r>
      <w:r>
        <w:rPr>
          <w:rFonts w:ascii="Times New Roman" w:hAnsi="Times New Roman" w:cs="Times New Roman" w:eastAsia="Times New Roman" w:hint="default"/>
          <w:spacing w:val="-3"/>
        </w:rPr>
        <w:t>100%</w:t>
      </w:r>
      <w:r>
        <w:rPr>
          <w:spacing w:val="-3"/>
        </w:rPr>
        <w:t>股权，从而持有中科彩技术有限公司</w:t>
      </w:r>
      <w:r>
        <w:rPr>
          <w:rFonts w:ascii="Times New Roman" w:hAnsi="Times New Roman" w:cs="Times New Roman" w:eastAsia="Times New Roman" w:hint="default"/>
          <w:spacing w:val="-3"/>
        </w:rPr>
        <w:t>51%</w:t>
      </w:r>
      <w:r>
        <w:rPr>
          <w:spacing w:val="-3"/>
        </w:rPr>
        <w:t>股权。中科彩技术有限公司主营即开型体育彩票印刷。收</w:t>
      </w:r>
      <w:r>
        <w:rPr>
          <w:spacing w:val="-24"/>
        </w:rPr>
        <w:t> </w:t>
      </w:r>
      <w:r>
        <w:rPr>
          <w:spacing w:val="-24"/>
        </w:rPr>
      </w:r>
      <w:r>
        <w:rPr>
          <w:spacing w:val="-4"/>
        </w:rPr>
        <w:t>购完成后，优化了公司产业结构，进一步推进公司打造彩票全产业链的战略布局，同时，公司在业务规模、</w:t>
      </w:r>
      <w:r>
        <w:rPr>
          <w:spacing w:val="-44"/>
        </w:rPr>
        <w:t> </w:t>
      </w:r>
      <w:r>
        <w:rPr>
          <w:spacing w:val="-44"/>
        </w:rPr>
      </w:r>
      <w:r>
        <w:rPr/>
        <w:t>技术研发能力等方面得到进一步提升。详细情况请查阅巨潮资讯网（</w:t>
      </w:r>
      <w:hyperlink r:id="rId11">
        <w:r>
          <w:rPr>
            <w:rFonts w:ascii="Times New Roman" w:hAnsi="Times New Roman" w:cs="Times New Roman" w:eastAsia="Times New Roman" w:hint="default"/>
          </w:rPr>
          <w:t>http://www.cninfo.com.cn</w:t>
        </w:r>
      </w:hyperlink>
      <w:r>
        <w:rPr/>
        <w:t>）。</w:t>
      </w:r>
    </w:p>
    <w:p>
      <w:pPr>
        <w:pStyle w:val="BodyText"/>
        <w:spacing w:line="256" w:lineRule="auto" w:before="36"/>
        <w:ind w:right="109" w:firstLine="422"/>
        <w:jc w:val="left"/>
      </w:pPr>
      <w:r>
        <w:rPr>
          <w:rFonts w:ascii="Times New Roman" w:hAnsi="Times New Roman" w:cs="Times New Roman" w:eastAsia="Times New Roman" w:hint="default"/>
        </w:rPr>
        <w:t>5</w:t>
      </w:r>
      <w:r>
        <w:rPr/>
        <w:t>、筹划非公开发行股票事项。报告期内，经公司第三届董事会第十二次会议、</w:t>
      </w:r>
      <w:r>
        <w:rPr>
          <w:rFonts w:ascii="Times New Roman" w:hAnsi="Times New Roman" w:cs="Times New Roman" w:eastAsia="Times New Roman" w:hint="default"/>
        </w:rPr>
        <w:t>2015</w:t>
      </w:r>
      <w:r>
        <w:rPr/>
        <w:t>年第五次临时股</w:t>
      </w:r>
      <w:r>
        <w:rPr>
          <w:w w:val="100"/>
        </w:rPr>
        <w:t> </w:t>
      </w:r>
      <w:r>
        <w:rPr>
          <w:spacing w:val="-2"/>
        </w:rPr>
        <w:t>东大会及第三届董事会</w:t>
      </w:r>
      <w:r>
        <w:rPr>
          <w:rFonts w:ascii="Times New Roman" w:hAnsi="Times New Roman" w:cs="Times New Roman" w:eastAsia="Times New Roman" w:hint="default"/>
          <w:spacing w:val="-2"/>
        </w:rPr>
        <w:t>2016</w:t>
      </w:r>
      <w:r>
        <w:rPr>
          <w:spacing w:val="-2"/>
        </w:rPr>
        <w:t>年第一次临时会议审议通过，公司筹划非公开发行股票事项，发行股数调整为</w:t>
      </w:r>
      <w:r>
        <w:rPr>
          <w:spacing w:val="-32"/>
        </w:rPr>
        <w:t> </w:t>
      </w:r>
      <w:r>
        <w:rPr>
          <w:spacing w:val="-32"/>
        </w:rPr>
      </w:r>
      <w:r>
        <w:rPr>
          <w:rFonts w:ascii="Times New Roman" w:hAnsi="Times New Roman" w:cs="Times New Roman" w:eastAsia="Times New Roman" w:hint="default"/>
        </w:rPr>
        <w:t>4050</w:t>
      </w:r>
      <w:r>
        <w:rPr/>
        <w:t>万股，募集金额调整为</w:t>
      </w:r>
      <w:r>
        <w:rPr>
          <w:rFonts w:ascii="Times New Roman" w:hAnsi="Times New Roman" w:cs="Times New Roman" w:eastAsia="Times New Roman" w:hint="default"/>
        </w:rPr>
        <w:t>78360</w:t>
      </w:r>
      <w:r>
        <w:rPr/>
        <w:t>万元。在扣除发行费用后将分别用于收购无锡双龙信息纸有限公司</w:t>
      </w:r>
      <w:r>
        <w:rPr>
          <w:rFonts w:ascii="Times New Roman" w:hAnsi="Times New Roman" w:cs="Times New Roman" w:eastAsia="Times New Roman" w:hint="default"/>
        </w:rPr>
        <w:t>40%</w:t>
      </w:r>
      <w:r>
        <w:rPr>
          <w:rFonts w:ascii="Times New Roman" w:hAnsi="Times New Roman" w:cs="Times New Roman" w:eastAsia="Times New Roman" w:hint="default"/>
          <w:w w:val="100"/>
        </w:rPr>
        <w:t> </w:t>
      </w:r>
      <w:r>
        <w:rPr>
          <w:spacing w:val="-4"/>
        </w:rPr>
        <w:t>股权并增资用于</w:t>
      </w:r>
      <w:r>
        <w:rPr>
          <w:rFonts w:ascii="Times New Roman" w:hAnsi="Times New Roman" w:cs="Times New Roman" w:eastAsia="Times New Roman" w:hint="default"/>
          <w:spacing w:val="-4"/>
        </w:rPr>
        <w:t>“</w:t>
      </w:r>
      <w:r>
        <w:rPr>
          <w:spacing w:val="-4"/>
        </w:rPr>
        <w:t>彩票物联网智能化管理及应用项目</w:t>
      </w:r>
      <w:r>
        <w:rPr>
          <w:rFonts w:ascii="Times New Roman" w:hAnsi="Times New Roman" w:cs="Times New Roman" w:eastAsia="Times New Roman" w:hint="default"/>
          <w:spacing w:val="-4"/>
        </w:rPr>
        <w:t>”</w:t>
      </w:r>
      <w:r>
        <w:rPr>
          <w:spacing w:val="-4"/>
        </w:rPr>
        <w:t>、电子彩票研发中心项目以及补充流动资金。</w:t>
      </w:r>
      <w:r>
        <w:rPr>
          <w:rFonts w:ascii="Times New Roman" w:hAnsi="Times New Roman" w:cs="Times New Roman" w:eastAsia="Times New Roman" w:hint="default"/>
          <w:spacing w:val="-4"/>
        </w:rPr>
        <w:t>2016</w:t>
      </w:r>
      <w:r>
        <w:rPr>
          <w:spacing w:val="-4"/>
        </w:rPr>
        <w:t>年</w:t>
      </w:r>
      <w:r>
        <w:rPr>
          <w:rFonts w:ascii="Times New Roman" w:hAnsi="Times New Roman" w:cs="Times New Roman" w:eastAsia="Times New Roman" w:hint="default"/>
          <w:spacing w:val="-4"/>
        </w:rPr>
        <w:t>3</w:t>
      </w:r>
      <w:r>
        <w:rPr>
          <w:rFonts w:ascii="Times New Roman" w:hAnsi="Times New Roman" w:cs="Times New Roman" w:eastAsia="Times New Roman" w:hint="default"/>
          <w:spacing w:val="39"/>
        </w:rPr>
        <w:t> </w:t>
      </w:r>
      <w:r>
        <w:rPr>
          <w:spacing w:val="-2"/>
        </w:rPr>
        <w:t>月</w:t>
      </w:r>
      <w:r>
        <w:rPr>
          <w:rFonts w:ascii="Times New Roman" w:hAnsi="Times New Roman" w:cs="Times New Roman" w:eastAsia="Times New Roman" w:hint="default"/>
          <w:spacing w:val="-2"/>
        </w:rPr>
        <w:t>23</w:t>
      </w:r>
      <w:r>
        <w:rPr>
          <w:spacing w:val="-2"/>
        </w:rPr>
        <w:t>日，中国证券监督管理委员会发行审核委员会对本集团非公开发行</w:t>
      </w:r>
      <w:r>
        <w:rPr>
          <w:rFonts w:ascii="Times New Roman" w:hAnsi="Times New Roman" w:cs="Times New Roman" w:eastAsia="Times New Roman" w:hint="default"/>
          <w:spacing w:val="-2"/>
        </w:rPr>
        <w:t>A</w:t>
      </w:r>
      <w:r>
        <w:rPr>
          <w:spacing w:val="-2"/>
        </w:rPr>
        <w:t>股股票的申请进行了审核。根据</w:t>
      </w:r>
      <w:r>
        <w:rPr>
          <w:spacing w:val="-13"/>
        </w:rPr>
        <w:t> </w:t>
      </w:r>
      <w:r>
        <w:rPr>
          <w:spacing w:val="-13"/>
        </w:rPr>
      </w:r>
      <w:r>
        <w:rPr/>
        <w:t>审核结果，本次非公开发行</w:t>
      </w:r>
      <w:r>
        <w:rPr>
          <w:rFonts w:ascii="Times New Roman" w:hAnsi="Times New Roman" w:cs="Times New Roman" w:eastAsia="Times New Roman" w:hint="default"/>
        </w:rPr>
        <w:t>A</w:t>
      </w:r>
      <w:r>
        <w:rPr/>
        <w:t>股股票的申请获得审核通过。详细情况请查阅巨潮资讯网</w:t>
      </w:r>
    </w:p>
    <w:p>
      <w:pPr>
        <w:pStyle w:val="BodyText"/>
        <w:spacing w:line="240" w:lineRule="auto" w:before="10"/>
        <w:ind w:right="109"/>
        <w:jc w:val="left"/>
      </w:pPr>
      <w:r>
        <w:rPr/>
        <w:t>（</w:t>
      </w:r>
      <w:hyperlink r:id="rId11">
        <w:r>
          <w:rPr>
            <w:rFonts w:ascii="Times New Roman" w:hAnsi="Times New Roman" w:cs="Times New Roman" w:eastAsia="Times New Roman" w:hint="default"/>
          </w:rPr>
          <w:t>http://www.cninfo.com.cn</w:t>
        </w:r>
      </w:hyperlink>
      <w:r>
        <w:rPr/>
        <w:t>）。</w:t>
      </w:r>
    </w:p>
    <w:p>
      <w:pPr>
        <w:pStyle w:val="BodyText"/>
        <w:spacing w:line="256" w:lineRule="auto" w:before="55"/>
        <w:ind w:right="109" w:firstLine="422"/>
        <w:jc w:val="left"/>
      </w:pPr>
      <w:r>
        <w:rPr>
          <w:rFonts w:ascii="Times New Roman" w:hAnsi="Times New Roman" w:cs="Times New Roman" w:eastAsia="Times New Roman" w:hint="default"/>
        </w:rPr>
        <w:t>6</w:t>
      </w:r>
      <w:r>
        <w:rPr/>
        <w:t>、公司部分董事、监事、高级管理人员变更事项。报告期内，经公司董事会和股东大会审议通过，</w:t>
      </w:r>
      <w:r>
        <w:rPr>
          <w:w w:val="100"/>
        </w:rPr>
        <w:t> </w:t>
      </w:r>
      <w:r>
        <w:rPr>
          <w:spacing w:val="-2"/>
        </w:rPr>
        <w:t>公司聘任林双林先生、胡穗华女士、许萍女士、洪波先生为公司独立董事。经公司第三届董事会</w:t>
      </w:r>
      <w:r>
        <w:rPr>
          <w:rFonts w:ascii="Times New Roman" w:hAnsi="Times New Roman" w:cs="Times New Roman" w:eastAsia="Times New Roman" w:hint="default"/>
          <w:spacing w:val="-2"/>
        </w:rPr>
        <w:t>2015</w:t>
      </w:r>
      <w:r>
        <w:rPr>
          <w:spacing w:val="-2"/>
        </w:rPr>
        <w:t>年第</w:t>
      </w:r>
      <w:r>
        <w:rPr>
          <w:spacing w:val="-32"/>
        </w:rPr>
        <w:t> </w:t>
      </w:r>
      <w:r>
        <w:rPr/>
        <w:t>五次临时会议审议通过，聘任张京平女士为公司副总经理。详细情况请查阅巨潮资讯网</w:t>
      </w:r>
    </w:p>
    <w:p>
      <w:pPr>
        <w:pStyle w:val="BodyText"/>
        <w:spacing w:line="240" w:lineRule="auto" w:before="27"/>
        <w:ind w:right="109"/>
        <w:jc w:val="left"/>
      </w:pPr>
      <w:r>
        <w:rPr/>
        <w:t>（</w:t>
      </w:r>
      <w:hyperlink r:id="rId11">
        <w:r>
          <w:rPr>
            <w:rFonts w:ascii="Times New Roman" w:hAnsi="Times New Roman" w:cs="Times New Roman" w:eastAsia="Times New Roman" w:hint="default"/>
          </w:rPr>
          <w:t>http://www.cninfo.com.cn</w:t>
        </w:r>
      </w:hyperlink>
      <w:r>
        <w:rPr/>
        <w:t>）。</w:t>
      </w:r>
    </w:p>
    <w:p>
      <w:pPr>
        <w:pStyle w:val="BodyText"/>
        <w:spacing w:line="256" w:lineRule="auto" w:before="55"/>
        <w:ind w:right="222" w:firstLine="422"/>
        <w:jc w:val="both"/>
      </w:pPr>
      <w:r>
        <w:rPr>
          <w:rFonts w:ascii="Times New Roman" w:hAnsi="Times New Roman" w:cs="Times New Roman" w:eastAsia="Times New Roman" w:hint="default"/>
          <w:spacing w:val="-10"/>
        </w:rPr>
        <w:t>7</w:t>
      </w:r>
      <w:r>
        <w:rPr>
          <w:spacing w:val="-10"/>
        </w:rPr>
        <w:t>、无锡双龙剩余 </w:t>
      </w:r>
      <w:r>
        <w:rPr>
          <w:rFonts w:ascii="Times New Roman" w:hAnsi="Times New Roman" w:cs="Times New Roman" w:eastAsia="Times New Roman" w:hint="default"/>
          <w:spacing w:val="-6"/>
        </w:rPr>
        <w:t>40%</w:t>
      </w:r>
      <w:r>
        <w:rPr>
          <w:spacing w:val="-6"/>
        </w:rPr>
        <w:t>股权收购事项。</w:t>
      </w:r>
      <w:r>
        <w:rPr>
          <w:rFonts w:ascii="Times New Roman" w:hAnsi="Times New Roman" w:cs="Times New Roman" w:eastAsia="Times New Roman" w:hint="default"/>
          <w:spacing w:val="-6"/>
        </w:rPr>
        <w:t>2010 </w:t>
      </w:r>
      <w:r>
        <w:rPr/>
        <w:t>年 </w:t>
      </w:r>
      <w:r>
        <w:rPr>
          <w:rFonts w:ascii="Times New Roman" w:hAnsi="Times New Roman" w:cs="Times New Roman" w:eastAsia="Times New Roman" w:hint="default"/>
        </w:rPr>
        <w:t>2 </w:t>
      </w:r>
      <w:r>
        <w:rPr/>
        <w:t>月 </w:t>
      </w:r>
      <w:r>
        <w:rPr>
          <w:rFonts w:ascii="Times New Roman" w:hAnsi="Times New Roman" w:cs="Times New Roman" w:eastAsia="Times New Roman" w:hint="default"/>
        </w:rPr>
        <w:t>1</w:t>
      </w:r>
      <w:r>
        <w:rPr>
          <w:rFonts w:ascii="Times New Roman" w:hAnsi="Times New Roman" w:cs="Times New Roman" w:eastAsia="Times New Roman" w:hint="default"/>
          <w:spacing w:val="10"/>
        </w:rPr>
        <w:t> </w:t>
      </w:r>
      <w:r>
        <w:rPr>
          <w:spacing w:val="-8"/>
        </w:rPr>
        <w:t>日，公司与无锡市正栋电脑纸品厂（以下简称</w:t>
      </w:r>
      <w:r>
        <w:rPr>
          <w:rFonts w:ascii="Times New Roman" w:hAnsi="Times New Roman" w:cs="Times New Roman" w:eastAsia="Times New Roman" w:hint="default"/>
          <w:spacing w:val="-8"/>
        </w:rPr>
        <w:t>“</w:t>
      </w:r>
      <w:r>
        <w:rPr>
          <w:spacing w:val="-8"/>
        </w:rPr>
        <w:t>正</w:t>
      </w:r>
      <w:r>
        <w:rPr>
          <w:w w:val="100"/>
        </w:rPr>
        <w:t> </w:t>
      </w:r>
      <w:r>
        <w:rPr/>
        <w:t>栋厂</w:t>
      </w:r>
      <w:r>
        <w:rPr>
          <w:rFonts w:ascii="Times New Roman" w:hAnsi="Times New Roman" w:cs="Times New Roman" w:eastAsia="Times New Roman" w:hint="default"/>
        </w:rPr>
        <w:t>”</w:t>
      </w:r>
      <w:r>
        <w:rPr/>
        <w:t>）及邓正栋先生就无锡双龙 </w:t>
      </w:r>
      <w:r>
        <w:rPr>
          <w:rFonts w:ascii="Times New Roman" w:hAnsi="Times New Roman" w:cs="Times New Roman" w:eastAsia="Times New Roman" w:hint="default"/>
        </w:rPr>
        <w:t>60%</w:t>
      </w:r>
      <w:r>
        <w:rPr/>
        <w:t>股权转让事宜签署了《股权转让协议书》并已实际履行。</w:t>
      </w:r>
      <w:r>
        <w:rPr>
          <w:rFonts w:ascii="Times New Roman" w:hAnsi="Times New Roman" w:cs="Times New Roman" w:eastAsia="Times New Roman" w:hint="default"/>
        </w:rPr>
        <w:t>2015 </w:t>
      </w:r>
      <w:r>
        <w:rPr/>
        <w:t>年</w:t>
      </w:r>
      <w:r>
        <w:rPr>
          <w:spacing w:val="-29"/>
        </w:rPr>
        <w:t> </w:t>
      </w:r>
      <w:r>
        <w:rPr>
          <w:rFonts w:ascii="Times New Roman" w:hAnsi="Times New Roman" w:cs="Times New Roman" w:eastAsia="Times New Roman" w:hint="default"/>
        </w:rPr>
        <w:t>3</w:t>
      </w:r>
      <w:r>
        <w:rPr>
          <w:rFonts w:ascii="Times New Roman" w:hAnsi="Times New Roman" w:cs="Times New Roman" w:eastAsia="Times New Roman" w:hint="default"/>
          <w:w w:val="100"/>
        </w:rPr>
        <w:t> </w:t>
      </w:r>
      <w:r>
        <w:rPr/>
        <w:t>月 </w:t>
      </w:r>
      <w:r>
        <w:rPr>
          <w:rFonts w:ascii="Times New Roman" w:hAnsi="Times New Roman" w:cs="Times New Roman" w:eastAsia="Times New Roman" w:hint="default"/>
        </w:rPr>
        <w:t>2 </w:t>
      </w:r>
      <w:r>
        <w:rPr/>
        <w:t>日公司第三届董事会 </w:t>
      </w:r>
      <w:r>
        <w:rPr>
          <w:rFonts w:ascii="Times New Roman" w:hAnsi="Times New Roman" w:cs="Times New Roman" w:eastAsia="Times New Roman" w:hint="default"/>
        </w:rPr>
        <w:t>2015</w:t>
      </w:r>
      <w:r>
        <w:rPr>
          <w:rFonts w:ascii="Times New Roman" w:hAnsi="Times New Roman" w:cs="Times New Roman" w:eastAsia="Times New Roman" w:hint="default"/>
          <w:spacing w:val="21"/>
        </w:rPr>
        <w:t> </w:t>
      </w:r>
      <w:r>
        <w:rPr/>
        <w:t>年第一次临时会议审议通过了《关于与无锡市正栋电脑纸品厂签订</w:t>
      </w:r>
      <w:r>
        <w:rPr>
          <w:rFonts w:ascii="Times New Roman" w:hAnsi="Times New Roman" w:cs="Times New Roman" w:eastAsia="Times New Roman" w:hint="default"/>
        </w:rPr>
        <w:t>&lt;</w:t>
      </w:r>
      <w:r>
        <w:rPr/>
        <w:t>补充</w:t>
      </w:r>
    </w:p>
    <w:p>
      <w:pPr>
        <w:pStyle w:val="BodyText"/>
        <w:spacing w:line="240" w:lineRule="auto" w:before="5"/>
        <w:ind w:right="109"/>
        <w:jc w:val="left"/>
      </w:pPr>
      <w:r>
        <w:rPr/>
        <w:t>协议（二）</w:t>
      </w:r>
      <w:r>
        <w:rPr>
          <w:rFonts w:ascii="Times New Roman" w:hAnsi="Times New Roman" w:cs="Times New Roman" w:eastAsia="Times New Roman" w:hint="default"/>
        </w:rPr>
        <w:t>&gt;</w:t>
      </w:r>
      <w:r>
        <w:rPr/>
        <w:t>的议案》，公司承诺在 </w:t>
      </w:r>
      <w:r>
        <w:rPr>
          <w:rFonts w:ascii="Times New Roman" w:hAnsi="Times New Roman" w:cs="Times New Roman" w:eastAsia="Times New Roman" w:hint="default"/>
        </w:rPr>
        <w:t>2016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spacing w:val="-3"/>
        </w:rPr>
        <w:t>31</w:t>
      </w:r>
      <w:r>
        <w:rPr>
          <w:rFonts w:ascii="Times New Roman" w:hAnsi="Times New Roman" w:cs="Times New Roman" w:eastAsia="Times New Roman" w:hint="default"/>
          <w:spacing w:val="14"/>
        </w:rPr>
        <w:t> </w:t>
      </w:r>
      <w:r>
        <w:rPr/>
        <w:t>日（届时任一方没有提出股权收购或被收购的情形</w:t>
      </w:r>
    </w:p>
    <w:p>
      <w:pPr>
        <w:pStyle w:val="BodyText"/>
        <w:spacing w:line="259" w:lineRule="auto" w:before="21"/>
        <w:ind w:right="220"/>
        <w:jc w:val="left"/>
      </w:pPr>
      <w:r>
        <w:rPr/>
        <w:t>下该日期可确定在 </w:t>
      </w:r>
      <w:r>
        <w:rPr>
          <w:rFonts w:ascii="Times New Roman" w:hAnsi="Times New Roman" w:cs="Times New Roman" w:eastAsia="Times New Roman" w:hint="default"/>
        </w:rPr>
        <w:t>2017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31</w:t>
      </w:r>
      <w:r>
        <w:rPr>
          <w:rFonts w:ascii="Times New Roman" w:hAnsi="Times New Roman" w:cs="Times New Roman" w:eastAsia="Times New Roman" w:hint="default"/>
          <w:spacing w:val="26"/>
        </w:rPr>
        <w:t> </w:t>
      </w:r>
      <w:r>
        <w:rPr/>
        <w:t>日）；或正栋厂对双龙公司不再有经营主导权这二种情形之一出现</w:t>
      </w:r>
      <w:r>
        <w:rPr>
          <w:w w:val="100"/>
        </w:rPr>
        <w:t> </w:t>
      </w:r>
      <w:r>
        <w:rPr/>
        <w:t>时收购正栋厂所持有的双龙公司</w:t>
      </w:r>
      <w:r>
        <w:rPr>
          <w:spacing w:val="42"/>
        </w:rPr>
        <w:t> </w:t>
      </w:r>
      <w:r>
        <w:rPr>
          <w:rFonts w:ascii="Times New Roman" w:hAnsi="Times New Roman" w:cs="Times New Roman" w:eastAsia="Times New Roman" w:hint="default"/>
          <w:spacing w:val="-4"/>
        </w:rPr>
        <w:t>40%</w:t>
      </w:r>
      <w:r>
        <w:rPr>
          <w:spacing w:val="-4"/>
        </w:rPr>
        <w:t>的股权，公司于</w:t>
      </w:r>
      <w:r>
        <w:rPr>
          <w:rFonts w:ascii="Times New Roman" w:hAnsi="Times New Roman" w:cs="Times New Roman" w:eastAsia="Times New Roman" w:hint="default"/>
          <w:spacing w:val="-4"/>
        </w:rPr>
        <w:t>2015</w:t>
      </w:r>
      <w:r>
        <w:rPr>
          <w:spacing w:val="-4"/>
        </w:rPr>
        <w:t>年</w:t>
      </w:r>
      <w:r>
        <w:rPr>
          <w:rFonts w:ascii="Times New Roman" w:hAnsi="Times New Roman" w:cs="Times New Roman" w:eastAsia="Times New Roman" w:hint="default"/>
          <w:spacing w:val="-4"/>
        </w:rPr>
        <w:t>3</w:t>
      </w:r>
      <w:r>
        <w:rPr>
          <w:spacing w:val="-4"/>
        </w:rPr>
        <w:t>月</w:t>
      </w:r>
      <w:r>
        <w:rPr>
          <w:rFonts w:ascii="Times New Roman" w:hAnsi="Times New Roman" w:cs="Times New Roman" w:eastAsia="Times New Roman" w:hint="default"/>
          <w:spacing w:val="-4"/>
        </w:rPr>
        <w:t>3</w:t>
      </w:r>
      <w:r>
        <w:rPr>
          <w:spacing w:val="-4"/>
        </w:rPr>
        <w:t>日披露了《关于与无锡市正栋电脑纸品厂</w:t>
      </w:r>
      <w:r>
        <w:rPr>
          <w:spacing w:val="-98"/>
        </w:rPr>
        <w:t> </w:t>
      </w:r>
      <w:r>
        <w:rPr>
          <w:spacing w:val="-98"/>
        </w:rPr>
      </w:r>
      <w:r>
        <w:rPr/>
        <w:t>签订</w:t>
      </w:r>
      <w:r>
        <w:rPr>
          <w:rFonts w:ascii="Times New Roman" w:hAnsi="Times New Roman" w:cs="Times New Roman" w:eastAsia="Times New Roman" w:hint="default"/>
        </w:rPr>
        <w:t>&lt;</w:t>
      </w:r>
      <w:r>
        <w:rPr/>
        <w:t>补充协议（二）</w:t>
      </w:r>
      <w:r>
        <w:rPr>
          <w:rFonts w:ascii="Times New Roman" w:hAnsi="Times New Roman" w:cs="Times New Roman" w:eastAsia="Times New Roman" w:hint="default"/>
        </w:rPr>
        <w:t>&gt;</w:t>
      </w:r>
      <w:r>
        <w:rPr/>
        <w:t>的公告》，详细情况请查阅巨潮资讯网（</w:t>
      </w:r>
      <w:hyperlink r:id="rId11">
        <w:r>
          <w:rPr>
            <w:rFonts w:ascii="Times New Roman" w:hAnsi="Times New Roman" w:cs="Times New Roman" w:eastAsia="Times New Roman" w:hint="default"/>
          </w:rPr>
          <w:t>http://www.cninfo.com.cn</w:t>
        </w:r>
      </w:hyperlink>
      <w:r>
        <w:rPr/>
        <w:t>）。</w:t>
      </w:r>
    </w:p>
    <w:p>
      <w:pPr>
        <w:pStyle w:val="BodyText"/>
        <w:spacing w:line="273" w:lineRule="auto" w:before="41"/>
        <w:ind w:right="109" w:firstLine="422"/>
        <w:jc w:val="left"/>
      </w:pPr>
      <w:r>
        <w:rPr/>
        <w:t>8、业绩承诺情况。2015年12月3日，经公司2015年第五次临时股东大会审议，通过了《关于收购北京</w:t>
      </w:r>
      <w:r>
        <w:rPr>
          <w:w w:val="100"/>
        </w:rPr>
        <w:t> </w:t>
      </w:r>
      <w:r>
        <w:rPr/>
        <w:t>科信盛彩投资有限公司</w:t>
      </w:r>
      <w:r>
        <w:rPr>
          <w:spacing w:val="-2"/>
        </w:rPr>
        <w:t> </w:t>
      </w:r>
      <w:r>
        <w:rPr/>
        <w:t>100%股权的议案》。随后公司以自有资金支付北京科信盛彩投资有限公司100%的</w:t>
      </w:r>
      <w:r>
        <w:rPr>
          <w:w w:val="100"/>
        </w:rPr>
        <w:t> </w:t>
      </w:r>
      <w:r>
        <w:rPr>
          <w:spacing w:val="-2"/>
        </w:rPr>
        <w:t>股权收购款,成为科信盛彩股东，从而间接持有北京中科彩技术有限公司51%的股权。2015年12月25日，科</w:t>
      </w:r>
      <w:r>
        <w:rPr>
          <w:spacing w:val="-30"/>
        </w:rPr>
        <w:t> </w:t>
      </w:r>
      <w:r>
        <w:rPr>
          <w:spacing w:val="-30"/>
        </w:rPr>
      </w:r>
      <w:r>
        <w:rPr/>
        <w:t>信盛彩完成工商变更登记。股权转让补充协议中，出让方天津华科创业投资合伙企业及新疆通泰股权投资</w:t>
      </w:r>
      <w:r>
        <w:rPr>
          <w:w w:val="100"/>
        </w:rPr>
        <w:t> </w:t>
      </w:r>
      <w:r>
        <w:rPr/>
        <w:t>有限合伙企业承诺2015年度中科彩经审计实现的扣除非经常性损益后的净利润不得低于人民币3,800万</w:t>
      </w:r>
      <w:r>
        <w:rPr>
          <w:w w:val="100"/>
        </w:rPr>
        <w:t> </w:t>
      </w:r>
      <w:r>
        <w:rPr/>
        <w:t>元。经审计的前述财务年度实现的扣除非经常性损益后的净利润不能达到约定金额的，出让方将按照其在</w:t>
      </w:r>
      <w:r>
        <w:rPr>
          <w:w w:val="100"/>
        </w:rPr>
        <w:t> </w:t>
      </w:r>
      <w:r>
        <w:rPr/>
        <w:t>科信盛彩的持股比例以现金方式分别向公司补偿。北京中科彩技术有限公司2015年财务报表已经致同会计</w:t>
      </w:r>
      <w:r>
        <w:rPr>
          <w:w w:val="100"/>
        </w:rPr>
        <w:t> </w:t>
      </w:r>
      <w:r>
        <w:rPr>
          <w:spacing w:val="-2"/>
        </w:rPr>
        <w:t>师事务所（特殊普通合伙）审计并出具了无保留意见的《审计报告》（致同审字(2016)第351FC0102号）。</w:t>
      </w:r>
      <w:r>
        <w:rPr>
          <w:spacing w:val="-20"/>
        </w:rPr>
        <w:t> </w:t>
      </w:r>
      <w:r>
        <w:rPr>
          <w:spacing w:val="-20"/>
        </w:rPr>
      </w:r>
      <w:r>
        <w:rPr/>
        <w:t>根据该《审计报告》，北京中科彩公司2015年实现税后净利润38,900,063.93元，扣除非经常性损益后的</w:t>
      </w:r>
      <w:r>
        <w:rPr>
          <w:w w:val="100"/>
        </w:rPr>
        <w:t> </w:t>
      </w:r>
      <w:r>
        <w:rPr/>
        <w:t>净利润为24,681,313.95元，未达到股权转让补充协议中约定的业绩承诺。公司董事会将根据协议约定要</w:t>
      </w:r>
      <w:r>
        <w:rPr>
          <w:w w:val="100"/>
        </w:rPr>
        <w:t> </w:t>
      </w:r>
      <w:r>
        <w:rPr/>
        <w:t>求交易对手方以现金方式向公司补偿。详细情况请查阅巨潮资讯网2016年3月30日公司公告</w:t>
      </w:r>
    </w:p>
    <w:p>
      <w:pPr>
        <w:pStyle w:val="BodyText"/>
        <w:spacing w:line="240" w:lineRule="auto" w:before="12"/>
        <w:ind w:right="109"/>
        <w:jc w:val="left"/>
      </w:pPr>
      <w:hyperlink r:id="rId11">
        <w:r>
          <w:rPr/>
          <w:t>（http://www.cninfo.com.cn</w:t>
        </w:r>
      </w:hyperlink>
      <w:r>
        <w:rPr/>
        <w:t>）。</w:t>
      </w:r>
    </w:p>
    <w:p>
      <w:pPr>
        <w:spacing w:line="240" w:lineRule="auto" w:before="1"/>
        <w:rPr>
          <w:rFonts w:ascii="宋体" w:hAnsi="宋体" w:cs="宋体" w:eastAsia="宋体" w:hint="default"/>
          <w:sz w:val="17"/>
          <w:szCs w:val="17"/>
        </w:rPr>
      </w:pPr>
    </w:p>
    <w:p>
      <w:pPr>
        <w:pStyle w:val="Heading2"/>
        <w:spacing w:line="240" w:lineRule="auto"/>
        <w:ind w:right="109"/>
        <w:jc w:val="left"/>
        <w:rPr>
          <w:b w:val="0"/>
          <w:bCs w:val="0"/>
        </w:rPr>
      </w:pPr>
      <w:r>
        <w:rPr/>
        <w:t>十九、公司子公司重大事项</w:t>
      </w:r>
      <w:r>
        <w:rPr>
          <w:b w:val="0"/>
          <w:bCs w:val="0"/>
        </w:rPr>
      </w:r>
    </w:p>
    <w:p>
      <w:pPr>
        <w:spacing w:line="240" w:lineRule="auto" w:before="3"/>
        <w:rPr>
          <w:rFonts w:ascii="Microsoft JhengHei" w:hAnsi="Microsoft JhengHei" w:cs="Microsoft JhengHei" w:eastAsia="Microsoft JhengHei" w:hint="default"/>
          <w:b/>
          <w:bCs/>
          <w:sz w:val="19"/>
          <w:szCs w:val="19"/>
        </w:rPr>
      </w:pPr>
    </w:p>
    <w:p>
      <w:pPr>
        <w:spacing w:before="0"/>
        <w:ind w:left="152" w:right="109"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pStyle w:val="BodyText"/>
        <w:spacing w:line="264" w:lineRule="auto" w:before="84"/>
        <w:ind w:right="109" w:firstLine="422"/>
        <w:jc w:val="left"/>
      </w:pPr>
      <w:r>
        <w:rPr>
          <w:rFonts w:ascii="Times New Roman" w:hAnsi="Times New Roman" w:cs="Times New Roman" w:eastAsia="Times New Roman" w:hint="default"/>
          <w:spacing w:val="-2"/>
        </w:rPr>
        <w:t>1</w:t>
      </w:r>
      <w:r>
        <w:rPr>
          <w:spacing w:val="-2"/>
        </w:rPr>
        <w:t>、电子彩票代购业务：</w:t>
      </w: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1</w:t>
      </w:r>
      <w:r>
        <w:rPr>
          <w:spacing w:val="-2"/>
        </w:rPr>
        <w:t>月，财政部、民政部、国家体育总局联合下发了《关于开展擅自利用</w:t>
      </w:r>
      <w:r>
        <w:rPr>
          <w:w w:val="100"/>
        </w:rPr>
        <w:t> </w:t>
      </w:r>
      <w:r>
        <w:rPr>
          <w:spacing w:val="-4"/>
        </w:rPr>
        <w:t>互联网销售彩票行为自查自纠工作有关问题的通知》，暂停各省市互联网彩票销售。公司子公司鸿博数网、</w:t>
      </w:r>
      <w:r>
        <w:rPr>
          <w:spacing w:val="-50"/>
        </w:rPr>
        <w:t> </w:t>
      </w:r>
      <w:r>
        <w:rPr>
          <w:spacing w:val="-50"/>
        </w:rPr>
      </w:r>
      <w:r>
        <w:rPr>
          <w:spacing w:val="-2"/>
        </w:rPr>
        <w:t>广州彩创电子彩票业务处于暂停状态，经营环境发生重大变化。报告期内，公司继续加大彩种研发投入和</w:t>
      </w:r>
    </w:p>
    <w:p>
      <w:pPr>
        <w:spacing w:after="0" w:line="264" w:lineRule="auto"/>
        <w:jc w:val="left"/>
        <w:sectPr>
          <w:pgSz w:w="11900" w:h="16840"/>
          <w:pgMar w:header="872" w:footer="984" w:top="1060" w:bottom="1180" w:left="980" w:right="900"/>
        </w:sectPr>
      </w:pPr>
    </w:p>
    <w:p>
      <w:pPr>
        <w:spacing w:line="240" w:lineRule="auto" w:before="12"/>
        <w:rPr>
          <w:rFonts w:ascii="宋体" w:hAnsi="宋体" w:cs="宋体" w:eastAsia="宋体" w:hint="default"/>
          <w:sz w:val="24"/>
          <w:szCs w:val="24"/>
        </w:rPr>
      </w:pPr>
    </w:p>
    <w:p>
      <w:pPr>
        <w:pStyle w:val="BodyText"/>
        <w:spacing w:line="276" w:lineRule="auto" w:before="36"/>
        <w:ind w:right="0"/>
        <w:jc w:val="left"/>
      </w:pPr>
      <w:r>
        <w:rPr>
          <w:spacing w:val="-2"/>
        </w:rPr>
        <w:t>市场推广，进一步优化和提升现有彩票游戏产品和系统平台，做好彩票无纸化市场重新开放后的前期准备</w:t>
      </w:r>
      <w:r>
        <w:rPr>
          <w:spacing w:val="-35"/>
        </w:rPr>
        <w:t> </w:t>
      </w:r>
      <w:r>
        <w:rPr>
          <w:spacing w:val="-35"/>
        </w:rPr>
      </w:r>
      <w:r>
        <w:rPr/>
        <w:t>工作。</w:t>
      </w:r>
    </w:p>
    <w:p>
      <w:pPr>
        <w:pStyle w:val="BodyText"/>
        <w:spacing w:line="240" w:lineRule="auto" w:before="39"/>
        <w:ind w:left="575" w:right="0"/>
        <w:jc w:val="left"/>
      </w:pPr>
      <w:r>
        <w:rPr>
          <w:rFonts w:ascii="Times New Roman" w:hAnsi="Times New Roman" w:cs="Times New Roman" w:eastAsia="Times New Roman" w:hint="default"/>
        </w:rPr>
        <w:t>2</w:t>
      </w:r>
      <w:r>
        <w:rPr/>
        <w:t>、诉讼事项：鸿博昊天及其子公司昊天国彩于 </w:t>
      </w:r>
      <w:r>
        <w:rPr>
          <w:rFonts w:ascii="Times New Roman" w:hAnsi="Times New Roman" w:cs="Times New Roman" w:eastAsia="Times New Roman" w:hint="default"/>
        </w:rPr>
        <w:t>2013 </w:t>
      </w:r>
      <w:r>
        <w:rPr/>
        <w:t>年 </w:t>
      </w:r>
      <w:r>
        <w:rPr>
          <w:rFonts w:ascii="Times New Roman" w:hAnsi="Times New Roman" w:cs="Times New Roman" w:eastAsia="Times New Roman" w:hint="default"/>
        </w:rPr>
        <w:t>10 </w:t>
      </w:r>
      <w:r>
        <w:rPr/>
        <w:t>月 </w:t>
      </w:r>
      <w:r>
        <w:rPr>
          <w:rFonts w:ascii="Times New Roman" w:hAnsi="Times New Roman" w:cs="Times New Roman" w:eastAsia="Times New Roman" w:hint="default"/>
        </w:rPr>
        <w:t>17</w:t>
      </w:r>
      <w:r>
        <w:rPr>
          <w:rFonts w:ascii="Times New Roman" w:hAnsi="Times New Roman" w:cs="Times New Roman" w:eastAsia="Times New Roman" w:hint="default"/>
          <w:spacing w:val="26"/>
        </w:rPr>
        <w:t> </w:t>
      </w:r>
      <w:r>
        <w:rPr/>
        <w:t>日向北京市通州区人民法院提起民</w:t>
      </w:r>
    </w:p>
    <w:p>
      <w:pPr>
        <w:pStyle w:val="BodyText"/>
        <w:spacing w:line="259" w:lineRule="auto" w:before="21"/>
        <w:ind w:right="131"/>
        <w:jc w:val="left"/>
      </w:pPr>
      <w:r>
        <w:rPr/>
        <w:t>事诉讼，要求北京国彩向鸿博昊天返还租赁保证金、已支付的设备转让款等共计 </w:t>
      </w:r>
      <w:r>
        <w:rPr>
          <w:rFonts w:ascii="Times New Roman" w:hAnsi="Times New Roman" w:cs="Times New Roman" w:eastAsia="Times New Roman" w:hint="default"/>
        </w:rPr>
        <w:t>7,425</w:t>
      </w:r>
      <w:r>
        <w:rPr>
          <w:rFonts w:ascii="Times New Roman" w:hAnsi="Times New Roman" w:cs="Times New Roman" w:eastAsia="Times New Roman" w:hint="default"/>
          <w:spacing w:val="1"/>
        </w:rPr>
        <w:t> </w:t>
      </w:r>
      <w:r>
        <w:rPr>
          <w:spacing w:val="-3"/>
        </w:rPr>
        <w:t>万元（具体情况请</w:t>
      </w:r>
      <w:r>
        <w:rPr>
          <w:w w:val="100"/>
        </w:rPr>
        <w:t> </w:t>
      </w:r>
      <w:r>
        <w:rPr/>
        <w:t>查阅巨潮资讯网</w:t>
      </w:r>
      <w:hyperlink r:id="rId11">
        <w:r>
          <w:rPr>
            <w:rFonts w:ascii="Times New Roman" w:hAnsi="Times New Roman" w:cs="Times New Roman" w:eastAsia="Times New Roman" w:hint="default"/>
          </w:rPr>
          <w:t>http://www.cninfo.com.cn</w:t>
        </w:r>
      </w:hyperlink>
      <w:r>
        <w:rPr>
          <w:rFonts w:ascii="Times New Roman" w:hAnsi="Times New Roman" w:cs="Times New Roman" w:eastAsia="Times New Roman" w:hint="default"/>
          <w:spacing w:val="24"/>
        </w:rPr>
        <w:t> </w:t>
      </w:r>
      <w:r>
        <w:rPr/>
        <w:t>）。案件已由北京市通州区人民法院（</w:t>
      </w:r>
      <w:r>
        <w:rPr>
          <w:rFonts w:ascii="Times New Roman" w:hAnsi="Times New Roman" w:cs="Times New Roman" w:eastAsia="Times New Roman" w:hint="default"/>
        </w:rPr>
        <w:t>2015</w:t>
      </w:r>
      <w:r>
        <w:rPr/>
        <w:t>）通民初字第</w:t>
      </w:r>
      <w:r>
        <w:rPr>
          <w:rFonts w:ascii="Times New Roman" w:hAnsi="Times New Roman" w:cs="Times New Roman" w:eastAsia="Times New Roman" w:hint="default"/>
        </w:rPr>
        <w:t>15455</w:t>
      </w:r>
      <w:r>
        <w:rPr>
          <w:rFonts w:ascii="Times New Roman" w:hAnsi="Times New Roman" w:cs="Times New Roman" w:eastAsia="Times New Roman" w:hint="default"/>
          <w:w w:val="100"/>
        </w:rPr>
        <w:t> </w:t>
      </w:r>
      <w:r>
        <w:rPr>
          <w:spacing w:val="-3"/>
        </w:rPr>
        <w:t>号民事判决于</w:t>
      </w:r>
      <w:r>
        <w:rPr>
          <w:rFonts w:ascii="Times New Roman" w:hAnsi="Times New Roman" w:cs="Times New Roman" w:eastAsia="Times New Roman" w:hint="default"/>
          <w:spacing w:val="-3"/>
        </w:rPr>
        <w:t>2015</w:t>
      </w:r>
      <w:r>
        <w:rPr>
          <w:spacing w:val="-3"/>
        </w:rPr>
        <w:t>年</w:t>
      </w:r>
      <w:r>
        <w:rPr>
          <w:rFonts w:ascii="Times New Roman" w:hAnsi="Times New Roman" w:cs="Times New Roman" w:eastAsia="Times New Roman" w:hint="default"/>
          <w:spacing w:val="-3"/>
        </w:rPr>
        <w:t>1</w:t>
      </w:r>
      <w:r>
        <w:rPr>
          <w:spacing w:val="-3"/>
        </w:rPr>
        <w:t>月</w:t>
      </w:r>
      <w:r>
        <w:rPr>
          <w:rFonts w:ascii="Times New Roman" w:hAnsi="Times New Roman" w:cs="Times New Roman" w:eastAsia="Times New Roman" w:hint="default"/>
          <w:spacing w:val="-3"/>
        </w:rPr>
        <w:t>30</w:t>
      </w:r>
      <w:r>
        <w:rPr>
          <w:spacing w:val="-3"/>
        </w:rPr>
        <w:t>日一审判决生效，根据一审判决结果，本公司共可收回款项</w:t>
      </w:r>
      <w:r>
        <w:rPr>
          <w:rFonts w:ascii="Times New Roman" w:hAnsi="Times New Roman" w:cs="Times New Roman" w:eastAsia="Times New Roman" w:hint="default"/>
          <w:spacing w:val="-3"/>
        </w:rPr>
        <w:t>29,675,754.85</w:t>
      </w:r>
      <w:r>
        <w:rPr>
          <w:spacing w:val="-3"/>
        </w:rPr>
        <w:t>元。本</w:t>
      </w:r>
      <w:r>
        <w:rPr>
          <w:spacing w:val="-8"/>
        </w:rPr>
        <w:t> </w:t>
      </w:r>
      <w:r>
        <w:rPr>
          <w:spacing w:val="-8"/>
        </w:rPr>
      </w:r>
      <w:r>
        <w:rPr>
          <w:spacing w:val="-2"/>
        </w:rPr>
        <w:t>报告期内北京国彩偿还</w:t>
      </w:r>
      <w:r>
        <w:rPr>
          <w:rFonts w:ascii="Times New Roman" w:hAnsi="Times New Roman" w:cs="Times New Roman" w:eastAsia="Times New Roman" w:hint="default"/>
          <w:spacing w:val="-2"/>
        </w:rPr>
        <w:t>1,400</w:t>
      </w:r>
      <w:r>
        <w:rPr>
          <w:spacing w:val="-2"/>
        </w:rPr>
        <w:t>万元，并就北京市通州区人民法院（</w:t>
      </w:r>
      <w:r>
        <w:rPr>
          <w:rFonts w:ascii="Times New Roman" w:hAnsi="Times New Roman" w:cs="Times New Roman" w:eastAsia="Times New Roman" w:hint="default"/>
          <w:spacing w:val="-2"/>
        </w:rPr>
        <w:t>2015</w:t>
      </w:r>
      <w:r>
        <w:rPr>
          <w:spacing w:val="-2"/>
        </w:rPr>
        <w:t>）通民初字第</w:t>
      </w:r>
      <w:r>
        <w:rPr>
          <w:rFonts w:ascii="Times New Roman" w:hAnsi="Times New Roman" w:cs="Times New Roman" w:eastAsia="Times New Roman" w:hint="default"/>
          <w:spacing w:val="-2"/>
        </w:rPr>
        <w:t>15455</w:t>
      </w:r>
      <w:r>
        <w:rPr>
          <w:spacing w:val="-2"/>
        </w:rPr>
        <w:t>号民事判决向北</w:t>
      </w:r>
      <w:r>
        <w:rPr>
          <w:spacing w:val="-5"/>
        </w:rPr>
        <w:t> </w:t>
      </w:r>
      <w:r>
        <w:rPr>
          <w:spacing w:val="-5"/>
        </w:rPr>
      </w:r>
      <w:r>
        <w:rPr/>
        <w:t>京市第三中级人民法院提起上诉，</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日取得【（</w:t>
      </w:r>
      <w:r>
        <w:rPr>
          <w:rFonts w:ascii="Times New Roman" w:hAnsi="Times New Roman" w:cs="Times New Roman" w:eastAsia="Times New Roman" w:hint="default"/>
        </w:rPr>
        <w:t>2015</w:t>
      </w:r>
      <w:r>
        <w:rPr/>
        <w:t>）三中民终字第</w:t>
      </w:r>
      <w:r>
        <w:rPr>
          <w:rFonts w:ascii="Times New Roman" w:hAnsi="Times New Roman" w:cs="Times New Roman" w:eastAsia="Times New Roman" w:hint="default"/>
        </w:rPr>
        <w:t>16544</w:t>
      </w:r>
      <w:r>
        <w:rPr/>
        <w:t>号】判决书，维持</w:t>
      </w:r>
      <w:r>
        <w:rPr>
          <w:w w:val="100"/>
        </w:rPr>
        <w:t> </w:t>
      </w:r>
      <w:r>
        <w:rPr/>
        <w:t>原判。</w:t>
      </w:r>
    </w:p>
    <w:p>
      <w:pPr>
        <w:spacing w:line="240" w:lineRule="auto" w:before="2"/>
        <w:rPr>
          <w:rFonts w:ascii="宋体" w:hAnsi="宋体" w:cs="宋体" w:eastAsia="宋体" w:hint="default"/>
          <w:sz w:val="16"/>
          <w:szCs w:val="16"/>
        </w:rPr>
      </w:pPr>
    </w:p>
    <w:p>
      <w:pPr>
        <w:pStyle w:val="Heading2"/>
        <w:spacing w:line="240" w:lineRule="auto"/>
        <w:ind w:right="0"/>
        <w:jc w:val="left"/>
        <w:rPr>
          <w:b w:val="0"/>
          <w:bCs w:val="0"/>
        </w:rPr>
      </w:pPr>
      <w:r>
        <w:rPr/>
        <w:t>二十、社会责任情况</w:t>
      </w:r>
      <w:r>
        <w:rPr>
          <w:b w:val="0"/>
          <w:bCs w:val="0"/>
        </w:rPr>
      </w:r>
    </w:p>
    <w:p>
      <w:pPr>
        <w:spacing w:line="240" w:lineRule="auto" w:before="3"/>
        <w:rPr>
          <w:rFonts w:ascii="Microsoft JhengHei" w:hAnsi="Microsoft JhengHei" w:cs="Microsoft JhengHei" w:eastAsia="Microsoft JhengHei" w:hint="default"/>
          <w:b/>
          <w:bCs/>
          <w:sz w:val="19"/>
          <w:szCs w:val="19"/>
        </w:rPr>
      </w:pPr>
    </w:p>
    <w:p>
      <w:pPr>
        <w:spacing w:line="319" w:lineRule="auto"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 不适用</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1"/>
          <w:sz w:val="21"/>
          <w:szCs w:val="21"/>
        </w:rPr>
        <w:t>详细情况，请查阅巨潮资讯网（</w:t>
      </w:r>
      <w:hyperlink r:id="rId11">
        <w:r>
          <w:rPr>
            <w:rFonts w:ascii="Times New Roman" w:hAnsi="Times New Roman" w:cs="Times New Roman" w:eastAsia="Times New Roman" w:hint="default"/>
            <w:spacing w:val="-1"/>
            <w:sz w:val="21"/>
            <w:szCs w:val="21"/>
          </w:rPr>
          <w:t>http://www.cninfo.com.cn</w:t>
        </w:r>
      </w:hyperlink>
      <w:r>
        <w:rPr>
          <w:rFonts w:ascii="宋体" w:hAnsi="宋体" w:cs="宋体" w:eastAsia="宋体" w:hint="default"/>
          <w:spacing w:val="-1"/>
          <w:sz w:val="21"/>
          <w:szCs w:val="21"/>
        </w:rPr>
        <w:t>）公司</w:t>
      </w:r>
      <w:r>
        <w:rPr>
          <w:rFonts w:ascii="Times New Roman" w:hAnsi="Times New Roman" w:cs="Times New Roman" w:eastAsia="Times New Roman" w:hint="default"/>
          <w:spacing w:val="-1"/>
          <w:sz w:val="21"/>
          <w:szCs w:val="21"/>
        </w:rPr>
        <w:t>2016</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3</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30</w:t>
      </w:r>
      <w:r>
        <w:rPr>
          <w:rFonts w:ascii="宋体" w:hAnsi="宋体" w:cs="宋体" w:eastAsia="宋体" w:hint="default"/>
          <w:spacing w:val="-1"/>
          <w:sz w:val="21"/>
          <w:szCs w:val="21"/>
        </w:rPr>
        <w:t>日披露的《社会责任报告》。</w:t>
      </w:r>
      <w:r>
        <w:rPr>
          <w:rFonts w:ascii="宋体" w:hAnsi="宋体" w:cs="宋体" w:eastAsia="宋体" w:hint="default"/>
          <w:spacing w:val="-49"/>
          <w:sz w:val="21"/>
          <w:szCs w:val="21"/>
        </w:rPr>
        <w:t> </w:t>
      </w:r>
      <w:r>
        <w:rPr>
          <w:rFonts w:ascii="宋体" w:hAnsi="宋体" w:cs="宋体" w:eastAsia="宋体" w:hint="default"/>
          <w:spacing w:val="-49"/>
          <w:sz w:val="21"/>
          <w:szCs w:val="21"/>
        </w:rPr>
      </w:r>
      <w:r>
        <w:rPr>
          <w:rFonts w:ascii="宋体" w:hAnsi="宋体" w:cs="宋体" w:eastAsia="宋体" w:hint="default"/>
          <w:spacing w:val="-3"/>
          <w:sz w:val="18"/>
          <w:szCs w:val="18"/>
        </w:rPr>
        <w:t>上市公司及其子公司是否属于国家环境保护部门规定的重污染行业</w:t>
      </w:r>
    </w:p>
    <w:p>
      <w:pPr>
        <w:spacing w:before="60"/>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宋体" w:hAnsi="宋体" w:cs="宋体" w:eastAsia="宋体" w:hint="default"/>
          <w:sz w:val="18"/>
          <w:szCs w:val="18"/>
        </w:rPr>
        <w:t>否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17"/>
          <w:szCs w:val="17"/>
        </w:rPr>
      </w:pPr>
    </w:p>
    <w:p>
      <w:pPr>
        <w:pStyle w:val="Heading2"/>
        <w:spacing w:line="240" w:lineRule="auto"/>
        <w:ind w:right="0"/>
        <w:jc w:val="left"/>
        <w:rPr>
          <w:b w:val="0"/>
          <w:bCs w:val="0"/>
        </w:rPr>
      </w:pPr>
      <w:r>
        <w:rPr/>
        <w:t>二十一、公司债券相关情况</w:t>
      </w:r>
      <w:r>
        <w:rPr>
          <w:b w:val="0"/>
          <w:bCs w:val="0"/>
        </w:rPr>
      </w:r>
    </w:p>
    <w:p>
      <w:pPr>
        <w:spacing w:line="240" w:lineRule="auto" w:before="3"/>
        <w:rPr>
          <w:rFonts w:ascii="Microsoft JhengHei" w:hAnsi="Microsoft JhengHei" w:cs="Microsoft JhengHei" w:eastAsia="Microsoft JhengHei" w:hint="default"/>
          <w:b/>
          <w:bCs/>
          <w:sz w:val="19"/>
          <w:szCs w:val="19"/>
        </w:rPr>
      </w:pPr>
    </w:p>
    <w:p>
      <w:pPr>
        <w:spacing w:line="357" w:lineRule="auto" w:before="0"/>
        <w:ind w:left="152" w:right="1246" w:firstLine="0"/>
        <w:jc w:val="left"/>
        <w:rPr>
          <w:rFonts w:ascii="宋体" w:hAnsi="宋体" w:cs="宋体" w:eastAsia="宋体" w:hint="default"/>
          <w:sz w:val="18"/>
          <w:szCs w:val="18"/>
        </w:rPr>
      </w:pPr>
      <w:r>
        <w:rPr>
          <w:rFonts w:ascii="宋体" w:hAnsi="宋体" w:cs="宋体" w:eastAsia="宋体" w:hint="default"/>
          <w:spacing w:val="-3"/>
          <w:sz w:val="18"/>
          <w:szCs w:val="18"/>
        </w:rPr>
        <w:t>公司是否存在公开发行并在证券交易所上市，且在年度报告批准报出日未到期或到期未能全额兑付的公司债券</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z w:val="18"/>
          <w:szCs w:val="18"/>
        </w:rPr>
        <w:t>否</w:t>
      </w:r>
    </w:p>
    <w:p>
      <w:pPr>
        <w:spacing w:after="0" w:line="357" w:lineRule="auto"/>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0"/>
          <w:szCs w:val="20"/>
        </w:rPr>
      </w:pPr>
    </w:p>
    <w:p>
      <w:pPr>
        <w:pStyle w:val="Heading1"/>
        <w:spacing w:line="458" w:lineRule="exact"/>
        <w:ind w:left="2960" w:right="0"/>
        <w:jc w:val="left"/>
        <w:rPr>
          <w:b w:val="0"/>
          <w:bCs w:val="0"/>
        </w:rPr>
      </w:pPr>
      <w:bookmarkStart w:name="_TOC_250005" w:id="6"/>
      <w:r>
        <w:rPr/>
        <w:t>第六节 </w:t>
      </w:r>
      <w:r>
        <w:rPr>
          <w:spacing w:val="16"/>
        </w:rPr>
        <w:t> </w:t>
      </w:r>
      <w:r>
        <w:rPr/>
        <w:t>股份变动及股东情况</w:t>
      </w:r>
      <w:bookmarkEnd w:id="6"/>
      <w:r>
        <w:rPr>
          <w:b w:val="0"/>
          <w:bCs w:val="0"/>
        </w:rPr>
      </w:r>
    </w:p>
    <w:p>
      <w:pPr>
        <w:spacing w:line="240" w:lineRule="auto" w:before="3"/>
        <w:rPr>
          <w:rFonts w:ascii="Microsoft JhengHei" w:hAnsi="Microsoft JhengHei" w:cs="Microsoft JhengHei" w:eastAsia="Microsoft JhengHei" w:hint="default"/>
          <w:b/>
          <w:bCs/>
          <w:sz w:val="25"/>
          <w:szCs w:val="25"/>
        </w:rPr>
      </w:pPr>
    </w:p>
    <w:p>
      <w:pPr>
        <w:pStyle w:val="Heading2"/>
        <w:spacing w:line="367" w:lineRule="exact"/>
        <w:ind w:right="0"/>
        <w:jc w:val="left"/>
        <w:rPr>
          <w:b w:val="0"/>
          <w:bCs w:val="0"/>
        </w:rPr>
      </w:pPr>
      <w:r>
        <w:rPr/>
        <w:t>一、股份变动情况</w:t>
      </w:r>
      <w:r>
        <w:rPr>
          <w:b w:val="0"/>
          <w:bCs w:val="0"/>
        </w:rPr>
      </w:r>
    </w:p>
    <w:p>
      <w:pPr>
        <w:spacing w:line="240" w:lineRule="auto" w:before="10"/>
        <w:rPr>
          <w:rFonts w:ascii="Microsoft JhengHei" w:hAnsi="Microsoft JhengHei" w:cs="Microsoft JhengHei" w:eastAsia="Microsoft JhengHei" w:hint="default"/>
          <w:b/>
          <w:bCs/>
          <w:sz w:val="13"/>
          <w:szCs w:val="13"/>
        </w:rPr>
      </w:pPr>
    </w:p>
    <w:p>
      <w:pPr>
        <w:pStyle w:val="Heading4"/>
        <w:spacing w:line="240" w:lineRule="auto"/>
        <w:ind w:right="0"/>
        <w:jc w:val="left"/>
        <w:rPr>
          <w:b w:val="0"/>
          <w:bCs w:val="0"/>
        </w:rPr>
      </w:pPr>
      <w:r>
        <w:rPr>
          <w:rFonts w:ascii="Times New Roman" w:hAnsi="Times New Roman" w:cs="Times New Roman" w:eastAsia="Times New Roman" w:hint="default"/>
        </w:rPr>
        <w:t>1</w:t>
      </w:r>
      <w:r>
        <w:rPr/>
        <w:t>、股份变动情况</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pacing w:val="-2"/>
          <w:sz w:val="18"/>
          <w:szCs w:val="18"/>
        </w:rPr>
        <w:t>单位：股</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215"/>
        <w:gridCol w:w="821"/>
        <w:gridCol w:w="826"/>
        <w:gridCol w:w="821"/>
        <w:gridCol w:w="826"/>
        <w:gridCol w:w="821"/>
        <w:gridCol w:w="821"/>
        <w:gridCol w:w="821"/>
        <w:gridCol w:w="797"/>
        <w:gridCol w:w="792"/>
      </w:tblGrid>
      <w:tr>
        <w:trPr>
          <w:trHeight w:val="399" w:hRule="exact"/>
        </w:trPr>
        <w:tc>
          <w:tcPr>
            <w:tcW w:w="2215" w:type="dxa"/>
            <w:tcBorders>
              <w:top w:val="single" w:sz="4" w:space="0" w:color="000000"/>
              <w:left w:val="single" w:sz="4" w:space="0" w:color="000000"/>
              <w:bottom w:val="nil" w:sz="6" w:space="0" w:color="auto"/>
              <w:right w:val="single" w:sz="4" w:space="0" w:color="000000"/>
            </w:tcBorders>
            <w:shd w:val="clear" w:color="auto" w:fill="D2D2D2"/>
          </w:tcPr>
          <w:p>
            <w:pPr/>
          </w:p>
        </w:tc>
        <w:tc>
          <w:tcPr>
            <w:tcW w:w="164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64"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10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60" w:right="0"/>
              <w:jc w:val="left"/>
              <w:rPr>
                <w:rFonts w:ascii="宋体" w:hAnsi="宋体" w:cs="宋体" w:eastAsia="宋体" w:hint="default"/>
                <w:sz w:val="18"/>
                <w:szCs w:val="18"/>
              </w:rPr>
            </w:pPr>
            <w:r>
              <w:rPr>
                <w:rFonts w:ascii="宋体" w:hAnsi="宋体" w:cs="宋体" w:eastAsia="宋体" w:hint="default"/>
                <w:spacing w:val="-3"/>
                <w:sz w:val="18"/>
                <w:szCs w:val="18"/>
              </w:rPr>
              <w:t>本次变动增减（＋，－）</w:t>
            </w:r>
          </w:p>
        </w:tc>
        <w:tc>
          <w:tcPr>
            <w:tcW w:w="15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36"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57" w:hRule="exact"/>
        </w:trPr>
        <w:tc>
          <w:tcPr>
            <w:tcW w:w="2215" w:type="dxa"/>
            <w:vMerge w:val="restart"/>
            <w:tcBorders>
              <w:top w:val="nil" w:sz="6" w:space="0" w:color="auto"/>
              <w:left w:val="single" w:sz="4" w:space="0" w:color="000000"/>
              <w:right w:val="single" w:sz="4" w:space="0" w:color="000000"/>
            </w:tcBorders>
            <w:shd w:val="clear" w:color="auto" w:fill="D2D2D2"/>
          </w:tcPr>
          <w:p>
            <w:pPr/>
          </w:p>
        </w:tc>
        <w:tc>
          <w:tcPr>
            <w:tcW w:w="821" w:type="dxa"/>
            <w:tcBorders>
              <w:top w:val="single" w:sz="4" w:space="0" w:color="000000"/>
              <w:left w:val="single" w:sz="4" w:space="0" w:color="000000"/>
              <w:bottom w:val="nil" w:sz="6" w:space="0" w:color="auto"/>
              <w:right w:val="single" w:sz="4" w:space="0" w:color="000000"/>
            </w:tcBorders>
            <w:shd w:val="clear" w:color="auto" w:fill="D2D2D2"/>
          </w:tcPr>
          <w:p>
            <w:pPr/>
          </w:p>
        </w:tc>
        <w:tc>
          <w:tcPr>
            <w:tcW w:w="82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1" w:type="dxa"/>
            <w:tcBorders>
              <w:top w:val="single" w:sz="4" w:space="0" w:color="000000"/>
              <w:left w:val="single" w:sz="4" w:space="0" w:color="000000"/>
              <w:bottom w:val="nil" w:sz="6" w:space="0" w:color="auto"/>
              <w:right w:val="single" w:sz="4" w:space="0" w:color="000000"/>
            </w:tcBorders>
            <w:shd w:val="clear" w:color="auto" w:fill="D2D2D2"/>
          </w:tcPr>
          <w:p>
            <w:pPr/>
          </w:p>
        </w:tc>
        <w:tc>
          <w:tcPr>
            <w:tcW w:w="82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1" w:type="dxa"/>
            <w:vMerge w:val="restart"/>
            <w:tcBorders>
              <w:top w:val="single" w:sz="4" w:space="0" w:color="000000"/>
              <w:left w:val="single" w:sz="4" w:space="0" w:color="000000"/>
              <w:right w:val="single" w:sz="4" w:space="0" w:color="000000"/>
            </w:tcBorders>
            <w:shd w:val="clear" w:color="auto" w:fill="D2D2D2"/>
          </w:tcPr>
          <w:p>
            <w:pPr>
              <w:pStyle w:val="TableParagraph"/>
              <w:spacing w:line="321" w:lineRule="auto" w:before="53"/>
              <w:ind w:left="312" w:right="41" w:hanging="269"/>
              <w:jc w:val="left"/>
              <w:rPr>
                <w:rFonts w:ascii="宋体" w:hAnsi="宋体" w:cs="宋体" w:eastAsia="宋体" w:hint="default"/>
                <w:sz w:val="18"/>
                <w:szCs w:val="18"/>
              </w:rPr>
            </w:pPr>
            <w:r>
              <w:rPr>
                <w:rFonts w:ascii="宋体" w:hAnsi="宋体" w:cs="宋体" w:eastAsia="宋体" w:hint="default"/>
                <w:sz w:val="18"/>
                <w:szCs w:val="18"/>
              </w:rPr>
              <w:t>公积金转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股</w:t>
            </w:r>
          </w:p>
        </w:tc>
        <w:tc>
          <w:tcPr>
            <w:tcW w:w="821" w:type="dxa"/>
            <w:tcBorders>
              <w:top w:val="single" w:sz="4" w:space="0" w:color="000000"/>
              <w:left w:val="single" w:sz="4" w:space="0" w:color="000000"/>
              <w:bottom w:val="nil" w:sz="6" w:space="0" w:color="auto"/>
              <w:right w:val="single" w:sz="4" w:space="0" w:color="000000"/>
            </w:tcBorders>
            <w:shd w:val="clear" w:color="auto" w:fill="D2D2D2"/>
          </w:tcPr>
          <w:p>
            <w:pPr/>
          </w:p>
        </w:tc>
        <w:tc>
          <w:tcPr>
            <w:tcW w:w="821"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2"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88" w:hRule="exact"/>
        </w:trPr>
        <w:tc>
          <w:tcPr>
            <w:tcW w:w="2215" w:type="dxa"/>
            <w:vMerge/>
            <w:tcBorders>
              <w:left w:val="single" w:sz="4" w:space="0" w:color="000000"/>
              <w:bottom w:val="nil" w:sz="6" w:space="0" w:color="auto"/>
              <w:right w:val="single" w:sz="4" w:space="0" w:color="000000"/>
            </w:tcBorders>
            <w:shd w:val="clear" w:color="auto" w:fill="D2D2D2"/>
          </w:tcPr>
          <w:p>
            <w:pPr/>
          </w:p>
        </w:tc>
        <w:tc>
          <w:tcPr>
            <w:tcW w:w="82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22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82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22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2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43"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82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225"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821" w:type="dxa"/>
            <w:vMerge/>
            <w:tcBorders>
              <w:left w:val="single" w:sz="4" w:space="0" w:color="000000"/>
              <w:right w:val="single" w:sz="4" w:space="0" w:color="000000"/>
            </w:tcBorders>
            <w:shd w:val="clear" w:color="auto" w:fill="D2D2D2"/>
          </w:tcPr>
          <w:p>
            <w:pPr/>
          </w:p>
        </w:tc>
        <w:tc>
          <w:tcPr>
            <w:tcW w:w="82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22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225"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211"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9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211"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206" w:hRule="exact"/>
        </w:trPr>
        <w:tc>
          <w:tcPr>
            <w:tcW w:w="2215" w:type="dxa"/>
            <w:vMerge w:val="restart"/>
            <w:tcBorders>
              <w:top w:val="nil" w:sz="6" w:space="0" w:color="auto"/>
              <w:left w:val="single" w:sz="4" w:space="0" w:color="000000"/>
              <w:right w:val="single" w:sz="4" w:space="0" w:color="000000"/>
            </w:tcBorders>
            <w:shd w:val="clear" w:color="auto" w:fill="D2D2D2"/>
          </w:tcPr>
          <w:p>
            <w:pPr/>
          </w:p>
        </w:tc>
        <w:tc>
          <w:tcPr>
            <w:tcW w:w="821" w:type="dxa"/>
            <w:vMerge/>
            <w:tcBorders>
              <w:left w:val="single" w:sz="4" w:space="0" w:color="000000"/>
              <w:bottom w:val="nil" w:sz="6" w:space="0" w:color="auto"/>
              <w:right w:val="single" w:sz="4" w:space="0" w:color="000000"/>
            </w:tcBorders>
            <w:shd w:val="clear" w:color="auto" w:fill="D2D2D2"/>
          </w:tcPr>
          <w:p>
            <w:pPr/>
          </w:p>
        </w:tc>
        <w:tc>
          <w:tcPr>
            <w:tcW w:w="826" w:type="dxa"/>
            <w:vMerge/>
            <w:tcBorders>
              <w:left w:val="single" w:sz="4" w:space="0" w:color="000000"/>
              <w:bottom w:val="nil" w:sz="6" w:space="0" w:color="auto"/>
              <w:right w:val="single" w:sz="4" w:space="0" w:color="000000"/>
            </w:tcBorders>
            <w:shd w:val="clear" w:color="auto" w:fill="D2D2D2"/>
          </w:tcPr>
          <w:p>
            <w:pPr/>
          </w:p>
        </w:tc>
        <w:tc>
          <w:tcPr>
            <w:tcW w:w="821" w:type="dxa"/>
            <w:vMerge/>
            <w:tcBorders>
              <w:left w:val="single" w:sz="4" w:space="0" w:color="000000"/>
              <w:bottom w:val="nil" w:sz="6" w:space="0" w:color="auto"/>
              <w:right w:val="single" w:sz="4" w:space="0" w:color="000000"/>
            </w:tcBorders>
            <w:shd w:val="clear" w:color="auto" w:fill="D2D2D2"/>
          </w:tcPr>
          <w:p>
            <w:pPr/>
          </w:p>
        </w:tc>
        <w:tc>
          <w:tcPr>
            <w:tcW w:w="826" w:type="dxa"/>
            <w:vMerge/>
            <w:tcBorders>
              <w:left w:val="single" w:sz="4" w:space="0" w:color="000000"/>
              <w:bottom w:val="nil" w:sz="6" w:space="0" w:color="auto"/>
              <w:right w:val="single" w:sz="4" w:space="0" w:color="000000"/>
            </w:tcBorders>
            <w:shd w:val="clear" w:color="auto" w:fill="D2D2D2"/>
          </w:tcPr>
          <w:p>
            <w:pPr/>
          </w:p>
        </w:tc>
        <w:tc>
          <w:tcPr>
            <w:tcW w:w="821" w:type="dxa"/>
            <w:vMerge/>
            <w:tcBorders>
              <w:left w:val="single" w:sz="4" w:space="0" w:color="000000"/>
              <w:right w:val="single" w:sz="4" w:space="0" w:color="000000"/>
            </w:tcBorders>
            <w:shd w:val="clear" w:color="auto" w:fill="D2D2D2"/>
          </w:tcPr>
          <w:p>
            <w:pPr/>
          </w:p>
        </w:tc>
        <w:tc>
          <w:tcPr>
            <w:tcW w:w="821" w:type="dxa"/>
            <w:vMerge/>
            <w:tcBorders>
              <w:left w:val="single" w:sz="4" w:space="0" w:color="000000"/>
              <w:bottom w:val="nil" w:sz="6" w:space="0" w:color="auto"/>
              <w:right w:val="single" w:sz="4" w:space="0" w:color="000000"/>
            </w:tcBorders>
            <w:shd w:val="clear" w:color="auto" w:fill="D2D2D2"/>
          </w:tcPr>
          <w:p>
            <w:pPr/>
          </w:p>
        </w:tc>
        <w:tc>
          <w:tcPr>
            <w:tcW w:w="821"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792" w:type="dxa"/>
            <w:vMerge/>
            <w:tcBorders>
              <w:left w:val="single" w:sz="4" w:space="0" w:color="000000"/>
              <w:bottom w:val="nil" w:sz="6" w:space="0" w:color="auto"/>
              <w:right w:val="single" w:sz="4" w:space="0" w:color="000000"/>
            </w:tcBorders>
            <w:shd w:val="clear" w:color="auto" w:fill="D2D2D2"/>
          </w:tcPr>
          <w:p>
            <w:pPr/>
          </w:p>
        </w:tc>
      </w:tr>
      <w:tr>
        <w:trPr>
          <w:trHeight w:val="163" w:hRule="exact"/>
        </w:trPr>
        <w:tc>
          <w:tcPr>
            <w:tcW w:w="2215" w:type="dxa"/>
            <w:vMerge/>
            <w:tcBorders>
              <w:left w:val="single" w:sz="4" w:space="0" w:color="000000"/>
              <w:bottom w:val="single" w:sz="4" w:space="0" w:color="000000"/>
              <w:right w:val="single" w:sz="4" w:space="0" w:color="000000"/>
            </w:tcBorders>
            <w:shd w:val="clear" w:color="auto" w:fill="D2D2D2"/>
          </w:tcPr>
          <w:p>
            <w:pPr/>
          </w:p>
        </w:tc>
        <w:tc>
          <w:tcPr>
            <w:tcW w:w="821" w:type="dxa"/>
            <w:tcBorders>
              <w:top w:val="nil" w:sz="6" w:space="0" w:color="auto"/>
              <w:left w:val="single" w:sz="4" w:space="0" w:color="000000"/>
              <w:bottom w:val="single" w:sz="4" w:space="0" w:color="000000"/>
              <w:right w:val="single" w:sz="4" w:space="0" w:color="000000"/>
            </w:tcBorders>
            <w:shd w:val="clear" w:color="auto" w:fill="D2D2D2"/>
          </w:tcPr>
          <w:p>
            <w:pPr/>
          </w:p>
        </w:tc>
        <w:tc>
          <w:tcPr>
            <w:tcW w:w="82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1" w:type="dxa"/>
            <w:tcBorders>
              <w:top w:val="nil" w:sz="6" w:space="0" w:color="auto"/>
              <w:left w:val="single" w:sz="4" w:space="0" w:color="000000"/>
              <w:bottom w:val="single" w:sz="4" w:space="0" w:color="000000"/>
              <w:right w:val="single" w:sz="4" w:space="0" w:color="000000"/>
            </w:tcBorders>
            <w:shd w:val="clear" w:color="auto" w:fill="D2D2D2"/>
          </w:tcPr>
          <w:p>
            <w:pPr/>
          </w:p>
        </w:tc>
        <w:tc>
          <w:tcPr>
            <w:tcW w:w="82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1" w:type="dxa"/>
            <w:vMerge/>
            <w:tcBorders>
              <w:left w:val="single" w:sz="4" w:space="0" w:color="000000"/>
              <w:bottom w:val="single" w:sz="4" w:space="0" w:color="000000"/>
              <w:right w:val="single" w:sz="4" w:space="0" w:color="000000"/>
            </w:tcBorders>
            <w:shd w:val="clear" w:color="auto" w:fill="D2D2D2"/>
          </w:tcPr>
          <w:p>
            <w:pPr/>
          </w:p>
        </w:tc>
        <w:tc>
          <w:tcPr>
            <w:tcW w:w="821" w:type="dxa"/>
            <w:tcBorders>
              <w:top w:val="nil" w:sz="6" w:space="0" w:color="auto"/>
              <w:left w:val="single" w:sz="4" w:space="0" w:color="000000"/>
              <w:bottom w:val="single" w:sz="4" w:space="0" w:color="000000"/>
              <w:right w:val="single" w:sz="4" w:space="0" w:color="000000"/>
            </w:tcBorders>
            <w:shd w:val="clear" w:color="auto" w:fill="D2D2D2"/>
          </w:tcPr>
          <w:p>
            <w:pPr/>
          </w:p>
        </w:tc>
        <w:tc>
          <w:tcPr>
            <w:tcW w:w="821"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2"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58" w:hRule="exact"/>
        </w:trPr>
        <w:tc>
          <w:tcPr>
            <w:tcW w:w="2215" w:type="dxa"/>
            <w:tcBorders>
              <w:top w:val="single" w:sz="4" w:space="0" w:color="000000"/>
              <w:left w:val="single" w:sz="4" w:space="0" w:color="000000"/>
              <w:bottom w:val="nil" w:sz="6" w:space="0" w:color="auto"/>
              <w:right w:val="single" w:sz="4" w:space="0" w:color="000000"/>
            </w:tcBorders>
            <w:shd w:val="clear" w:color="auto" w:fill="D2D2D2"/>
          </w:tcPr>
          <w:p>
            <w:pPr/>
          </w:p>
        </w:tc>
        <w:tc>
          <w:tcPr>
            <w:tcW w:w="821" w:type="dxa"/>
            <w:vMerge w:val="restart"/>
            <w:tcBorders>
              <w:top w:val="single" w:sz="4" w:space="0" w:color="000000"/>
              <w:left w:val="single" w:sz="8" w:space="0" w:color="D2D2D2"/>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2"/>
                <w:sz w:val="18"/>
              </w:rPr>
              <w:t>112,389,5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09</w:t>
            </w:r>
          </w:p>
        </w:tc>
        <w:tc>
          <w:tcPr>
            <w:tcW w:w="82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30" w:right="0"/>
              <w:jc w:val="left"/>
              <w:rPr>
                <w:rFonts w:ascii="Times New Roman" w:hAnsi="Times New Roman" w:cs="Times New Roman" w:eastAsia="Times New Roman" w:hint="default"/>
                <w:sz w:val="18"/>
                <w:szCs w:val="18"/>
              </w:rPr>
            </w:pPr>
            <w:r>
              <w:rPr>
                <w:rFonts w:ascii="Times New Roman"/>
                <w:sz w:val="18"/>
              </w:rPr>
              <w:t>37.69%</w:t>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-19,839,3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78</w:t>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-19,839,3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78</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92,550,13</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01" w:right="0"/>
              <w:jc w:val="left"/>
              <w:rPr>
                <w:rFonts w:ascii="Times New Roman" w:hAnsi="Times New Roman" w:cs="Times New Roman" w:eastAsia="Times New Roman" w:hint="default"/>
                <w:sz w:val="18"/>
                <w:szCs w:val="18"/>
              </w:rPr>
            </w:pPr>
            <w:r>
              <w:rPr>
                <w:rFonts w:ascii="Times New Roman"/>
                <w:sz w:val="18"/>
              </w:rPr>
              <w:t>31.04%</w:t>
            </w:r>
          </w:p>
        </w:tc>
      </w:tr>
      <w:tr>
        <w:trPr>
          <w:trHeight w:val="394" w:hRule="exact"/>
        </w:trPr>
        <w:tc>
          <w:tcPr>
            <w:tcW w:w="22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一、有限售条件股份</w:t>
            </w:r>
          </w:p>
        </w:tc>
        <w:tc>
          <w:tcPr>
            <w:tcW w:w="821" w:type="dxa"/>
            <w:vMerge/>
            <w:tcBorders>
              <w:left w:val="single" w:sz="8" w:space="0" w:color="D2D2D2"/>
              <w:right w:val="single" w:sz="4" w:space="0" w:color="000000"/>
            </w:tcBorders>
          </w:tcPr>
          <w:p>
            <w:pPr/>
          </w:p>
        </w:tc>
        <w:tc>
          <w:tcPr>
            <w:tcW w:w="826"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6"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3" w:hRule="exact"/>
        </w:trPr>
        <w:tc>
          <w:tcPr>
            <w:tcW w:w="2215" w:type="dxa"/>
            <w:tcBorders>
              <w:top w:val="nil" w:sz="6" w:space="0" w:color="auto"/>
              <w:left w:val="single" w:sz="4" w:space="0" w:color="000000"/>
              <w:bottom w:val="single" w:sz="4" w:space="0" w:color="000000"/>
              <w:right w:val="single" w:sz="4" w:space="0" w:color="000000"/>
            </w:tcBorders>
            <w:shd w:val="clear" w:color="auto" w:fill="D2D2D2"/>
          </w:tcPr>
          <w:p>
            <w:pPr/>
          </w:p>
        </w:tc>
        <w:tc>
          <w:tcPr>
            <w:tcW w:w="821" w:type="dxa"/>
            <w:vMerge/>
            <w:tcBorders>
              <w:left w:val="single" w:sz="8" w:space="0" w:color="D2D2D2"/>
              <w:bottom w:val="single" w:sz="4" w:space="0" w:color="000000"/>
              <w:right w:val="single" w:sz="4" w:space="0" w:color="000000"/>
            </w:tcBorders>
          </w:tcPr>
          <w:p>
            <w:pPr/>
          </w:p>
        </w:tc>
        <w:tc>
          <w:tcPr>
            <w:tcW w:w="826"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6"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403" w:hRule="exact"/>
        </w:trPr>
        <w:tc>
          <w:tcPr>
            <w:tcW w:w="2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821"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0.00%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398" w:hRule="exact"/>
        </w:trPr>
        <w:tc>
          <w:tcPr>
            <w:tcW w:w="2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821"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0.00%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58" w:hRule="exact"/>
        </w:trPr>
        <w:tc>
          <w:tcPr>
            <w:tcW w:w="2215" w:type="dxa"/>
            <w:tcBorders>
              <w:top w:val="single" w:sz="4" w:space="0" w:color="000000"/>
              <w:left w:val="single" w:sz="4" w:space="0" w:color="000000"/>
              <w:bottom w:val="nil" w:sz="6" w:space="0" w:color="auto"/>
              <w:right w:val="single" w:sz="4" w:space="0" w:color="000000"/>
            </w:tcBorders>
            <w:shd w:val="clear" w:color="auto" w:fill="D2D2D2"/>
          </w:tcPr>
          <w:p>
            <w:pPr/>
          </w:p>
        </w:tc>
        <w:tc>
          <w:tcPr>
            <w:tcW w:w="821" w:type="dxa"/>
            <w:vMerge w:val="restart"/>
            <w:tcBorders>
              <w:top w:val="single" w:sz="4" w:space="0" w:color="000000"/>
              <w:left w:val="single" w:sz="8" w:space="0" w:color="D2D2D2"/>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2"/>
                <w:sz w:val="18"/>
              </w:rPr>
              <w:t>112,389,5</w:t>
            </w:r>
          </w:p>
          <w:p>
            <w:pPr>
              <w:pStyle w:val="TableParagraph"/>
              <w:spacing w:line="240" w:lineRule="auto" w:before="110"/>
              <w:ind w:right="17"/>
              <w:jc w:val="right"/>
              <w:rPr>
                <w:rFonts w:ascii="Times New Roman" w:hAnsi="Times New Roman" w:cs="Times New Roman" w:eastAsia="Times New Roman" w:hint="default"/>
                <w:sz w:val="18"/>
                <w:szCs w:val="18"/>
              </w:rPr>
            </w:pPr>
            <w:r>
              <w:rPr>
                <w:rFonts w:ascii="Times New Roman"/>
                <w:sz w:val="18"/>
              </w:rPr>
              <w:t>09</w:t>
            </w:r>
          </w:p>
        </w:tc>
        <w:tc>
          <w:tcPr>
            <w:tcW w:w="82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30" w:right="0"/>
              <w:jc w:val="left"/>
              <w:rPr>
                <w:rFonts w:ascii="Times New Roman" w:hAnsi="Times New Roman" w:cs="Times New Roman" w:eastAsia="Times New Roman" w:hint="default"/>
                <w:sz w:val="18"/>
                <w:szCs w:val="18"/>
              </w:rPr>
            </w:pPr>
            <w:r>
              <w:rPr>
                <w:rFonts w:ascii="Times New Roman"/>
                <w:sz w:val="18"/>
              </w:rPr>
              <w:t>37.69%</w:t>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-19,839,3</w:t>
            </w:r>
          </w:p>
          <w:p>
            <w:pPr>
              <w:pStyle w:val="TableParagraph"/>
              <w:spacing w:line="240" w:lineRule="auto" w:before="110"/>
              <w:ind w:right="17"/>
              <w:jc w:val="right"/>
              <w:rPr>
                <w:rFonts w:ascii="Times New Roman" w:hAnsi="Times New Roman" w:cs="Times New Roman" w:eastAsia="Times New Roman" w:hint="default"/>
                <w:sz w:val="18"/>
                <w:szCs w:val="18"/>
              </w:rPr>
            </w:pPr>
            <w:r>
              <w:rPr>
                <w:rFonts w:ascii="Times New Roman"/>
                <w:sz w:val="18"/>
              </w:rPr>
              <w:t>78</w:t>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-19,839,3</w:t>
            </w:r>
          </w:p>
          <w:p>
            <w:pPr>
              <w:pStyle w:val="TableParagraph"/>
              <w:spacing w:line="240" w:lineRule="auto" w:before="110"/>
              <w:ind w:right="17"/>
              <w:jc w:val="right"/>
              <w:rPr>
                <w:rFonts w:ascii="Times New Roman" w:hAnsi="Times New Roman" w:cs="Times New Roman" w:eastAsia="Times New Roman" w:hint="default"/>
                <w:sz w:val="18"/>
                <w:szCs w:val="18"/>
              </w:rPr>
            </w:pPr>
            <w:r>
              <w:rPr>
                <w:rFonts w:ascii="Times New Roman"/>
                <w:sz w:val="18"/>
              </w:rPr>
              <w:t>78</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92,550,13</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01" w:right="0"/>
              <w:jc w:val="left"/>
              <w:rPr>
                <w:rFonts w:ascii="Times New Roman" w:hAnsi="Times New Roman" w:cs="Times New Roman" w:eastAsia="Times New Roman" w:hint="default"/>
                <w:sz w:val="18"/>
                <w:szCs w:val="18"/>
              </w:rPr>
            </w:pPr>
            <w:r>
              <w:rPr>
                <w:rFonts w:ascii="Times New Roman"/>
                <w:sz w:val="18"/>
              </w:rPr>
              <w:t>31.04%</w:t>
            </w:r>
          </w:p>
        </w:tc>
      </w:tr>
      <w:tr>
        <w:trPr>
          <w:trHeight w:val="394" w:hRule="exact"/>
        </w:trPr>
        <w:tc>
          <w:tcPr>
            <w:tcW w:w="22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4"/>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821" w:type="dxa"/>
            <w:vMerge/>
            <w:tcBorders>
              <w:left w:val="single" w:sz="8" w:space="0" w:color="D2D2D2"/>
              <w:right w:val="single" w:sz="4" w:space="0" w:color="000000"/>
            </w:tcBorders>
          </w:tcPr>
          <w:p>
            <w:pPr/>
          </w:p>
        </w:tc>
        <w:tc>
          <w:tcPr>
            <w:tcW w:w="826"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6"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3" w:hRule="exact"/>
        </w:trPr>
        <w:tc>
          <w:tcPr>
            <w:tcW w:w="2215" w:type="dxa"/>
            <w:tcBorders>
              <w:top w:val="nil" w:sz="6" w:space="0" w:color="auto"/>
              <w:left w:val="single" w:sz="4" w:space="0" w:color="000000"/>
              <w:bottom w:val="single" w:sz="4" w:space="0" w:color="000000"/>
              <w:right w:val="single" w:sz="4" w:space="0" w:color="000000"/>
            </w:tcBorders>
            <w:shd w:val="clear" w:color="auto" w:fill="D2D2D2"/>
          </w:tcPr>
          <w:p>
            <w:pPr/>
          </w:p>
        </w:tc>
        <w:tc>
          <w:tcPr>
            <w:tcW w:w="821" w:type="dxa"/>
            <w:vMerge/>
            <w:tcBorders>
              <w:left w:val="single" w:sz="8" w:space="0" w:color="D2D2D2"/>
              <w:bottom w:val="single" w:sz="4" w:space="0" w:color="000000"/>
              <w:right w:val="single" w:sz="4" w:space="0" w:color="000000"/>
            </w:tcBorders>
          </w:tcPr>
          <w:p>
            <w:pPr/>
          </w:p>
        </w:tc>
        <w:tc>
          <w:tcPr>
            <w:tcW w:w="826"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6"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403" w:hRule="exact"/>
        </w:trPr>
        <w:tc>
          <w:tcPr>
            <w:tcW w:w="2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其中：境内法人持股</w:t>
            </w:r>
          </w:p>
        </w:tc>
        <w:tc>
          <w:tcPr>
            <w:tcW w:w="821"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0.00%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59" w:hRule="exact"/>
        </w:trPr>
        <w:tc>
          <w:tcPr>
            <w:tcW w:w="2215" w:type="dxa"/>
            <w:tcBorders>
              <w:top w:val="single" w:sz="4" w:space="0" w:color="000000"/>
              <w:left w:val="single" w:sz="4" w:space="0" w:color="000000"/>
              <w:bottom w:val="nil" w:sz="6" w:space="0" w:color="auto"/>
              <w:right w:val="single" w:sz="4" w:space="0" w:color="000000"/>
            </w:tcBorders>
            <w:shd w:val="clear" w:color="auto" w:fill="D2D2D2"/>
          </w:tcPr>
          <w:p>
            <w:pPr/>
          </w:p>
        </w:tc>
        <w:tc>
          <w:tcPr>
            <w:tcW w:w="821" w:type="dxa"/>
            <w:vMerge w:val="restart"/>
            <w:tcBorders>
              <w:top w:val="single" w:sz="4" w:space="0" w:color="000000"/>
              <w:left w:val="single" w:sz="8" w:space="0" w:color="D2D2D2"/>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2"/>
                <w:sz w:val="18"/>
              </w:rPr>
              <w:t>112,389,5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09</w:t>
            </w:r>
          </w:p>
        </w:tc>
        <w:tc>
          <w:tcPr>
            <w:tcW w:w="82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30" w:right="0"/>
              <w:jc w:val="left"/>
              <w:rPr>
                <w:rFonts w:ascii="Times New Roman" w:hAnsi="Times New Roman" w:cs="Times New Roman" w:eastAsia="Times New Roman" w:hint="default"/>
                <w:sz w:val="18"/>
                <w:szCs w:val="18"/>
              </w:rPr>
            </w:pPr>
            <w:r>
              <w:rPr>
                <w:rFonts w:ascii="Times New Roman"/>
                <w:sz w:val="18"/>
              </w:rPr>
              <w:t>37.69%</w:t>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-19,839,3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78</w:t>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-19,839,3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78</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92,550,13</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01" w:right="0"/>
              <w:jc w:val="left"/>
              <w:rPr>
                <w:rFonts w:ascii="Times New Roman" w:hAnsi="Times New Roman" w:cs="Times New Roman" w:eastAsia="Times New Roman" w:hint="default"/>
                <w:sz w:val="18"/>
                <w:szCs w:val="18"/>
              </w:rPr>
            </w:pPr>
            <w:r>
              <w:rPr>
                <w:rFonts w:ascii="Times New Roman"/>
                <w:sz w:val="18"/>
              </w:rPr>
              <w:t>31.04%</w:t>
            </w:r>
          </w:p>
        </w:tc>
      </w:tr>
      <w:tr>
        <w:trPr>
          <w:trHeight w:val="393" w:hRule="exact"/>
        </w:trPr>
        <w:tc>
          <w:tcPr>
            <w:tcW w:w="22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386"/>
              <w:jc w:val="right"/>
              <w:rPr>
                <w:rFonts w:ascii="宋体" w:hAnsi="宋体" w:cs="宋体" w:eastAsia="宋体" w:hint="default"/>
                <w:sz w:val="18"/>
                <w:szCs w:val="18"/>
              </w:rPr>
            </w:pPr>
            <w:r>
              <w:rPr>
                <w:rFonts w:ascii="宋体" w:hAnsi="宋体" w:cs="宋体" w:eastAsia="宋体" w:hint="default"/>
                <w:spacing w:val="-3"/>
                <w:sz w:val="18"/>
                <w:szCs w:val="18"/>
              </w:rPr>
              <w:t>境内自然人持股</w:t>
            </w:r>
          </w:p>
        </w:tc>
        <w:tc>
          <w:tcPr>
            <w:tcW w:w="821" w:type="dxa"/>
            <w:vMerge/>
            <w:tcBorders>
              <w:left w:val="single" w:sz="8" w:space="0" w:color="D2D2D2"/>
              <w:right w:val="single" w:sz="4" w:space="0" w:color="000000"/>
            </w:tcBorders>
          </w:tcPr>
          <w:p>
            <w:pPr/>
          </w:p>
        </w:tc>
        <w:tc>
          <w:tcPr>
            <w:tcW w:w="826"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6"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4" w:hRule="exact"/>
        </w:trPr>
        <w:tc>
          <w:tcPr>
            <w:tcW w:w="2215" w:type="dxa"/>
            <w:tcBorders>
              <w:top w:val="nil" w:sz="6" w:space="0" w:color="auto"/>
              <w:left w:val="single" w:sz="4" w:space="0" w:color="000000"/>
              <w:bottom w:val="single" w:sz="4" w:space="0" w:color="000000"/>
              <w:right w:val="single" w:sz="4" w:space="0" w:color="000000"/>
            </w:tcBorders>
            <w:shd w:val="clear" w:color="auto" w:fill="D2D2D2"/>
          </w:tcPr>
          <w:p>
            <w:pPr/>
          </w:p>
        </w:tc>
        <w:tc>
          <w:tcPr>
            <w:tcW w:w="821" w:type="dxa"/>
            <w:vMerge/>
            <w:tcBorders>
              <w:left w:val="single" w:sz="8" w:space="0" w:color="D2D2D2"/>
              <w:bottom w:val="single" w:sz="4" w:space="0" w:color="000000"/>
              <w:right w:val="single" w:sz="4" w:space="0" w:color="000000"/>
            </w:tcBorders>
          </w:tcPr>
          <w:p>
            <w:pPr/>
          </w:p>
        </w:tc>
        <w:tc>
          <w:tcPr>
            <w:tcW w:w="826"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6"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398" w:hRule="exact"/>
        </w:trPr>
        <w:tc>
          <w:tcPr>
            <w:tcW w:w="2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821"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0.00%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其中：境外法人持股</w:t>
            </w:r>
          </w:p>
        </w:tc>
        <w:tc>
          <w:tcPr>
            <w:tcW w:w="821"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0.00%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86"/>
              <w:jc w:val="right"/>
              <w:rPr>
                <w:rFonts w:ascii="宋体" w:hAnsi="宋体" w:cs="宋体" w:eastAsia="宋体" w:hint="default"/>
                <w:sz w:val="18"/>
                <w:szCs w:val="18"/>
              </w:rPr>
            </w:pPr>
            <w:r>
              <w:rPr>
                <w:rFonts w:ascii="宋体" w:hAnsi="宋体" w:cs="宋体" w:eastAsia="宋体" w:hint="default"/>
                <w:spacing w:val="-3"/>
                <w:sz w:val="18"/>
                <w:szCs w:val="18"/>
              </w:rPr>
              <w:t>境外自然人持股</w:t>
            </w:r>
          </w:p>
        </w:tc>
        <w:tc>
          <w:tcPr>
            <w:tcW w:w="821"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0.00%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59" w:hRule="exact"/>
        </w:trPr>
        <w:tc>
          <w:tcPr>
            <w:tcW w:w="2215" w:type="dxa"/>
            <w:tcBorders>
              <w:top w:val="single" w:sz="4" w:space="0" w:color="000000"/>
              <w:left w:val="single" w:sz="4" w:space="0" w:color="000000"/>
              <w:bottom w:val="nil" w:sz="6" w:space="0" w:color="auto"/>
              <w:right w:val="single" w:sz="4" w:space="0" w:color="000000"/>
            </w:tcBorders>
            <w:shd w:val="clear" w:color="auto" w:fill="D2D2D2"/>
          </w:tcPr>
          <w:p>
            <w:pPr/>
          </w:p>
        </w:tc>
        <w:tc>
          <w:tcPr>
            <w:tcW w:w="821" w:type="dxa"/>
            <w:vMerge w:val="restart"/>
            <w:tcBorders>
              <w:top w:val="single" w:sz="4" w:space="0" w:color="000000"/>
              <w:left w:val="single" w:sz="8" w:space="0" w:color="D2D2D2"/>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185,796,4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91</w:t>
            </w:r>
          </w:p>
        </w:tc>
        <w:tc>
          <w:tcPr>
            <w:tcW w:w="82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30" w:right="0"/>
              <w:jc w:val="left"/>
              <w:rPr>
                <w:rFonts w:ascii="Times New Roman" w:hAnsi="Times New Roman" w:cs="Times New Roman" w:eastAsia="Times New Roman" w:hint="default"/>
                <w:sz w:val="18"/>
                <w:szCs w:val="18"/>
              </w:rPr>
            </w:pPr>
            <w:r>
              <w:rPr>
                <w:rFonts w:ascii="Times New Roman"/>
                <w:sz w:val="18"/>
              </w:rPr>
              <w:t>62.31%</w:t>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19,839,37</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19,839,37</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205,635,8</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69</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01" w:right="0"/>
              <w:jc w:val="left"/>
              <w:rPr>
                <w:rFonts w:ascii="Times New Roman" w:hAnsi="Times New Roman" w:cs="Times New Roman" w:eastAsia="Times New Roman" w:hint="default"/>
                <w:sz w:val="18"/>
                <w:szCs w:val="18"/>
              </w:rPr>
            </w:pPr>
            <w:r>
              <w:rPr>
                <w:rFonts w:ascii="Times New Roman"/>
                <w:sz w:val="18"/>
              </w:rPr>
              <w:t>68.96%</w:t>
            </w:r>
          </w:p>
        </w:tc>
      </w:tr>
      <w:tr>
        <w:trPr>
          <w:trHeight w:val="393" w:hRule="exact"/>
        </w:trPr>
        <w:tc>
          <w:tcPr>
            <w:tcW w:w="22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二、无限售条件股份</w:t>
            </w:r>
          </w:p>
        </w:tc>
        <w:tc>
          <w:tcPr>
            <w:tcW w:w="821" w:type="dxa"/>
            <w:vMerge/>
            <w:tcBorders>
              <w:left w:val="single" w:sz="8" w:space="0" w:color="D2D2D2"/>
              <w:right w:val="single" w:sz="4" w:space="0" w:color="000000"/>
            </w:tcBorders>
          </w:tcPr>
          <w:p>
            <w:pPr/>
          </w:p>
        </w:tc>
        <w:tc>
          <w:tcPr>
            <w:tcW w:w="826"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6"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4" w:hRule="exact"/>
        </w:trPr>
        <w:tc>
          <w:tcPr>
            <w:tcW w:w="2215" w:type="dxa"/>
            <w:tcBorders>
              <w:top w:val="nil" w:sz="6" w:space="0" w:color="auto"/>
              <w:left w:val="single" w:sz="4" w:space="0" w:color="000000"/>
              <w:bottom w:val="single" w:sz="4" w:space="0" w:color="000000"/>
              <w:right w:val="single" w:sz="4" w:space="0" w:color="000000"/>
            </w:tcBorders>
            <w:shd w:val="clear" w:color="auto" w:fill="D2D2D2"/>
          </w:tcPr>
          <w:p>
            <w:pPr/>
          </w:p>
        </w:tc>
        <w:tc>
          <w:tcPr>
            <w:tcW w:w="821" w:type="dxa"/>
            <w:vMerge/>
            <w:tcBorders>
              <w:left w:val="single" w:sz="8" w:space="0" w:color="D2D2D2"/>
              <w:bottom w:val="single" w:sz="4" w:space="0" w:color="000000"/>
              <w:right w:val="single" w:sz="4" w:space="0" w:color="000000"/>
            </w:tcBorders>
          </w:tcPr>
          <w:p>
            <w:pPr/>
          </w:p>
        </w:tc>
        <w:tc>
          <w:tcPr>
            <w:tcW w:w="826"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6"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158" w:hRule="exact"/>
        </w:trPr>
        <w:tc>
          <w:tcPr>
            <w:tcW w:w="2215" w:type="dxa"/>
            <w:tcBorders>
              <w:top w:val="single" w:sz="4" w:space="0" w:color="000000"/>
              <w:left w:val="single" w:sz="4" w:space="0" w:color="000000"/>
              <w:bottom w:val="nil" w:sz="6" w:space="0" w:color="auto"/>
              <w:right w:val="single" w:sz="4" w:space="0" w:color="000000"/>
            </w:tcBorders>
            <w:shd w:val="clear" w:color="auto" w:fill="D2D2D2"/>
          </w:tcPr>
          <w:p>
            <w:pPr/>
          </w:p>
        </w:tc>
        <w:tc>
          <w:tcPr>
            <w:tcW w:w="821" w:type="dxa"/>
            <w:vMerge w:val="restart"/>
            <w:tcBorders>
              <w:top w:val="single" w:sz="4" w:space="0" w:color="000000"/>
              <w:left w:val="single" w:sz="8" w:space="0" w:color="D2D2D2"/>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185,796,4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91</w:t>
            </w:r>
          </w:p>
        </w:tc>
        <w:tc>
          <w:tcPr>
            <w:tcW w:w="82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30" w:right="0"/>
              <w:jc w:val="left"/>
              <w:rPr>
                <w:rFonts w:ascii="Times New Roman" w:hAnsi="Times New Roman" w:cs="Times New Roman" w:eastAsia="Times New Roman" w:hint="default"/>
                <w:sz w:val="18"/>
                <w:szCs w:val="18"/>
              </w:rPr>
            </w:pPr>
            <w:r>
              <w:rPr>
                <w:rFonts w:ascii="Times New Roman"/>
                <w:sz w:val="18"/>
              </w:rPr>
              <w:t>62.31%</w:t>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19,839,37</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19,839,37</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205,635,8</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69</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01" w:right="0"/>
              <w:jc w:val="left"/>
              <w:rPr>
                <w:rFonts w:ascii="Times New Roman" w:hAnsi="Times New Roman" w:cs="Times New Roman" w:eastAsia="Times New Roman" w:hint="default"/>
                <w:sz w:val="18"/>
                <w:szCs w:val="18"/>
              </w:rPr>
            </w:pPr>
            <w:r>
              <w:rPr>
                <w:rFonts w:ascii="Times New Roman"/>
                <w:sz w:val="18"/>
              </w:rPr>
              <w:t>68.96%</w:t>
            </w:r>
          </w:p>
        </w:tc>
      </w:tr>
      <w:tr>
        <w:trPr>
          <w:trHeight w:val="389" w:hRule="exact"/>
        </w:trPr>
        <w:tc>
          <w:tcPr>
            <w:tcW w:w="22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4"/>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821" w:type="dxa"/>
            <w:vMerge/>
            <w:tcBorders>
              <w:left w:val="single" w:sz="8" w:space="0" w:color="D2D2D2"/>
              <w:right w:val="single" w:sz="4" w:space="0" w:color="000000"/>
            </w:tcBorders>
          </w:tcPr>
          <w:p>
            <w:pPr/>
          </w:p>
        </w:tc>
        <w:tc>
          <w:tcPr>
            <w:tcW w:w="826"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6"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3" w:hRule="exact"/>
        </w:trPr>
        <w:tc>
          <w:tcPr>
            <w:tcW w:w="2215" w:type="dxa"/>
            <w:tcBorders>
              <w:top w:val="nil" w:sz="6" w:space="0" w:color="auto"/>
              <w:left w:val="single" w:sz="4" w:space="0" w:color="000000"/>
              <w:bottom w:val="single" w:sz="4" w:space="0" w:color="000000"/>
              <w:right w:val="single" w:sz="4" w:space="0" w:color="000000"/>
            </w:tcBorders>
            <w:shd w:val="clear" w:color="auto" w:fill="D2D2D2"/>
          </w:tcPr>
          <w:p>
            <w:pPr/>
          </w:p>
        </w:tc>
        <w:tc>
          <w:tcPr>
            <w:tcW w:w="821" w:type="dxa"/>
            <w:vMerge/>
            <w:tcBorders>
              <w:left w:val="single" w:sz="8" w:space="0" w:color="D2D2D2"/>
              <w:bottom w:val="single" w:sz="4" w:space="0" w:color="000000"/>
              <w:right w:val="single" w:sz="4" w:space="0" w:color="000000"/>
            </w:tcBorders>
          </w:tcPr>
          <w:p>
            <w:pPr/>
          </w:p>
        </w:tc>
        <w:tc>
          <w:tcPr>
            <w:tcW w:w="826"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6"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403" w:hRule="exact"/>
        </w:trPr>
        <w:tc>
          <w:tcPr>
            <w:tcW w:w="2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821"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0.00%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821"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0.00%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821"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0.00%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58" w:hRule="exact"/>
        </w:trPr>
        <w:tc>
          <w:tcPr>
            <w:tcW w:w="2215" w:type="dxa"/>
            <w:tcBorders>
              <w:top w:val="single" w:sz="4" w:space="0" w:color="000000"/>
              <w:left w:val="single" w:sz="4" w:space="0" w:color="000000"/>
              <w:bottom w:val="nil" w:sz="6" w:space="0" w:color="auto"/>
              <w:right w:val="single" w:sz="4" w:space="0" w:color="000000"/>
            </w:tcBorders>
            <w:shd w:val="clear" w:color="auto" w:fill="D2D2D2"/>
          </w:tcPr>
          <w:p>
            <w:pPr/>
          </w:p>
        </w:tc>
        <w:tc>
          <w:tcPr>
            <w:tcW w:w="821" w:type="dxa"/>
            <w:vMerge w:val="restart"/>
            <w:tcBorders>
              <w:top w:val="single" w:sz="4" w:space="0" w:color="000000"/>
              <w:left w:val="single" w:sz="8" w:space="0" w:color="D2D2D2"/>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298,186,0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82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100.00%</w:t>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298,186,0</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00</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100.00%</w:t>
            </w:r>
          </w:p>
        </w:tc>
      </w:tr>
      <w:tr>
        <w:trPr>
          <w:trHeight w:val="389" w:hRule="exact"/>
        </w:trPr>
        <w:tc>
          <w:tcPr>
            <w:tcW w:w="22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4"/>
              <w:ind w:left="11"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821" w:type="dxa"/>
            <w:vMerge/>
            <w:tcBorders>
              <w:left w:val="single" w:sz="8" w:space="0" w:color="D2D2D2"/>
              <w:right w:val="single" w:sz="4" w:space="0" w:color="000000"/>
            </w:tcBorders>
          </w:tcPr>
          <w:p>
            <w:pPr/>
          </w:p>
        </w:tc>
        <w:tc>
          <w:tcPr>
            <w:tcW w:w="826"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6"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3" w:hRule="exact"/>
        </w:trPr>
        <w:tc>
          <w:tcPr>
            <w:tcW w:w="2215" w:type="dxa"/>
            <w:tcBorders>
              <w:top w:val="nil" w:sz="6" w:space="0" w:color="auto"/>
              <w:left w:val="single" w:sz="4" w:space="0" w:color="000000"/>
              <w:bottom w:val="single" w:sz="4" w:space="0" w:color="000000"/>
              <w:right w:val="single" w:sz="4" w:space="0" w:color="000000"/>
            </w:tcBorders>
            <w:shd w:val="clear" w:color="auto" w:fill="D2D2D2"/>
          </w:tcPr>
          <w:p>
            <w:pPr/>
          </w:p>
        </w:tc>
        <w:tc>
          <w:tcPr>
            <w:tcW w:w="821" w:type="dxa"/>
            <w:vMerge/>
            <w:tcBorders>
              <w:left w:val="single" w:sz="8" w:space="0" w:color="D2D2D2"/>
              <w:bottom w:val="single" w:sz="4" w:space="0" w:color="000000"/>
              <w:right w:val="single" w:sz="4" w:space="0" w:color="000000"/>
            </w:tcBorders>
          </w:tcPr>
          <w:p>
            <w:pPr/>
          </w:p>
        </w:tc>
        <w:tc>
          <w:tcPr>
            <w:tcW w:w="826"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6"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股份变动的原因</w:t>
      </w:r>
    </w:p>
    <w:p>
      <w:pPr>
        <w:spacing w:before="119"/>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不适用</w:t>
      </w:r>
    </w:p>
    <w:p>
      <w:pPr>
        <w:pStyle w:val="BodyText"/>
        <w:spacing w:line="256" w:lineRule="auto" w:before="71"/>
        <w:ind w:right="0"/>
        <w:jc w:val="left"/>
      </w:pPr>
      <w:r>
        <w:rPr>
          <w:spacing w:val="-2"/>
        </w:rPr>
        <w:t>公司董事、监事、高级管理人员所持股份自任职之日起每年按其前一年度末所持股份的</w:t>
      </w:r>
      <w:r>
        <w:rPr>
          <w:rFonts w:ascii="Times New Roman" w:hAnsi="Times New Roman" w:cs="Times New Roman" w:eastAsia="Times New Roman" w:hint="default"/>
          <w:spacing w:val="-2"/>
        </w:rPr>
        <w:t>75%</w:t>
      </w:r>
      <w:r>
        <w:rPr>
          <w:spacing w:val="-2"/>
        </w:rPr>
        <w:t>锁定为高管锁</w:t>
      </w:r>
      <w:r>
        <w:rPr>
          <w:spacing w:val="-12"/>
        </w:rPr>
        <w:t> </w:t>
      </w:r>
      <w:r>
        <w:rPr>
          <w:spacing w:val="-12"/>
        </w:rPr>
      </w:r>
      <w:r>
        <w:rPr/>
        <w:t>定股。</w:t>
      </w:r>
    </w:p>
    <w:p>
      <w:pPr>
        <w:spacing w:after="0" w:line="256" w:lineRule="auto"/>
        <w:jc w:val="left"/>
        <w:sectPr>
          <w:pgSz w:w="11900" w:h="16840"/>
          <w:pgMar w:header="872" w:footer="984" w:top="1060" w:bottom="1180" w:left="980" w:right="980"/>
        </w:sectPr>
      </w:pPr>
    </w:p>
    <w:p>
      <w:pPr>
        <w:spacing w:line="240" w:lineRule="auto" w:before="6"/>
        <w:rPr>
          <w:rFonts w:ascii="宋体" w:hAnsi="宋体" w:cs="宋体" w:eastAsia="宋体" w:hint="default"/>
          <w:sz w:val="26"/>
          <w:szCs w:val="26"/>
        </w:rPr>
      </w:pPr>
    </w:p>
    <w:p>
      <w:pPr>
        <w:spacing w:before="46"/>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股份变动的批准情况</w:t>
      </w:r>
    </w:p>
    <w:p>
      <w:pPr>
        <w:spacing w:line="343" w:lineRule="auto" w:before="115"/>
        <w:ind w:left="152" w:right="767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股份变动的过户情况</w:t>
      </w:r>
    </w:p>
    <w:p>
      <w:pPr>
        <w:spacing w:line="338" w:lineRule="auto" w:before="37"/>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股份变动对最近一年和最近一期基本每股收益和稀释每股收益、归属于公司普通股股东的每股净资产等财务指标的影响</w:t>
      </w:r>
    </w:p>
    <w:p>
      <w:pPr>
        <w:spacing w:line="338" w:lineRule="auto" w:before="46"/>
        <w:ind w:left="152" w:right="528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公司认为必要或证券监管机构要求披露的其他内容</w:t>
      </w:r>
    </w:p>
    <w:p>
      <w:pPr>
        <w:spacing w:before="41"/>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line="240" w:lineRule="auto" w:before="6"/>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2</w:t>
      </w:r>
      <w:r>
        <w:rPr/>
        <w:t>、限售股份变动情况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17"/>
          <w:szCs w:val="17"/>
        </w:rPr>
      </w:pPr>
    </w:p>
    <w:p>
      <w:pPr>
        <w:pStyle w:val="Heading2"/>
        <w:spacing w:line="240" w:lineRule="auto"/>
        <w:ind w:right="0"/>
        <w:jc w:val="left"/>
        <w:rPr>
          <w:b w:val="0"/>
          <w:bCs w:val="0"/>
        </w:rPr>
      </w:pPr>
      <w:r>
        <w:rPr/>
        <w:t>二、证券发行与上市情况</w:t>
      </w:r>
      <w:r>
        <w:rPr>
          <w:b w:val="0"/>
          <w:bCs w:val="0"/>
        </w:rPr>
      </w:r>
    </w:p>
    <w:p>
      <w:pPr>
        <w:spacing w:line="240" w:lineRule="auto" w:before="10"/>
        <w:rPr>
          <w:rFonts w:ascii="Microsoft JhengHei" w:hAnsi="Microsoft JhengHei" w:cs="Microsoft JhengHei" w:eastAsia="Microsoft JhengHei" w:hint="default"/>
          <w:b/>
          <w:bCs/>
          <w:sz w:val="13"/>
          <w:szCs w:val="13"/>
        </w:rPr>
      </w:pPr>
    </w:p>
    <w:p>
      <w:pPr>
        <w:pStyle w:val="Heading4"/>
        <w:spacing w:line="240" w:lineRule="auto"/>
        <w:ind w:right="0"/>
        <w:jc w:val="left"/>
        <w:rPr>
          <w:b w:val="0"/>
          <w:bCs w:val="0"/>
        </w:rPr>
      </w:pPr>
      <w:r>
        <w:rPr>
          <w:rFonts w:ascii="Times New Roman" w:hAnsi="Times New Roman" w:cs="Times New Roman" w:eastAsia="Times New Roman" w:hint="default"/>
        </w:rPr>
        <w:t>1</w:t>
      </w:r>
      <w:r>
        <w:rPr/>
        <w:t>、报告期内证券发行（不含优先股）情况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3</w:t>
      </w:r>
      <w:r>
        <w:rPr/>
        <w:t>、现存的内部职工股情况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line="240" w:lineRule="auto" w:before="6"/>
        <w:rPr>
          <w:rFonts w:ascii="宋体" w:hAnsi="宋体" w:cs="宋体" w:eastAsia="宋体" w:hint="default"/>
          <w:sz w:val="17"/>
          <w:szCs w:val="17"/>
        </w:rPr>
      </w:pPr>
    </w:p>
    <w:p>
      <w:pPr>
        <w:pStyle w:val="Heading2"/>
        <w:spacing w:line="240" w:lineRule="auto"/>
        <w:ind w:right="0"/>
        <w:jc w:val="left"/>
        <w:rPr>
          <w:b w:val="0"/>
          <w:bCs w:val="0"/>
        </w:rPr>
      </w:pPr>
      <w:r>
        <w:rPr/>
        <w:t>三、股东和实际控制人情况</w:t>
      </w:r>
      <w:r>
        <w:rPr>
          <w:b w:val="0"/>
          <w:bCs w:val="0"/>
        </w:rPr>
      </w:r>
    </w:p>
    <w:p>
      <w:pPr>
        <w:spacing w:line="240" w:lineRule="auto" w:before="5"/>
        <w:rPr>
          <w:rFonts w:ascii="Microsoft JhengHei" w:hAnsi="Microsoft JhengHei" w:cs="Microsoft JhengHei" w:eastAsia="Microsoft JhengHei" w:hint="default"/>
          <w:b/>
          <w:bCs/>
          <w:sz w:val="13"/>
          <w:szCs w:val="13"/>
        </w:rPr>
      </w:pPr>
    </w:p>
    <w:p>
      <w:pPr>
        <w:pStyle w:val="Heading4"/>
        <w:spacing w:line="240" w:lineRule="auto"/>
        <w:ind w:right="0"/>
        <w:jc w:val="left"/>
        <w:rPr>
          <w:b w:val="0"/>
          <w:bCs w:val="0"/>
        </w:rPr>
      </w:pPr>
      <w:r>
        <w:rPr>
          <w:rFonts w:ascii="Times New Roman" w:hAnsi="Times New Roman" w:cs="Times New Roman" w:eastAsia="Times New Roman" w:hint="default"/>
        </w:rPr>
        <w:t>1</w:t>
      </w:r>
      <w:r>
        <w:rPr/>
        <w:t>、公司股东数量及持股情况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0" w:right="146" w:firstLine="0"/>
        <w:jc w:val="right"/>
        <w:rPr>
          <w:rFonts w:ascii="宋体" w:hAnsi="宋体" w:cs="宋体" w:eastAsia="宋体" w:hint="default"/>
          <w:sz w:val="18"/>
          <w:szCs w:val="18"/>
        </w:rPr>
      </w:pPr>
      <w:r>
        <w:rPr>
          <w:rFonts w:ascii="宋体" w:hAnsi="宋体" w:cs="宋体" w:eastAsia="宋体" w:hint="default"/>
          <w:spacing w:val="-2"/>
          <w:sz w:val="18"/>
          <w:szCs w:val="18"/>
        </w:rPr>
        <w:t>单位：股</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183"/>
        <w:gridCol w:w="274"/>
        <w:gridCol w:w="934"/>
        <w:gridCol w:w="478"/>
        <w:gridCol w:w="698"/>
        <w:gridCol w:w="91"/>
        <w:gridCol w:w="785"/>
        <w:gridCol w:w="338"/>
        <w:gridCol w:w="451"/>
        <w:gridCol w:w="756"/>
        <w:gridCol w:w="859"/>
        <w:gridCol w:w="329"/>
        <w:gridCol w:w="1032"/>
        <w:gridCol w:w="142"/>
        <w:gridCol w:w="1205"/>
      </w:tblGrid>
      <w:tr>
        <w:trPr>
          <w:trHeight w:val="158" w:hRule="exact"/>
        </w:trPr>
        <w:tc>
          <w:tcPr>
            <w:tcW w:w="1183" w:type="dxa"/>
            <w:vMerge w:val="restart"/>
            <w:tcBorders>
              <w:top w:val="single" w:sz="4" w:space="0" w:color="000000"/>
              <w:left w:val="single" w:sz="4" w:space="0" w:color="000000"/>
              <w:right w:val="single" w:sz="4" w:space="0" w:color="000000"/>
            </w:tcBorders>
            <w:shd w:val="clear" w:color="auto" w:fill="D2D2D2"/>
          </w:tcPr>
          <w:p>
            <w:pPr/>
          </w:p>
        </w:tc>
        <w:tc>
          <w:tcPr>
            <w:tcW w:w="1207" w:type="dxa"/>
            <w:gridSpan w:val="2"/>
            <w:vMerge w:val="restart"/>
            <w:tcBorders>
              <w:top w:val="single" w:sz="4" w:space="0" w:color="000000"/>
              <w:left w:val="single" w:sz="8" w:space="0" w:color="D2D2D2"/>
              <w:right w:val="single" w:sz="10"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62" w:right="0"/>
              <w:jc w:val="left"/>
              <w:rPr>
                <w:rFonts w:ascii="Times New Roman" w:hAnsi="Times New Roman" w:cs="Times New Roman" w:eastAsia="Times New Roman" w:hint="default"/>
                <w:sz w:val="18"/>
                <w:szCs w:val="18"/>
              </w:rPr>
            </w:pPr>
            <w:r>
              <w:rPr>
                <w:rFonts w:ascii="Times New Roman"/>
                <w:sz w:val="18"/>
              </w:rPr>
              <w:t>32,698</w:t>
            </w:r>
          </w:p>
        </w:tc>
        <w:tc>
          <w:tcPr>
            <w:tcW w:w="1176" w:type="dxa"/>
            <w:gridSpan w:val="2"/>
            <w:vMerge w:val="restart"/>
            <w:tcBorders>
              <w:top w:val="single" w:sz="4" w:space="0" w:color="000000"/>
              <w:left w:val="single" w:sz="4" w:space="0" w:color="000000"/>
              <w:right w:val="single" w:sz="4" w:space="0" w:color="000000"/>
            </w:tcBorders>
            <w:shd w:val="clear" w:color="auto" w:fill="D2D2D2"/>
          </w:tcPr>
          <w:p>
            <w:pPr/>
          </w:p>
        </w:tc>
        <w:tc>
          <w:tcPr>
            <w:tcW w:w="1214" w:type="dxa"/>
            <w:gridSpan w:val="3"/>
            <w:vMerge w:val="restart"/>
            <w:tcBorders>
              <w:top w:val="single" w:sz="4" w:space="0" w:color="000000"/>
              <w:left w:val="single" w:sz="10" w:space="0" w:color="D2D2D2"/>
              <w:right w:val="single" w:sz="10"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62" w:right="0"/>
              <w:jc w:val="left"/>
              <w:rPr>
                <w:rFonts w:ascii="Times New Roman" w:hAnsi="Times New Roman" w:cs="Times New Roman" w:eastAsia="Times New Roman" w:hint="default"/>
                <w:sz w:val="18"/>
                <w:szCs w:val="18"/>
              </w:rPr>
            </w:pPr>
            <w:r>
              <w:rPr>
                <w:rFonts w:ascii="Times New Roman"/>
                <w:sz w:val="18"/>
              </w:rPr>
              <w:t>36,307</w:t>
            </w:r>
          </w:p>
        </w:tc>
        <w:tc>
          <w:tcPr>
            <w:tcW w:w="1207"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1188" w:type="dxa"/>
            <w:gridSpan w:val="2"/>
            <w:vMerge w:val="restart"/>
            <w:tcBorders>
              <w:top w:val="single" w:sz="4" w:space="0" w:color="000000"/>
              <w:left w:val="single" w:sz="10" w:space="0" w:color="D2D2D2"/>
              <w:right w:val="single" w:sz="10"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17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12" w:right="7"/>
              <w:jc w:val="both"/>
              <w:rPr>
                <w:rFonts w:ascii="宋体" w:hAnsi="宋体" w:cs="宋体" w:eastAsia="宋体" w:hint="default"/>
                <w:sz w:val="18"/>
                <w:szCs w:val="18"/>
              </w:rPr>
            </w:pPr>
            <w:r>
              <w:rPr>
                <w:rFonts w:ascii="宋体" w:hAnsi="宋体" w:cs="宋体" w:eastAsia="宋体" w:hint="default"/>
                <w:sz w:val="18"/>
                <w:szCs w:val="18"/>
              </w:rPr>
              <w:t>年度报告披露</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日前上一月末</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表决权恢复的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优先股股东总</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0"/>
                <w:w w:val="101"/>
                <w:sz w:val="18"/>
                <w:szCs w:val="18"/>
              </w:rPr>
              <w:t>数（如有）（参</w:t>
            </w:r>
            <w:r>
              <w:rPr>
                <w:rFonts w:ascii="宋体" w:hAnsi="宋体" w:cs="宋体" w:eastAsia="宋体" w:hint="default"/>
                <w:spacing w:val="-88"/>
                <w:w w:val="101"/>
                <w:sz w:val="18"/>
                <w:szCs w:val="18"/>
              </w:rPr>
              <w:t> </w:t>
            </w:r>
            <w:r>
              <w:rPr>
                <w:rFonts w:ascii="宋体" w:hAnsi="宋体" w:cs="宋体" w:eastAsia="宋体" w:hint="default"/>
                <w:spacing w:val="-88"/>
                <w:w w:val="101"/>
                <w:sz w:val="18"/>
                <w:szCs w:val="18"/>
              </w:rPr>
            </w:r>
            <w:r>
              <w:rPr>
                <w:rFonts w:ascii="宋体" w:hAnsi="宋体" w:cs="宋体" w:eastAsia="宋体" w:hint="default"/>
                <w:sz w:val="18"/>
                <w:szCs w:val="18"/>
              </w:rPr>
              <w:t>见注</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1205" w:type="dxa"/>
            <w:vMerge w:val="restart"/>
            <w:tcBorders>
              <w:top w:val="single" w:sz="4" w:space="0" w:color="000000"/>
              <w:left w:val="single" w:sz="8"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158" w:hRule="exact"/>
        </w:trPr>
        <w:tc>
          <w:tcPr>
            <w:tcW w:w="1183" w:type="dxa"/>
            <w:vMerge/>
            <w:tcBorders>
              <w:left w:val="single" w:sz="4" w:space="0" w:color="000000"/>
              <w:right w:val="single" w:sz="4" w:space="0" w:color="000000"/>
            </w:tcBorders>
            <w:shd w:val="clear" w:color="auto" w:fill="D2D2D2"/>
          </w:tcPr>
          <w:p>
            <w:pPr/>
          </w:p>
        </w:tc>
        <w:tc>
          <w:tcPr>
            <w:tcW w:w="1207" w:type="dxa"/>
            <w:gridSpan w:val="2"/>
            <w:vMerge/>
            <w:tcBorders>
              <w:left w:val="single" w:sz="8" w:space="0" w:color="D2D2D2"/>
              <w:right w:val="single" w:sz="10" w:space="0" w:color="D2D2D2"/>
            </w:tcBorders>
          </w:tcPr>
          <w:p>
            <w:pPr/>
          </w:p>
        </w:tc>
        <w:tc>
          <w:tcPr>
            <w:tcW w:w="1176" w:type="dxa"/>
            <w:gridSpan w:val="2"/>
            <w:vMerge/>
            <w:tcBorders>
              <w:left w:val="single" w:sz="4" w:space="0" w:color="000000"/>
              <w:bottom w:val="nil" w:sz="6" w:space="0" w:color="auto"/>
              <w:right w:val="single" w:sz="4" w:space="0" w:color="000000"/>
            </w:tcBorders>
            <w:shd w:val="clear" w:color="auto" w:fill="D2D2D2"/>
          </w:tcPr>
          <w:p>
            <w:pPr/>
          </w:p>
        </w:tc>
        <w:tc>
          <w:tcPr>
            <w:tcW w:w="1214" w:type="dxa"/>
            <w:gridSpan w:val="3"/>
            <w:vMerge/>
            <w:tcBorders>
              <w:left w:val="single" w:sz="10" w:space="0" w:color="D2D2D2"/>
              <w:right w:val="single" w:sz="10" w:space="0" w:color="D2D2D2"/>
            </w:tcBorders>
          </w:tcPr>
          <w:p>
            <w:pPr/>
          </w:p>
        </w:tc>
        <w:tc>
          <w:tcPr>
            <w:tcW w:w="1207"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53"/>
              <w:ind w:left="12" w:right="98"/>
              <w:jc w:val="both"/>
              <w:rPr>
                <w:rFonts w:ascii="宋体" w:hAnsi="宋体" w:cs="宋体" w:eastAsia="宋体" w:hint="default"/>
                <w:sz w:val="18"/>
                <w:szCs w:val="18"/>
              </w:rPr>
            </w:pPr>
            <w:r>
              <w:rPr>
                <w:rFonts w:ascii="宋体" w:hAnsi="宋体" w:cs="宋体" w:eastAsia="宋体" w:hint="default"/>
                <w:spacing w:val="-2"/>
                <w:sz w:val="18"/>
                <w:szCs w:val="18"/>
              </w:rPr>
              <w:t>报告期末表决</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权恢复的优先</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股股东总数</w:t>
            </w:r>
          </w:p>
          <w:p>
            <w:pPr>
              <w:pStyle w:val="TableParagraph"/>
              <w:spacing w:line="321" w:lineRule="auto" w:before="20"/>
              <w:ind w:left="12" w:right="41"/>
              <w:jc w:val="both"/>
              <w:rPr>
                <w:rFonts w:ascii="宋体" w:hAnsi="宋体" w:cs="宋体" w:eastAsia="宋体" w:hint="default"/>
                <w:sz w:val="18"/>
                <w:szCs w:val="18"/>
              </w:rPr>
            </w:pPr>
            <w:r>
              <w:rPr>
                <w:rFonts w:ascii="宋体" w:hAnsi="宋体" w:cs="宋体" w:eastAsia="宋体" w:hint="default"/>
                <w:spacing w:val="-20"/>
                <w:w w:val="101"/>
                <w:sz w:val="18"/>
                <w:szCs w:val="18"/>
              </w:rPr>
              <w:t>（如有）（参见</w:t>
            </w:r>
            <w:r>
              <w:rPr>
                <w:rFonts w:ascii="宋体" w:hAnsi="宋体" w:cs="宋体" w:eastAsia="宋体" w:hint="default"/>
                <w:spacing w:val="-87"/>
                <w:w w:val="101"/>
                <w:sz w:val="18"/>
                <w:szCs w:val="18"/>
              </w:rPr>
              <w:t> </w:t>
            </w:r>
            <w:r>
              <w:rPr>
                <w:rFonts w:ascii="宋体" w:hAnsi="宋体" w:cs="宋体" w:eastAsia="宋体" w:hint="default"/>
                <w:spacing w:val="-87"/>
                <w:w w:val="101"/>
                <w:sz w:val="18"/>
                <w:szCs w:val="18"/>
              </w:rPr>
            </w:r>
            <w:r>
              <w:rPr>
                <w:rFonts w:ascii="宋体" w:hAnsi="宋体" w:cs="宋体" w:eastAsia="宋体" w:hint="default"/>
                <w:sz w:val="18"/>
                <w:szCs w:val="18"/>
              </w:rPr>
              <w:t>注</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1188" w:type="dxa"/>
            <w:gridSpan w:val="2"/>
            <w:vMerge/>
            <w:tcBorders>
              <w:left w:val="single" w:sz="10" w:space="0" w:color="D2D2D2"/>
              <w:right w:val="single" w:sz="10" w:space="0" w:color="D2D2D2"/>
            </w:tcBorders>
          </w:tcPr>
          <w:p>
            <w:pPr/>
          </w:p>
        </w:tc>
        <w:tc>
          <w:tcPr>
            <w:tcW w:w="1174" w:type="dxa"/>
            <w:gridSpan w:val="2"/>
            <w:vMerge/>
            <w:tcBorders>
              <w:left w:val="single" w:sz="4" w:space="0" w:color="000000"/>
              <w:right w:val="single" w:sz="4" w:space="0" w:color="000000"/>
            </w:tcBorders>
            <w:shd w:val="clear" w:color="auto" w:fill="D2D2D2"/>
          </w:tcPr>
          <w:p>
            <w:pPr/>
          </w:p>
        </w:tc>
        <w:tc>
          <w:tcPr>
            <w:tcW w:w="1205" w:type="dxa"/>
            <w:vMerge/>
            <w:tcBorders>
              <w:left w:val="single" w:sz="8" w:space="0" w:color="D2D2D2"/>
              <w:right w:val="single" w:sz="4" w:space="0" w:color="000000"/>
            </w:tcBorders>
          </w:tcPr>
          <w:p>
            <w:pPr/>
          </w:p>
        </w:tc>
      </w:tr>
      <w:tr>
        <w:trPr>
          <w:trHeight w:val="312" w:hRule="exact"/>
        </w:trPr>
        <w:tc>
          <w:tcPr>
            <w:tcW w:w="1183" w:type="dxa"/>
            <w:vMerge/>
            <w:tcBorders>
              <w:left w:val="single" w:sz="4" w:space="0" w:color="000000"/>
              <w:bottom w:val="nil" w:sz="6" w:space="0" w:color="auto"/>
              <w:right w:val="single" w:sz="4" w:space="0" w:color="000000"/>
            </w:tcBorders>
            <w:shd w:val="clear" w:color="auto" w:fill="D2D2D2"/>
          </w:tcPr>
          <w:p>
            <w:pPr/>
          </w:p>
        </w:tc>
        <w:tc>
          <w:tcPr>
            <w:tcW w:w="1207" w:type="dxa"/>
            <w:gridSpan w:val="2"/>
            <w:vMerge/>
            <w:tcBorders>
              <w:left w:val="single" w:sz="8" w:space="0" w:color="D2D2D2"/>
              <w:right w:val="single" w:sz="10" w:space="0" w:color="D2D2D2"/>
            </w:tcBorders>
          </w:tcPr>
          <w:p>
            <w:pPr/>
          </w:p>
        </w:tc>
        <w:tc>
          <w:tcPr>
            <w:tcW w:w="1176"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3"/>
              <w:ind w:left="11" w:right="67"/>
              <w:jc w:val="both"/>
              <w:rPr>
                <w:rFonts w:ascii="宋体" w:hAnsi="宋体" w:cs="宋体" w:eastAsia="宋体" w:hint="default"/>
                <w:sz w:val="18"/>
                <w:szCs w:val="18"/>
              </w:rPr>
            </w:pPr>
            <w:r>
              <w:rPr>
                <w:rFonts w:ascii="宋体" w:hAnsi="宋体" w:cs="宋体" w:eastAsia="宋体" w:hint="default"/>
                <w:spacing w:val="-2"/>
                <w:sz w:val="18"/>
                <w:szCs w:val="18"/>
              </w:rPr>
              <w:t>年度报告披露</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日前上一月末</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普通股股东总</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数</w:t>
            </w:r>
          </w:p>
        </w:tc>
        <w:tc>
          <w:tcPr>
            <w:tcW w:w="1214" w:type="dxa"/>
            <w:gridSpan w:val="3"/>
            <w:vMerge/>
            <w:tcBorders>
              <w:left w:val="single" w:sz="10" w:space="0" w:color="D2D2D2"/>
              <w:right w:val="single" w:sz="10" w:space="0" w:color="D2D2D2"/>
            </w:tcBorders>
          </w:tcPr>
          <w:p>
            <w:pPr/>
          </w:p>
        </w:tc>
        <w:tc>
          <w:tcPr>
            <w:tcW w:w="1207" w:type="dxa"/>
            <w:gridSpan w:val="2"/>
            <w:vMerge/>
            <w:tcBorders>
              <w:left w:val="single" w:sz="4" w:space="0" w:color="000000"/>
              <w:right w:val="single" w:sz="4" w:space="0" w:color="000000"/>
            </w:tcBorders>
            <w:shd w:val="clear" w:color="auto" w:fill="D2D2D2"/>
          </w:tcPr>
          <w:p>
            <w:pPr/>
          </w:p>
        </w:tc>
        <w:tc>
          <w:tcPr>
            <w:tcW w:w="1188" w:type="dxa"/>
            <w:gridSpan w:val="2"/>
            <w:vMerge/>
            <w:tcBorders>
              <w:left w:val="single" w:sz="10" w:space="0" w:color="D2D2D2"/>
              <w:right w:val="single" w:sz="10" w:space="0" w:color="D2D2D2"/>
            </w:tcBorders>
          </w:tcPr>
          <w:p>
            <w:pPr/>
          </w:p>
        </w:tc>
        <w:tc>
          <w:tcPr>
            <w:tcW w:w="1174" w:type="dxa"/>
            <w:gridSpan w:val="2"/>
            <w:vMerge/>
            <w:tcBorders>
              <w:left w:val="single" w:sz="4" w:space="0" w:color="000000"/>
              <w:right w:val="single" w:sz="4" w:space="0" w:color="000000"/>
            </w:tcBorders>
            <w:shd w:val="clear" w:color="auto" w:fill="D2D2D2"/>
          </w:tcPr>
          <w:p>
            <w:pPr/>
          </w:p>
        </w:tc>
        <w:tc>
          <w:tcPr>
            <w:tcW w:w="1205" w:type="dxa"/>
            <w:vMerge/>
            <w:tcBorders>
              <w:left w:val="single" w:sz="8" w:space="0" w:color="D2D2D2"/>
              <w:right w:val="single" w:sz="4" w:space="0" w:color="000000"/>
            </w:tcBorders>
          </w:tcPr>
          <w:p>
            <w:pPr/>
          </w:p>
        </w:tc>
      </w:tr>
      <w:tr>
        <w:trPr>
          <w:trHeight w:val="701" w:hRule="exact"/>
        </w:trPr>
        <w:tc>
          <w:tcPr>
            <w:tcW w:w="118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53"/>
              <w:ind w:left="11" w:right="74"/>
              <w:jc w:val="left"/>
              <w:rPr>
                <w:rFonts w:ascii="宋体" w:hAnsi="宋体" w:cs="宋体" w:eastAsia="宋体" w:hint="default"/>
                <w:sz w:val="18"/>
                <w:szCs w:val="18"/>
              </w:rPr>
            </w:pPr>
            <w:r>
              <w:rPr>
                <w:rFonts w:ascii="宋体" w:hAnsi="宋体" w:cs="宋体" w:eastAsia="宋体" w:hint="default"/>
                <w:spacing w:val="-2"/>
                <w:sz w:val="18"/>
                <w:szCs w:val="18"/>
              </w:rPr>
              <w:t>报告期末普通</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股股东总数</w:t>
            </w:r>
          </w:p>
        </w:tc>
        <w:tc>
          <w:tcPr>
            <w:tcW w:w="1207" w:type="dxa"/>
            <w:gridSpan w:val="2"/>
            <w:vMerge/>
            <w:tcBorders>
              <w:left w:val="single" w:sz="8" w:space="0" w:color="D2D2D2"/>
              <w:right w:val="single" w:sz="10" w:space="0" w:color="D2D2D2"/>
            </w:tcBorders>
          </w:tcPr>
          <w:p>
            <w:pPr/>
          </w:p>
        </w:tc>
        <w:tc>
          <w:tcPr>
            <w:tcW w:w="1176" w:type="dxa"/>
            <w:gridSpan w:val="2"/>
            <w:vMerge/>
            <w:tcBorders>
              <w:left w:val="single" w:sz="4" w:space="0" w:color="000000"/>
              <w:right w:val="single" w:sz="4" w:space="0" w:color="000000"/>
            </w:tcBorders>
            <w:shd w:val="clear" w:color="auto" w:fill="D2D2D2"/>
          </w:tcPr>
          <w:p>
            <w:pPr/>
          </w:p>
        </w:tc>
        <w:tc>
          <w:tcPr>
            <w:tcW w:w="1214" w:type="dxa"/>
            <w:gridSpan w:val="3"/>
            <w:vMerge/>
            <w:tcBorders>
              <w:left w:val="single" w:sz="10" w:space="0" w:color="D2D2D2"/>
              <w:right w:val="single" w:sz="10" w:space="0" w:color="D2D2D2"/>
            </w:tcBorders>
          </w:tcPr>
          <w:p>
            <w:pPr/>
          </w:p>
        </w:tc>
        <w:tc>
          <w:tcPr>
            <w:tcW w:w="1207" w:type="dxa"/>
            <w:gridSpan w:val="2"/>
            <w:vMerge/>
            <w:tcBorders>
              <w:left w:val="single" w:sz="4" w:space="0" w:color="000000"/>
              <w:right w:val="single" w:sz="4" w:space="0" w:color="000000"/>
            </w:tcBorders>
            <w:shd w:val="clear" w:color="auto" w:fill="D2D2D2"/>
          </w:tcPr>
          <w:p>
            <w:pPr/>
          </w:p>
        </w:tc>
        <w:tc>
          <w:tcPr>
            <w:tcW w:w="1188" w:type="dxa"/>
            <w:gridSpan w:val="2"/>
            <w:vMerge/>
            <w:tcBorders>
              <w:left w:val="single" w:sz="10" w:space="0" w:color="D2D2D2"/>
              <w:right w:val="single" w:sz="10" w:space="0" w:color="D2D2D2"/>
            </w:tcBorders>
          </w:tcPr>
          <w:p>
            <w:pPr/>
          </w:p>
        </w:tc>
        <w:tc>
          <w:tcPr>
            <w:tcW w:w="1174" w:type="dxa"/>
            <w:gridSpan w:val="2"/>
            <w:vMerge/>
            <w:tcBorders>
              <w:left w:val="single" w:sz="4" w:space="0" w:color="000000"/>
              <w:right w:val="single" w:sz="4" w:space="0" w:color="000000"/>
            </w:tcBorders>
            <w:shd w:val="clear" w:color="auto" w:fill="D2D2D2"/>
          </w:tcPr>
          <w:p>
            <w:pPr/>
          </w:p>
        </w:tc>
        <w:tc>
          <w:tcPr>
            <w:tcW w:w="1205" w:type="dxa"/>
            <w:vMerge/>
            <w:tcBorders>
              <w:left w:val="single" w:sz="8" w:space="0" w:color="D2D2D2"/>
              <w:right w:val="single" w:sz="4" w:space="0" w:color="000000"/>
            </w:tcBorders>
          </w:tcPr>
          <w:p>
            <w:pPr/>
          </w:p>
        </w:tc>
      </w:tr>
      <w:tr>
        <w:trPr>
          <w:trHeight w:val="312" w:hRule="exact"/>
        </w:trPr>
        <w:tc>
          <w:tcPr>
            <w:tcW w:w="1183" w:type="dxa"/>
            <w:vMerge w:val="restart"/>
            <w:tcBorders>
              <w:top w:val="nil" w:sz="6" w:space="0" w:color="auto"/>
              <w:left w:val="single" w:sz="4" w:space="0" w:color="000000"/>
              <w:right w:val="single" w:sz="4" w:space="0" w:color="000000"/>
            </w:tcBorders>
            <w:shd w:val="clear" w:color="auto" w:fill="D2D2D2"/>
          </w:tcPr>
          <w:p>
            <w:pPr/>
          </w:p>
        </w:tc>
        <w:tc>
          <w:tcPr>
            <w:tcW w:w="1207" w:type="dxa"/>
            <w:gridSpan w:val="2"/>
            <w:vMerge/>
            <w:tcBorders>
              <w:left w:val="single" w:sz="8" w:space="0" w:color="D2D2D2"/>
              <w:right w:val="single" w:sz="10" w:space="0" w:color="D2D2D2"/>
            </w:tcBorders>
          </w:tcPr>
          <w:p>
            <w:pPr/>
          </w:p>
        </w:tc>
        <w:tc>
          <w:tcPr>
            <w:tcW w:w="1176" w:type="dxa"/>
            <w:gridSpan w:val="2"/>
            <w:vMerge/>
            <w:tcBorders>
              <w:left w:val="single" w:sz="4" w:space="0" w:color="000000"/>
              <w:bottom w:val="nil" w:sz="6" w:space="0" w:color="auto"/>
              <w:right w:val="single" w:sz="4" w:space="0" w:color="000000"/>
            </w:tcBorders>
            <w:shd w:val="clear" w:color="auto" w:fill="D2D2D2"/>
          </w:tcPr>
          <w:p>
            <w:pPr/>
          </w:p>
        </w:tc>
        <w:tc>
          <w:tcPr>
            <w:tcW w:w="1214" w:type="dxa"/>
            <w:gridSpan w:val="3"/>
            <w:vMerge/>
            <w:tcBorders>
              <w:left w:val="single" w:sz="10" w:space="0" w:color="D2D2D2"/>
              <w:right w:val="single" w:sz="10" w:space="0" w:color="D2D2D2"/>
            </w:tcBorders>
          </w:tcPr>
          <w:p>
            <w:pPr/>
          </w:p>
        </w:tc>
        <w:tc>
          <w:tcPr>
            <w:tcW w:w="1207" w:type="dxa"/>
            <w:gridSpan w:val="2"/>
            <w:vMerge/>
            <w:tcBorders>
              <w:left w:val="single" w:sz="4" w:space="0" w:color="000000"/>
              <w:right w:val="single" w:sz="4" w:space="0" w:color="000000"/>
            </w:tcBorders>
            <w:shd w:val="clear" w:color="auto" w:fill="D2D2D2"/>
          </w:tcPr>
          <w:p>
            <w:pPr/>
          </w:p>
        </w:tc>
        <w:tc>
          <w:tcPr>
            <w:tcW w:w="1188" w:type="dxa"/>
            <w:gridSpan w:val="2"/>
            <w:vMerge/>
            <w:tcBorders>
              <w:left w:val="single" w:sz="10" w:space="0" w:color="D2D2D2"/>
              <w:right w:val="single" w:sz="10" w:space="0" w:color="D2D2D2"/>
            </w:tcBorders>
          </w:tcPr>
          <w:p>
            <w:pPr/>
          </w:p>
        </w:tc>
        <w:tc>
          <w:tcPr>
            <w:tcW w:w="1174" w:type="dxa"/>
            <w:gridSpan w:val="2"/>
            <w:vMerge/>
            <w:tcBorders>
              <w:left w:val="single" w:sz="4" w:space="0" w:color="000000"/>
              <w:right w:val="single" w:sz="4" w:space="0" w:color="000000"/>
            </w:tcBorders>
            <w:shd w:val="clear" w:color="auto" w:fill="D2D2D2"/>
          </w:tcPr>
          <w:p>
            <w:pPr/>
          </w:p>
        </w:tc>
        <w:tc>
          <w:tcPr>
            <w:tcW w:w="1205" w:type="dxa"/>
            <w:vMerge/>
            <w:tcBorders>
              <w:left w:val="single" w:sz="8" w:space="0" w:color="D2D2D2"/>
              <w:right w:val="single" w:sz="4" w:space="0" w:color="000000"/>
            </w:tcBorders>
          </w:tcPr>
          <w:p>
            <w:pPr/>
          </w:p>
        </w:tc>
      </w:tr>
      <w:tr>
        <w:trPr>
          <w:trHeight w:val="153" w:hRule="exact"/>
        </w:trPr>
        <w:tc>
          <w:tcPr>
            <w:tcW w:w="1183" w:type="dxa"/>
            <w:vMerge/>
            <w:tcBorders>
              <w:left w:val="single" w:sz="4" w:space="0" w:color="000000"/>
              <w:right w:val="single" w:sz="4" w:space="0" w:color="000000"/>
            </w:tcBorders>
            <w:shd w:val="clear" w:color="auto" w:fill="D2D2D2"/>
          </w:tcPr>
          <w:p>
            <w:pPr/>
          </w:p>
        </w:tc>
        <w:tc>
          <w:tcPr>
            <w:tcW w:w="1207" w:type="dxa"/>
            <w:gridSpan w:val="2"/>
            <w:vMerge/>
            <w:tcBorders>
              <w:left w:val="single" w:sz="8" w:space="0" w:color="D2D2D2"/>
              <w:right w:val="single" w:sz="10" w:space="0" w:color="D2D2D2"/>
            </w:tcBorders>
          </w:tcPr>
          <w:p>
            <w:pPr/>
          </w:p>
        </w:tc>
        <w:tc>
          <w:tcPr>
            <w:tcW w:w="1176" w:type="dxa"/>
            <w:gridSpan w:val="2"/>
            <w:vMerge w:val="restart"/>
            <w:tcBorders>
              <w:top w:val="nil" w:sz="6" w:space="0" w:color="auto"/>
              <w:left w:val="single" w:sz="4" w:space="0" w:color="000000"/>
              <w:right w:val="single" w:sz="4" w:space="0" w:color="000000"/>
            </w:tcBorders>
            <w:shd w:val="clear" w:color="auto" w:fill="D2D2D2"/>
          </w:tcPr>
          <w:p>
            <w:pPr/>
          </w:p>
        </w:tc>
        <w:tc>
          <w:tcPr>
            <w:tcW w:w="1214" w:type="dxa"/>
            <w:gridSpan w:val="3"/>
            <w:vMerge/>
            <w:tcBorders>
              <w:left w:val="single" w:sz="10" w:space="0" w:color="D2D2D2"/>
              <w:right w:val="single" w:sz="10" w:space="0" w:color="D2D2D2"/>
            </w:tcBorders>
          </w:tcPr>
          <w:p>
            <w:pPr/>
          </w:p>
        </w:tc>
        <w:tc>
          <w:tcPr>
            <w:tcW w:w="1207" w:type="dxa"/>
            <w:gridSpan w:val="2"/>
            <w:vMerge/>
            <w:tcBorders>
              <w:left w:val="single" w:sz="4" w:space="0" w:color="000000"/>
              <w:bottom w:val="nil" w:sz="6" w:space="0" w:color="auto"/>
              <w:right w:val="single" w:sz="4" w:space="0" w:color="000000"/>
            </w:tcBorders>
            <w:shd w:val="clear" w:color="auto" w:fill="D2D2D2"/>
          </w:tcPr>
          <w:p>
            <w:pPr/>
          </w:p>
        </w:tc>
        <w:tc>
          <w:tcPr>
            <w:tcW w:w="1188" w:type="dxa"/>
            <w:gridSpan w:val="2"/>
            <w:vMerge/>
            <w:tcBorders>
              <w:left w:val="single" w:sz="10" w:space="0" w:color="D2D2D2"/>
              <w:right w:val="single" w:sz="10" w:space="0" w:color="D2D2D2"/>
            </w:tcBorders>
          </w:tcPr>
          <w:p>
            <w:pPr/>
          </w:p>
        </w:tc>
        <w:tc>
          <w:tcPr>
            <w:tcW w:w="1174" w:type="dxa"/>
            <w:gridSpan w:val="2"/>
            <w:vMerge/>
            <w:tcBorders>
              <w:left w:val="single" w:sz="4" w:space="0" w:color="000000"/>
              <w:right w:val="single" w:sz="4" w:space="0" w:color="000000"/>
            </w:tcBorders>
            <w:shd w:val="clear" w:color="auto" w:fill="D2D2D2"/>
          </w:tcPr>
          <w:p>
            <w:pPr/>
          </w:p>
        </w:tc>
        <w:tc>
          <w:tcPr>
            <w:tcW w:w="1205" w:type="dxa"/>
            <w:vMerge/>
            <w:tcBorders>
              <w:left w:val="single" w:sz="8" w:space="0" w:color="D2D2D2"/>
              <w:right w:val="single" w:sz="4" w:space="0" w:color="000000"/>
            </w:tcBorders>
          </w:tcPr>
          <w:p>
            <w:pPr/>
          </w:p>
        </w:tc>
      </w:tr>
      <w:tr>
        <w:trPr>
          <w:trHeight w:val="168" w:hRule="exact"/>
        </w:trPr>
        <w:tc>
          <w:tcPr>
            <w:tcW w:w="1183" w:type="dxa"/>
            <w:vMerge/>
            <w:tcBorders>
              <w:left w:val="single" w:sz="4" w:space="0" w:color="000000"/>
              <w:bottom w:val="single" w:sz="4" w:space="0" w:color="000000"/>
              <w:right w:val="single" w:sz="4" w:space="0" w:color="000000"/>
            </w:tcBorders>
            <w:shd w:val="clear" w:color="auto" w:fill="D2D2D2"/>
          </w:tcPr>
          <w:p>
            <w:pPr/>
          </w:p>
        </w:tc>
        <w:tc>
          <w:tcPr>
            <w:tcW w:w="1207" w:type="dxa"/>
            <w:gridSpan w:val="2"/>
            <w:vMerge/>
            <w:tcBorders>
              <w:left w:val="single" w:sz="8" w:space="0" w:color="D2D2D2"/>
              <w:bottom w:val="single" w:sz="4" w:space="0" w:color="000000"/>
              <w:right w:val="single" w:sz="10" w:space="0" w:color="D2D2D2"/>
            </w:tcBorders>
          </w:tcPr>
          <w:p>
            <w:pPr/>
          </w:p>
        </w:tc>
        <w:tc>
          <w:tcPr>
            <w:tcW w:w="1176" w:type="dxa"/>
            <w:gridSpan w:val="2"/>
            <w:vMerge/>
            <w:tcBorders>
              <w:left w:val="single" w:sz="4" w:space="0" w:color="000000"/>
              <w:bottom w:val="single" w:sz="4" w:space="0" w:color="000000"/>
              <w:right w:val="single" w:sz="4" w:space="0" w:color="000000"/>
            </w:tcBorders>
            <w:shd w:val="clear" w:color="auto" w:fill="D2D2D2"/>
          </w:tcPr>
          <w:p>
            <w:pPr/>
          </w:p>
        </w:tc>
        <w:tc>
          <w:tcPr>
            <w:tcW w:w="1214" w:type="dxa"/>
            <w:gridSpan w:val="3"/>
            <w:vMerge/>
            <w:tcBorders>
              <w:left w:val="single" w:sz="10" w:space="0" w:color="D2D2D2"/>
              <w:bottom w:val="single" w:sz="4" w:space="0" w:color="000000"/>
              <w:right w:val="single" w:sz="10" w:space="0" w:color="D2D2D2"/>
            </w:tcBorders>
          </w:tcPr>
          <w:p>
            <w:pPr/>
          </w:p>
        </w:tc>
        <w:tc>
          <w:tcPr>
            <w:tcW w:w="1207"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1188" w:type="dxa"/>
            <w:gridSpan w:val="2"/>
            <w:vMerge/>
            <w:tcBorders>
              <w:left w:val="single" w:sz="10" w:space="0" w:color="D2D2D2"/>
              <w:bottom w:val="single" w:sz="4" w:space="0" w:color="000000"/>
              <w:right w:val="single" w:sz="10" w:space="0" w:color="D2D2D2"/>
            </w:tcBorders>
          </w:tcPr>
          <w:p>
            <w:pPr/>
          </w:p>
        </w:tc>
        <w:tc>
          <w:tcPr>
            <w:tcW w:w="1174" w:type="dxa"/>
            <w:gridSpan w:val="2"/>
            <w:vMerge/>
            <w:tcBorders>
              <w:left w:val="single" w:sz="4" w:space="0" w:color="000000"/>
              <w:bottom w:val="single" w:sz="4" w:space="0" w:color="000000"/>
              <w:right w:val="single" w:sz="4" w:space="0" w:color="000000"/>
            </w:tcBorders>
            <w:shd w:val="clear" w:color="auto" w:fill="D2D2D2"/>
          </w:tcPr>
          <w:p>
            <w:pPr/>
          </w:p>
        </w:tc>
        <w:tc>
          <w:tcPr>
            <w:tcW w:w="1205" w:type="dxa"/>
            <w:vMerge/>
            <w:tcBorders>
              <w:left w:val="single" w:sz="8" w:space="0" w:color="D2D2D2"/>
              <w:bottom w:val="single" w:sz="4" w:space="0" w:color="000000"/>
              <w:right w:val="single" w:sz="4" w:space="0" w:color="000000"/>
            </w:tcBorders>
          </w:tcPr>
          <w:p>
            <w:pPr/>
          </w:p>
        </w:tc>
      </w:tr>
      <w:tr>
        <w:trPr>
          <w:trHeight w:val="394" w:hRule="exact"/>
        </w:trPr>
        <w:tc>
          <w:tcPr>
            <w:tcW w:w="9554" w:type="dxa"/>
            <w:gridSpan w:val="1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050"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28"/>
                <w:sz w:val="18"/>
                <w:szCs w:val="18"/>
              </w:rPr>
              <w:t> </w:t>
            </w: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以上的股东或前</w:t>
            </w:r>
            <w:r>
              <w:rPr>
                <w:rFonts w:ascii="宋体" w:hAnsi="宋体" w:cs="宋体" w:eastAsia="宋体" w:hint="default"/>
                <w:spacing w:val="-2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7"/>
                <w:sz w:val="18"/>
                <w:szCs w:val="18"/>
              </w:rPr>
              <w:t> </w:t>
            </w:r>
            <w:r>
              <w:rPr>
                <w:rFonts w:ascii="宋体" w:hAnsi="宋体" w:cs="宋体" w:eastAsia="宋体" w:hint="default"/>
                <w:spacing w:val="-3"/>
                <w:sz w:val="18"/>
                <w:szCs w:val="18"/>
              </w:rPr>
              <w:t>名股东持股情况</w:t>
            </w:r>
          </w:p>
        </w:tc>
      </w:tr>
      <w:tr>
        <w:trPr>
          <w:trHeight w:val="158" w:hRule="exact"/>
        </w:trPr>
        <w:tc>
          <w:tcPr>
            <w:tcW w:w="1457" w:type="dxa"/>
            <w:gridSpan w:val="2"/>
            <w:vMerge w:val="restart"/>
            <w:tcBorders>
              <w:top w:val="single" w:sz="4" w:space="0" w:color="000000"/>
              <w:left w:val="single" w:sz="4" w:space="0" w:color="000000"/>
              <w:right w:val="single" w:sz="4" w:space="0" w:color="000000"/>
            </w:tcBorders>
            <w:shd w:val="clear" w:color="auto" w:fill="D2D2D2"/>
          </w:tcPr>
          <w:p>
            <w:pPr/>
          </w:p>
        </w:tc>
        <w:tc>
          <w:tcPr>
            <w:tcW w:w="1411" w:type="dxa"/>
            <w:gridSpan w:val="2"/>
            <w:vMerge w:val="restart"/>
            <w:tcBorders>
              <w:top w:val="single" w:sz="4" w:space="0" w:color="000000"/>
              <w:left w:val="single" w:sz="4" w:space="0" w:color="000000"/>
              <w:right w:val="single" w:sz="4" w:space="0" w:color="000000"/>
            </w:tcBorders>
            <w:shd w:val="clear" w:color="auto" w:fill="D2D2D2"/>
          </w:tcPr>
          <w:p>
            <w:pPr/>
          </w:p>
        </w:tc>
        <w:tc>
          <w:tcPr>
            <w:tcW w:w="790" w:type="dxa"/>
            <w:gridSpan w:val="2"/>
            <w:vMerge w:val="restart"/>
            <w:tcBorders>
              <w:top w:val="single" w:sz="4" w:space="0" w:color="000000"/>
              <w:left w:val="single" w:sz="4" w:space="0" w:color="000000"/>
              <w:right w:val="single" w:sz="4" w:space="0" w:color="000000"/>
            </w:tcBorders>
            <w:shd w:val="clear" w:color="auto" w:fill="D2D2D2"/>
          </w:tcPr>
          <w:p>
            <w:pPr/>
          </w:p>
        </w:tc>
        <w:tc>
          <w:tcPr>
            <w:tcW w:w="785" w:type="dxa"/>
            <w:tcBorders>
              <w:top w:val="single" w:sz="4" w:space="0" w:color="000000"/>
              <w:left w:val="single" w:sz="4" w:space="0" w:color="000000"/>
              <w:bottom w:val="nil" w:sz="6" w:space="0" w:color="auto"/>
              <w:right w:val="single" w:sz="4" w:space="0" w:color="000000"/>
            </w:tcBorders>
            <w:shd w:val="clear" w:color="auto" w:fill="D2D2D2"/>
          </w:tcPr>
          <w:p>
            <w:pPr/>
          </w:p>
        </w:tc>
        <w:tc>
          <w:tcPr>
            <w:tcW w:w="79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8"/>
              <w:ind w:left="28" w:right="24"/>
              <w:jc w:val="center"/>
              <w:rPr>
                <w:rFonts w:ascii="宋体" w:hAnsi="宋体" w:cs="宋体" w:eastAsia="宋体" w:hint="default"/>
                <w:sz w:val="18"/>
                <w:szCs w:val="18"/>
              </w:rPr>
            </w:pPr>
            <w:r>
              <w:rPr>
                <w:rFonts w:ascii="宋体" w:hAnsi="宋体" w:cs="宋体" w:eastAsia="宋体" w:hint="default"/>
                <w:spacing w:val="-2"/>
                <w:sz w:val="18"/>
                <w:szCs w:val="18"/>
              </w:rPr>
              <w:t>报告期内</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增减变动</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情况</w:t>
            </w:r>
          </w:p>
        </w:tc>
        <w:tc>
          <w:tcPr>
            <w:tcW w:w="75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8"/>
              <w:ind w:left="21" w:right="-5" w:firstLine="4"/>
              <w:jc w:val="both"/>
              <w:rPr>
                <w:rFonts w:ascii="宋体" w:hAnsi="宋体" w:cs="宋体" w:eastAsia="宋体" w:hint="default"/>
                <w:sz w:val="18"/>
                <w:szCs w:val="18"/>
              </w:rPr>
            </w:pPr>
            <w:r>
              <w:rPr>
                <w:rFonts w:ascii="宋体" w:hAnsi="宋体" w:cs="宋体" w:eastAsia="宋体" w:hint="default"/>
                <w:sz w:val="18"/>
                <w:szCs w:val="18"/>
              </w:rPr>
              <w:t>持有有限</w:t>
            </w:r>
            <w:r>
              <w:rPr>
                <w:rFonts w:ascii="宋体" w:hAnsi="宋体" w:cs="宋体" w:eastAsia="宋体" w:hint="default"/>
                <w:w w:val="101"/>
                <w:sz w:val="18"/>
                <w:szCs w:val="18"/>
              </w:rPr>
              <w:t> </w:t>
            </w:r>
            <w:r>
              <w:rPr>
                <w:rFonts w:ascii="宋体" w:hAnsi="宋体" w:cs="宋体" w:eastAsia="宋体" w:hint="default"/>
                <w:sz w:val="18"/>
                <w:szCs w:val="18"/>
              </w:rPr>
              <w:t>售条件的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股份数量</w:t>
            </w:r>
          </w:p>
        </w:tc>
        <w:tc>
          <w:tcPr>
            <w:tcW w:w="859"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8"/>
              <w:ind w:left="81" w:right="41"/>
              <w:jc w:val="both"/>
              <w:rPr>
                <w:rFonts w:ascii="宋体" w:hAnsi="宋体" w:cs="宋体" w:eastAsia="宋体" w:hint="default"/>
                <w:sz w:val="18"/>
                <w:szCs w:val="18"/>
              </w:rPr>
            </w:pPr>
            <w:r>
              <w:rPr>
                <w:rFonts w:ascii="宋体" w:hAnsi="宋体" w:cs="宋体" w:eastAsia="宋体" w:hint="default"/>
                <w:sz w:val="18"/>
                <w:szCs w:val="18"/>
              </w:rPr>
              <w:t>持有无限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售条件的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股份数量</w:t>
            </w:r>
          </w:p>
        </w:tc>
        <w:tc>
          <w:tcPr>
            <w:tcW w:w="2707" w:type="dxa"/>
            <w:gridSpan w:val="4"/>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719" w:right="0"/>
              <w:jc w:val="left"/>
              <w:rPr>
                <w:rFonts w:ascii="宋体" w:hAnsi="宋体" w:cs="宋体" w:eastAsia="宋体" w:hint="default"/>
                <w:sz w:val="18"/>
                <w:szCs w:val="18"/>
              </w:rPr>
            </w:pPr>
            <w:r>
              <w:rPr>
                <w:rFonts w:ascii="宋体" w:hAnsi="宋体" w:cs="宋体" w:eastAsia="宋体" w:hint="default"/>
                <w:spacing w:val="-3"/>
                <w:sz w:val="18"/>
                <w:szCs w:val="18"/>
              </w:rPr>
              <w:t>质押或冻结情况</w:t>
            </w:r>
          </w:p>
        </w:tc>
      </w:tr>
      <w:tr>
        <w:trPr>
          <w:trHeight w:val="160" w:hRule="exact"/>
        </w:trPr>
        <w:tc>
          <w:tcPr>
            <w:tcW w:w="1457" w:type="dxa"/>
            <w:gridSpan w:val="2"/>
            <w:vMerge/>
            <w:tcBorders>
              <w:left w:val="single" w:sz="4" w:space="0" w:color="000000"/>
              <w:bottom w:val="nil" w:sz="6" w:space="0" w:color="auto"/>
              <w:right w:val="single" w:sz="4" w:space="0" w:color="000000"/>
            </w:tcBorders>
            <w:shd w:val="clear" w:color="auto" w:fill="D2D2D2"/>
          </w:tcPr>
          <w:p>
            <w:pPr/>
          </w:p>
        </w:tc>
        <w:tc>
          <w:tcPr>
            <w:tcW w:w="1411" w:type="dxa"/>
            <w:gridSpan w:val="2"/>
            <w:vMerge/>
            <w:tcBorders>
              <w:left w:val="single" w:sz="4" w:space="0" w:color="000000"/>
              <w:bottom w:val="nil" w:sz="6" w:space="0" w:color="auto"/>
              <w:right w:val="single" w:sz="4" w:space="0" w:color="000000"/>
            </w:tcBorders>
            <w:shd w:val="clear" w:color="auto" w:fill="D2D2D2"/>
          </w:tcPr>
          <w:p>
            <w:pPr/>
          </w:p>
        </w:tc>
        <w:tc>
          <w:tcPr>
            <w:tcW w:w="790" w:type="dxa"/>
            <w:gridSpan w:val="2"/>
            <w:vMerge/>
            <w:tcBorders>
              <w:left w:val="single" w:sz="4" w:space="0" w:color="000000"/>
              <w:bottom w:val="nil" w:sz="6" w:space="0" w:color="auto"/>
              <w:right w:val="single" w:sz="4" w:space="0" w:color="000000"/>
            </w:tcBorders>
            <w:shd w:val="clear" w:color="auto" w:fill="D2D2D2"/>
          </w:tcPr>
          <w:p>
            <w:pPr/>
          </w:p>
        </w:tc>
        <w:tc>
          <w:tcPr>
            <w:tcW w:w="78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4"/>
              <w:ind w:left="21" w:right="22" w:firstLine="4"/>
              <w:jc w:val="left"/>
              <w:rPr>
                <w:rFonts w:ascii="宋体" w:hAnsi="宋体" w:cs="宋体" w:eastAsia="宋体" w:hint="default"/>
                <w:sz w:val="18"/>
                <w:szCs w:val="18"/>
              </w:rPr>
            </w:pPr>
            <w:r>
              <w:rPr>
                <w:rFonts w:ascii="宋体" w:hAnsi="宋体" w:cs="宋体" w:eastAsia="宋体" w:hint="default"/>
                <w:sz w:val="18"/>
                <w:szCs w:val="18"/>
              </w:rPr>
              <w:t>报告期末</w:t>
            </w:r>
            <w:r>
              <w:rPr>
                <w:rFonts w:ascii="宋体" w:hAnsi="宋体" w:cs="宋体" w:eastAsia="宋体" w:hint="default"/>
                <w:w w:val="101"/>
                <w:sz w:val="18"/>
                <w:szCs w:val="18"/>
              </w:rPr>
              <w:t> </w:t>
            </w:r>
            <w:r>
              <w:rPr>
                <w:rFonts w:ascii="宋体" w:hAnsi="宋体" w:cs="宋体" w:eastAsia="宋体" w:hint="default"/>
                <w:sz w:val="18"/>
                <w:szCs w:val="18"/>
              </w:rPr>
              <w:t>持股数量</w:t>
            </w:r>
          </w:p>
        </w:tc>
        <w:tc>
          <w:tcPr>
            <w:tcW w:w="790" w:type="dxa"/>
            <w:gridSpan w:val="2"/>
            <w:vMerge/>
            <w:tcBorders>
              <w:left w:val="single" w:sz="4" w:space="0" w:color="000000"/>
              <w:right w:val="single" w:sz="4" w:space="0" w:color="000000"/>
            </w:tcBorders>
            <w:shd w:val="clear" w:color="auto" w:fill="D2D2D2"/>
          </w:tcPr>
          <w:p>
            <w:pPr/>
          </w:p>
        </w:tc>
        <w:tc>
          <w:tcPr>
            <w:tcW w:w="756" w:type="dxa"/>
            <w:vMerge/>
            <w:tcBorders>
              <w:left w:val="single" w:sz="4" w:space="0" w:color="000000"/>
              <w:right w:val="single" w:sz="4" w:space="0" w:color="000000"/>
            </w:tcBorders>
            <w:shd w:val="clear" w:color="auto" w:fill="D2D2D2"/>
          </w:tcPr>
          <w:p>
            <w:pPr/>
          </w:p>
        </w:tc>
        <w:tc>
          <w:tcPr>
            <w:tcW w:w="859" w:type="dxa"/>
            <w:vMerge/>
            <w:tcBorders>
              <w:left w:val="single" w:sz="4" w:space="0" w:color="000000"/>
              <w:right w:val="single" w:sz="4" w:space="0" w:color="000000"/>
            </w:tcBorders>
            <w:shd w:val="clear" w:color="auto" w:fill="D2D2D2"/>
          </w:tcPr>
          <w:p>
            <w:pPr/>
          </w:p>
        </w:tc>
        <w:tc>
          <w:tcPr>
            <w:tcW w:w="2707" w:type="dxa"/>
            <w:gridSpan w:val="4"/>
            <w:vMerge/>
            <w:tcBorders>
              <w:left w:val="single" w:sz="4" w:space="0" w:color="000000"/>
              <w:right w:val="single" w:sz="4" w:space="0" w:color="000000"/>
            </w:tcBorders>
            <w:shd w:val="clear" w:color="auto" w:fill="D2D2D2"/>
          </w:tcPr>
          <w:p>
            <w:pPr/>
          </w:p>
        </w:tc>
      </w:tr>
      <w:tr>
        <w:trPr>
          <w:trHeight w:val="146" w:hRule="exact"/>
        </w:trPr>
        <w:tc>
          <w:tcPr>
            <w:tcW w:w="1457"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352"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411"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340"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790"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8"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785" w:type="dxa"/>
            <w:vMerge/>
            <w:tcBorders>
              <w:left w:val="single" w:sz="4" w:space="0" w:color="000000"/>
              <w:right w:val="single" w:sz="4" w:space="0" w:color="000000"/>
            </w:tcBorders>
            <w:shd w:val="clear" w:color="auto" w:fill="D2D2D2"/>
          </w:tcPr>
          <w:p>
            <w:pPr/>
          </w:p>
        </w:tc>
        <w:tc>
          <w:tcPr>
            <w:tcW w:w="790" w:type="dxa"/>
            <w:gridSpan w:val="2"/>
            <w:vMerge/>
            <w:tcBorders>
              <w:left w:val="single" w:sz="4" w:space="0" w:color="000000"/>
              <w:right w:val="single" w:sz="4" w:space="0" w:color="000000"/>
            </w:tcBorders>
            <w:shd w:val="clear" w:color="auto" w:fill="D2D2D2"/>
          </w:tcPr>
          <w:p>
            <w:pPr/>
          </w:p>
        </w:tc>
        <w:tc>
          <w:tcPr>
            <w:tcW w:w="756" w:type="dxa"/>
            <w:vMerge/>
            <w:tcBorders>
              <w:left w:val="single" w:sz="4" w:space="0" w:color="000000"/>
              <w:right w:val="single" w:sz="4" w:space="0" w:color="000000"/>
            </w:tcBorders>
            <w:shd w:val="clear" w:color="auto" w:fill="D2D2D2"/>
          </w:tcPr>
          <w:p>
            <w:pPr/>
          </w:p>
        </w:tc>
        <w:tc>
          <w:tcPr>
            <w:tcW w:w="859" w:type="dxa"/>
            <w:vMerge/>
            <w:tcBorders>
              <w:left w:val="single" w:sz="4" w:space="0" w:color="000000"/>
              <w:right w:val="single" w:sz="4" w:space="0" w:color="000000"/>
            </w:tcBorders>
            <w:shd w:val="clear" w:color="auto" w:fill="D2D2D2"/>
          </w:tcPr>
          <w:p>
            <w:pPr/>
          </w:p>
        </w:tc>
        <w:tc>
          <w:tcPr>
            <w:tcW w:w="2707" w:type="dxa"/>
            <w:gridSpan w:val="4"/>
            <w:vMerge/>
            <w:tcBorders>
              <w:left w:val="single" w:sz="4" w:space="0" w:color="000000"/>
              <w:bottom w:val="single" w:sz="4" w:space="0" w:color="000000"/>
              <w:right w:val="single" w:sz="4" w:space="0" w:color="000000"/>
            </w:tcBorders>
            <w:shd w:val="clear" w:color="auto" w:fill="D2D2D2"/>
          </w:tcPr>
          <w:p>
            <w:pPr/>
          </w:p>
        </w:tc>
      </w:tr>
      <w:tr>
        <w:trPr>
          <w:trHeight w:val="246" w:hRule="exact"/>
        </w:trPr>
        <w:tc>
          <w:tcPr>
            <w:tcW w:w="1457" w:type="dxa"/>
            <w:gridSpan w:val="2"/>
            <w:vMerge/>
            <w:tcBorders>
              <w:left w:val="single" w:sz="4" w:space="0" w:color="000000"/>
              <w:bottom w:val="nil" w:sz="6" w:space="0" w:color="auto"/>
              <w:right w:val="single" w:sz="4" w:space="0" w:color="000000"/>
            </w:tcBorders>
            <w:shd w:val="clear" w:color="auto" w:fill="D2D2D2"/>
          </w:tcPr>
          <w:p>
            <w:pPr/>
          </w:p>
        </w:tc>
        <w:tc>
          <w:tcPr>
            <w:tcW w:w="1411" w:type="dxa"/>
            <w:gridSpan w:val="2"/>
            <w:vMerge/>
            <w:tcBorders>
              <w:left w:val="single" w:sz="4" w:space="0" w:color="000000"/>
              <w:bottom w:val="nil" w:sz="6" w:space="0" w:color="auto"/>
              <w:right w:val="single" w:sz="4" w:space="0" w:color="000000"/>
            </w:tcBorders>
            <w:shd w:val="clear" w:color="auto" w:fill="D2D2D2"/>
          </w:tcPr>
          <w:p>
            <w:pPr/>
          </w:p>
        </w:tc>
        <w:tc>
          <w:tcPr>
            <w:tcW w:w="790" w:type="dxa"/>
            <w:gridSpan w:val="2"/>
            <w:vMerge/>
            <w:tcBorders>
              <w:left w:val="single" w:sz="4" w:space="0" w:color="000000"/>
              <w:bottom w:val="nil" w:sz="6" w:space="0" w:color="auto"/>
              <w:right w:val="single" w:sz="4" w:space="0" w:color="000000"/>
            </w:tcBorders>
            <w:shd w:val="clear" w:color="auto" w:fill="D2D2D2"/>
          </w:tcPr>
          <w:p>
            <w:pPr/>
          </w:p>
        </w:tc>
        <w:tc>
          <w:tcPr>
            <w:tcW w:w="785" w:type="dxa"/>
            <w:vMerge/>
            <w:tcBorders>
              <w:left w:val="single" w:sz="4" w:space="0" w:color="000000"/>
              <w:right w:val="single" w:sz="4" w:space="0" w:color="000000"/>
            </w:tcBorders>
            <w:shd w:val="clear" w:color="auto" w:fill="D2D2D2"/>
          </w:tcPr>
          <w:p>
            <w:pPr/>
          </w:p>
        </w:tc>
        <w:tc>
          <w:tcPr>
            <w:tcW w:w="790" w:type="dxa"/>
            <w:gridSpan w:val="2"/>
            <w:vMerge/>
            <w:tcBorders>
              <w:left w:val="single" w:sz="4" w:space="0" w:color="000000"/>
              <w:right w:val="single" w:sz="4" w:space="0" w:color="000000"/>
            </w:tcBorders>
            <w:shd w:val="clear" w:color="auto" w:fill="D2D2D2"/>
          </w:tcPr>
          <w:p>
            <w:pPr/>
          </w:p>
        </w:tc>
        <w:tc>
          <w:tcPr>
            <w:tcW w:w="756" w:type="dxa"/>
            <w:vMerge/>
            <w:tcBorders>
              <w:left w:val="single" w:sz="4" w:space="0" w:color="000000"/>
              <w:right w:val="single" w:sz="4" w:space="0" w:color="000000"/>
            </w:tcBorders>
            <w:shd w:val="clear" w:color="auto" w:fill="D2D2D2"/>
          </w:tcPr>
          <w:p>
            <w:pPr/>
          </w:p>
        </w:tc>
        <w:tc>
          <w:tcPr>
            <w:tcW w:w="859" w:type="dxa"/>
            <w:vMerge/>
            <w:tcBorders>
              <w:left w:val="single" w:sz="4" w:space="0" w:color="000000"/>
              <w:right w:val="single" w:sz="4" w:space="0" w:color="000000"/>
            </w:tcBorders>
            <w:shd w:val="clear" w:color="auto" w:fill="D2D2D2"/>
          </w:tcPr>
          <w:p>
            <w:pPr/>
          </w:p>
        </w:tc>
        <w:tc>
          <w:tcPr>
            <w:tcW w:w="136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8"/>
              <w:ind w:left="316"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134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8"/>
              <w:ind w:right="5"/>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154" w:hRule="exact"/>
        </w:trPr>
        <w:tc>
          <w:tcPr>
            <w:tcW w:w="1457" w:type="dxa"/>
            <w:gridSpan w:val="2"/>
            <w:vMerge w:val="restart"/>
            <w:tcBorders>
              <w:top w:val="nil" w:sz="6" w:space="0" w:color="auto"/>
              <w:left w:val="single" w:sz="4" w:space="0" w:color="000000"/>
              <w:right w:val="single" w:sz="4" w:space="0" w:color="000000"/>
            </w:tcBorders>
            <w:shd w:val="clear" w:color="auto" w:fill="D2D2D2"/>
          </w:tcPr>
          <w:p>
            <w:pPr/>
          </w:p>
        </w:tc>
        <w:tc>
          <w:tcPr>
            <w:tcW w:w="1411" w:type="dxa"/>
            <w:gridSpan w:val="2"/>
            <w:vMerge w:val="restart"/>
            <w:tcBorders>
              <w:top w:val="nil" w:sz="6" w:space="0" w:color="auto"/>
              <w:left w:val="single" w:sz="4" w:space="0" w:color="000000"/>
              <w:right w:val="single" w:sz="4" w:space="0" w:color="000000"/>
            </w:tcBorders>
            <w:shd w:val="clear" w:color="auto" w:fill="D2D2D2"/>
          </w:tcPr>
          <w:p>
            <w:pPr/>
          </w:p>
        </w:tc>
        <w:tc>
          <w:tcPr>
            <w:tcW w:w="790" w:type="dxa"/>
            <w:gridSpan w:val="2"/>
            <w:vMerge w:val="restart"/>
            <w:tcBorders>
              <w:top w:val="nil" w:sz="6" w:space="0" w:color="auto"/>
              <w:left w:val="single" w:sz="4" w:space="0" w:color="000000"/>
              <w:right w:val="single" w:sz="4" w:space="0" w:color="000000"/>
            </w:tcBorders>
            <w:shd w:val="clear" w:color="auto" w:fill="D2D2D2"/>
          </w:tcPr>
          <w:p>
            <w:pPr/>
          </w:p>
        </w:tc>
        <w:tc>
          <w:tcPr>
            <w:tcW w:w="785" w:type="dxa"/>
            <w:vMerge/>
            <w:tcBorders>
              <w:left w:val="single" w:sz="4" w:space="0" w:color="000000"/>
              <w:bottom w:val="nil" w:sz="6" w:space="0" w:color="auto"/>
              <w:right w:val="single" w:sz="4" w:space="0" w:color="000000"/>
            </w:tcBorders>
            <w:shd w:val="clear" w:color="auto" w:fill="D2D2D2"/>
          </w:tcPr>
          <w:p>
            <w:pPr/>
          </w:p>
        </w:tc>
        <w:tc>
          <w:tcPr>
            <w:tcW w:w="790" w:type="dxa"/>
            <w:gridSpan w:val="2"/>
            <w:vMerge/>
            <w:tcBorders>
              <w:left w:val="single" w:sz="4" w:space="0" w:color="000000"/>
              <w:right w:val="single" w:sz="4" w:space="0" w:color="000000"/>
            </w:tcBorders>
            <w:shd w:val="clear" w:color="auto" w:fill="D2D2D2"/>
          </w:tcPr>
          <w:p>
            <w:pPr/>
          </w:p>
        </w:tc>
        <w:tc>
          <w:tcPr>
            <w:tcW w:w="756" w:type="dxa"/>
            <w:vMerge/>
            <w:tcBorders>
              <w:left w:val="single" w:sz="4" w:space="0" w:color="000000"/>
              <w:right w:val="single" w:sz="4" w:space="0" w:color="000000"/>
            </w:tcBorders>
            <w:shd w:val="clear" w:color="auto" w:fill="D2D2D2"/>
          </w:tcPr>
          <w:p>
            <w:pPr/>
          </w:p>
        </w:tc>
        <w:tc>
          <w:tcPr>
            <w:tcW w:w="859" w:type="dxa"/>
            <w:vMerge/>
            <w:tcBorders>
              <w:left w:val="single" w:sz="4" w:space="0" w:color="000000"/>
              <w:right w:val="single" w:sz="4" w:space="0" w:color="000000"/>
            </w:tcBorders>
            <w:shd w:val="clear" w:color="auto" w:fill="D2D2D2"/>
          </w:tcPr>
          <w:p>
            <w:pPr/>
          </w:p>
        </w:tc>
        <w:tc>
          <w:tcPr>
            <w:tcW w:w="1361" w:type="dxa"/>
            <w:gridSpan w:val="2"/>
            <w:vMerge/>
            <w:tcBorders>
              <w:left w:val="single" w:sz="4" w:space="0" w:color="000000"/>
              <w:right w:val="single" w:sz="4" w:space="0" w:color="000000"/>
            </w:tcBorders>
            <w:shd w:val="clear" w:color="auto" w:fill="D2D2D2"/>
          </w:tcPr>
          <w:p>
            <w:pPr/>
          </w:p>
        </w:tc>
        <w:tc>
          <w:tcPr>
            <w:tcW w:w="1346" w:type="dxa"/>
            <w:gridSpan w:val="2"/>
            <w:vMerge/>
            <w:tcBorders>
              <w:left w:val="single" w:sz="4" w:space="0" w:color="000000"/>
              <w:right w:val="single" w:sz="4" w:space="0" w:color="000000"/>
            </w:tcBorders>
            <w:shd w:val="clear" w:color="auto" w:fill="D2D2D2"/>
          </w:tcPr>
          <w:p>
            <w:pPr/>
          </w:p>
        </w:tc>
      </w:tr>
      <w:tr>
        <w:trPr>
          <w:trHeight w:val="168" w:hRule="exact"/>
        </w:trPr>
        <w:tc>
          <w:tcPr>
            <w:tcW w:w="1457" w:type="dxa"/>
            <w:gridSpan w:val="2"/>
            <w:vMerge/>
            <w:tcBorders>
              <w:left w:val="single" w:sz="4" w:space="0" w:color="000000"/>
              <w:bottom w:val="single" w:sz="4" w:space="0" w:color="000000"/>
              <w:right w:val="single" w:sz="4" w:space="0" w:color="000000"/>
            </w:tcBorders>
            <w:shd w:val="clear" w:color="auto" w:fill="D2D2D2"/>
          </w:tcPr>
          <w:p>
            <w:pPr/>
          </w:p>
        </w:tc>
        <w:tc>
          <w:tcPr>
            <w:tcW w:w="1411" w:type="dxa"/>
            <w:gridSpan w:val="2"/>
            <w:vMerge/>
            <w:tcBorders>
              <w:left w:val="single" w:sz="4" w:space="0" w:color="000000"/>
              <w:bottom w:val="single" w:sz="4" w:space="0" w:color="000000"/>
              <w:right w:val="single" w:sz="4" w:space="0" w:color="000000"/>
            </w:tcBorders>
            <w:shd w:val="clear" w:color="auto" w:fill="D2D2D2"/>
          </w:tcPr>
          <w:p>
            <w:pPr/>
          </w:p>
        </w:tc>
        <w:tc>
          <w:tcPr>
            <w:tcW w:w="790" w:type="dxa"/>
            <w:gridSpan w:val="2"/>
            <w:vMerge/>
            <w:tcBorders>
              <w:left w:val="single" w:sz="4" w:space="0" w:color="000000"/>
              <w:bottom w:val="single" w:sz="4" w:space="0" w:color="000000"/>
              <w:right w:val="single" w:sz="4" w:space="0" w:color="000000"/>
            </w:tcBorders>
            <w:shd w:val="clear" w:color="auto" w:fill="D2D2D2"/>
          </w:tcPr>
          <w:p>
            <w:pPr/>
          </w:p>
        </w:tc>
        <w:tc>
          <w:tcPr>
            <w:tcW w:w="785" w:type="dxa"/>
            <w:tcBorders>
              <w:top w:val="nil" w:sz="6" w:space="0" w:color="auto"/>
              <w:left w:val="single" w:sz="4" w:space="0" w:color="000000"/>
              <w:bottom w:val="single" w:sz="4" w:space="0" w:color="000000"/>
              <w:right w:val="single" w:sz="4" w:space="0" w:color="000000"/>
            </w:tcBorders>
            <w:shd w:val="clear" w:color="auto" w:fill="D2D2D2"/>
          </w:tcPr>
          <w:p>
            <w:pPr/>
          </w:p>
        </w:tc>
        <w:tc>
          <w:tcPr>
            <w:tcW w:w="790" w:type="dxa"/>
            <w:gridSpan w:val="2"/>
            <w:vMerge/>
            <w:tcBorders>
              <w:left w:val="single" w:sz="4" w:space="0" w:color="000000"/>
              <w:bottom w:val="single" w:sz="4" w:space="0" w:color="000000"/>
              <w:right w:val="single" w:sz="4" w:space="0" w:color="000000"/>
            </w:tcBorders>
            <w:shd w:val="clear" w:color="auto" w:fill="D2D2D2"/>
          </w:tcPr>
          <w:p>
            <w:pPr/>
          </w:p>
        </w:tc>
        <w:tc>
          <w:tcPr>
            <w:tcW w:w="756" w:type="dxa"/>
            <w:vMerge/>
            <w:tcBorders>
              <w:left w:val="single" w:sz="4" w:space="0" w:color="000000"/>
              <w:bottom w:val="single" w:sz="4" w:space="0" w:color="000000"/>
              <w:right w:val="single" w:sz="4" w:space="0" w:color="000000"/>
            </w:tcBorders>
            <w:shd w:val="clear" w:color="auto" w:fill="D2D2D2"/>
          </w:tcPr>
          <w:p>
            <w:pPr/>
          </w:p>
        </w:tc>
        <w:tc>
          <w:tcPr>
            <w:tcW w:w="859" w:type="dxa"/>
            <w:vMerge/>
            <w:tcBorders>
              <w:left w:val="single" w:sz="4" w:space="0" w:color="000000"/>
              <w:bottom w:val="single" w:sz="4" w:space="0" w:color="000000"/>
              <w:right w:val="single" w:sz="4" w:space="0" w:color="000000"/>
            </w:tcBorders>
            <w:shd w:val="clear" w:color="auto" w:fill="D2D2D2"/>
          </w:tcPr>
          <w:p>
            <w:pPr/>
          </w:p>
        </w:tc>
        <w:tc>
          <w:tcPr>
            <w:tcW w:w="1361" w:type="dxa"/>
            <w:gridSpan w:val="2"/>
            <w:vMerge/>
            <w:tcBorders>
              <w:left w:val="single" w:sz="4" w:space="0" w:color="000000"/>
              <w:bottom w:val="single" w:sz="4" w:space="0" w:color="000000"/>
              <w:right w:val="single" w:sz="4" w:space="0" w:color="000000"/>
            </w:tcBorders>
            <w:shd w:val="clear" w:color="auto" w:fill="D2D2D2"/>
          </w:tcPr>
          <w:p>
            <w:pPr/>
          </w:p>
        </w:tc>
        <w:tc>
          <w:tcPr>
            <w:tcW w:w="1346" w:type="dxa"/>
            <w:gridSpan w:val="2"/>
            <w:vMerge/>
            <w:tcBorders>
              <w:left w:val="single" w:sz="4" w:space="0" w:color="000000"/>
              <w:bottom w:val="single" w:sz="4" w:space="0" w:color="000000"/>
              <w:right w:val="single" w:sz="4" w:space="0" w:color="000000"/>
            </w:tcBorders>
            <w:shd w:val="clear" w:color="auto" w:fill="D2D2D2"/>
          </w:tcPr>
          <w:p>
            <w:pPr/>
          </w:p>
        </w:tc>
      </w:tr>
    </w:tbl>
    <w:p>
      <w:pPr>
        <w:spacing w:after="0"/>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469"/>
        <w:gridCol w:w="1411"/>
        <w:gridCol w:w="787"/>
        <w:gridCol w:w="787"/>
        <w:gridCol w:w="792"/>
        <w:gridCol w:w="782"/>
        <w:gridCol w:w="846"/>
        <w:gridCol w:w="1346"/>
        <w:gridCol w:w="1345"/>
      </w:tblGrid>
      <w:tr>
        <w:trPr>
          <w:trHeight w:val="715"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尤丽娟</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16.70%</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49,810,00</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-6690000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42,375,00</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7,435,000</w:t>
            </w:r>
          </w:p>
        </w:tc>
        <w:tc>
          <w:tcPr>
            <w:tcW w:w="1346" w:type="dxa"/>
            <w:tcBorders>
              <w:top w:val="single" w:sz="4" w:space="0" w:color="000000"/>
              <w:left w:val="single" w:sz="4" w:space="0" w:color="000000"/>
              <w:bottom w:val="single" w:sz="4" w:space="0" w:color="000000"/>
              <w:right w:val="single" w:sz="4" w:space="0" w:color="000000"/>
            </w:tcBorders>
          </w:tcPr>
          <w:p>
            <w:pPr/>
          </w:p>
        </w:tc>
        <w:tc>
          <w:tcPr>
            <w:tcW w:w="1345"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尤玉仙</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3"/>
                <w:sz w:val="18"/>
              </w:rPr>
              <w:t>11.42%</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34,060,50</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-11,280,0</w:t>
            </w:r>
          </w:p>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00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34,010,00</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50,500</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7"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95" w:right="0"/>
              <w:jc w:val="left"/>
              <w:rPr>
                <w:rFonts w:ascii="Times New Roman" w:hAnsi="Times New Roman" w:cs="Times New Roman" w:eastAsia="Times New Roman" w:hint="default"/>
                <w:sz w:val="18"/>
                <w:szCs w:val="18"/>
              </w:rPr>
            </w:pPr>
            <w:r>
              <w:rPr>
                <w:rFonts w:ascii="Times New Roman"/>
                <w:sz w:val="18"/>
              </w:rPr>
              <w:t>30,100,000</w:t>
            </w:r>
          </w:p>
        </w:tc>
      </w:tr>
      <w:tr>
        <w:trPr>
          <w:trHeight w:val="715"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尤友岳</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5.20%</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15,504,00</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11,628,00</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3,876,000</w:t>
            </w:r>
          </w:p>
        </w:tc>
        <w:tc>
          <w:tcPr>
            <w:tcW w:w="1346" w:type="dxa"/>
            <w:tcBorders>
              <w:top w:val="single" w:sz="4" w:space="0" w:color="000000"/>
              <w:left w:val="single" w:sz="4" w:space="0" w:color="000000"/>
              <w:bottom w:val="single" w:sz="4" w:space="0" w:color="000000"/>
              <w:right w:val="single" w:sz="4" w:space="0" w:color="000000"/>
            </w:tcBorders>
          </w:tcPr>
          <w:p>
            <w:pPr/>
          </w:p>
        </w:tc>
        <w:tc>
          <w:tcPr>
            <w:tcW w:w="134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尤友鸾</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2.01%</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8" w:right="0"/>
              <w:jc w:val="left"/>
              <w:rPr>
                <w:rFonts w:ascii="Times New Roman" w:hAnsi="Times New Roman" w:cs="Times New Roman" w:eastAsia="Times New Roman" w:hint="default"/>
                <w:sz w:val="18"/>
                <w:szCs w:val="18"/>
              </w:rPr>
            </w:pPr>
            <w:r>
              <w:rPr>
                <w:rFonts w:ascii="Times New Roman"/>
                <w:sz w:val="18"/>
              </w:rPr>
              <w:t>6,004,000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4,503,000</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1,501,000</w:t>
            </w:r>
          </w:p>
        </w:tc>
        <w:tc>
          <w:tcPr>
            <w:tcW w:w="1346" w:type="dxa"/>
            <w:tcBorders>
              <w:top w:val="single" w:sz="4" w:space="0" w:color="000000"/>
              <w:left w:val="single" w:sz="4" w:space="0" w:color="000000"/>
              <w:bottom w:val="single" w:sz="4" w:space="0" w:color="000000"/>
              <w:right w:val="single" w:sz="4" w:space="0" w:color="000000"/>
            </w:tcBorders>
          </w:tcPr>
          <w:p>
            <w:pPr/>
          </w:p>
        </w:tc>
        <w:tc>
          <w:tcPr>
            <w:tcW w:w="1345" w:type="dxa"/>
            <w:tcBorders>
              <w:top w:val="single" w:sz="4" w:space="0" w:color="000000"/>
              <w:left w:val="single" w:sz="4" w:space="0" w:color="000000"/>
              <w:bottom w:val="single" w:sz="4" w:space="0" w:color="000000"/>
              <w:right w:val="single" w:sz="4" w:space="0" w:color="000000"/>
            </w:tcBorders>
          </w:tcPr>
          <w:p>
            <w:pPr/>
          </w:p>
        </w:tc>
      </w:tr>
      <w:tr>
        <w:trPr>
          <w:trHeight w:val="1339"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3"/>
              <w:ind w:left="24" w:right="79"/>
              <w:jc w:val="left"/>
              <w:rPr>
                <w:rFonts w:ascii="宋体" w:hAnsi="宋体" w:cs="宋体" w:eastAsia="宋体" w:hint="default"/>
                <w:sz w:val="18"/>
                <w:szCs w:val="18"/>
              </w:rPr>
            </w:pPr>
            <w:r>
              <w:rPr>
                <w:rFonts w:ascii="宋体" w:hAnsi="宋体" w:cs="宋体" w:eastAsia="宋体" w:hint="default"/>
                <w:spacing w:val="-3"/>
                <w:sz w:val="18"/>
                <w:szCs w:val="18"/>
              </w:rPr>
              <w:t>兴证证券资管－</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光大银行－兴证</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资管鑫众</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3"/>
                <w:sz w:val="18"/>
                <w:szCs w:val="18"/>
              </w:rPr>
              <w:t> </w:t>
            </w:r>
            <w:r>
              <w:rPr>
                <w:rFonts w:ascii="宋体" w:hAnsi="宋体" w:cs="宋体" w:eastAsia="宋体" w:hint="default"/>
                <w:spacing w:val="-3"/>
                <w:sz w:val="18"/>
                <w:szCs w:val="18"/>
              </w:rPr>
              <w:t>号集</w:t>
            </w:r>
            <w:r>
              <w:rPr>
                <w:rFonts w:ascii="宋体" w:hAnsi="宋体" w:cs="宋体" w:eastAsia="宋体" w:hint="default"/>
                <w:w w:val="101"/>
                <w:sz w:val="18"/>
                <w:szCs w:val="18"/>
              </w:rPr>
              <w:t> </w:t>
            </w:r>
            <w:r>
              <w:rPr>
                <w:rFonts w:ascii="宋体" w:hAnsi="宋体" w:cs="宋体" w:eastAsia="宋体" w:hint="default"/>
                <w:spacing w:val="-3"/>
                <w:sz w:val="18"/>
                <w:szCs w:val="18"/>
              </w:rPr>
              <w:t>合资产管理计划</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境内非国有法人</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2"/>
              <w:ind w:right="18"/>
              <w:jc w:val="right"/>
              <w:rPr>
                <w:rFonts w:ascii="Times New Roman" w:hAnsi="Times New Roman" w:cs="Times New Roman" w:eastAsia="Times New Roman" w:hint="default"/>
                <w:sz w:val="18"/>
                <w:szCs w:val="18"/>
              </w:rPr>
            </w:pPr>
            <w:r>
              <w:rPr>
                <w:rFonts w:ascii="Times New Roman"/>
                <w:spacing w:val="-1"/>
                <w:sz w:val="18"/>
              </w:rPr>
              <w:t>2.00%</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2"/>
              <w:ind w:left="28" w:right="0"/>
              <w:jc w:val="left"/>
              <w:rPr>
                <w:rFonts w:ascii="Times New Roman" w:hAnsi="Times New Roman" w:cs="Times New Roman" w:eastAsia="Times New Roman" w:hint="default"/>
                <w:sz w:val="18"/>
                <w:szCs w:val="18"/>
              </w:rPr>
            </w:pPr>
            <w:r>
              <w:rPr>
                <w:rFonts w:ascii="Times New Roman"/>
                <w:sz w:val="18"/>
              </w:rPr>
              <w:t>5,963,551</w:t>
            </w:r>
          </w:p>
        </w:tc>
        <w:tc>
          <w:tcPr>
            <w:tcW w:w="792"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2"/>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2"/>
              <w:ind w:right="28"/>
              <w:jc w:val="right"/>
              <w:rPr>
                <w:rFonts w:ascii="Times New Roman" w:hAnsi="Times New Roman" w:cs="Times New Roman" w:eastAsia="Times New Roman" w:hint="default"/>
                <w:sz w:val="18"/>
                <w:szCs w:val="18"/>
              </w:rPr>
            </w:pPr>
            <w:r>
              <w:rPr>
                <w:rFonts w:ascii="Times New Roman"/>
                <w:spacing w:val="-1"/>
                <w:sz w:val="18"/>
              </w:rPr>
              <w:t>5,963,551</w:t>
            </w:r>
          </w:p>
        </w:tc>
        <w:tc>
          <w:tcPr>
            <w:tcW w:w="1346" w:type="dxa"/>
            <w:tcBorders>
              <w:top w:val="single" w:sz="4" w:space="0" w:color="000000"/>
              <w:left w:val="single" w:sz="4" w:space="0" w:color="000000"/>
              <w:bottom w:val="single" w:sz="4" w:space="0" w:color="000000"/>
              <w:right w:val="single" w:sz="4" w:space="0" w:color="000000"/>
            </w:tcBorders>
          </w:tcPr>
          <w:p>
            <w:pPr/>
          </w:p>
        </w:tc>
        <w:tc>
          <w:tcPr>
            <w:tcW w:w="1345"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70"/>
              <w:jc w:val="left"/>
              <w:rPr>
                <w:rFonts w:ascii="宋体" w:hAnsi="宋体" w:cs="宋体" w:eastAsia="宋体" w:hint="default"/>
                <w:sz w:val="18"/>
                <w:szCs w:val="18"/>
              </w:rPr>
            </w:pPr>
            <w:r>
              <w:rPr>
                <w:rFonts w:ascii="宋体" w:hAnsi="宋体" w:cs="宋体" w:eastAsia="宋体" w:hint="default"/>
                <w:spacing w:val="-3"/>
                <w:sz w:val="18"/>
                <w:szCs w:val="18"/>
              </w:rPr>
              <w:t>全国社保基金一</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一二组合</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1.94%</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5,783,496</w:t>
            </w:r>
          </w:p>
        </w:tc>
        <w:tc>
          <w:tcPr>
            <w:tcW w:w="792"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5,783,496</w:t>
            </w:r>
          </w:p>
        </w:tc>
        <w:tc>
          <w:tcPr>
            <w:tcW w:w="1346" w:type="dxa"/>
            <w:tcBorders>
              <w:top w:val="single" w:sz="4" w:space="0" w:color="000000"/>
              <w:left w:val="single" w:sz="4" w:space="0" w:color="000000"/>
              <w:bottom w:val="single" w:sz="4" w:space="0" w:color="000000"/>
              <w:right w:val="single" w:sz="4" w:space="0" w:color="000000"/>
            </w:tcBorders>
          </w:tcPr>
          <w:p>
            <w:pPr/>
          </w:p>
        </w:tc>
        <w:tc>
          <w:tcPr>
            <w:tcW w:w="134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尤雪仙</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1.91%</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8" w:right="0"/>
              <w:jc w:val="left"/>
              <w:rPr>
                <w:rFonts w:ascii="Times New Roman" w:hAnsi="Times New Roman" w:cs="Times New Roman" w:eastAsia="Times New Roman" w:hint="default"/>
                <w:sz w:val="18"/>
                <w:szCs w:val="18"/>
              </w:rPr>
            </w:pPr>
            <w:r>
              <w:rPr>
                <w:rFonts w:ascii="Times New Roman"/>
                <w:sz w:val="18"/>
              </w:rPr>
              <w:t>5,700,000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-710200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8"/>
              <w:jc w:val="right"/>
              <w:rPr>
                <w:rFonts w:ascii="Times New Roman" w:hAnsi="Times New Roman" w:cs="Times New Roman" w:eastAsia="Times New Roman" w:hint="default"/>
                <w:sz w:val="18"/>
                <w:szCs w:val="18"/>
              </w:rPr>
            </w:pPr>
            <w:r>
              <w:rPr>
                <w:rFonts w:ascii="Times New Roman"/>
                <w:spacing w:val="-1"/>
                <w:sz w:val="18"/>
              </w:rPr>
              <w:t>5,700,000</w:t>
            </w:r>
          </w:p>
        </w:tc>
        <w:tc>
          <w:tcPr>
            <w:tcW w:w="1346" w:type="dxa"/>
            <w:tcBorders>
              <w:top w:val="single" w:sz="4" w:space="0" w:color="000000"/>
              <w:left w:val="single" w:sz="4" w:space="0" w:color="000000"/>
              <w:bottom w:val="single" w:sz="4" w:space="0" w:color="000000"/>
              <w:right w:val="single" w:sz="4" w:space="0" w:color="000000"/>
            </w:tcBorders>
          </w:tcPr>
          <w:p>
            <w:pPr/>
          </w:p>
        </w:tc>
        <w:tc>
          <w:tcPr>
            <w:tcW w:w="1345" w:type="dxa"/>
            <w:tcBorders>
              <w:top w:val="single" w:sz="4" w:space="0" w:color="000000"/>
              <w:left w:val="single" w:sz="4" w:space="0" w:color="000000"/>
              <w:bottom w:val="single" w:sz="4" w:space="0" w:color="000000"/>
              <w:right w:val="single" w:sz="4" w:space="0" w:color="000000"/>
            </w:tcBorders>
          </w:tcPr>
          <w:p>
            <w:pPr/>
          </w:p>
        </w:tc>
      </w:tr>
      <w:tr>
        <w:trPr>
          <w:trHeight w:val="1339"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24" w:right="170"/>
              <w:jc w:val="both"/>
              <w:rPr>
                <w:rFonts w:ascii="宋体" w:hAnsi="宋体" w:cs="宋体" w:eastAsia="宋体" w:hint="default"/>
                <w:sz w:val="18"/>
                <w:szCs w:val="18"/>
              </w:rPr>
            </w:pPr>
            <w:r>
              <w:rPr>
                <w:rFonts w:ascii="宋体" w:hAnsi="宋体" w:cs="宋体" w:eastAsia="宋体" w:hint="default"/>
                <w:spacing w:val="-3"/>
                <w:sz w:val="18"/>
                <w:szCs w:val="18"/>
              </w:rPr>
              <w:t>招商银行股份有</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限公司－华富成</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长趋势混合型证</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券投资基金</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境内非国有法人</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2"/>
              <w:ind w:right="18"/>
              <w:jc w:val="right"/>
              <w:rPr>
                <w:rFonts w:ascii="Times New Roman" w:hAnsi="Times New Roman" w:cs="Times New Roman" w:eastAsia="Times New Roman" w:hint="default"/>
                <w:sz w:val="18"/>
                <w:szCs w:val="18"/>
              </w:rPr>
            </w:pPr>
            <w:r>
              <w:rPr>
                <w:rFonts w:ascii="Times New Roman"/>
                <w:spacing w:val="-1"/>
                <w:sz w:val="18"/>
              </w:rPr>
              <w:t>0.99%</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2"/>
              <w:ind w:left="28" w:right="0"/>
              <w:jc w:val="left"/>
              <w:rPr>
                <w:rFonts w:ascii="Times New Roman" w:hAnsi="Times New Roman" w:cs="Times New Roman" w:eastAsia="Times New Roman" w:hint="default"/>
                <w:sz w:val="18"/>
                <w:szCs w:val="18"/>
              </w:rPr>
            </w:pPr>
            <w:r>
              <w:rPr>
                <w:rFonts w:ascii="Times New Roman"/>
                <w:sz w:val="18"/>
              </w:rPr>
              <w:t>2,950,361</w:t>
            </w:r>
          </w:p>
        </w:tc>
        <w:tc>
          <w:tcPr>
            <w:tcW w:w="792"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2"/>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2"/>
              <w:ind w:right="28"/>
              <w:jc w:val="right"/>
              <w:rPr>
                <w:rFonts w:ascii="Times New Roman" w:hAnsi="Times New Roman" w:cs="Times New Roman" w:eastAsia="Times New Roman" w:hint="default"/>
                <w:sz w:val="18"/>
                <w:szCs w:val="18"/>
              </w:rPr>
            </w:pPr>
            <w:r>
              <w:rPr>
                <w:rFonts w:ascii="Times New Roman"/>
                <w:spacing w:val="-1"/>
                <w:sz w:val="18"/>
              </w:rPr>
              <w:t>2,950,361</w:t>
            </w:r>
          </w:p>
        </w:tc>
        <w:tc>
          <w:tcPr>
            <w:tcW w:w="1346" w:type="dxa"/>
            <w:tcBorders>
              <w:top w:val="single" w:sz="4" w:space="0" w:color="000000"/>
              <w:left w:val="single" w:sz="4" w:space="0" w:color="000000"/>
              <w:bottom w:val="single" w:sz="4" w:space="0" w:color="000000"/>
              <w:right w:val="single" w:sz="4" w:space="0" w:color="000000"/>
            </w:tcBorders>
          </w:tcPr>
          <w:p>
            <w:pPr/>
          </w:p>
        </w:tc>
        <w:tc>
          <w:tcPr>
            <w:tcW w:w="1345" w:type="dxa"/>
            <w:tcBorders>
              <w:top w:val="single" w:sz="4" w:space="0" w:color="000000"/>
              <w:left w:val="single" w:sz="4" w:space="0" w:color="000000"/>
              <w:bottom w:val="single" w:sz="4" w:space="0" w:color="000000"/>
              <w:right w:val="single" w:sz="4" w:space="0" w:color="000000"/>
            </w:tcBorders>
          </w:tcPr>
          <w:p>
            <w:pPr/>
          </w:p>
        </w:tc>
      </w:tr>
      <w:tr>
        <w:trPr>
          <w:trHeight w:val="1651"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70"/>
              <w:jc w:val="both"/>
              <w:rPr>
                <w:rFonts w:ascii="宋体" w:hAnsi="宋体" w:cs="宋体" w:eastAsia="宋体" w:hint="default"/>
                <w:sz w:val="18"/>
                <w:szCs w:val="18"/>
              </w:rPr>
            </w:pPr>
            <w:r>
              <w:rPr>
                <w:rFonts w:ascii="宋体" w:hAnsi="宋体" w:cs="宋体" w:eastAsia="宋体" w:hint="default"/>
                <w:spacing w:val="-3"/>
                <w:sz w:val="18"/>
                <w:szCs w:val="18"/>
              </w:rPr>
              <w:t>中国石油天然气</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集团公司企业年</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金计划－中国工</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商银行股份有限</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公司</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0.93%</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2,758,819</w:t>
            </w:r>
          </w:p>
        </w:tc>
        <w:tc>
          <w:tcPr>
            <w:tcW w:w="792"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2,758,819</w:t>
            </w:r>
          </w:p>
        </w:tc>
        <w:tc>
          <w:tcPr>
            <w:tcW w:w="1346" w:type="dxa"/>
            <w:tcBorders>
              <w:top w:val="single" w:sz="4" w:space="0" w:color="000000"/>
              <w:left w:val="single" w:sz="4" w:space="0" w:color="000000"/>
              <w:bottom w:val="single" w:sz="4" w:space="0" w:color="000000"/>
              <w:right w:val="single" w:sz="4" w:space="0" w:color="000000"/>
            </w:tcBorders>
          </w:tcPr>
          <w:p>
            <w:pPr/>
          </w:p>
        </w:tc>
        <w:tc>
          <w:tcPr>
            <w:tcW w:w="1345" w:type="dxa"/>
            <w:tcBorders>
              <w:top w:val="single" w:sz="4" w:space="0" w:color="000000"/>
              <w:left w:val="single" w:sz="4" w:space="0" w:color="000000"/>
              <w:bottom w:val="single" w:sz="4" w:space="0" w:color="000000"/>
              <w:right w:val="single" w:sz="4" w:space="0" w:color="000000"/>
            </w:tcBorders>
          </w:tcPr>
          <w:p>
            <w:pPr/>
          </w:p>
        </w:tc>
      </w:tr>
      <w:tr>
        <w:trPr>
          <w:trHeight w:val="1646"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70"/>
              <w:jc w:val="both"/>
              <w:rPr>
                <w:rFonts w:ascii="宋体" w:hAnsi="宋体" w:cs="宋体" w:eastAsia="宋体" w:hint="default"/>
                <w:sz w:val="18"/>
                <w:szCs w:val="18"/>
              </w:rPr>
            </w:pPr>
            <w:r>
              <w:rPr>
                <w:rFonts w:ascii="宋体" w:hAnsi="宋体" w:cs="宋体" w:eastAsia="宋体" w:hint="default"/>
                <w:spacing w:val="-3"/>
                <w:sz w:val="18"/>
                <w:szCs w:val="18"/>
              </w:rPr>
              <w:t>中国银行股份有</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限公司－华泰柏</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瑞盛世中国股票</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型开放式证券投</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资基金</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0.84%</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2,490,532</w:t>
            </w:r>
          </w:p>
        </w:tc>
        <w:tc>
          <w:tcPr>
            <w:tcW w:w="792"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2,490,532</w:t>
            </w:r>
          </w:p>
        </w:tc>
        <w:tc>
          <w:tcPr>
            <w:tcW w:w="1346" w:type="dxa"/>
            <w:tcBorders>
              <w:top w:val="single" w:sz="4" w:space="0" w:color="000000"/>
              <w:left w:val="single" w:sz="4" w:space="0" w:color="000000"/>
              <w:bottom w:val="single" w:sz="4" w:space="0" w:color="000000"/>
              <w:right w:val="single" w:sz="4" w:space="0" w:color="000000"/>
            </w:tcBorders>
          </w:tcPr>
          <w:p>
            <w:pPr/>
          </w:p>
        </w:tc>
        <w:tc>
          <w:tcPr>
            <w:tcW w:w="1345"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288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53"/>
              <w:ind w:left="24" w:right="17"/>
              <w:jc w:val="left"/>
              <w:rPr>
                <w:rFonts w:ascii="宋体" w:hAnsi="宋体" w:cs="宋体" w:eastAsia="宋体" w:hint="default"/>
                <w:sz w:val="18"/>
                <w:szCs w:val="18"/>
              </w:rPr>
            </w:pPr>
            <w:r>
              <w:rPr>
                <w:rFonts w:ascii="宋体" w:hAnsi="宋体" w:cs="宋体" w:eastAsia="宋体" w:hint="default"/>
                <w:spacing w:val="-3"/>
                <w:sz w:val="18"/>
                <w:szCs w:val="18"/>
              </w:rPr>
              <w:t>战略投资者或一般法人因配售新股</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w w:val="101"/>
                <w:sz w:val="18"/>
                <w:szCs w:val="18"/>
              </w:rPr>
              <w:t>成为前</w:t>
            </w:r>
            <w:r>
              <w:rPr>
                <w:rFonts w:ascii="宋体" w:hAnsi="宋体" w:cs="宋体" w:eastAsia="宋体" w:hint="default"/>
                <w:spacing w:val="-46"/>
                <w:w w:val="101"/>
                <w:sz w:val="18"/>
                <w:szCs w:val="18"/>
              </w:rPr>
              <w:t> </w:t>
            </w:r>
            <w:r>
              <w:rPr>
                <w:rFonts w:ascii="Times New Roman" w:hAnsi="Times New Roman" w:cs="Times New Roman" w:eastAsia="Times New Roman" w:hint="default"/>
                <w:w w:val="101"/>
                <w:sz w:val="18"/>
                <w:szCs w:val="18"/>
              </w:rPr>
              <w:t>10</w:t>
            </w:r>
            <w:r>
              <w:rPr>
                <w:rFonts w:ascii="Times New Roman" w:hAnsi="Times New Roman" w:cs="Times New Roman" w:eastAsia="Times New Roman" w:hint="default"/>
                <w:spacing w:val="-6"/>
                <w:w w:val="101"/>
                <w:sz w:val="18"/>
                <w:szCs w:val="18"/>
              </w:rPr>
              <w:t> </w:t>
            </w:r>
            <w:r>
              <w:rPr>
                <w:rFonts w:ascii="宋体" w:hAnsi="宋体" w:cs="宋体" w:eastAsia="宋体" w:hint="default"/>
                <w:spacing w:val="-15"/>
                <w:w w:val="101"/>
                <w:sz w:val="18"/>
                <w:szCs w:val="18"/>
              </w:rPr>
              <w:t>名股东的情况（如有）（参</w:t>
            </w:r>
            <w:r>
              <w:rPr>
                <w:rFonts w:ascii="宋体" w:hAnsi="宋体" w:cs="宋体" w:eastAsia="宋体" w:hint="default"/>
                <w:w w:val="101"/>
                <w:sz w:val="18"/>
                <w:szCs w:val="18"/>
              </w:rPr>
              <w:t> </w:t>
            </w:r>
            <w:r>
              <w:rPr>
                <w:rFonts w:ascii="宋体" w:hAnsi="宋体" w:cs="宋体" w:eastAsia="宋体" w:hint="default"/>
                <w:sz w:val="18"/>
                <w:szCs w:val="18"/>
              </w:rPr>
              <w:t>见注</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6686" w:type="dxa"/>
            <w:gridSpan w:val="7"/>
            <w:tcBorders>
              <w:top w:val="single" w:sz="4" w:space="0" w:color="000000"/>
              <w:left w:val="single" w:sz="8" w:space="0" w:color="D2D2D2"/>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19"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r>
        <w:trPr>
          <w:trHeight w:val="489" w:hRule="exact"/>
        </w:trPr>
        <w:tc>
          <w:tcPr>
            <w:tcW w:w="2880"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6686" w:type="dxa"/>
            <w:gridSpan w:val="7"/>
            <w:vMerge w:val="restart"/>
            <w:tcBorders>
              <w:top w:val="single" w:sz="4" w:space="0" w:color="000000"/>
              <w:left w:val="single" w:sz="8" w:space="0" w:color="D2D2D2"/>
              <w:right w:val="single" w:sz="4" w:space="0" w:color="000000"/>
            </w:tcBorders>
          </w:tcPr>
          <w:p>
            <w:pPr>
              <w:pStyle w:val="TableParagraph"/>
              <w:spacing w:line="302" w:lineRule="auto" w:before="53"/>
              <w:ind w:left="19" w:right="31"/>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本公司前十名股东中尤丽娟、尤玉仙、尤友岳、尤友鸾、尤雪仙系同一家族成员，</w:t>
            </w:r>
            <w:r>
              <w:rPr>
                <w:rFonts w:ascii="宋体" w:hAnsi="宋体" w:cs="宋体" w:eastAsia="宋体" w:hint="default"/>
                <w:spacing w:val="22"/>
                <w:sz w:val="18"/>
                <w:szCs w:val="18"/>
              </w:rPr>
              <w:t> </w:t>
            </w:r>
            <w:r>
              <w:rPr>
                <w:rFonts w:ascii="宋体" w:hAnsi="宋体" w:cs="宋体" w:eastAsia="宋体" w:hint="default"/>
                <w:spacing w:val="22"/>
                <w:sz w:val="18"/>
                <w:szCs w:val="18"/>
              </w:rPr>
            </w:r>
            <w:r>
              <w:rPr>
                <w:rFonts w:ascii="宋体" w:hAnsi="宋体" w:cs="宋体" w:eastAsia="宋体" w:hint="default"/>
                <w:spacing w:val="-3"/>
                <w:sz w:val="18"/>
                <w:szCs w:val="18"/>
              </w:rPr>
              <w:t>兴证证券资管－光大银行－兴证资管鑫众 </w:t>
            </w:r>
            <w:r>
              <w:rPr>
                <w:rFonts w:ascii="Times New Roman" w:hAnsi="Times New Roman" w:cs="Times New Roman" w:eastAsia="Times New Roman" w:hint="default"/>
                <w:sz w:val="18"/>
                <w:szCs w:val="18"/>
              </w:rPr>
              <w:t>25 </w:t>
            </w:r>
            <w:r>
              <w:rPr>
                <w:rFonts w:ascii="宋体" w:hAnsi="宋体" w:cs="宋体" w:eastAsia="宋体" w:hint="default"/>
                <w:spacing w:val="-3"/>
                <w:sz w:val="18"/>
                <w:szCs w:val="18"/>
              </w:rPr>
              <w:t>号集合资产管理计划为公司实际控制</w:t>
            </w:r>
            <w:r>
              <w:rPr>
                <w:rFonts w:ascii="宋体" w:hAnsi="宋体" w:cs="宋体" w:eastAsia="宋体" w:hint="default"/>
                <w:spacing w:val="-36"/>
                <w:sz w:val="18"/>
                <w:szCs w:val="18"/>
              </w:rPr>
              <w:t> </w:t>
            </w:r>
            <w:r>
              <w:rPr>
                <w:rFonts w:ascii="宋体" w:hAnsi="宋体" w:cs="宋体" w:eastAsia="宋体" w:hint="default"/>
                <w:spacing w:val="-36"/>
                <w:sz w:val="18"/>
                <w:szCs w:val="18"/>
              </w:rPr>
            </w:r>
            <w:r>
              <w:rPr>
                <w:rFonts w:ascii="宋体" w:hAnsi="宋体" w:cs="宋体" w:eastAsia="宋体" w:hint="default"/>
                <w:spacing w:val="-3"/>
                <w:sz w:val="18"/>
                <w:szCs w:val="18"/>
              </w:rPr>
              <w:t>人家族设立的用于增持公司股份的资产管理计划。</w:t>
            </w:r>
          </w:p>
          <w:p>
            <w:pPr>
              <w:pStyle w:val="TableParagraph"/>
              <w:spacing w:line="304" w:lineRule="auto" w:before="63"/>
              <w:ind w:left="19" w:right="31"/>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除上述股东外，公司未知其他股东之间是否存在关联关系或属于《上市公司收购管</w:t>
            </w:r>
            <w:r>
              <w:rPr>
                <w:rFonts w:ascii="宋体" w:hAnsi="宋体" w:cs="宋体" w:eastAsia="宋体" w:hint="default"/>
                <w:spacing w:val="22"/>
                <w:sz w:val="18"/>
                <w:szCs w:val="18"/>
              </w:rPr>
              <w:t> </w:t>
            </w:r>
            <w:r>
              <w:rPr>
                <w:rFonts w:ascii="宋体" w:hAnsi="宋体" w:cs="宋体" w:eastAsia="宋体" w:hint="default"/>
                <w:spacing w:val="22"/>
                <w:sz w:val="18"/>
                <w:szCs w:val="18"/>
              </w:rPr>
            </w:r>
            <w:r>
              <w:rPr>
                <w:rFonts w:ascii="宋体" w:hAnsi="宋体" w:cs="宋体" w:eastAsia="宋体" w:hint="default"/>
                <w:spacing w:val="-3"/>
                <w:sz w:val="18"/>
                <w:szCs w:val="18"/>
              </w:rPr>
              <w:t>理办法》中规定的一致行动人。</w:t>
            </w:r>
          </w:p>
        </w:tc>
      </w:tr>
      <w:tr>
        <w:trPr>
          <w:trHeight w:val="706" w:hRule="exact"/>
        </w:trPr>
        <w:tc>
          <w:tcPr>
            <w:tcW w:w="2880"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21" w:lineRule="auto" w:before="54"/>
              <w:ind w:left="24" w:right="142"/>
              <w:jc w:val="left"/>
              <w:rPr>
                <w:rFonts w:ascii="宋体" w:hAnsi="宋体" w:cs="宋体" w:eastAsia="宋体" w:hint="default"/>
                <w:sz w:val="18"/>
                <w:szCs w:val="18"/>
              </w:rPr>
            </w:pPr>
            <w:r>
              <w:rPr>
                <w:rFonts w:ascii="宋体" w:hAnsi="宋体" w:cs="宋体" w:eastAsia="宋体" w:hint="default"/>
                <w:spacing w:val="-3"/>
                <w:sz w:val="18"/>
                <w:szCs w:val="18"/>
              </w:rPr>
              <w:t>上述股东关联关系或一致行动的说</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明</w:t>
            </w:r>
          </w:p>
        </w:tc>
        <w:tc>
          <w:tcPr>
            <w:tcW w:w="6686" w:type="dxa"/>
            <w:gridSpan w:val="7"/>
            <w:vMerge/>
            <w:tcBorders>
              <w:left w:val="single" w:sz="8" w:space="0" w:color="D2D2D2"/>
              <w:right w:val="single" w:sz="4" w:space="0" w:color="000000"/>
            </w:tcBorders>
          </w:tcPr>
          <w:p>
            <w:pPr/>
          </w:p>
        </w:tc>
      </w:tr>
      <w:tr>
        <w:trPr>
          <w:trHeight w:val="495" w:hRule="exact"/>
        </w:trPr>
        <w:tc>
          <w:tcPr>
            <w:tcW w:w="2880"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6686" w:type="dxa"/>
            <w:gridSpan w:val="7"/>
            <w:vMerge/>
            <w:tcBorders>
              <w:left w:val="single" w:sz="8" w:space="0" w:color="D2D2D2"/>
              <w:bottom w:val="single" w:sz="4" w:space="0" w:color="000000"/>
              <w:right w:val="single" w:sz="4" w:space="0" w:color="000000"/>
            </w:tcBorders>
          </w:tcPr>
          <w:p>
            <w:pPr/>
          </w:p>
        </w:tc>
      </w:tr>
      <w:tr>
        <w:trPr>
          <w:trHeight w:val="403" w:hRule="exact"/>
        </w:trPr>
        <w:tc>
          <w:tcPr>
            <w:tcW w:w="9566"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前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5"/>
                <w:sz w:val="18"/>
                <w:szCs w:val="18"/>
              </w:rPr>
              <w:t> </w:t>
            </w:r>
            <w:r>
              <w:rPr>
                <w:rFonts w:ascii="宋体" w:hAnsi="宋体" w:cs="宋体" w:eastAsia="宋体" w:hint="default"/>
                <w:spacing w:val="-3"/>
                <w:sz w:val="18"/>
                <w:szCs w:val="18"/>
              </w:rPr>
              <w:t>名无限售条件股东持股情况</w:t>
            </w:r>
          </w:p>
        </w:tc>
      </w:tr>
      <w:tr>
        <w:trPr>
          <w:trHeight w:val="196" w:hRule="exact"/>
        </w:trPr>
        <w:tc>
          <w:tcPr>
            <w:tcW w:w="2880"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3995" w:type="dxa"/>
            <w:gridSpan w:val="5"/>
            <w:tcBorders>
              <w:top w:val="single" w:sz="4" w:space="0" w:color="000000"/>
              <w:left w:val="single" w:sz="4" w:space="0" w:color="000000"/>
              <w:bottom w:val="nil" w:sz="6" w:space="0" w:color="auto"/>
              <w:right w:val="single" w:sz="4" w:space="0" w:color="000000"/>
            </w:tcBorders>
            <w:shd w:val="clear" w:color="auto" w:fill="D2D2D2"/>
          </w:tcPr>
          <w:p>
            <w:pPr/>
          </w:p>
        </w:tc>
        <w:tc>
          <w:tcPr>
            <w:tcW w:w="269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8"/>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202" w:hRule="exact"/>
        </w:trPr>
        <w:tc>
          <w:tcPr>
            <w:tcW w:w="2880"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995" w:type="dxa"/>
            <w:gridSpan w:val="5"/>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638" w:right="0"/>
              <w:jc w:val="left"/>
              <w:rPr>
                <w:rFonts w:ascii="宋体" w:hAnsi="宋体" w:cs="宋体" w:eastAsia="宋体" w:hint="default"/>
                <w:sz w:val="18"/>
                <w:szCs w:val="18"/>
              </w:rPr>
            </w:pPr>
            <w:r>
              <w:rPr>
                <w:rFonts w:ascii="宋体" w:hAnsi="宋体" w:cs="宋体" w:eastAsia="宋体" w:hint="default"/>
                <w:spacing w:val="-3"/>
                <w:sz w:val="18"/>
                <w:szCs w:val="18"/>
              </w:rPr>
              <w:t>报告期末持有无限售条件股份数量</w:t>
            </w:r>
          </w:p>
        </w:tc>
        <w:tc>
          <w:tcPr>
            <w:tcW w:w="2692" w:type="dxa"/>
            <w:gridSpan w:val="2"/>
            <w:vMerge/>
            <w:tcBorders>
              <w:left w:val="single" w:sz="4" w:space="0" w:color="000000"/>
              <w:bottom w:val="single" w:sz="4" w:space="0" w:color="000000"/>
              <w:right w:val="single" w:sz="4" w:space="0" w:color="000000"/>
            </w:tcBorders>
            <w:shd w:val="clear" w:color="auto" w:fill="D2D2D2"/>
          </w:tcPr>
          <w:p>
            <w:pPr/>
          </w:p>
        </w:tc>
      </w:tr>
      <w:tr>
        <w:trPr>
          <w:trHeight w:val="192" w:hRule="exact"/>
        </w:trPr>
        <w:tc>
          <w:tcPr>
            <w:tcW w:w="2880" w:type="dxa"/>
            <w:gridSpan w:val="2"/>
            <w:vMerge/>
            <w:tcBorders>
              <w:left w:val="single" w:sz="4" w:space="0" w:color="000000"/>
              <w:bottom w:val="nil" w:sz="6" w:space="0" w:color="auto"/>
              <w:right w:val="single" w:sz="4" w:space="0" w:color="000000"/>
            </w:tcBorders>
            <w:shd w:val="clear" w:color="auto" w:fill="D2D2D2"/>
          </w:tcPr>
          <w:p>
            <w:pPr/>
          </w:p>
        </w:tc>
        <w:tc>
          <w:tcPr>
            <w:tcW w:w="3995" w:type="dxa"/>
            <w:gridSpan w:val="5"/>
            <w:vMerge/>
            <w:tcBorders>
              <w:left w:val="single" w:sz="4" w:space="0" w:color="000000"/>
              <w:bottom w:val="nil" w:sz="6" w:space="0" w:color="auto"/>
              <w:right w:val="single" w:sz="4" w:space="0" w:color="000000"/>
            </w:tcBorders>
            <w:shd w:val="clear" w:color="auto" w:fill="D2D2D2"/>
          </w:tcPr>
          <w:p>
            <w:pPr/>
          </w:p>
        </w:tc>
        <w:tc>
          <w:tcPr>
            <w:tcW w:w="134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01"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34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right="6"/>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216" w:hRule="exact"/>
        </w:trPr>
        <w:tc>
          <w:tcPr>
            <w:tcW w:w="2880"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3995" w:type="dxa"/>
            <w:gridSpan w:val="5"/>
            <w:tcBorders>
              <w:top w:val="nil" w:sz="6" w:space="0" w:color="auto"/>
              <w:left w:val="single" w:sz="4" w:space="0" w:color="000000"/>
              <w:bottom w:val="single" w:sz="4" w:space="0" w:color="000000"/>
              <w:right w:val="single" w:sz="4" w:space="0" w:color="000000"/>
            </w:tcBorders>
            <w:shd w:val="clear" w:color="auto" w:fill="D2D2D2"/>
          </w:tcPr>
          <w:p>
            <w:pPr/>
          </w:p>
        </w:tc>
        <w:tc>
          <w:tcPr>
            <w:tcW w:w="1346" w:type="dxa"/>
            <w:vMerge/>
            <w:tcBorders>
              <w:left w:val="single" w:sz="4" w:space="0" w:color="000000"/>
              <w:bottom w:val="single" w:sz="4" w:space="0" w:color="000000"/>
              <w:right w:val="single" w:sz="4" w:space="0" w:color="000000"/>
            </w:tcBorders>
            <w:shd w:val="clear" w:color="auto" w:fill="D2D2D2"/>
          </w:tcPr>
          <w:p>
            <w:pPr/>
          </w:p>
        </w:tc>
        <w:tc>
          <w:tcPr>
            <w:tcW w:w="1345"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880"/>
        <w:gridCol w:w="3989"/>
        <w:gridCol w:w="1354"/>
        <w:gridCol w:w="1344"/>
      </w:tblGrid>
      <w:tr>
        <w:trPr>
          <w:trHeight w:val="403"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尤丽娟</w:t>
            </w:r>
          </w:p>
        </w:tc>
        <w:tc>
          <w:tcPr>
            <w:tcW w:w="3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7,435,000</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7,435,000</w:t>
            </w:r>
          </w:p>
        </w:tc>
      </w:tr>
      <w:tr>
        <w:trPr>
          <w:trHeight w:val="710"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42"/>
              <w:jc w:val="left"/>
              <w:rPr>
                <w:rFonts w:ascii="宋体" w:hAnsi="宋体" w:cs="宋体" w:eastAsia="宋体" w:hint="default"/>
                <w:sz w:val="18"/>
                <w:szCs w:val="18"/>
              </w:rPr>
            </w:pPr>
            <w:r>
              <w:rPr>
                <w:rFonts w:ascii="宋体" w:hAnsi="宋体" w:cs="宋体" w:eastAsia="宋体" w:hint="default"/>
                <w:spacing w:val="-3"/>
                <w:sz w:val="18"/>
                <w:szCs w:val="18"/>
              </w:rPr>
              <w:t>兴证证券资管－光大银行－兴证资</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管鑫众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7"/>
                <w:sz w:val="18"/>
                <w:szCs w:val="18"/>
              </w:rPr>
              <w:t> </w:t>
            </w:r>
            <w:r>
              <w:rPr>
                <w:rFonts w:ascii="宋体" w:hAnsi="宋体" w:cs="宋体" w:eastAsia="宋体" w:hint="default"/>
                <w:spacing w:val="-3"/>
                <w:sz w:val="18"/>
                <w:szCs w:val="18"/>
              </w:rPr>
              <w:t>号集合资产管理计划</w:t>
            </w:r>
          </w:p>
        </w:tc>
        <w:tc>
          <w:tcPr>
            <w:tcW w:w="3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5,963,551</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5,963,551</w:t>
            </w:r>
          </w:p>
        </w:tc>
      </w:tr>
      <w:tr>
        <w:trPr>
          <w:trHeight w:val="403"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全国社保基金一一二组合</w:t>
            </w:r>
          </w:p>
        </w:tc>
        <w:tc>
          <w:tcPr>
            <w:tcW w:w="3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5,783,496</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5,783,496</w:t>
            </w:r>
          </w:p>
        </w:tc>
      </w:tr>
      <w:tr>
        <w:trPr>
          <w:trHeight w:val="403"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尤雪仙</w:t>
            </w:r>
          </w:p>
        </w:tc>
        <w:tc>
          <w:tcPr>
            <w:tcW w:w="3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5,700,000</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5,700,000</w:t>
            </w:r>
          </w:p>
        </w:tc>
      </w:tr>
      <w:tr>
        <w:trPr>
          <w:trHeight w:val="403"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尤友岳</w:t>
            </w:r>
          </w:p>
        </w:tc>
        <w:tc>
          <w:tcPr>
            <w:tcW w:w="3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3,876,000</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3,876,000</w:t>
            </w:r>
          </w:p>
        </w:tc>
      </w:tr>
      <w:tr>
        <w:trPr>
          <w:trHeight w:val="710"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42"/>
              <w:jc w:val="left"/>
              <w:rPr>
                <w:rFonts w:ascii="宋体" w:hAnsi="宋体" w:cs="宋体" w:eastAsia="宋体" w:hint="default"/>
                <w:sz w:val="18"/>
                <w:szCs w:val="18"/>
              </w:rPr>
            </w:pPr>
            <w:r>
              <w:rPr>
                <w:rFonts w:ascii="宋体" w:hAnsi="宋体" w:cs="宋体" w:eastAsia="宋体" w:hint="default"/>
                <w:spacing w:val="-3"/>
                <w:sz w:val="18"/>
                <w:szCs w:val="18"/>
              </w:rPr>
              <w:t>招商银行股份有限公司－华富成长</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pacing w:val="-3"/>
                <w:sz w:val="18"/>
                <w:szCs w:val="18"/>
              </w:rPr>
              <w:t>趋势混合型证券投资基金</w:t>
            </w:r>
          </w:p>
        </w:tc>
        <w:tc>
          <w:tcPr>
            <w:tcW w:w="3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2,950,361</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2,950,361</w:t>
            </w:r>
          </w:p>
        </w:tc>
      </w:tr>
      <w:tr>
        <w:trPr>
          <w:trHeight w:val="715"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4" w:right="142"/>
              <w:jc w:val="left"/>
              <w:rPr>
                <w:rFonts w:ascii="宋体" w:hAnsi="宋体" w:cs="宋体" w:eastAsia="宋体" w:hint="default"/>
                <w:sz w:val="18"/>
                <w:szCs w:val="18"/>
              </w:rPr>
            </w:pPr>
            <w:r>
              <w:rPr>
                <w:rFonts w:ascii="宋体" w:hAnsi="宋体" w:cs="宋体" w:eastAsia="宋体" w:hint="default"/>
                <w:spacing w:val="-3"/>
                <w:sz w:val="18"/>
                <w:szCs w:val="18"/>
              </w:rPr>
              <w:t>中国石油天然气集团公司企业年金</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pacing w:val="-3"/>
                <w:sz w:val="18"/>
                <w:szCs w:val="18"/>
              </w:rPr>
              <w:t>计划－中国工商银行股份有限公司</w:t>
            </w:r>
          </w:p>
        </w:tc>
        <w:tc>
          <w:tcPr>
            <w:tcW w:w="3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2,758,819</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2,758,819</w:t>
            </w:r>
          </w:p>
        </w:tc>
      </w:tr>
      <w:tr>
        <w:trPr>
          <w:trHeight w:val="1027"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24" w:right="142"/>
              <w:jc w:val="both"/>
              <w:rPr>
                <w:rFonts w:ascii="宋体" w:hAnsi="宋体" w:cs="宋体" w:eastAsia="宋体" w:hint="default"/>
                <w:sz w:val="18"/>
                <w:szCs w:val="18"/>
              </w:rPr>
            </w:pPr>
            <w:r>
              <w:rPr>
                <w:rFonts w:ascii="宋体" w:hAnsi="宋体" w:cs="宋体" w:eastAsia="宋体" w:hint="default"/>
                <w:spacing w:val="-3"/>
                <w:sz w:val="18"/>
                <w:szCs w:val="18"/>
              </w:rPr>
              <w:t>中国银行股份有限公司－华泰柏瑞</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pacing w:val="-3"/>
                <w:sz w:val="18"/>
                <w:szCs w:val="18"/>
              </w:rPr>
              <w:t>盛世中国股票型开放式证券投资基</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金</w:t>
            </w:r>
          </w:p>
        </w:tc>
        <w:tc>
          <w:tcPr>
            <w:tcW w:w="3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2,490,532</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2,490,532</w:t>
            </w:r>
          </w:p>
        </w:tc>
      </w:tr>
      <w:tr>
        <w:trPr>
          <w:trHeight w:val="715"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42"/>
              <w:jc w:val="left"/>
              <w:rPr>
                <w:rFonts w:ascii="宋体" w:hAnsi="宋体" w:cs="宋体" w:eastAsia="宋体" w:hint="default"/>
                <w:sz w:val="18"/>
                <w:szCs w:val="18"/>
              </w:rPr>
            </w:pPr>
            <w:r>
              <w:rPr>
                <w:rFonts w:ascii="宋体" w:hAnsi="宋体" w:cs="宋体" w:eastAsia="宋体" w:hint="default"/>
                <w:spacing w:val="-3"/>
                <w:sz w:val="18"/>
                <w:szCs w:val="18"/>
              </w:rPr>
              <w:t>中国建设银行－国泰金鼎价值精选</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pacing w:val="-3"/>
                <w:sz w:val="18"/>
                <w:szCs w:val="18"/>
              </w:rPr>
              <w:t>混合型证券投资基金</w:t>
            </w:r>
          </w:p>
        </w:tc>
        <w:tc>
          <w:tcPr>
            <w:tcW w:w="3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2,235,700</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2,235,700</w:t>
            </w:r>
          </w:p>
        </w:tc>
      </w:tr>
      <w:tr>
        <w:trPr>
          <w:trHeight w:val="398"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章棉桃</w:t>
            </w:r>
          </w:p>
        </w:tc>
        <w:tc>
          <w:tcPr>
            <w:tcW w:w="3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1,938,000</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1,938,000</w:t>
            </w:r>
          </w:p>
        </w:tc>
      </w:tr>
      <w:tr>
        <w:trPr>
          <w:trHeight w:val="1694" w:hRule="exact"/>
        </w:trPr>
        <w:tc>
          <w:tcPr>
            <w:tcW w:w="28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前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5"/>
                <w:sz w:val="18"/>
                <w:szCs w:val="18"/>
              </w:rPr>
              <w:t> </w:t>
            </w:r>
            <w:r>
              <w:rPr>
                <w:rFonts w:ascii="宋体" w:hAnsi="宋体" w:cs="宋体" w:eastAsia="宋体" w:hint="default"/>
                <w:spacing w:val="-3"/>
                <w:sz w:val="18"/>
                <w:szCs w:val="18"/>
              </w:rPr>
              <w:t>名无限售流通股股东之间，以</w:t>
            </w:r>
          </w:p>
          <w:p>
            <w:pPr>
              <w:pStyle w:val="TableParagraph"/>
              <w:spacing w:line="312" w:lineRule="auto" w:before="63"/>
              <w:ind w:left="24" w:right="17"/>
              <w:jc w:val="left"/>
              <w:rPr>
                <w:rFonts w:ascii="宋体" w:hAnsi="宋体" w:cs="宋体" w:eastAsia="宋体" w:hint="default"/>
                <w:sz w:val="18"/>
                <w:szCs w:val="18"/>
              </w:rPr>
            </w:pPr>
            <w:r>
              <w:rPr>
                <w:rFonts w:ascii="宋体" w:hAnsi="宋体" w:cs="宋体" w:eastAsia="宋体" w:hint="default"/>
                <w:sz w:val="18"/>
                <w:szCs w:val="18"/>
              </w:rPr>
              <w:t>及前</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5"/>
                <w:sz w:val="18"/>
                <w:szCs w:val="18"/>
              </w:rPr>
              <w:t> </w:t>
            </w:r>
            <w:r>
              <w:rPr>
                <w:rFonts w:ascii="宋体" w:hAnsi="宋体" w:cs="宋体" w:eastAsia="宋体" w:hint="default"/>
                <w:spacing w:val="-3"/>
                <w:sz w:val="18"/>
                <w:szCs w:val="18"/>
              </w:rPr>
              <w:t>名无限售流通股股东和前</w:t>
            </w:r>
            <w:r>
              <w:rPr>
                <w:rFonts w:ascii="宋体" w:hAnsi="宋体" w:cs="宋体" w:eastAsia="宋体" w:hint="default"/>
                <w:spacing w:val="-33"/>
                <w:sz w:val="18"/>
                <w:szCs w:val="18"/>
              </w:rPr>
              <w:t> </w:t>
            </w:r>
            <w:r>
              <w:rPr>
                <w:rFonts w:ascii="Times New Roman" w:hAnsi="Times New Roman" w:cs="Times New Roman" w:eastAsia="Times New Roman" w:hint="default"/>
                <w:spacing w:val="-3"/>
                <w:sz w:val="18"/>
                <w:szCs w:val="18"/>
              </w:rPr>
              <w:t>10</w:t>
            </w:r>
            <w:r>
              <w:rPr>
                <w:rFonts w:ascii="Times New Roman" w:hAnsi="Times New Roman" w:cs="Times New Roman" w:eastAsia="Times New Roman" w:hint="default"/>
                <w:spacing w:val="-41"/>
                <w:sz w:val="18"/>
                <w:szCs w:val="18"/>
              </w:rPr>
              <w:t> </w:t>
            </w:r>
            <w:r>
              <w:rPr>
                <w:rFonts w:ascii="Times New Roman" w:hAnsi="Times New Roman" w:cs="Times New Roman" w:eastAsia="Times New Roman" w:hint="default"/>
                <w:spacing w:val="-41"/>
                <w:sz w:val="18"/>
                <w:szCs w:val="18"/>
              </w:rPr>
            </w:r>
            <w:r>
              <w:rPr>
                <w:rFonts w:ascii="宋体" w:hAnsi="宋体" w:cs="宋体" w:eastAsia="宋体" w:hint="default"/>
                <w:spacing w:val="-3"/>
                <w:sz w:val="18"/>
                <w:szCs w:val="18"/>
              </w:rPr>
              <w:t>名股东之间关联关系或一致行动的</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说明</w:t>
            </w:r>
          </w:p>
        </w:tc>
        <w:tc>
          <w:tcPr>
            <w:tcW w:w="6686" w:type="dxa"/>
            <w:gridSpan w:val="3"/>
            <w:tcBorders>
              <w:top w:val="single" w:sz="4" w:space="0" w:color="000000"/>
              <w:left w:val="single" w:sz="4" w:space="0" w:color="000000"/>
              <w:bottom w:val="single" w:sz="4" w:space="0" w:color="000000"/>
              <w:right w:val="single" w:sz="4" w:space="0" w:color="000000"/>
            </w:tcBorders>
          </w:tcPr>
          <w:p>
            <w:pPr>
              <w:pStyle w:val="TableParagraph"/>
              <w:spacing w:line="302" w:lineRule="auto" w:before="53"/>
              <w:ind w:left="24" w:right="17"/>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、本公司前十名无限售流通股东中尤丽娟、尤友岳、尤雪仙、章棉桃系同一家族成</w:t>
            </w:r>
            <w:r>
              <w:rPr>
                <w:rFonts w:ascii="宋体" w:hAnsi="宋体" w:cs="宋体" w:eastAsia="宋体" w:hint="default"/>
                <w:spacing w:val="22"/>
                <w:sz w:val="18"/>
                <w:szCs w:val="18"/>
              </w:rPr>
              <w:t> </w:t>
            </w:r>
            <w:r>
              <w:rPr>
                <w:rFonts w:ascii="宋体" w:hAnsi="宋体" w:cs="宋体" w:eastAsia="宋体" w:hint="default"/>
                <w:spacing w:val="22"/>
                <w:sz w:val="18"/>
                <w:szCs w:val="18"/>
              </w:rPr>
            </w:r>
            <w:r>
              <w:rPr>
                <w:rFonts w:ascii="宋体" w:hAnsi="宋体" w:cs="宋体" w:eastAsia="宋体" w:hint="default"/>
                <w:spacing w:val="-4"/>
                <w:sz w:val="18"/>
                <w:szCs w:val="18"/>
              </w:rPr>
              <w:t>员，兴证证券资管－光大银行－兴证资管鑫众</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41"/>
                <w:sz w:val="18"/>
                <w:szCs w:val="18"/>
              </w:rPr>
              <w:t> </w:t>
            </w:r>
            <w:r>
              <w:rPr>
                <w:rFonts w:ascii="宋体" w:hAnsi="宋体" w:cs="宋体" w:eastAsia="宋体" w:hint="default"/>
                <w:spacing w:val="-3"/>
                <w:sz w:val="18"/>
                <w:szCs w:val="18"/>
              </w:rPr>
              <w:t>号集合资产管理计划为公司实际控</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3"/>
                <w:sz w:val="18"/>
                <w:szCs w:val="18"/>
              </w:rPr>
              <w:t>制人家族设立的用于增持公司股份的资产管理计划。</w:t>
            </w:r>
          </w:p>
          <w:p>
            <w:pPr>
              <w:pStyle w:val="TableParagraph"/>
              <w:spacing w:line="304" w:lineRule="auto" w:before="63"/>
              <w:ind w:left="24" w:right="31"/>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除上述股东外，公司未知其他股东之间是否存在关联关系或属于《上市公司收购管</w:t>
            </w:r>
            <w:r>
              <w:rPr>
                <w:rFonts w:ascii="宋体" w:hAnsi="宋体" w:cs="宋体" w:eastAsia="宋体" w:hint="default"/>
                <w:spacing w:val="22"/>
                <w:sz w:val="18"/>
                <w:szCs w:val="18"/>
              </w:rPr>
              <w:t> </w:t>
            </w:r>
            <w:r>
              <w:rPr>
                <w:rFonts w:ascii="宋体" w:hAnsi="宋体" w:cs="宋体" w:eastAsia="宋体" w:hint="default"/>
                <w:spacing w:val="22"/>
                <w:sz w:val="18"/>
                <w:szCs w:val="18"/>
              </w:rPr>
            </w:r>
            <w:r>
              <w:rPr>
                <w:rFonts w:ascii="宋体" w:hAnsi="宋体" w:cs="宋体" w:eastAsia="宋体" w:hint="default"/>
                <w:spacing w:val="-3"/>
                <w:sz w:val="18"/>
                <w:szCs w:val="18"/>
              </w:rPr>
              <w:t>理办法》中规定的一致行动人。</w:t>
            </w:r>
          </w:p>
        </w:tc>
      </w:tr>
      <w:tr>
        <w:trPr>
          <w:trHeight w:val="710" w:hRule="exact"/>
        </w:trPr>
        <w:tc>
          <w:tcPr>
            <w:tcW w:w="28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24" w:right="5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2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7"/>
                <w:sz w:val="18"/>
                <w:szCs w:val="18"/>
              </w:rPr>
              <w:t> </w:t>
            </w:r>
            <w:r>
              <w:rPr>
                <w:rFonts w:ascii="宋体" w:hAnsi="宋体" w:cs="宋体" w:eastAsia="宋体" w:hint="default"/>
                <w:spacing w:val="-3"/>
                <w:sz w:val="18"/>
                <w:szCs w:val="18"/>
              </w:rPr>
              <w:t>名普通股股东参与融资融券业</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9"/>
                <w:w w:val="101"/>
                <w:sz w:val="18"/>
                <w:szCs w:val="18"/>
              </w:rPr>
              <w:t>务情况说明（如有）（参见注</w:t>
            </w:r>
            <w:r>
              <w:rPr>
                <w:rFonts w:ascii="宋体" w:hAnsi="宋体" w:cs="宋体" w:eastAsia="宋体" w:hint="default"/>
                <w:spacing w:val="-47"/>
                <w:w w:val="101"/>
                <w:sz w:val="18"/>
                <w:szCs w:val="18"/>
              </w:rPr>
              <w:t> </w:t>
            </w:r>
            <w:r>
              <w:rPr>
                <w:rFonts w:ascii="Times New Roman" w:hAnsi="Times New Roman" w:cs="Times New Roman" w:eastAsia="Times New Roman" w:hint="default"/>
                <w:spacing w:val="-3"/>
                <w:w w:val="101"/>
                <w:sz w:val="18"/>
                <w:szCs w:val="18"/>
              </w:rPr>
              <w:t>4</w:t>
            </w:r>
            <w:r>
              <w:rPr>
                <w:rFonts w:ascii="宋体" w:hAnsi="宋体" w:cs="宋体" w:eastAsia="宋体" w:hint="default"/>
                <w:spacing w:val="-3"/>
                <w:w w:val="101"/>
                <w:sz w:val="18"/>
                <w:szCs w:val="18"/>
              </w:rPr>
              <w:t>）</w:t>
            </w:r>
            <w:r>
              <w:rPr>
                <w:rFonts w:ascii="宋体" w:hAnsi="宋体" w:cs="宋体" w:eastAsia="宋体" w:hint="default"/>
                <w:spacing w:val="-3"/>
                <w:sz w:val="18"/>
                <w:szCs w:val="18"/>
              </w:rPr>
            </w:r>
          </w:p>
        </w:tc>
        <w:tc>
          <w:tcPr>
            <w:tcW w:w="66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公司前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名普通股股东、前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8"/>
          <w:sz w:val="18"/>
          <w:szCs w:val="18"/>
        </w:rPr>
        <w:t> </w:t>
      </w:r>
      <w:r>
        <w:rPr>
          <w:rFonts w:ascii="宋体" w:hAnsi="宋体" w:cs="宋体" w:eastAsia="宋体" w:hint="default"/>
          <w:spacing w:val="-3"/>
          <w:sz w:val="18"/>
          <w:szCs w:val="18"/>
        </w:rPr>
        <w:t>名无限售条件普通股股东在报告期内是否进行约定购回交易</w:t>
      </w:r>
    </w:p>
    <w:p>
      <w:pPr>
        <w:spacing w:before="106"/>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p>
    <w:p>
      <w:pPr>
        <w:spacing w:before="101"/>
        <w:ind w:left="152" w:right="0" w:firstLine="0"/>
        <w:jc w:val="left"/>
        <w:rPr>
          <w:rFonts w:ascii="宋体" w:hAnsi="宋体" w:cs="宋体" w:eastAsia="宋体" w:hint="default"/>
          <w:sz w:val="18"/>
          <w:szCs w:val="18"/>
        </w:rPr>
      </w:pPr>
      <w:r>
        <w:rPr>
          <w:rFonts w:ascii="宋体" w:hAnsi="宋体" w:cs="宋体" w:eastAsia="宋体" w:hint="default"/>
          <w:sz w:val="18"/>
          <w:szCs w:val="18"/>
        </w:rPr>
        <w:t>公司前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名普通股股东、前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8"/>
          <w:sz w:val="18"/>
          <w:szCs w:val="18"/>
        </w:rPr>
        <w:t> </w:t>
      </w:r>
      <w:r>
        <w:rPr>
          <w:rFonts w:ascii="宋体" w:hAnsi="宋体" w:cs="宋体" w:eastAsia="宋体" w:hint="default"/>
          <w:spacing w:val="-3"/>
          <w:sz w:val="18"/>
          <w:szCs w:val="18"/>
        </w:rPr>
        <w:t>名无限售条件普通股股东在报告期内未进行约定购回交易。</w:t>
      </w:r>
    </w:p>
    <w:p>
      <w:pPr>
        <w:spacing w:line="240" w:lineRule="auto" w:before="6"/>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2</w:t>
      </w:r>
      <w:r>
        <w:rPr/>
        <w:t>、公司控股股东情况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line="357" w:lineRule="auto" w:before="0"/>
        <w:ind w:left="152" w:right="6405" w:firstLine="0"/>
        <w:jc w:val="left"/>
        <w:rPr>
          <w:rFonts w:ascii="宋体" w:hAnsi="宋体" w:cs="宋体" w:eastAsia="宋体" w:hint="default"/>
          <w:sz w:val="18"/>
          <w:szCs w:val="18"/>
        </w:rPr>
      </w:pPr>
      <w:r>
        <w:rPr>
          <w:rFonts w:ascii="宋体" w:hAnsi="宋体" w:cs="宋体" w:eastAsia="宋体" w:hint="default"/>
          <w:spacing w:val="-3"/>
          <w:sz w:val="18"/>
          <w:szCs w:val="18"/>
        </w:rPr>
        <w:t>控股股东性质：自然人控股</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控股股东类型：自然人</w:t>
      </w:r>
    </w:p>
    <w:tbl>
      <w:tblPr>
        <w:tblW w:w="0" w:type="auto"/>
        <w:jc w:val="left"/>
        <w:tblInd w:w="148" w:type="dxa"/>
        <w:tblLayout w:type="fixed"/>
        <w:tblCellMar>
          <w:top w:w="0" w:type="dxa"/>
          <w:left w:w="0" w:type="dxa"/>
          <w:bottom w:w="0" w:type="dxa"/>
          <w:right w:w="0" w:type="dxa"/>
        </w:tblCellMar>
        <w:tblLook w:val="01E0"/>
      </w:tblPr>
      <w:tblGrid>
        <w:gridCol w:w="3418"/>
        <w:gridCol w:w="2304"/>
        <w:gridCol w:w="3845"/>
      </w:tblGrid>
      <w:tr>
        <w:trPr>
          <w:trHeight w:val="403"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控股股东姓名</w:t>
            </w:r>
          </w:p>
        </w:tc>
        <w:tc>
          <w:tcPr>
            <w:tcW w:w="23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38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57" w:right="0"/>
              <w:jc w:val="left"/>
              <w:rPr>
                <w:rFonts w:ascii="宋体" w:hAnsi="宋体" w:cs="宋体" w:eastAsia="宋体" w:hint="default"/>
                <w:sz w:val="18"/>
                <w:szCs w:val="18"/>
              </w:rPr>
            </w:pPr>
            <w:r>
              <w:rPr>
                <w:rFonts w:ascii="宋体" w:hAnsi="宋体" w:cs="宋体" w:eastAsia="宋体" w:hint="default"/>
                <w:spacing w:val="-3"/>
                <w:sz w:val="18"/>
                <w:szCs w:val="18"/>
              </w:rPr>
              <w:t>是否取得其他国家或地区居留权</w:t>
            </w:r>
          </w:p>
        </w:tc>
      </w:tr>
      <w:tr>
        <w:trPr>
          <w:trHeight w:val="403"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尤丽娟</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尤玉仙</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尤友岳</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403"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尤友鸾</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尤雪仙</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章棉桃</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418"/>
        <w:gridCol w:w="6149"/>
      </w:tblGrid>
      <w:tr>
        <w:trPr>
          <w:trHeight w:val="386" w:hRule="exact"/>
        </w:trPr>
        <w:tc>
          <w:tcPr>
            <w:tcW w:w="3418" w:type="dxa"/>
            <w:tcBorders>
              <w:top w:val="single" w:sz="4" w:space="0" w:color="000000"/>
              <w:left w:val="single" w:sz="4" w:space="0" w:color="000000"/>
              <w:bottom w:val="nil" w:sz="6" w:space="0" w:color="auto"/>
              <w:right w:val="single" w:sz="4" w:space="0" w:color="000000"/>
            </w:tcBorders>
            <w:shd w:val="clear" w:color="auto" w:fill="D2D2D2"/>
          </w:tcPr>
          <w:p>
            <w:pPr/>
          </w:p>
        </w:tc>
        <w:tc>
          <w:tcPr>
            <w:tcW w:w="614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尤丽娟：</w:t>
            </w:r>
            <w:r>
              <w:rPr>
                <w:rFonts w:ascii="Times New Roman" w:hAnsi="Times New Roman" w:cs="Times New Roman" w:eastAsia="Times New Roman" w:hint="default"/>
                <w:sz w:val="18"/>
                <w:szCs w:val="18"/>
              </w:rPr>
              <w:t>2007  </w:t>
            </w:r>
            <w:r>
              <w:rPr>
                <w:rFonts w:ascii="宋体" w:hAnsi="宋体" w:cs="宋体" w:eastAsia="宋体" w:hint="default"/>
                <w:sz w:val="18"/>
                <w:szCs w:val="18"/>
              </w:rPr>
              <w:t>年 </w:t>
            </w:r>
            <w:r>
              <w:rPr>
                <w:rFonts w:ascii="Times New Roman" w:hAnsi="Times New Roman" w:cs="Times New Roman" w:eastAsia="Times New Roman" w:hint="default"/>
                <w:sz w:val="18"/>
                <w:szCs w:val="18"/>
              </w:rPr>
              <w:t>3  </w:t>
            </w:r>
            <w:r>
              <w:rPr>
                <w:rFonts w:ascii="Times New Roman" w:hAnsi="Times New Roman" w:cs="Times New Roman" w:eastAsia="Times New Roman" w:hint="default"/>
                <w:spacing w:val="6"/>
                <w:sz w:val="18"/>
                <w:szCs w:val="18"/>
              </w:rPr>
              <w:t> </w:t>
            </w:r>
            <w:r>
              <w:rPr>
                <w:rFonts w:ascii="宋体" w:hAnsi="宋体" w:cs="宋体" w:eastAsia="宋体" w:hint="default"/>
                <w:spacing w:val="-3"/>
                <w:sz w:val="18"/>
                <w:szCs w:val="18"/>
              </w:rPr>
              <w:t>月</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至今任职鸿博股份有限公司董事长</w:t>
            </w:r>
          </w:p>
        </w:tc>
      </w:tr>
      <w:tr>
        <w:trPr>
          <w:trHeight w:val="353" w:hRule="exact"/>
        </w:trPr>
        <w:tc>
          <w:tcPr>
            <w:tcW w:w="3418" w:type="dxa"/>
            <w:tcBorders>
              <w:top w:val="nil" w:sz="6" w:space="0" w:color="auto"/>
              <w:left w:val="single" w:sz="4" w:space="0" w:color="000000"/>
              <w:bottom w:val="nil" w:sz="6" w:space="0" w:color="auto"/>
              <w:right w:val="single" w:sz="4" w:space="0" w:color="000000"/>
            </w:tcBorders>
            <w:shd w:val="clear" w:color="auto" w:fill="D2D2D2"/>
          </w:tcPr>
          <w:p>
            <w:pPr/>
          </w:p>
        </w:tc>
        <w:tc>
          <w:tcPr>
            <w:tcW w:w="6149"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24" w:right="0"/>
              <w:jc w:val="left"/>
              <w:rPr>
                <w:rFonts w:ascii="宋体" w:hAnsi="宋体" w:cs="宋体" w:eastAsia="宋体" w:hint="default"/>
                <w:sz w:val="18"/>
                <w:szCs w:val="18"/>
              </w:rPr>
            </w:pPr>
            <w:r>
              <w:rPr>
                <w:rFonts w:ascii="宋体" w:hAnsi="宋体" w:cs="宋体" w:eastAsia="宋体" w:hint="default"/>
                <w:sz w:val="18"/>
                <w:szCs w:val="18"/>
              </w:rPr>
              <w:t>尤玉仙：</w:t>
            </w:r>
            <w:r>
              <w:rPr>
                <w:rFonts w:ascii="Times New Roman" w:hAnsi="Times New Roman" w:cs="Times New Roman" w:eastAsia="Times New Roman" w:hint="default"/>
                <w:sz w:val="18"/>
                <w:szCs w:val="18"/>
              </w:rPr>
              <w:t>2007  </w:t>
            </w:r>
            <w:r>
              <w:rPr>
                <w:rFonts w:ascii="宋体" w:hAnsi="宋体" w:cs="宋体" w:eastAsia="宋体" w:hint="default"/>
                <w:sz w:val="18"/>
                <w:szCs w:val="18"/>
              </w:rPr>
              <w:t>年 </w:t>
            </w:r>
            <w:r>
              <w:rPr>
                <w:rFonts w:ascii="Times New Roman" w:hAnsi="Times New Roman" w:cs="Times New Roman" w:eastAsia="Times New Roman" w:hint="default"/>
                <w:sz w:val="18"/>
                <w:szCs w:val="18"/>
              </w:rPr>
              <w:t>3  </w:t>
            </w:r>
            <w:r>
              <w:rPr>
                <w:rFonts w:ascii="Times New Roman" w:hAnsi="Times New Roman" w:cs="Times New Roman" w:eastAsia="Times New Roman" w:hint="default"/>
                <w:spacing w:val="7"/>
                <w:sz w:val="18"/>
                <w:szCs w:val="18"/>
              </w:rPr>
              <w:t> </w:t>
            </w:r>
            <w:r>
              <w:rPr>
                <w:rFonts w:ascii="宋体" w:hAnsi="宋体" w:cs="宋体" w:eastAsia="宋体" w:hint="default"/>
                <w:spacing w:val="-3"/>
                <w:sz w:val="18"/>
                <w:szCs w:val="18"/>
              </w:rPr>
              <w:t>月</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至今任职鸿博股份有限公司副董事长</w:t>
            </w:r>
          </w:p>
        </w:tc>
      </w:tr>
      <w:tr>
        <w:trPr>
          <w:trHeight w:val="338" w:hRule="exact"/>
        </w:trPr>
        <w:tc>
          <w:tcPr>
            <w:tcW w:w="3418" w:type="dxa"/>
            <w:tcBorders>
              <w:top w:val="nil" w:sz="6" w:space="0" w:color="auto"/>
              <w:left w:val="single" w:sz="4" w:space="0" w:color="000000"/>
              <w:bottom w:val="nil" w:sz="6" w:space="0" w:color="auto"/>
              <w:right w:val="single" w:sz="4" w:space="0" w:color="000000"/>
            </w:tcBorders>
            <w:shd w:val="clear" w:color="auto" w:fill="D2D2D2"/>
          </w:tcPr>
          <w:p>
            <w:pPr/>
          </w:p>
        </w:tc>
        <w:tc>
          <w:tcPr>
            <w:tcW w:w="6149"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24" w:right="0"/>
              <w:jc w:val="left"/>
              <w:rPr>
                <w:rFonts w:ascii="宋体" w:hAnsi="宋体" w:cs="宋体" w:eastAsia="宋体" w:hint="default"/>
                <w:sz w:val="18"/>
                <w:szCs w:val="18"/>
              </w:rPr>
            </w:pPr>
            <w:r>
              <w:rPr>
                <w:rFonts w:ascii="宋体" w:hAnsi="宋体" w:cs="宋体" w:eastAsia="宋体" w:hint="default"/>
                <w:sz w:val="18"/>
                <w:szCs w:val="18"/>
              </w:rPr>
              <w:t>尤友岳：</w:t>
            </w:r>
            <w:r>
              <w:rPr>
                <w:rFonts w:ascii="Times New Roman" w:hAnsi="Times New Roman" w:cs="Times New Roman" w:eastAsia="Times New Roman" w:hint="default"/>
                <w:sz w:val="18"/>
                <w:szCs w:val="18"/>
              </w:rPr>
              <w:t>2007  </w:t>
            </w:r>
            <w:r>
              <w:rPr>
                <w:rFonts w:ascii="宋体" w:hAnsi="宋体" w:cs="宋体" w:eastAsia="宋体" w:hint="default"/>
                <w:sz w:val="18"/>
                <w:szCs w:val="18"/>
              </w:rPr>
              <w:t>年 </w:t>
            </w:r>
            <w:r>
              <w:rPr>
                <w:rFonts w:ascii="Times New Roman" w:hAnsi="Times New Roman" w:cs="Times New Roman" w:eastAsia="Times New Roman" w:hint="default"/>
                <w:sz w:val="18"/>
                <w:szCs w:val="18"/>
              </w:rPr>
              <w:t>3  </w:t>
            </w:r>
            <w:r>
              <w:rPr>
                <w:rFonts w:ascii="Times New Roman" w:hAnsi="Times New Roman" w:cs="Times New Roman" w:eastAsia="Times New Roman" w:hint="default"/>
                <w:spacing w:val="18"/>
                <w:sz w:val="18"/>
                <w:szCs w:val="18"/>
              </w:rPr>
              <w:t> </w:t>
            </w:r>
            <w:r>
              <w:rPr>
                <w:rFonts w:ascii="宋体" w:hAnsi="宋体" w:cs="宋体" w:eastAsia="宋体" w:hint="default"/>
                <w:spacing w:val="-3"/>
                <w:sz w:val="18"/>
                <w:szCs w:val="18"/>
              </w:rPr>
              <w:t>月</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至今任职鸿博股份有限公司副董事长兼总经理</w:t>
            </w:r>
          </w:p>
        </w:tc>
      </w:tr>
      <w:tr>
        <w:trPr>
          <w:trHeight w:val="341" w:hRule="exact"/>
        </w:trPr>
        <w:tc>
          <w:tcPr>
            <w:tcW w:w="341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pacing w:val="-3"/>
                <w:sz w:val="18"/>
                <w:szCs w:val="18"/>
              </w:rPr>
              <w:t>主要职业及职务</w:t>
            </w:r>
          </w:p>
        </w:tc>
        <w:tc>
          <w:tcPr>
            <w:tcW w:w="6149"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24" w:right="0"/>
              <w:jc w:val="left"/>
              <w:rPr>
                <w:rFonts w:ascii="宋体" w:hAnsi="宋体" w:cs="宋体" w:eastAsia="宋体" w:hint="default"/>
                <w:sz w:val="18"/>
                <w:szCs w:val="18"/>
              </w:rPr>
            </w:pPr>
            <w:r>
              <w:rPr>
                <w:rFonts w:ascii="宋体" w:hAnsi="宋体" w:cs="宋体" w:eastAsia="宋体" w:hint="default"/>
                <w:spacing w:val="-3"/>
                <w:sz w:val="18"/>
                <w:szCs w:val="18"/>
              </w:rPr>
              <w:t>尤友鸾：</w:t>
            </w:r>
            <w:r>
              <w:rPr>
                <w:rFonts w:ascii="Times New Roman" w:hAnsi="Times New Roman" w:cs="Times New Roman" w:eastAsia="Times New Roman" w:hint="default"/>
                <w:spacing w:val="-3"/>
                <w:sz w:val="18"/>
                <w:szCs w:val="18"/>
              </w:rPr>
              <w:t>2007   </w:t>
            </w:r>
            <w:r>
              <w:rPr>
                <w:rFonts w:ascii="宋体" w:hAnsi="宋体" w:cs="宋体" w:eastAsia="宋体" w:hint="default"/>
                <w:sz w:val="18"/>
                <w:szCs w:val="18"/>
              </w:rPr>
              <w:t>年 </w:t>
            </w:r>
            <w:r>
              <w:rPr>
                <w:rFonts w:ascii="Times New Roman" w:hAnsi="Times New Roman" w:cs="Times New Roman" w:eastAsia="Times New Roman" w:hint="default"/>
                <w:sz w:val="18"/>
                <w:szCs w:val="18"/>
              </w:rPr>
              <w:t>3 </w:t>
            </w:r>
            <w:r>
              <w:rPr>
                <w:rFonts w:ascii="Times New Roman" w:hAnsi="Times New Roman" w:cs="Times New Roman" w:eastAsia="Times New Roman" w:hint="default"/>
                <w:spacing w:val="37"/>
                <w:sz w:val="18"/>
                <w:szCs w:val="18"/>
              </w:rPr>
              <w:t> </w:t>
            </w:r>
            <w:r>
              <w:rPr>
                <w:rFonts w:ascii="宋体" w:hAnsi="宋体" w:cs="宋体" w:eastAsia="宋体" w:hint="default"/>
                <w:spacing w:val="-3"/>
                <w:sz w:val="18"/>
                <w:szCs w:val="18"/>
              </w:rPr>
              <w:t>月</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至今任职鸿博股份有限公司总经理助理、董事、副总</w:t>
            </w:r>
          </w:p>
        </w:tc>
      </w:tr>
      <w:tr>
        <w:trPr>
          <w:trHeight w:val="331" w:hRule="exact"/>
        </w:trPr>
        <w:tc>
          <w:tcPr>
            <w:tcW w:w="3418" w:type="dxa"/>
            <w:tcBorders>
              <w:top w:val="nil" w:sz="6" w:space="0" w:color="auto"/>
              <w:left w:val="single" w:sz="4" w:space="0" w:color="000000"/>
              <w:bottom w:val="nil" w:sz="6" w:space="0" w:color="auto"/>
              <w:right w:val="single" w:sz="4" w:space="0" w:color="000000"/>
            </w:tcBorders>
            <w:shd w:val="clear" w:color="auto" w:fill="D2D2D2"/>
          </w:tcPr>
          <w:p>
            <w:pPr/>
          </w:p>
        </w:tc>
        <w:tc>
          <w:tcPr>
            <w:tcW w:w="614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经理</w:t>
            </w:r>
          </w:p>
        </w:tc>
      </w:tr>
      <w:tr>
        <w:trPr>
          <w:trHeight w:val="353" w:hRule="exact"/>
        </w:trPr>
        <w:tc>
          <w:tcPr>
            <w:tcW w:w="3418" w:type="dxa"/>
            <w:tcBorders>
              <w:top w:val="nil" w:sz="6" w:space="0" w:color="auto"/>
              <w:left w:val="single" w:sz="4" w:space="0" w:color="000000"/>
              <w:bottom w:val="nil" w:sz="6" w:space="0" w:color="auto"/>
              <w:right w:val="single" w:sz="4" w:space="0" w:color="000000"/>
            </w:tcBorders>
            <w:shd w:val="clear" w:color="auto" w:fill="D2D2D2"/>
          </w:tcPr>
          <w:p>
            <w:pPr/>
          </w:p>
        </w:tc>
        <w:tc>
          <w:tcPr>
            <w:tcW w:w="614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24" w:right="0"/>
              <w:jc w:val="left"/>
              <w:rPr>
                <w:rFonts w:ascii="宋体" w:hAnsi="宋体" w:cs="宋体" w:eastAsia="宋体" w:hint="default"/>
                <w:sz w:val="18"/>
                <w:szCs w:val="18"/>
              </w:rPr>
            </w:pPr>
            <w:r>
              <w:rPr>
                <w:rFonts w:ascii="宋体" w:hAnsi="宋体" w:cs="宋体" w:eastAsia="宋体" w:hint="default"/>
                <w:sz w:val="18"/>
                <w:szCs w:val="18"/>
              </w:rPr>
              <w:t>尤雪仙：退休</w:t>
            </w:r>
          </w:p>
        </w:tc>
      </w:tr>
      <w:tr>
        <w:trPr>
          <w:trHeight w:val="370" w:hRule="exact"/>
        </w:trPr>
        <w:tc>
          <w:tcPr>
            <w:tcW w:w="3418" w:type="dxa"/>
            <w:tcBorders>
              <w:top w:val="nil" w:sz="6" w:space="0" w:color="auto"/>
              <w:left w:val="single" w:sz="4" w:space="0" w:color="000000"/>
              <w:bottom w:val="single" w:sz="4" w:space="0" w:color="000000"/>
              <w:right w:val="single" w:sz="4" w:space="0" w:color="000000"/>
            </w:tcBorders>
            <w:shd w:val="clear" w:color="auto" w:fill="D2D2D2"/>
          </w:tcPr>
          <w:p>
            <w:pPr/>
          </w:p>
        </w:tc>
        <w:tc>
          <w:tcPr>
            <w:tcW w:w="614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0"/>
              <w:ind w:left="24" w:right="0"/>
              <w:jc w:val="left"/>
              <w:rPr>
                <w:rFonts w:ascii="宋体" w:hAnsi="宋体" w:cs="宋体" w:eastAsia="宋体" w:hint="default"/>
                <w:sz w:val="18"/>
                <w:szCs w:val="18"/>
              </w:rPr>
            </w:pPr>
            <w:r>
              <w:rPr>
                <w:rFonts w:ascii="宋体" w:hAnsi="宋体" w:cs="宋体" w:eastAsia="宋体" w:hint="default"/>
                <w:sz w:val="18"/>
                <w:szCs w:val="18"/>
              </w:rPr>
              <w:t>章棉桃：退休</w:t>
            </w:r>
          </w:p>
        </w:tc>
      </w:tr>
      <w:tr>
        <w:trPr>
          <w:trHeight w:val="715"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4" w:right="137"/>
              <w:jc w:val="left"/>
              <w:rPr>
                <w:rFonts w:ascii="宋体" w:hAnsi="宋体" w:cs="宋体" w:eastAsia="宋体" w:hint="default"/>
                <w:sz w:val="18"/>
                <w:szCs w:val="18"/>
              </w:rPr>
            </w:pPr>
            <w:r>
              <w:rPr>
                <w:rFonts w:ascii="宋体" w:hAnsi="宋体" w:cs="宋体" w:eastAsia="宋体" w:hint="default"/>
                <w:spacing w:val="-3"/>
                <w:sz w:val="18"/>
                <w:szCs w:val="18"/>
              </w:rPr>
              <w:t>报告期内控股和参股的其他境内外上市公</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z w:val="18"/>
                <w:szCs w:val="18"/>
              </w:rPr>
              <w:t>司的股权情况</w:t>
            </w:r>
          </w:p>
        </w:tc>
        <w:tc>
          <w:tcPr>
            <w:tcW w:w="61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控股股东报告期内变更</w:t>
      </w:r>
    </w:p>
    <w:p>
      <w:pPr>
        <w:spacing w:line="338" w:lineRule="auto" w:before="119"/>
        <w:ind w:left="152" w:right="640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公司报告期控股股东未发生变更。</w:t>
      </w:r>
    </w:p>
    <w:p>
      <w:pPr>
        <w:spacing w:line="240" w:lineRule="auto" w:before="12"/>
        <w:rPr>
          <w:rFonts w:ascii="宋体" w:hAnsi="宋体" w:cs="宋体" w:eastAsia="宋体" w:hint="default"/>
          <w:sz w:val="15"/>
          <w:szCs w:val="15"/>
        </w:rPr>
      </w:pPr>
    </w:p>
    <w:p>
      <w:pPr>
        <w:pStyle w:val="Heading4"/>
        <w:spacing w:line="240" w:lineRule="auto"/>
        <w:ind w:right="0"/>
        <w:jc w:val="left"/>
        <w:rPr>
          <w:b w:val="0"/>
          <w:bCs w:val="0"/>
        </w:rPr>
      </w:pPr>
      <w:r>
        <w:rPr>
          <w:rFonts w:ascii="Times New Roman" w:hAnsi="Times New Roman" w:cs="Times New Roman" w:eastAsia="Times New Roman" w:hint="default"/>
        </w:rPr>
        <w:t>3</w:t>
      </w:r>
      <w:r>
        <w:rPr/>
        <w:t>、公司实际控制人情况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line="357" w:lineRule="auto" w:before="0"/>
        <w:ind w:left="152" w:right="6405" w:firstLine="0"/>
        <w:jc w:val="left"/>
        <w:rPr>
          <w:rFonts w:ascii="宋体" w:hAnsi="宋体" w:cs="宋体" w:eastAsia="宋体" w:hint="default"/>
          <w:sz w:val="18"/>
          <w:szCs w:val="18"/>
        </w:rPr>
      </w:pPr>
      <w:r>
        <w:rPr>
          <w:rFonts w:ascii="宋体" w:hAnsi="宋体" w:cs="宋体" w:eastAsia="宋体" w:hint="default"/>
          <w:spacing w:val="-3"/>
          <w:sz w:val="18"/>
          <w:szCs w:val="18"/>
        </w:rPr>
        <w:t>实际控制人性质：境内自然人</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pacing w:val="-3"/>
          <w:sz w:val="18"/>
          <w:szCs w:val="18"/>
        </w:rPr>
        <w:t>实际控制人类型：自然人</w:t>
      </w:r>
    </w:p>
    <w:tbl>
      <w:tblPr>
        <w:tblW w:w="0" w:type="auto"/>
        <w:jc w:val="left"/>
        <w:tblInd w:w="148" w:type="dxa"/>
        <w:tblLayout w:type="fixed"/>
        <w:tblCellMar>
          <w:top w:w="0" w:type="dxa"/>
          <w:left w:w="0" w:type="dxa"/>
          <w:bottom w:w="0" w:type="dxa"/>
          <w:right w:w="0" w:type="dxa"/>
        </w:tblCellMar>
        <w:tblLook w:val="01E0"/>
      </w:tblPr>
      <w:tblGrid>
        <w:gridCol w:w="3418"/>
        <w:gridCol w:w="2304"/>
        <w:gridCol w:w="3845"/>
      </w:tblGrid>
      <w:tr>
        <w:trPr>
          <w:trHeight w:val="403"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70" w:right="0"/>
              <w:jc w:val="left"/>
              <w:rPr>
                <w:rFonts w:ascii="宋体" w:hAnsi="宋体" w:cs="宋体" w:eastAsia="宋体" w:hint="default"/>
                <w:sz w:val="18"/>
                <w:szCs w:val="18"/>
              </w:rPr>
            </w:pPr>
            <w:r>
              <w:rPr>
                <w:rFonts w:ascii="宋体" w:hAnsi="宋体" w:cs="宋体" w:eastAsia="宋体" w:hint="default"/>
                <w:spacing w:val="-3"/>
                <w:sz w:val="18"/>
                <w:szCs w:val="18"/>
              </w:rPr>
              <w:t>实际控制人姓名</w:t>
            </w:r>
          </w:p>
        </w:tc>
        <w:tc>
          <w:tcPr>
            <w:tcW w:w="23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38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57" w:right="0"/>
              <w:jc w:val="left"/>
              <w:rPr>
                <w:rFonts w:ascii="宋体" w:hAnsi="宋体" w:cs="宋体" w:eastAsia="宋体" w:hint="default"/>
                <w:sz w:val="18"/>
                <w:szCs w:val="18"/>
              </w:rPr>
            </w:pPr>
            <w:r>
              <w:rPr>
                <w:rFonts w:ascii="宋体" w:hAnsi="宋体" w:cs="宋体" w:eastAsia="宋体" w:hint="default"/>
                <w:spacing w:val="-3"/>
                <w:sz w:val="18"/>
                <w:szCs w:val="18"/>
              </w:rPr>
              <w:t>是否取得其他国家或地区居留权</w:t>
            </w:r>
          </w:p>
        </w:tc>
      </w:tr>
      <w:tr>
        <w:trPr>
          <w:trHeight w:val="403"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尤丽娟</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尤玉仙</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尤友岳</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403"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尤友鸾</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尤友鸾</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尤雪仙</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章棉桃</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86" w:hRule="exact"/>
        </w:trPr>
        <w:tc>
          <w:tcPr>
            <w:tcW w:w="3418" w:type="dxa"/>
            <w:tcBorders>
              <w:top w:val="single" w:sz="4" w:space="0" w:color="000000"/>
              <w:left w:val="single" w:sz="4" w:space="0" w:color="000000"/>
              <w:bottom w:val="nil" w:sz="6" w:space="0" w:color="auto"/>
              <w:right w:val="single" w:sz="4" w:space="0" w:color="000000"/>
            </w:tcBorders>
            <w:shd w:val="clear" w:color="auto" w:fill="D2D2D2"/>
          </w:tcPr>
          <w:p>
            <w:pPr/>
          </w:p>
        </w:tc>
        <w:tc>
          <w:tcPr>
            <w:tcW w:w="6149" w:type="dxa"/>
            <w:gridSpan w:val="2"/>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尤丽娟：</w:t>
            </w:r>
            <w:r>
              <w:rPr>
                <w:rFonts w:ascii="Times New Roman" w:hAnsi="Times New Roman" w:cs="Times New Roman" w:eastAsia="Times New Roman" w:hint="default"/>
                <w:sz w:val="18"/>
                <w:szCs w:val="18"/>
              </w:rPr>
              <w:t>2007  </w:t>
            </w:r>
            <w:r>
              <w:rPr>
                <w:rFonts w:ascii="宋体" w:hAnsi="宋体" w:cs="宋体" w:eastAsia="宋体" w:hint="default"/>
                <w:sz w:val="18"/>
                <w:szCs w:val="18"/>
              </w:rPr>
              <w:t>年 </w:t>
            </w:r>
            <w:r>
              <w:rPr>
                <w:rFonts w:ascii="Times New Roman" w:hAnsi="Times New Roman" w:cs="Times New Roman" w:eastAsia="Times New Roman" w:hint="default"/>
                <w:sz w:val="18"/>
                <w:szCs w:val="18"/>
              </w:rPr>
              <w:t>3  </w:t>
            </w:r>
            <w:r>
              <w:rPr>
                <w:rFonts w:ascii="Times New Roman" w:hAnsi="Times New Roman" w:cs="Times New Roman" w:eastAsia="Times New Roman" w:hint="default"/>
                <w:spacing w:val="6"/>
                <w:sz w:val="18"/>
                <w:szCs w:val="18"/>
              </w:rPr>
              <w:t> </w:t>
            </w:r>
            <w:r>
              <w:rPr>
                <w:rFonts w:ascii="宋体" w:hAnsi="宋体" w:cs="宋体" w:eastAsia="宋体" w:hint="default"/>
                <w:spacing w:val="-3"/>
                <w:sz w:val="18"/>
                <w:szCs w:val="18"/>
              </w:rPr>
              <w:t>月</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至今任职鸿博股份有限公司董事长</w:t>
            </w:r>
          </w:p>
        </w:tc>
      </w:tr>
      <w:tr>
        <w:trPr>
          <w:trHeight w:val="353" w:hRule="exact"/>
        </w:trPr>
        <w:tc>
          <w:tcPr>
            <w:tcW w:w="3418" w:type="dxa"/>
            <w:tcBorders>
              <w:top w:val="nil" w:sz="6" w:space="0" w:color="auto"/>
              <w:left w:val="single" w:sz="4" w:space="0" w:color="000000"/>
              <w:bottom w:val="nil" w:sz="6" w:space="0" w:color="auto"/>
              <w:right w:val="single" w:sz="4" w:space="0" w:color="000000"/>
            </w:tcBorders>
            <w:shd w:val="clear" w:color="auto" w:fill="D2D2D2"/>
          </w:tcPr>
          <w:p>
            <w:pPr/>
          </w:p>
        </w:tc>
        <w:tc>
          <w:tcPr>
            <w:tcW w:w="6149"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24" w:right="0"/>
              <w:jc w:val="left"/>
              <w:rPr>
                <w:rFonts w:ascii="宋体" w:hAnsi="宋体" w:cs="宋体" w:eastAsia="宋体" w:hint="default"/>
                <w:sz w:val="18"/>
                <w:szCs w:val="18"/>
              </w:rPr>
            </w:pPr>
            <w:r>
              <w:rPr>
                <w:rFonts w:ascii="宋体" w:hAnsi="宋体" w:cs="宋体" w:eastAsia="宋体" w:hint="default"/>
                <w:sz w:val="18"/>
                <w:szCs w:val="18"/>
              </w:rPr>
              <w:t>尤玉仙：</w:t>
            </w:r>
            <w:r>
              <w:rPr>
                <w:rFonts w:ascii="Times New Roman" w:hAnsi="Times New Roman" w:cs="Times New Roman" w:eastAsia="Times New Roman" w:hint="default"/>
                <w:sz w:val="18"/>
                <w:szCs w:val="18"/>
              </w:rPr>
              <w:t>2007  </w:t>
            </w:r>
            <w:r>
              <w:rPr>
                <w:rFonts w:ascii="宋体" w:hAnsi="宋体" w:cs="宋体" w:eastAsia="宋体" w:hint="default"/>
                <w:sz w:val="18"/>
                <w:szCs w:val="18"/>
              </w:rPr>
              <w:t>年 </w:t>
            </w:r>
            <w:r>
              <w:rPr>
                <w:rFonts w:ascii="Times New Roman" w:hAnsi="Times New Roman" w:cs="Times New Roman" w:eastAsia="Times New Roman" w:hint="default"/>
                <w:sz w:val="18"/>
                <w:szCs w:val="18"/>
              </w:rPr>
              <w:t>3  </w:t>
            </w:r>
            <w:r>
              <w:rPr>
                <w:rFonts w:ascii="Times New Roman" w:hAnsi="Times New Roman" w:cs="Times New Roman" w:eastAsia="Times New Roman" w:hint="default"/>
                <w:spacing w:val="7"/>
                <w:sz w:val="18"/>
                <w:szCs w:val="18"/>
              </w:rPr>
              <w:t> </w:t>
            </w:r>
            <w:r>
              <w:rPr>
                <w:rFonts w:ascii="宋体" w:hAnsi="宋体" w:cs="宋体" w:eastAsia="宋体" w:hint="default"/>
                <w:spacing w:val="-3"/>
                <w:sz w:val="18"/>
                <w:szCs w:val="18"/>
              </w:rPr>
              <w:t>月</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至今任职鸿博股份有限公司副董事长</w:t>
            </w:r>
          </w:p>
        </w:tc>
      </w:tr>
      <w:tr>
        <w:trPr>
          <w:trHeight w:val="338" w:hRule="exact"/>
        </w:trPr>
        <w:tc>
          <w:tcPr>
            <w:tcW w:w="3418" w:type="dxa"/>
            <w:tcBorders>
              <w:top w:val="nil" w:sz="6" w:space="0" w:color="auto"/>
              <w:left w:val="single" w:sz="4" w:space="0" w:color="000000"/>
              <w:bottom w:val="nil" w:sz="6" w:space="0" w:color="auto"/>
              <w:right w:val="single" w:sz="4" w:space="0" w:color="000000"/>
            </w:tcBorders>
            <w:shd w:val="clear" w:color="auto" w:fill="D2D2D2"/>
          </w:tcPr>
          <w:p>
            <w:pPr/>
          </w:p>
        </w:tc>
        <w:tc>
          <w:tcPr>
            <w:tcW w:w="6149"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24" w:right="0"/>
              <w:jc w:val="left"/>
              <w:rPr>
                <w:rFonts w:ascii="宋体" w:hAnsi="宋体" w:cs="宋体" w:eastAsia="宋体" w:hint="default"/>
                <w:sz w:val="18"/>
                <w:szCs w:val="18"/>
              </w:rPr>
            </w:pPr>
            <w:r>
              <w:rPr>
                <w:rFonts w:ascii="宋体" w:hAnsi="宋体" w:cs="宋体" w:eastAsia="宋体" w:hint="default"/>
                <w:sz w:val="18"/>
                <w:szCs w:val="18"/>
              </w:rPr>
              <w:t>尤友岳：</w:t>
            </w:r>
            <w:r>
              <w:rPr>
                <w:rFonts w:ascii="Times New Roman" w:hAnsi="Times New Roman" w:cs="Times New Roman" w:eastAsia="Times New Roman" w:hint="default"/>
                <w:sz w:val="18"/>
                <w:szCs w:val="18"/>
              </w:rPr>
              <w:t>2007  </w:t>
            </w:r>
            <w:r>
              <w:rPr>
                <w:rFonts w:ascii="宋体" w:hAnsi="宋体" w:cs="宋体" w:eastAsia="宋体" w:hint="default"/>
                <w:sz w:val="18"/>
                <w:szCs w:val="18"/>
              </w:rPr>
              <w:t>年 </w:t>
            </w:r>
            <w:r>
              <w:rPr>
                <w:rFonts w:ascii="Times New Roman" w:hAnsi="Times New Roman" w:cs="Times New Roman" w:eastAsia="Times New Roman" w:hint="default"/>
                <w:sz w:val="18"/>
                <w:szCs w:val="18"/>
              </w:rPr>
              <w:t>3  </w:t>
            </w:r>
            <w:r>
              <w:rPr>
                <w:rFonts w:ascii="Times New Roman" w:hAnsi="Times New Roman" w:cs="Times New Roman" w:eastAsia="Times New Roman" w:hint="default"/>
                <w:spacing w:val="18"/>
                <w:sz w:val="18"/>
                <w:szCs w:val="18"/>
              </w:rPr>
              <w:t> </w:t>
            </w:r>
            <w:r>
              <w:rPr>
                <w:rFonts w:ascii="宋体" w:hAnsi="宋体" w:cs="宋体" w:eastAsia="宋体" w:hint="default"/>
                <w:spacing w:val="-3"/>
                <w:sz w:val="18"/>
                <w:szCs w:val="18"/>
              </w:rPr>
              <w:t>月</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至今任职鸿博股份有限公司副董事长兼总经理</w:t>
            </w:r>
          </w:p>
        </w:tc>
      </w:tr>
      <w:tr>
        <w:trPr>
          <w:trHeight w:val="346" w:hRule="exact"/>
        </w:trPr>
        <w:tc>
          <w:tcPr>
            <w:tcW w:w="341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pacing w:val="-3"/>
                <w:sz w:val="18"/>
                <w:szCs w:val="18"/>
              </w:rPr>
              <w:t>主要职业及职务</w:t>
            </w:r>
          </w:p>
        </w:tc>
        <w:tc>
          <w:tcPr>
            <w:tcW w:w="6149"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24" w:right="0"/>
              <w:jc w:val="left"/>
              <w:rPr>
                <w:rFonts w:ascii="宋体" w:hAnsi="宋体" w:cs="宋体" w:eastAsia="宋体" w:hint="default"/>
                <w:sz w:val="18"/>
                <w:szCs w:val="18"/>
              </w:rPr>
            </w:pPr>
            <w:r>
              <w:rPr>
                <w:rFonts w:ascii="宋体" w:hAnsi="宋体" w:cs="宋体" w:eastAsia="宋体" w:hint="default"/>
                <w:spacing w:val="-3"/>
                <w:sz w:val="18"/>
                <w:szCs w:val="18"/>
              </w:rPr>
              <w:t>尤友鸾：</w:t>
            </w:r>
            <w:r>
              <w:rPr>
                <w:rFonts w:ascii="Times New Roman" w:hAnsi="Times New Roman" w:cs="Times New Roman" w:eastAsia="Times New Roman" w:hint="default"/>
                <w:spacing w:val="-3"/>
                <w:sz w:val="18"/>
                <w:szCs w:val="18"/>
              </w:rPr>
              <w:t>2007   </w:t>
            </w:r>
            <w:r>
              <w:rPr>
                <w:rFonts w:ascii="宋体" w:hAnsi="宋体" w:cs="宋体" w:eastAsia="宋体" w:hint="default"/>
                <w:sz w:val="18"/>
                <w:szCs w:val="18"/>
              </w:rPr>
              <w:t>年 </w:t>
            </w:r>
            <w:r>
              <w:rPr>
                <w:rFonts w:ascii="Times New Roman" w:hAnsi="Times New Roman" w:cs="Times New Roman" w:eastAsia="Times New Roman" w:hint="default"/>
                <w:sz w:val="18"/>
                <w:szCs w:val="18"/>
              </w:rPr>
              <w:t>3 </w:t>
            </w:r>
            <w:r>
              <w:rPr>
                <w:rFonts w:ascii="Times New Roman" w:hAnsi="Times New Roman" w:cs="Times New Roman" w:eastAsia="Times New Roman" w:hint="default"/>
                <w:spacing w:val="37"/>
                <w:sz w:val="18"/>
                <w:szCs w:val="18"/>
              </w:rPr>
              <w:t> </w:t>
            </w:r>
            <w:r>
              <w:rPr>
                <w:rFonts w:ascii="宋体" w:hAnsi="宋体" w:cs="宋体" w:eastAsia="宋体" w:hint="default"/>
                <w:spacing w:val="-3"/>
                <w:sz w:val="18"/>
                <w:szCs w:val="18"/>
              </w:rPr>
              <w:t>月</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至今任职鸿博股份有限公司总经理助理、董事、副总</w:t>
            </w:r>
          </w:p>
        </w:tc>
      </w:tr>
      <w:tr>
        <w:trPr>
          <w:trHeight w:val="329" w:hRule="exact"/>
        </w:trPr>
        <w:tc>
          <w:tcPr>
            <w:tcW w:w="3418" w:type="dxa"/>
            <w:tcBorders>
              <w:top w:val="nil" w:sz="6" w:space="0" w:color="auto"/>
              <w:left w:val="single" w:sz="4" w:space="0" w:color="000000"/>
              <w:bottom w:val="nil" w:sz="6" w:space="0" w:color="auto"/>
              <w:right w:val="single" w:sz="4" w:space="0" w:color="000000"/>
            </w:tcBorders>
            <w:shd w:val="clear" w:color="auto" w:fill="D2D2D2"/>
          </w:tcPr>
          <w:p>
            <w:pPr/>
          </w:p>
        </w:tc>
        <w:tc>
          <w:tcPr>
            <w:tcW w:w="6149"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经理</w:t>
            </w:r>
          </w:p>
        </w:tc>
      </w:tr>
      <w:tr>
        <w:trPr>
          <w:trHeight w:val="350" w:hRule="exact"/>
        </w:trPr>
        <w:tc>
          <w:tcPr>
            <w:tcW w:w="3418" w:type="dxa"/>
            <w:tcBorders>
              <w:top w:val="nil" w:sz="6" w:space="0" w:color="auto"/>
              <w:left w:val="single" w:sz="4" w:space="0" w:color="000000"/>
              <w:bottom w:val="nil" w:sz="6" w:space="0" w:color="auto"/>
              <w:right w:val="single" w:sz="4" w:space="0" w:color="000000"/>
            </w:tcBorders>
            <w:shd w:val="clear" w:color="auto" w:fill="D2D2D2"/>
          </w:tcPr>
          <w:p>
            <w:pPr/>
          </w:p>
        </w:tc>
        <w:tc>
          <w:tcPr>
            <w:tcW w:w="6149"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24" w:right="0"/>
              <w:jc w:val="left"/>
              <w:rPr>
                <w:rFonts w:ascii="宋体" w:hAnsi="宋体" w:cs="宋体" w:eastAsia="宋体" w:hint="default"/>
                <w:sz w:val="18"/>
                <w:szCs w:val="18"/>
              </w:rPr>
            </w:pPr>
            <w:r>
              <w:rPr>
                <w:rFonts w:ascii="宋体" w:hAnsi="宋体" w:cs="宋体" w:eastAsia="宋体" w:hint="default"/>
                <w:sz w:val="18"/>
                <w:szCs w:val="18"/>
              </w:rPr>
              <w:t>尤雪仙：退休</w:t>
            </w:r>
          </w:p>
        </w:tc>
      </w:tr>
      <w:tr>
        <w:trPr>
          <w:trHeight w:val="375" w:hRule="exact"/>
        </w:trPr>
        <w:tc>
          <w:tcPr>
            <w:tcW w:w="3418" w:type="dxa"/>
            <w:tcBorders>
              <w:top w:val="nil" w:sz="6" w:space="0" w:color="auto"/>
              <w:left w:val="single" w:sz="4" w:space="0" w:color="000000"/>
              <w:bottom w:val="single" w:sz="4" w:space="0" w:color="000000"/>
              <w:right w:val="single" w:sz="4" w:space="0" w:color="000000"/>
            </w:tcBorders>
            <w:shd w:val="clear" w:color="auto" w:fill="D2D2D2"/>
          </w:tcPr>
          <w:p>
            <w:pPr/>
          </w:p>
        </w:tc>
        <w:tc>
          <w:tcPr>
            <w:tcW w:w="6149" w:type="dxa"/>
            <w:gridSpan w:val="2"/>
            <w:tcBorders>
              <w:top w:val="nil" w:sz="6" w:space="0" w:color="auto"/>
              <w:left w:val="single" w:sz="4" w:space="0" w:color="000000"/>
              <w:bottom w:val="single" w:sz="4" w:space="0" w:color="000000"/>
              <w:right w:val="single" w:sz="4" w:space="0" w:color="000000"/>
            </w:tcBorders>
          </w:tcPr>
          <w:p>
            <w:pPr>
              <w:pStyle w:val="TableParagraph"/>
              <w:spacing w:line="240" w:lineRule="auto" w:before="30"/>
              <w:ind w:left="24" w:right="0"/>
              <w:jc w:val="left"/>
              <w:rPr>
                <w:rFonts w:ascii="宋体" w:hAnsi="宋体" w:cs="宋体" w:eastAsia="宋体" w:hint="default"/>
                <w:sz w:val="18"/>
                <w:szCs w:val="18"/>
              </w:rPr>
            </w:pPr>
            <w:r>
              <w:rPr>
                <w:rFonts w:ascii="宋体" w:hAnsi="宋体" w:cs="宋体" w:eastAsia="宋体" w:hint="default"/>
                <w:sz w:val="18"/>
                <w:szCs w:val="18"/>
              </w:rPr>
              <w:t>章棉桃：退休</w:t>
            </w:r>
          </w:p>
        </w:tc>
      </w:tr>
      <w:tr>
        <w:trPr>
          <w:trHeight w:val="398"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过去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年曾控股的境内外上市公司情况</w:t>
            </w:r>
          </w:p>
        </w:tc>
        <w:tc>
          <w:tcPr>
            <w:tcW w:w="61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bl>
    <w:p>
      <w:pPr>
        <w:spacing w:before="65"/>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实际控制人报告期内变更</w:t>
      </w:r>
    </w:p>
    <w:p>
      <w:pPr>
        <w:spacing w:line="350" w:lineRule="auto" w:before="119"/>
        <w:ind w:left="152" w:right="569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公司报告期实际控制人未发生变更。</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宋体" w:hAnsi="宋体" w:cs="宋体" w:eastAsia="宋体" w:hint="default"/>
          <w:spacing w:val="-3"/>
          <w:sz w:val="18"/>
          <w:szCs w:val="18"/>
        </w:rPr>
        <w:t>公司与实际控制人之间的产权及控制关系的方框图</w:t>
      </w:r>
    </w:p>
    <w:p>
      <w:pPr>
        <w:spacing w:after="0" w:line="350" w:lineRule="auto"/>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3"/>
          <w:szCs w:val="13"/>
        </w:rPr>
      </w:pPr>
    </w:p>
    <w:p>
      <w:pPr>
        <w:spacing w:line="4262" w:lineRule="exact"/>
        <w:ind w:left="1727" w:right="0" w:firstLine="0"/>
        <w:rPr>
          <w:rFonts w:ascii="宋体" w:hAnsi="宋体" w:cs="宋体" w:eastAsia="宋体" w:hint="default"/>
          <w:sz w:val="20"/>
          <w:szCs w:val="20"/>
        </w:rPr>
      </w:pPr>
      <w:r>
        <w:rPr>
          <w:rFonts w:ascii="宋体" w:hAnsi="宋体" w:cs="宋体" w:eastAsia="宋体" w:hint="default"/>
          <w:position w:val="-84"/>
          <w:sz w:val="20"/>
          <w:szCs w:val="20"/>
        </w:rPr>
        <w:drawing>
          <wp:inline distT="0" distB="0" distL="0" distR="0">
            <wp:extent cx="4123943" cy="2706624"/>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18" cstate="print"/>
                    <a:stretch>
                      <a:fillRect/>
                    </a:stretch>
                  </pic:blipFill>
                  <pic:spPr>
                    <a:xfrm>
                      <a:off x="0" y="0"/>
                      <a:ext cx="4123943" cy="2706624"/>
                    </a:xfrm>
                    <a:prstGeom prst="rect">
                      <a:avLst/>
                    </a:prstGeom>
                  </pic:spPr>
                </pic:pic>
              </a:graphicData>
            </a:graphic>
          </wp:inline>
        </w:drawing>
      </w:r>
      <w:r>
        <w:rPr>
          <w:rFonts w:ascii="宋体" w:hAnsi="宋体" w:cs="宋体" w:eastAsia="宋体" w:hint="default"/>
          <w:position w:val="-84"/>
          <w:sz w:val="20"/>
          <w:szCs w:val="20"/>
        </w:rPr>
      </w:r>
    </w:p>
    <w:p>
      <w:pPr>
        <w:spacing w:line="240" w:lineRule="auto" w:before="1"/>
        <w:rPr>
          <w:rFonts w:ascii="宋体" w:hAnsi="宋体" w:cs="宋体" w:eastAsia="宋体" w:hint="default"/>
          <w:sz w:val="14"/>
          <w:szCs w:val="14"/>
        </w:rPr>
      </w:pPr>
    </w:p>
    <w:p>
      <w:pPr>
        <w:pStyle w:val="Heading3"/>
        <w:spacing w:line="240" w:lineRule="auto" w:before="26"/>
        <w:ind w:right="0" w:firstLine="0"/>
        <w:jc w:val="both"/>
      </w:pPr>
      <w:r>
        <w:rPr/>
        <w:t>实际控制人通过信托或其他资产管理方式控制公司</w:t>
      </w:r>
    </w:p>
    <w:p>
      <w:pPr>
        <w:spacing w:line="240" w:lineRule="auto" w:before="2"/>
        <w:rPr>
          <w:rFonts w:ascii="宋体" w:hAnsi="宋体" w:cs="宋体" w:eastAsia="宋体" w:hint="default"/>
          <w:sz w:val="19"/>
          <w:szCs w:val="19"/>
        </w:rPr>
      </w:pPr>
    </w:p>
    <w:p>
      <w:pPr>
        <w:spacing w:before="0"/>
        <w:ind w:left="152"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line="240" w:lineRule="auto" w:before="6"/>
        <w:rPr>
          <w:rFonts w:ascii="宋体" w:hAnsi="宋体" w:cs="宋体" w:eastAsia="宋体" w:hint="default"/>
          <w:sz w:val="20"/>
          <w:szCs w:val="20"/>
        </w:rPr>
      </w:pPr>
    </w:p>
    <w:p>
      <w:pPr>
        <w:pStyle w:val="Heading4"/>
        <w:spacing w:line="240" w:lineRule="auto"/>
        <w:ind w:right="0"/>
        <w:jc w:val="both"/>
        <w:rPr>
          <w:b w:val="0"/>
          <w:bCs w:val="0"/>
        </w:rPr>
      </w:pPr>
      <w:r>
        <w:rPr>
          <w:rFonts w:ascii="Times New Roman" w:hAnsi="Times New Roman" w:cs="Times New Roman" w:eastAsia="Times New Roman" w:hint="default"/>
        </w:rPr>
        <w:t>4</w:t>
      </w:r>
      <w:r>
        <w:rPr/>
        <w:t>、其他持股在</w:t>
      </w:r>
      <w:r>
        <w:rPr>
          <w:spacing w:val="12"/>
        </w:rPr>
        <w:t> </w:t>
      </w:r>
      <w:r>
        <w:rPr>
          <w:rFonts w:ascii="Times New Roman" w:hAnsi="Times New Roman" w:cs="Times New Roman" w:eastAsia="Times New Roman" w:hint="default"/>
        </w:rPr>
        <w:t>10%</w:t>
      </w:r>
      <w:r>
        <w:rPr/>
        <w:t>以上的法人股东</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0"/>
          <w:szCs w:val="20"/>
        </w:rPr>
      </w:pPr>
    </w:p>
    <w:p>
      <w:pPr>
        <w:pStyle w:val="Heading4"/>
        <w:spacing w:line="240" w:lineRule="auto"/>
        <w:ind w:right="0"/>
        <w:jc w:val="both"/>
        <w:rPr>
          <w:b w:val="0"/>
          <w:bCs w:val="0"/>
        </w:rPr>
      </w:pP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不适用</w:t>
      </w:r>
    </w:p>
    <w:p>
      <w:pPr>
        <w:spacing w:line="302" w:lineRule="auto" w:before="96"/>
        <w:ind w:left="152" w:right="142" w:firstLine="0"/>
        <w:jc w:val="both"/>
        <w:rPr>
          <w:rFonts w:ascii="宋体" w:hAnsi="宋体" w:cs="宋体" w:eastAsia="宋体" w:hint="default"/>
          <w:sz w:val="18"/>
          <w:szCs w:val="18"/>
        </w:rPr>
      </w:pPr>
      <w:r>
        <w:rPr>
          <w:rFonts w:ascii="宋体" w:hAnsi="宋体" w:cs="宋体" w:eastAsia="宋体" w:hint="default"/>
          <w:spacing w:val="-3"/>
          <w:w w:val="101"/>
          <w:sz w:val="18"/>
          <w:szCs w:val="18"/>
        </w:rPr>
        <w:t>公司实际控制人尤丽娟、尤友岳、尤玉仙、尤友鸾、尤雪仙和章棉桃已于</w:t>
      </w:r>
      <w:r>
        <w:rPr>
          <w:rFonts w:ascii="宋体" w:hAnsi="宋体" w:cs="宋体" w:eastAsia="宋体" w:hint="default"/>
          <w:spacing w:val="-43"/>
          <w:w w:val="101"/>
          <w:sz w:val="18"/>
          <w:szCs w:val="18"/>
        </w:rPr>
        <w:t> </w:t>
      </w:r>
      <w:r>
        <w:rPr>
          <w:rFonts w:ascii="Times New Roman" w:hAnsi="Times New Roman" w:cs="Times New Roman" w:eastAsia="Times New Roman" w:hint="default"/>
          <w:spacing w:val="-2"/>
          <w:w w:val="101"/>
          <w:sz w:val="18"/>
          <w:szCs w:val="18"/>
        </w:rPr>
        <w:t>2016</w:t>
      </w:r>
      <w:r>
        <w:rPr>
          <w:rFonts w:ascii="Times New Roman" w:hAnsi="Times New Roman" w:cs="Times New Roman" w:eastAsia="Times New Roman" w:hint="default"/>
          <w:spacing w:val="2"/>
          <w:w w:val="101"/>
          <w:sz w:val="18"/>
          <w:szCs w:val="18"/>
        </w:rPr>
        <w:t> </w:t>
      </w:r>
      <w:r>
        <w:rPr>
          <w:rFonts w:ascii="宋体" w:hAnsi="宋体" w:cs="宋体" w:eastAsia="宋体" w:hint="default"/>
          <w:w w:val="101"/>
          <w:sz w:val="18"/>
          <w:szCs w:val="18"/>
        </w:rPr>
        <w:t>年</w:t>
      </w:r>
      <w:r>
        <w:rPr>
          <w:rFonts w:ascii="宋体" w:hAnsi="宋体" w:cs="宋体" w:eastAsia="宋体" w:hint="default"/>
          <w:spacing w:val="-43"/>
          <w:w w:val="101"/>
          <w:sz w:val="18"/>
          <w:szCs w:val="18"/>
        </w:rPr>
        <w:t> </w:t>
      </w:r>
      <w:r>
        <w:rPr>
          <w:rFonts w:ascii="Times New Roman" w:hAnsi="Times New Roman" w:cs="Times New Roman" w:eastAsia="Times New Roman" w:hint="default"/>
          <w:w w:val="101"/>
          <w:sz w:val="18"/>
          <w:szCs w:val="18"/>
        </w:rPr>
        <w:t>1</w:t>
      </w:r>
      <w:r>
        <w:rPr>
          <w:rFonts w:ascii="Times New Roman" w:hAnsi="Times New Roman" w:cs="Times New Roman" w:eastAsia="Times New Roman" w:hint="default"/>
          <w:spacing w:val="2"/>
          <w:w w:val="101"/>
          <w:sz w:val="18"/>
          <w:szCs w:val="18"/>
        </w:rPr>
        <w:t> </w:t>
      </w:r>
      <w:r>
        <w:rPr>
          <w:rFonts w:ascii="宋体" w:hAnsi="宋体" w:cs="宋体" w:eastAsia="宋体" w:hint="default"/>
          <w:w w:val="101"/>
          <w:sz w:val="18"/>
          <w:szCs w:val="18"/>
        </w:rPr>
        <w:t>月</w:t>
      </w:r>
      <w:r>
        <w:rPr>
          <w:rFonts w:ascii="宋体" w:hAnsi="宋体" w:cs="宋体" w:eastAsia="宋体" w:hint="default"/>
          <w:spacing w:val="-43"/>
          <w:w w:val="101"/>
          <w:sz w:val="18"/>
          <w:szCs w:val="18"/>
        </w:rPr>
        <w:t> </w:t>
      </w:r>
      <w:r>
        <w:rPr>
          <w:rFonts w:ascii="Times New Roman" w:hAnsi="Times New Roman" w:cs="Times New Roman" w:eastAsia="Times New Roman" w:hint="default"/>
          <w:w w:val="101"/>
          <w:sz w:val="18"/>
          <w:szCs w:val="18"/>
        </w:rPr>
        <w:t>29</w:t>
      </w:r>
      <w:r>
        <w:rPr>
          <w:rFonts w:ascii="Times New Roman" w:hAnsi="Times New Roman" w:cs="Times New Roman" w:eastAsia="Times New Roman" w:hint="default"/>
          <w:spacing w:val="-3"/>
          <w:w w:val="101"/>
          <w:sz w:val="18"/>
          <w:szCs w:val="18"/>
        </w:rPr>
        <w:t> </w:t>
      </w:r>
      <w:r>
        <w:rPr>
          <w:rFonts w:ascii="宋体" w:hAnsi="宋体" w:cs="宋体" w:eastAsia="宋体" w:hint="default"/>
          <w:spacing w:val="-14"/>
          <w:w w:val="101"/>
          <w:sz w:val="18"/>
          <w:szCs w:val="18"/>
        </w:rPr>
        <w:t>日出具《承诺函》，承诺，“</w:t>
      </w:r>
      <w:r>
        <w:rPr>
          <w:rFonts w:ascii="Times New Roman" w:hAnsi="Times New Roman" w:cs="Times New Roman" w:eastAsia="Times New Roman" w:hint="default"/>
          <w:spacing w:val="-14"/>
          <w:w w:val="101"/>
          <w:sz w:val="18"/>
          <w:szCs w:val="18"/>
        </w:rPr>
        <w:t>1</w:t>
      </w:r>
      <w:r>
        <w:rPr>
          <w:rFonts w:ascii="宋体" w:hAnsi="宋体" w:cs="宋体" w:eastAsia="宋体" w:hint="default"/>
          <w:spacing w:val="-14"/>
          <w:w w:val="101"/>
          <w:sz w:val="18"/>
          <w:szCs w:val="18"/>
        </w:rPr>
        <w:t>、自</w:t>
      </w:r>
      <w:r>
        <w:rPr>
          <w:rFonts w:ascii="宋体" w:hAnsi="宋体" w:cs="宋体" w:eastAsia="宋体" w:hint="default"/>
          <w:spacing w:val="-89"/>
          <w:w w:val="101"/>
          <w:sz w:val="18"/>
          <w:szCs w:val="18"/>
        </w:rPr>
        <w:t> </w:t>
      </w:r>
      <w:r>
        <w:rPr>
          <w:rFonts w:ascii="宋体" w:hAnsi="宋体" w:cs="宋体" w:eastAsia="宋体" w:hint="default"/>
          <w:spacing w:val="-3"/>
          <w:sz w:val="18"/>
          <w:szCs w:val="18"/>
        </w:rPr>
        <w:t>本承诺函出具日至公司本次非公开发行（</w:t>
      </w:r>
      <w:r>
        <w:rPr>
          <w:rFonts w:ascii="Times New Roman" w:hAnsi="Times New Roman" w:cs="Times New Roman" w:eastAsia="Times New Roman" w:hint="default"/>
          <w:spacing w:val="-3"/>
          <w:sz w:val="18"/>
          <w:szCs w:val="18"/>
        </w:rPr>
        <w:t>A </w:t>
      </w:r>
      <w:r>
        <w:rPr>
          <w:rFonts w:ascii="宋体" w:hAnsi="宋体" w:cs="宋体" w:eastAsia="宋体" w:hint="default"/>
          <w:spacing w:val="-3"/>
          <w:sz w:val="18"/>
          <w:szCs w:val="18"/>
        </w:rPr>
        <w:t>股）股票完成后六个月内，本人不存在减持公司股票的计划；</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、若违反上述承</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7"/>
          <w:w w:val="101"/>
          <w:sz w:val="18"/>
          <w:szCs w:val="18"/>
        </w:rPr>
        <w:t>诺，本人减持股份所得收益全部归公司所有”。</w:t>
      </w:r>
      <w:r>
        <w:rPr>
          <w:rFonts w:ascii="宋体" w:hAnsi="宋体" w:cs="宋体" w:eastAsia="宋体" w:hint="default"/>
          <w:spacing w:val="-7"/>
          <w:sz w:val="18"/>
          <w:szCs w:val="18"/>
        </w:rPr>
      </w:r>
    </w:p>
    <w:p>
      <w:pPr>
        <w:spacing w:after="0" w:line="302" w:lineRule="auto"/>
        <w:jc w:val="both"/>
        <w:rPr>
          <w:rFonts w:ascii="宋体" w:hAnsi="宋体" w:cs="宋体" w:eastAsia="宋体" w:hint="default"/>
          <w:sz w:val="18"/>
          <w:szCs w:val="18"/>
        </w:rPr>
        <w:sectPr>
          <w:pgSz w:w="11900" w:h="16840"/>
          <w:pgMar w:header="872" w:footer="984" w:top="1060" w:bottom="118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0"/>
          <w:szCs w:val="20"/>
        </w:rPr>
      </w:pPr>
    </w:p>
    <w:p>
      <w:pPr>
        <w:pStyle w:val="Heading1"/>
        <w:spacing w:line="458" w:lineRule="exact"/>
        <w:ind w:left="3282" w:right="0"/>
        <w:jc w:val="left"/>
        <w:rPr>
          <w:b w:val="0"/>
          <w:bCs w:val="0"/>
        </w:rPr>
      </w:pPr>
      <w:bookmarkStart w:name="_TOC_250004" w:id="7"/>
      <w:r>
        <w:rPr/>
        <w:t>第七节 </w:t>
      </w:r>
      <w:r>
        <w:rPr>
          <w:spacing w:val="13"/>
        </w:rPr>
        <w:t> </w:t>
      </w:r>
      <w:r>
        <w:rPr/>
        <w:t>优先股相关情况</w:t>
      </w:r>
      <w:bookmarkEnd w:id="7"/>
      <w:r>
        <w:rPr>
          <w:b w:val="0"/>
          <w:bCs w:val="0"/>
        </w:rPr>
      </w:r>
    </w:p>
    <w:p>
      <w:pPr>
        <w:spacing w:line="240" w:lineRule="auto" w:before="8"/>
        <w:rPr>
          <w:rFonts w:ascii="Microsoft JhengHei" w:hAnsi="Microsoft JhengHei" w:cs="Microsoft JhengHei" w:eastAsia="Microsoft JhengHei" w:hint="default"/>
          <w:b/>
          <w:bCs/>
          <w:sz w:val="27"/>
          <w:szCs w:val="27"/>
        </w:rPr>
      </w:pPr>
    </w:p>
    <w:p>
      <w:pPr>
        <w:spacing w:line="338" w:lineRule="auto" w:before="46"/>
        <w:ind w:left="152" w:right="640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报告期公司不存在优先股。</w:t>
      </w:r>
    </w:p>
    <w:p>
      <w:pPr>
        <w:spacing w:after="0" w:line="338" w:lineRule="auto"/>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0"/>
          <w:szCs w:val="20"/>
        </w:rPr>
      </w:pPr>
    </w:p>
    <w:p>
      <w:pPr>
        <w:pStyle w:val="Heading1"/>
        <w:spacing w:line="458" w:lineRule="exact"/>
        <w:ind w:left="1679" w:right="0"/>
        <w:jc w:val="left"/>
        <w:rPr>
          <w:b w:val="0"/>
          <w:bCs w:val="0"/>
        </w:rPr>
      </w:pPr>
      <w:bookmarkStart w:name="_TOC_250003" w:id="8"/>
      <w:r>
        <w:rPr/>
        <w:t>第八节 </w:t>
      </w:r>
      <w:r>
        <w:rPr>
          <w:spacing w:val="23"/>
        </w:rPr>
        <w:t> </w:t>
      </w:r>
      <w:r>
        <w:rPr/>
        <w:t>董事、监事、高级管理人员和员工情况</w:t>
      </w:r>
      <w:bookmarkEnd w:id="8"/>
      <w:r>
        <w:rPr>
          <w:b w:val="0"/>
          <w:bCs w:val="0"/>
        </w:rPr>
      </w:r>
    </w:p>
    <w:p>
      <w:pPr>
        <w:spacing w:line="240" w:lineRule="auto" w:before="5"/>
        <w:rPr>
          <w:rFonts w:ascii="Microsoft JhengHei" w:hAnsi="Microsoft JhengHei" w:cs="Microsoft JhengHei" w:eastAsia="Microsoft JhengHei" w:hint="default"/>
          <w:b/>
          <w:bCs/>
          <w:sz w:val="22"/>
          <w:szCs w:val="22"/>
        </w:rPr>
      </w:pPr>
    </w:p>
    <w:p>
      <w:pPr>
        <w:pStyle w:val="Heading2"/>
        <w:spacing w:line="240" w:lineRule="auto"/>
        <w:ind w:right="0"/>
        <w:jc w:val="left"/>
        <w:rPr>
          <w:b w:val="0"/>
          <w:bCs w:val="0"/>
        </w:rPr>
      </w:pPr>
      <w:r>
        <w:rPr/>
        <w:t>一、董事、监事和高级管理人员持股变动</w:t>
      </w:r>
      <w:r>
        <w:rPr>
          <w:b w:val="0"/>
          <w:bCs w:val="0"/>
        </w:rPr>
      </w:r>
    </w:p>
    <w:p>
      <w:pPr>
        <w:spacing w:line="240" w:lineRule="auto" w:before="5"/>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797"/>
        <w:gridCol w:w="797"/>
        <w:gridCol w:w="797"/>
        <w:gridCol w:w="797"/>
        <w:gridCol w:w="802"/>
        <w:gridCol w:w="797"/>
        <w:gridCol w:w="797"/>
        <w:gridCol w:w="797"/>
        <w:gridCol w:w="797"/>
        <w:gridCol w:w="802"/>
        <w:gridCol w:w="797"/>
        <w:gridCol w:w="797"/>
      </w:tblGrid>
      <w:tr>
        <w:trPr>
          <w:trHeight w:val="1022"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Microsoft JhengHei" w:hAnsi="Microsoft JhengHei" w:cs="Microsoft JhengHei" w:eastAsia="Microsoft JhengHei" w:hint="default"/>
                <w:b/>
                <w:bCs/>
                <w:sz w:val="21"/>
                <w:szCs w:val="21"/>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Microsoft JhengHei" w:hAnsi="Microsoft JhengHei" w:cs="Microsoft JhengHei" w:eastAsia="Microsoft JhengHei" w:hint="default"/>
                <w:b/>
                <w:bCs/>
                <w:sz w:val="21"/>
                <w:szCs w:val="21"/>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Microsoft JhengHei" w:hAnsi="Microsoft JhengHei" w:cs="Microsoft JhengHei" w:eastAsia="Microsoft JhengHei" w:hint="default"/>
                <w:b/>
                <w:bCs/>
                <w:sz w:val="21"/>
                <w:szCs w:val="21"/>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Microsoft JhengHei" w:hAnsi="Microsoft JhengHei" w:cs="Microsoft JhengHei" w:eastAsia="Microsoft JhengHei" w:hint="default"/>
                <w:b/>
                <w:bCs/>
                <w:sz w:val="21"/>
                <w:szCs w:val="21"/>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Microsoft JhengHei" w:hAnsi="Microsoft JhengHei" w:cs="Microsoft JhengHei" w:eastAsia="Microsoft JhengHei" w:hint="default"/>
                <w:b/>
                <w:bCs/>
                <w:sz w:val="21"/>
                <w:szCs w:val="21"/>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316" w:lineRule="auto"/>
              <w:ind w:left="206" w:right="31" w:hanging="178"/>
              <w:jc w:val="left"/>
              <w:rPr>
                <w:rFonts w:ascii="宋体" w:hAnsi="宋体" w:cs="宋体" w:eastAsia="宋体" w:hint="default"/>
                <w:sz w:val="18"/>
                <w:szCs w:val="18"/>
              </w:rPr>
            </w:pPr>
            <w:r>
              <w:rPr>
                <w:rFonts w:ascii="宋体" w:hAnsi="宋体" w:cs="宋体" w:eastAsia="宋体" w:hint="default"/>
                <w:sz w:val="18"/>
                <w:szCs w:val="18"/>
              </w:rPr>
              <w:t>任期起始</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日期</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316" w:lineRule="auto"/>
              <w:ind w:left="211" w:right="26" w:hanging="178"/>
              <w:jc w:val="left"/>
              <w:rPr>
                <w:rFonts w:ascii="宋体" w:hAnsi="宋体" w:cs="宋体" w:eastAsia="宋体" w:hint="default"/>
                <w:sz w:val="18"/>
                <w:szCs w:val="18"/>
              </w:rPr>
            </w:pPr>
            <w:r>
              <w:rPr>
                <w:rFonts w:ascii="宋体" w:hAnsi="宋体" w:cs="宋体" w:eastAsia="宋体" w:hint="default"/>
                <w:sz w:val="18"/>
                <w:szCs w:val="18"/>
              </w:rPr>
              <w:t>任期终止</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日期</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316" w:lineRule="auto"/>
              <w:ind w:left="33" w:right="26"/>
              <w:jc w:val="left"/>
              <w:rPr>
                <w:rFonts w:ascii="宋体" w:hAnsi="宋体" w:cs="宋体" w:eastAsia="宋体" w:hint="default"/>
                <w:sz w:val="18"/>
                <w:szCs w:val="18"/>
              </w:rPr>
            </w:pPr>
            <w:r>
              <w:rPr>
                <w:rFonts w:ascii="宋体" w:hAnsi="宋体" w:cs="宋体" w:eastAsia="宋体" w:hint="default"/>
                <w:sz w:val="18"/>
                <w:szCs w:val="18"/>
              </w:rPr>
              <w:t>期初持股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数（股）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53"/>
              <w:ind w:left="33" w:right="26"/>
              <w:jc w:val="left"/>
              <w:rPr>
                <w:rFonts w:ascii="宋体" w:hAnsi="宋体" w:cs="宋体" w:eastAsia="宋体" w:hint="default"/>
                <w:sz w:val="18"/>
                <w:szCs w:val="18"/>
              </w:rPr>
            </w:pPr>
            <w:r>
              <w:rPr>
                <w:rFonts w:ascii="宋体" w:hAnsi="宋体" w:cs="宋体" w:eastAsia="宋体" w:hint="default"/>
                <w:sz w:val="18"/>
                <w:szCs w:val="18"/>
              </w:rPr>
              <w:t>本期增持</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股份数量</w:t>
            </w:r>
          </w:p>
          <w:p>
            <w:pPr>
              <w:pStyle w:val="TableParagraph"/>
              <w:spacing w:line="240" w:lineRule="auto" w:before="27"/>
              <w:ind w:left="124" w:right="0"/>
              <w:jc w:val="left"/>
              <w:rPr>
                <w:rFonts w:ascii="宋体" w:hAnsi="宋体" w:cs="宋体" w:eastAsia="宋体" w:hint="default"/>
                <w:sz w:val="18"/>
                <w:szCs w:val="18"/>
              </w:rPr>
            </w:pPr>
            <w:r>
              <w:rPr>
                <w:rFonts w:ascii="宋体" w:hAnsi="宋体" w:cs="宋体" w:eastAsia="宋体" w:hint="default"/>
                <w:sz w:val="18"/>
                <w:szCs w:val="18"/>
              </w:rPr>
              <w:t>（股）</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53"/>
              <w:ind w:left="33" w:right="31"/>
              <w:jc w:val="left"/>
              <w:rPr>
                <w:rFonts w:ascii="宋体" w:hAnsi="宋体" w:cs="宋体" w:eastAsia="宋体" w:hint="default"/>
                <w:sz w:val="18"/>
                <w:szCs w:val="18"/>
              </w:rPr>
            </w:pPr>
            <w:r>
              <w:rPr>
                <w:rFonts w:ascii="宋体" w:hAnsi="宋体" w:cs="宋体" w:eastAsia="宋体" w:hint="default"/>
                <w:sz w:val="18"/>
                <w:szCs w:val="18"/>
              </w:rPr>
              <w:t>本期减持</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股份数量</w:t>
            </w:r>
          </w:p>
          <w:p>
            <w:pPr>
              <w:pStyle w:val="TableParagraph"/>
              <w:spacing w:line="240" w:lineRule="auto" w:before="27"/>
              <w:ind w:left="124"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316" w:lineRule="auto"/>
              <w:ind w:left="23" w:right="26" w:firstLine="9"/>
              <w:jc w:val="left"/>
              <w:rPr>
                <w:rFonts w:ascii="宋体" w:hAnsi="宋体" w:cs="宋体" w:eastAsia="宋体" w:hint="default"/>
                <w:sz w:val="18"/>
                <w:szCs w:val="18"/>
              </w:rPr>
            </w:pPr>
            <w:r>
              <w:rPr>
                <w:rFonts w:ascii="宋体" w:hAnsi="宋体" w:cs="宋体" w:eastAsia="宋体" w:hint="default"/>
                <w:sz w:val="18"/>
                <w:szCs w:val="18"/>
              </w:rPr>
              <w:t>其他增减</w:t>
            </w:r>
            <w:r>
              <w:rPr>
                <w:rFonts w:ascii="宋体" w:hAnsi="宋体" w:cs="宋体" w:eastAsia="宋体" w:hint="default"/>
                <w:w w:val="101"/>
                <w:sz w:val="18"/>
                <w:szCs w:val="18"/>
              </w:rPr>
              <w:t> </w:t>
            </w:r>
            <w:r>
              <w:rPr>
                <w:rFonts w:ascii="宋体" w:hAnsi="宋体" w:cs="宋体" w:eastAsia="宋体" w:hint="default"/>
                <w:spacing w:val="-18"/>
                <w:sz w:val="18"/>
                <w:szCs w:val="18"/>
              </w:rPr>
              <w:t>变动（股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期末持股</w:t>
            </w:r>
          </w:p>
          <w:p>
            <w:pPr>
              <w:pStyle w:val="TableParagraph"/>
              <w:spacing w:line="240" w:lineRule="auto" w:before="76"/>
              <w:ind w:left="-15" w:right="0"/>
              <w:jc w:val="left"/>
              <w:rPr>
                <w:rFonts w:ascii="宋体" w:hAnsi="宋体" w:cs="宋体" w:eastAsia="宋体" w:hint="default"/>
                <w:sz w:val="18"/>
                <w:szCs w:val="18"/>
              </w:rPr>
            </w:pPr>
            <w:r>
              <w:rPr>
                <w:rFonts w:ascii="宋体" w:hAnsi="宋体" w:cs="宋体" w:eastAsia="宋体" w:hint="default"/>
                <w:spacing w:val="-135"/>
                <w:w w:val="101"/>
                <w:sz w:val="18"/>
                <w:szCs w:val="18"/>
              </w:rPr>
              <w:t>）</w:t>
            </w:r>
            <w:r>
              <w:rPr>
                <w:rFonts w:ascii="宋体" w:hAnsi="宋体" w:cs="宋体" w:eastAsia="宋体" w:hint="default"/>
                <w:w w:val="101"/>
                <w:sz w:val="18"/>
                <w:szCs w:val="18"/>
              </w:rPr>
              <w:t>数</w:t>
            </w:r>
            <w:r>
              <w:rPr>
                <w:rFonts w:ascii="宋体" w:hAnsi="宋体" w:cs="宋体" w:eastAsia="宋体" w:hint="default"/>
                <w:spacing w:val="-5"/>
                <w:w w:val="101"/>
                <w:sz w:val="18"/>
                <w:szCs w:val="18"/>
              </w:rPr>
              <w:t>（</w:t>
            </w:r>
            <w:r>
              <w:rPr>
                <w:rFonts w:ascii="宋体" w:hAnsi="宋体" w:cs="宋体" w:eastAsia="宋体" w:hint="default"/>
                <w:w w:val="101"/>
                <w:sz w:val="18"/>
                <w:szCs w:val="18"/>
              </w:rPr>
              <w:t>股）</w:t>
            </w:r>
            <w:r>
              <w:rPr>
                <w:rFonts w:ascii="宋体" w:hAnsi="宋体" w:cs="宋体" w:eastAsia="宋体" w:hint="default"/>
                <w:sz w:val="18"/>
                <w:szCs w:val="18"/>
              </w:rPr>
            </w:r>
          </w:p>
        </w:tc>
      </w:tr>
      <w:tr>
        <w:trPr>
          <w:trHeight w:val="102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尤丽娟</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23"/>
                <w:szCs w:val="2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46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1999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63"/>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15</w:t>
            </w:r>
          </w:p>
          <w:p>
            <w:pPr>
              <w:pStyle w:val="TableParagraph"/>
              <w:spacing w:line="240" w:lineRule="auto" w:before="67"/>
              <w:ind w:left="19"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56,500,00</w:t>
            </w:r>
          </w:p>
          <w:p>
            <w:pPr>
              <w:pStyle w:val="TableParagraph"/>
              <w:spacing w:line="240" w:lineRule="auto" w:before="110"/>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23"/>
                <w:szCs w:val="23"/>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23"/>
                <w:szCs w:val="2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6,690,000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49,810,00</w:t>
            </w:r>
          </w:p>
          <w:p>
            <w:pPr>
              <w:pStyle w:val="TableParagraph"/>
              <w:spacing w:line="240" w:lineRule="auto" w:before="110"/>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102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尤玉仙</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23"/>
                <w:szCs w:val="2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52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1999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58"/>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15</w:t>
            </w:r>
          </w:p>
          <w:p>
            <w:pPr>
              <w:pStyle w:val="TableParagraph"/>
              <w:spacing w:line="240" w:lineRule="auto" w:before="67"/>
              <w:ind w:left="19"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58"/>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45,340,50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23"/>
                <w:szCs w:val="23"/>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2"/>
                <w:sz w:val="18"/>
              </w:rPr>
              <w:t>11,280,00</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34,060,50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102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尤友岳</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316" w:lineRule="auto"/>
              <w:ind w:left="24" w:right="36"/>
              <w:jc w:val="left"/>
              <w:rPr>
                <w:rFonts w:ascii="宋体" w:hAnsi="宋体" w:cs="宋体" w:eastAsia="宋体" w:hint="default"/>
                <w:sz w:val="18"/>
                <w:szCs w:val="18"/>
              </w:rPr>
            </w:pPr>
            <w:r>
              <w:rPr>
                <w:rFonts w:ascii="宋体" w:hAnsi="宋体" w:cs="宋体" w:eastAsia="宋体" w:hint="default"/>
                <w:sz w:val="18"/>
                <w:szCs w:val="18"/>
              </w:rPr>
              <w:t>副董事长</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兼总经理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23"/>
                <w:szCs w:val="2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48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58"/>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19</w:t>
            </w:r>
          </w:p>
          <w:p>
            <w:pPr>
              <w:pStyle w:val="TableParagraph"/>
              <w:spacing w:line="240" w:lineRule="auto" w:before="67"/>
              <w:ind w:left="19"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58"/>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15,504,00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23"/>
                <w:szCs w:val="23"/>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23"/>
                <w:szCs w:val="2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15,504,00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1022"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尤友鸾</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316" w:lineRule="auto"/>
              <w:ind w:left="24" w:right="36"/>
              <w:jc w:val="left"/>
              <w:rPr>
                <w:rFonts w:ascii="宋体" w:hAnsi="宋体" w:cs="宋体" w:eastAsia="宋体" w:hint="default"/>
                <w:sz w:val="18"/>
                <w:szCs w:val="18"/>
              </w:rPr>
            </w:pPr>
            <w:r>
              <w:rPr>
                <w:rFonts w:ascii="宋体" w:hAnsi="宋体" w:cs="宋体" w:eastAsia="宋体" w:hint="default"/>
                <w:sz w:val="18"/>
                <w:szCs w:val="18"/>
              </w:rPr>
              <w:t>董事兼副</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23"/>
                <w:szCs w:val="2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44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58"/>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17</w:t>
            </w:r>
          </w:p>
          <w:p>
            <w:pPr>
              <w:pStyle w:val="TableParagraph"/>
              <w:spacing w:line="240" w:lineRule="auto" w:before="67"/>
              <w:ind w:left="19"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58"/>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23"/>
                <w:szCs w:val="23"/>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6,004,000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23"/>
                <w:szCs w:val="23"/>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23"/>
                <w:szCs w:val="2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23"/>
                <w:szCs w:val="23"/>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6,004,000</w:t>
            </w:r>
          </w:p>
        </w:tc>
      </w:tr>
      <w:tr>
        <w:trPr>
          <w:trHeight w:val="364" w:hRule="exact"/>
        </w:trPr>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r>
      <w:tr>
        <w:trPr>
          <w:trHeight w:val="314" w:hRule="exact"/>
        </w:trPr>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sz w:val="18"/>
                <w:szCs w:val="18"/>
              </w:rPr>
              <w:t>李云强</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z w:val="18"/>
              </w:rPr>
              <w:t>50</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05</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49" w:hRule="exact"/>
        </w:trPr>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left="19"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r>
      <w:tr>
        <w:trPr>
          <w:trHeight w:val="362" w:hRule="exact"/>
        </w:trPr>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r>
      <w:tr>
        <w:trPr>
          <w:trHeight w:val="314" w:hRule="exact"/>
        </w:trPr>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周美妹</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z w:val="18"/>
              </w:rPr>
              <w:t>42</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17</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51" w:hRule="exact"/>
        </w:trPr>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9"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r>
      <w:tr>
        <w:trPr>
          <w:trHeight w:val="362" w:hRule="exact"/>
        </w:trPr>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r>
      <w:tr>
        <w:trPr>
          <w:trHeight w:val="314" w:hRule="exact"/>
        </w:trPr>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黄志雨</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z w:val="18"/>
              </w:rPr>
              <w:t>36</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13</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51" w:hRule="exact"/>
        </w:trPr>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9"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r>
      <w:tr>
        <w:trPr>
          <w:trHeight w:val="362" w:hRule="exact"/>
        </w:trPr>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r>
      <w:tr>
        <w:trPr>
          <w:trHeight w:val="314" w:hRule="exact"/>
        </w:trPr>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洪波</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z w:val="18"/>
              </w:rPr>
              <w:t>56</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18</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46" w:hRule="exact"/>
        </w:trPr>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9"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r>
      <w:tr>
        <w:trPr>
          <w:trHeight w:val="364" w:hRule="exact"/>
        </w:trPr>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r>
      <w:tr>
        <w:trPr>
          <w:trHeight w:val="314" w:hRule="exact"/>
        </w:trPr>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sz w:val="18"/>
                <w:szCs w:val="18"/>
              </w:rPr>
              <w:t>许萍</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z w:val="18"/>
              </w:rPr>
              <w:t>44</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28</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49" w:hRule="exact"/>
        </w:trPr>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left="19"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r>
      <w:tr>
        <w:trPr>
          <w:trHeight w:val="362" w:hRule="exact"/>
        </w:trPr>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r>
      <w:tr>
        <w:trPr>
          <w:trHeight w:val="314" w:hRule="exact"/>
        </w:trPr>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胡穗华</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z w:val="18"/>
              </w:rPr>
              <w:t>53</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28</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51" w:hRule="exact"/>
        </w:trPr>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9"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r>
      <w:tr>
        <w:trPr>
          <w:trHeight w:val="403"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林双林</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60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797"/>
        <w:gridCol w:w="797"/>
        <w:gridCol w:w="797"/>
        <w:gridCol w:w="797"/>
        <w:gridCol w:w="802"/>
        <w:gridCol w:w="797"/>
        <w:gridCol w:w="797"/>
        <w:gridCol w:w="797"/>
        <w:gridCol w:w="797"/>
        <w:gridCol w:w="802"/>
        <w:gridCol w:w="797"/>
        <w:gridCol w:w="797"/>
      </w:tblGrid>
      <w:tr>
        <w:trPr>
          <w:trHeight w:val="672" w:hRule="exact"/>
        </w:trPr>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10</w:t>
            </w:r>
          </w:p>
          <w:p>
            <w:pPr>
              <w:pStyle w:val="TableParagraph"/>
              <w:spacing w:line="240" w:lineRule="auto" w:before="67"/>
              <w:ind w:left="19"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364" w:hRule="exact"/>
        </w:trPr>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r>
      <w:tr>
        <w:trPr>
          <w:trHeight w:val="314" w:hRule="exact"/>
        </w:trPr>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sz w:val="18"/>
                <w:szCs w:val="18"/>
              </w:rPr>
              <w:t>潘琰</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z w:val="18"/>
              </w:rPr>
              <w:t>60</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07</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pacing w:val="-3"/>
                <w:sz w:val="18"/>
                <w:szCs w:val="18"/>
              </w:rPr>
              <w:t>11</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49" w:hRule="exact"/>
        </w:trPr>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left="19"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r>
      <w:tr>
        <w:trPr>
          <w:trHeight w:val="362" w:hRule="exact"/>
        </w:trPr>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r>
      <w:tr>
        <w:trPr>
          <w:trHeight w:val="314" w:hRule="exact"/>
        </w:trPr>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丁仕达</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z w:val="18"/>
              </w:rPr>
              <w:t>67</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25</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28</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51" w:hRule="exact"/>
        </w:trPr>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9"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r>
      <w:tr>
        <w:trPr>
          <w:trHeight w:val="362" w:hRule="exact"/>
        </w:trPr>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r>
      <w:tr>
        <w:trPr>
          <w:trHeight w:val="314" w:hRule="exact"/>
        </w:trPr>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张学清</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z w:val="18"/>
              </w:rPr>
              <w:t>70</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13</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18</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51" w:hRule="exact"/>
        </w:trPr>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9"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r>
      <w:tr>
        <w:trPr>
          <w:trHeight w:val="362" w:hRule="exact"/>
        </w:trPr>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r>
      <w:tr>
        <w:trPr>
          <w:trHeight w:val="314" w:hRule="exact"/>
        </w:trPr>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张新泽</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z w:val="18"/>
              </w:rPr>
              <w:t>69</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07</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46" w:hRule="exact"/>
        </w:trPr>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9"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r>
      <w:tr>
        <w:trPr>
          <w:trHeight w:val="102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24" w:right="0"/>
              <w:jc w:val="left"/>
              <w:rPr>
                <w:rFonts w:ascii="宋体" w:hAnsi="宋体" w:cs="宋体" w:eastAsia="宋体" w:hint="default"/>
                <w:sz w:val="18"/>
                <w:szCs w:val="18"/>
              </w:rPr>
            </w:pPr>
            <w:r>
              <w:rPr>
                <w:rFonts w:ascii="宋体" w:hAnsi="宋体" w:cs="宋体" w:eastAsia="宋体" w:hint="default"/>
                <w:sz w:val="18"/>
                <w:szCs w:val="18"/>
              </w:rPr>
              <w:t>陈瑞汉</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21" w:lineRule="auto"/>
              <w:ind w:left="24" w:right="36"/>
              <w:jc w:val="left"/>
              <w:rPr>
                <w:rFonts w:ascii="宋体" w:hAnsi="宋体" w:cs="宋体" w:eastAsia="宋体" w:hint="default"/>
                <w:sz w:val="18"/>
                <w:szCs w:val="18"/>
              </w:rPr>
            </w:pPr>
            <w:r>
              <w:rPr>
                <w:rFonts w:ascii="宋体" w:hAnsi="宋体" w:cs="宋体" w:eastAsia="宋体" w:hint="default"/>
                <w:sz w:val="18"/>
                <w:szCs w:val="18"/>
              </w:rPr>
              <w:t>监事会主</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席</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24"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62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63"/>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17</w:t>
            </w:r>
          </w:p>
          <w:p>
            <w:pPr>
              <w:pStyle w:val="TableParagraph"/>
              <w:spacing w:line="240" w:lineRule="auto" w:before="67"/>
              <w:ind w:left="19"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62" w:hRule="exact"/>
        </w:trPr>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r>
      <w:tr>
        <w:trPr>
          <w:trHeight w:val="314" w:hRule="exact"/>
        </w:trPr>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谢友军</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z w:val="18"/>
              </w:rPr>
              <w:t>58</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17</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spacing w:val="-1"/>
                <w:sz w:val="18"/>
              </w:rPr>
              <w:t>14,850</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3,713</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spacing w:val="-2"/>
                <w:sz w:val="18"/>
              </w:rPr>
              <w:t>11,137</w:t>
            </w:r>
          </w:p>
        </w:tc>
      </w:tr>
      <w:tr>
        <w:trPr>
          <w:trHeight w:val="351" w:hRule="exact"/>
        </w:trPr>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9"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r>
      <w:tr>
        <w:trPr>
          <w:trHeight w:val="362" w:hRule="exact"/>
        </w:trPr>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r>
      <w:tr>
        <w:trPr>
          <w:trHeight w:val="314" w:hRule="exact"/>
        </w:trPr>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何爱平</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z w:val="18"/>
              </w:rPr>
              <w:t>36</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14</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51" w:hRule="exact"/>
        </w:trPr>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9"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r>
      <w:tr>
        <w:trPr>
          <w:trHeight w:val="362" w:hRule="exact"/>
        </w:trPr>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r>
      <w:tr>
        <w:trPr>
          <w:trHeight w:val="314" w:hRule="exact"/>
        </w:trPr>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郭斌</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z w:val="18"/>
              </w:rPr>
              <w:t>47</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17</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spacing w:val="-1"/>
                <w:sz w:val="18"/>
              </w:rPr>
              <w:t>30,659</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7,665</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spacing w:val="-1"/>
                <w:sz w:val="18"/>
              </w:rPr>
              <w:t>22,994</w:t>
            </w:r>
          </w:p>
        </w:tc>
      </w:tr>
      <w:tr>
        <w:trPr>
          <w:trHeight w:val="346" w:hRule="exact"/>
        </w:trPr>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9"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r>
      <w:tr>
        <w:trPr>
          <w:trHeight w:val="364" w:hRule="exact"/>
        </w:trPr>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r>
      <w:tr>
        <w:trPr>
          <w:trHeight w:val="314" w:hRule="exact"/>
        </w:trPr>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sz w:val="18"/>
                <w:szCs w:val="18"/>
              </w:rPr>
              <w:t>罗智波</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z w:val="18"/>
              </w:rPr>
              <w:t>38</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26</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49" w:hRule="exact"/>
        </w:trPr>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left="19"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r>
      <w:tr>
        <w:trPr>
          <w:trHeight w:val="362" w:hRule="exact"/>
        </w:trPr>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r>
      <w:tr>
        <w:trPr>
          <w:trHeight w:val="314" w:hRule="exact"/>
        </w:trPr>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李娟</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z w:val="18"/>
              </w:rPr>
              <w:t>33</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19</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51" w:hRule="exact"/>
        </w:trPr>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9"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r>
      <w:tr>
        <w:trPr>
          <w:trHeight w:val="362" w:hRule="exact"/>
        </w:trPr>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r>
      <w:tr>
        <w:trPr>
          <w:trHeight w:val="314" w:hRule="exact"/>
        </w:trPr>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高琦</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z w:val="18"/>
              </w:rPr>
              <w:t>41</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pacing w:val="-3"/>
                <w:sz w:val="18"/>
                <w:szCs w:val="18"/>
              </w:rPr>
              <w:t>11</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51" w:hRule="exact"/>
        </w:trPr>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9"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r>
      <w:tr>
        <w:trPr>
          <w:trHeight w:val="362" w:hRule="exact"/>
        </w:trPr>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r>
      <w:tr>
        <w:trPr>
          <w:trHeight w:val="314" w:hRule="exact"/>
        </w:trPr>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张京平</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z w:val="18"/>
              </w:rPr>
              <w:t>49</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27</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46" w:hRule="exact"/>
        </w:trPr>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9"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r>
      <w:tr>
        <w:trPr>
          <w:trHeight w:val="715"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123,394,0</w:t>
            </w:r>
          </w:p>
          <w:p>
            <w:pPr>
              <w:pStyle w:val="TableParagraph"/>
              <w:spacing w:line="240" w:lineRule="auto" w:before="110"/>
              <w:ind w:right="17"/>
              <w:jc w:val="right"/>
              <w:rPr>
                <w:rFonts w:ascii="Times New Roman" w:hAnsi="Times New Roman" w:cs="Times New Roman" w:eastAsia="Times New Roman" w:hint="default"/>
                <w:sz w:val="18"/>
                <w:szCs w:val="18"/>
              </w:rPr>
            </w:pPr>
            <w:r>
              <w:rPr>
                <w:rFonts w:ascii="Times New Roman"/>
                <w:sz w:val="18"/>
              </w:rPr>
              <w:t>09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17,981,37</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105,412,6</w:t>
            </w:r>
          </w:p>
          <w:p>
            <w:pPr>
              <w:pStyle w:val="TableParagraph"/>
              <w:spacing w:line="240" w:lineRule="auto" w:before="110"/>
              <w:ind w:right="17"/>
              <w:jc w:val="right"/>
              <w:rPr>
                <w:rFonts w:ascii="Times New Roman" w:hAnsi="Times New Roman" w:cs="Times New Roman" w:eastAsia="Times New Roman" w:hint="default"/>
                <w:sz w:val="18"/>
                <w:szCs w:val="18"/>
              </w:rPr>
            </w:pPr>
            <w:r>
              <w:rPr>
                <w:rFonts w:ascii="Times New Roman"/>
                <w:sz w:val="18"/>
              </w:rPr>
              <w:t>31</w:t>
            </w:r>
          </w:p>
        </w:tc>
      </w:tr>
    </w:tbl>
    <w:p>
      <w:pPr>
        <w:spacing w:after="0" w:line="240" w:lineRule="auto"/>
        <w:jc w:val="right"/>
        <w:rPr>
          <w:rFonts w:ascii="Times New Roman" w:hAnsi="Times New Roman" w:cs="Times New Roman" w:eastAsia="Times New Roman" w:hint="default"/>
          <w:sz w:val="18"/>
          <w:szCs w:val="18"/>
        </w:rPr>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7"/>
          <w:szCs w:val="27"/>
        </w:rPr>
      </w:pPr>
    </w:p>
    <w:p>
      <w:pPr>
        <w:pStyle w:val="Heading2"/>
        <w:spacing w:line="367" w:lineRule="exact"/>
        <w:ind w:right="109"/>
        <w:jc w:val="left"/>
        <w:rPr>
          <w:b w:val="0"/>
          <w:bCs w:val="0"/>
        </w:rPr>
      </w:pPr>
      <w:r>
        <w:rPr/>
        <w:t>二、公司董事、监事、高级管理人员变动情况</w:t>
      </w:r>
      <w:r>
        <w:rPr>
          <w:b w:val="0"/>
          <w:bCs w:val="0"/>
        </w:rPr>
      </w:r>
    </w:p>
    <w:p>
      <w:pPr>
        <w:spacing w:line="240" w:lineRule="auto" w:before="0"/>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1330"/>
        <w:gridCol w:w="1330"/>
        <w:gridCol w:w="1330"/>
        <w:gridCol w:w="1330"/>
        <w:gridCol w:w="4248"/>
      </w:tblGrid>
      <w:tr>
        <w:trPr>
          <w:trHeight w:val="394" w:hRule="exact"/>
        </w:trPr>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姓名</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06"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类型</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日期</w:t>
            </w:r>
          </w:p>
        </w:tc>
        <w:tc>
          <w:tcPr>
            <w:tcW w:w="4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720"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潘琰</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06</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任期届满离任</w:t>
            </w:r>
          </w:p>
        </w:tc>
      </w:tr>
      <w:tr>
        <w:trPr>
          <w:trHeight w:val="715"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丁仕达</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31</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辞职</w:t>
            </w:r>
          </w:p>
        </w:tc>
      </w:tr>
      <w:tr>
        <w:trPr>
          <w:trHeight w:val="715"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张新泽</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06</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任期届满离任</w:t>
            </w:r>
          </w:p>
        </w:tc>
      </w:tr>
      <w:tr>
        <w:trPr>
          <w:trHeight w:val="715"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张学清</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辞职</w:t>
            </w:r>
          </w:p>
        </w:tc>
      </w:tr>
    </w:tbl>
    <w:p>
      <w:pPr>
        <w:spacing w:line="240" w:lineRule="auto" w:before="5"/>
        <w:rPr>
          <w:rFonts w:ascii="Microsoft JhengHei" w:hAnsi="Microsoft JhengHei" w:cs="Microsoft JhengHei" w:eastAsia="Microsoft JhengHei" w:hint="default"/>
          <w:b/>
          <w:bCs/>
          <w:sz w:val="13"/>
          <w:szCs w:val="13"/>
        </w:rPr>
      </w:pPr>
    </w:p>
    <w:p>
      <w:pPr>
        <w:pStyle w:val="Heading2"/>
        <w:spacing w:line="367" w:lineRule="exact"/>
        <w:ind w:right="109"/>
        <w:jc w:val="left"/>
        <w:rPr>
          <w:b w:val="0"/>
          <w:bCs w:val="0"/>
        </w:rPr>
      </w:pPr>
      <w:r>
        <w:rPr/>
        <w:t>三、任职情况</w:t>
      </w:r>
      <w:r>
        <w:rPr>
          <w:b w:val="0"/>
          <w:bCs w:val="0"/>
        </w:rPr>
      </w:r>
    </w:p>
    <w:p>
      <w:pPr>
        <w:spacing w:line="240" w:lineRule="auto" w:before="15"/>
        <w:rPr>
          <w:rFonts w:ascii="Microsoft JhengHei" w:hAnsi="Microsoft JhengHei" w:cs="Microsoft JhengHei" w:eastAsia="Microsoft JhengHei" w:hint="default"/>
          <w:b/>
          <w:bCs/>
          <w:sz w:val="18"/>
          <w:szCs w:val="18"/>
        </w:rPr>
      </w:pPr>
    </w:p>
    <w:p>
      <w:pPr>
        <w:spacing w:before="0"/>
        <w:ind w:left="152" w:right="109" w:firstLine="0"/>
        <w:jc w:val="left"/>
        <w:rPr>
          <w:rFonts w:ascii="宋体" w:hAnsi="宋体" w:cs="宋体" w:eastAsia="宋体" w:hint="default"/>
          <w:sz w:val="18"/>
          <w:szCs w:val="18"/>
        </w:rPr>
      </w:pPr>
      <w:r>
        <w:rPr>
          <w:rFonts w:ascii="宋体" w:hAnsi="宋体" w:cs="宋体" w:eastAsia="宋体" w:hint="default"/>
          <w:spacing w:val="-3"/>
          <w:sz w:val="18"/>
          <w:szCs w:val="18"/>
        </w:rPr>
        <w:t>公司现任董事、监事、高级管理人员专业背景、主要工作经历以及目前在公司的主要职责</w:t>
      </w:r>
    </w:p>
    <w:p>
      <w:pPr>
        <w:pStyle w:val="BodyText"/>
        <w:spacing w:line="240" w:lineRule="auto" w:before="84"/>
        <w:ind w:right="109"/>
        <w:jc w:val="left"/>
      </w:pPr>
      <w:r>
        <w:rPr>
          <w:rFonts w:ascii="Times New Roman" w:hAnsi="Times New Roman" w:cs="Times New Roman" w:eastAsia="Times New Roman" w:hint="default"/>
        </w:rPr>
        <w:t>1.</w:t>
      </w:r>
      <w:r>
        <w:rPr/>
        <w:t>董事主要工作经历</w:t>
      </w:r>
    </w:p>
    <w:p>
      <w:pPr>
        <w:pStyle w:val="BodyText"/>
        <w:spacing w:line="266" w:lineRule="auto" w:before="21"/>
        <w:ind w:right="222" w:firstLine="422"/>
        <w:jc w:val="both"/>
      </w:pPr>
      <w:r>
        <w:rPr/>
        <w:t>尤丽娟</w:t>
      </w:r>
      <w:r>
        <w:rPr>
          <w:spacing w:val="45"/>
        </w:rPr>
        <w:t> </w:t>
      </w:r>
      <w:r>
        <w:rPr>
          <w:spacing w:val="-4"/>
        </w:rPr>
        <w:t>女士，中国国籍，工商管理硕士，清华大学</w:t>
      </w:r>
      <w:r>
        <w:rPr>
          <w:rFonts w:ascii="Times New Roman" w:hAnsi="Times New Roman" w:cs="Times New Roman" w:eastAsia="Times New Roman" w:hint="default"/>
          <w:spacing w:val="-4"/>
        </w:rPr>
        <w:t>EMBA</w:t>
      </w:r>
      <w:r>
        <w:rPr>
          <w:spacing w:val="-4"/>
        </w:rPr>
        <w:t>。曾任福州市人大代表、福建省青年商会常</w:t>
      </w:r>
      <w:r>
        <w:rPr>
          <w:w w:val="100"/>
        </w:rPr>
        <w:t> </w:t>
      </w:r>
      <w:r>
        <w:rPr>
          <w:spacing w:val="-2"/>
        </w:rPr>
        <w:t>务理事，曾获得福建省第七届优秀青年企业家荣誉。现任中国经济文化交流协会副会长、中国青年企业家</w:t>
      </w:r>
      <w:r>
        <w:rPr>
          <w:spacing w:val="-35"/>
        </w:rPr>
        <w:t> </w:t>
      </w:r>
      <w:r>
        <w:rPr>
          <w:spacing w:val="-35"/>
        </w:rPr>
      </w:r>
      <w:r>
        <w:rPr>
          <w:spacing w:val="-2"/>
        </w:rPr>
        <w:t>协会委员、中国就业促进会理事、福建省红十字会荣誉理事、福建省民营企业商会理事、福建省工商业联</w:t>
      </w:r>
      <w:r>
        <w:rPr>
          <w:spacing w:val="-35"/>
        </w:rPr>
        <w:t> </w:t>
      </w:r>
      <w:r>
        <w:rPr>
          <w:spacing w:val="-35"/>
        </w:rPr>
      </w:r>
      <w:r>
        <w:rPr/>
        <w:t>合会直属委员会理事、公司董事长。</w:t>
      </w:r>
    </w:p>
    <w:p>
      <w:pPr>
        <w:pStyle w:val="BodyText"/>
        <w:spacing w:line="273" w:lineRule="auto" w:before="14"/>
        <w:ind w:right="109" w:firstLine="422"/>
        <w:jc w:val="left"/>
      </w:pPr>
      <w:r>
        <w:rPr/>
        <w:t>尤玉仙</w:t>
      </w:r>
      <w:r>
        <w:rPr>
          <w:spacing w:val="-20"/>
        </w:rPr>
        <w:t> </w:t>
      </w:r>
      <w:r>
        <w:rPr/>
        <w:t>女士，中国国籍，现任本公司副董事长、福建省第十一届政协委员，福州市第十二、十三届</w:t>
      </w:r>
      <w:r>
        <w:rPr>
          <w:w w:val="100"/>
        </w:rPr>
        <w:t> </w:t>
      </w:r>
      <w:r>
        <w:rPr>
          <w:spacing w:val="-2"/>
        </w:rPr>
        <w:t>人大代表，福建省浙江商会副会长，福建省总商会女企业家联谊会常务理事，福州市工商业联合会常委理</w:t>
      </w:r>
      <w:r>
        <w:rPr>
          <w:spacing w:val="-36"/>
        </w:rPr>
        <w:t> </w:t>
      </w:r>
      <w:r>
        <w:rPr>
          <w:spacing w:val="-36"/>
        </w:rPr>
      </w:r>
      <w:r>
        <w:rPr/>
        <w:t>事，福州市节能协会副会长，福州市青年联合会常委。</w:t>
      </w:r>
    </w:p>
    <w:p>
      <w:pPr>
        <w:pStyle w:val="BodyText"/>
        <w:spacing w:line="240" w:lineRule="auto" w:before="7"/>
        <w:ind w:left="575" w:right="109"/>
        <w:jc w:val="left"/>
      </w:pPr>
      <w:r>
        <w:rPr/>
        <w:t>尤友岳</w:t>
      </w:r>
      <w:r>
        <w:rPr>
          <w:spacing w:val="-24"/>
        </w:rPr>
        <w:t> </w:t>
      </w:r>
      <w:r>
        <w:rPr/>
        <w:t>先生，工商管理硕士，中国国籍，现任本公司副董事长、总经理。</w:t>
      </w:r>
    </w:p>
    <w:p>
      <w:pPr>
        <w:pStyle w:val="BodyText"/>
        <w:spacing w:line="256" w:lineRule="auto" w:before="37"/>
        <w:ind w:right="109" w:firstLine="422"/>
        <w:jc w:val="left"/>
      </w:pPr>
      <w:r>
        <w:rPr/>
        <w:t>尤友鸾</w:t>
      </w:r>
      <w:r>
        <w:rPr>
          <w:spacing w:val="34"/>
        </w:rPr>
        <w:t> </w:t>
      </w:r>
      <w:r>
        <w:rPr>
          <w:spacing w:val="-6"/>
        </w:rPr>
        <w:t>先生，中国国籍，厦门大学</w:t>
      </w:r>
      <w:r>
        <w:rPr>
          <w:rFonts w:ascii="Times New Roman" w:hAnsi="Times New Roman" w:cs="Times New Roman" w:eastAsia="Times New Roman" w:hint="default"/>
          <w:spacing w:val="-6"/>
        </w:rPr>
        <w:t>EMBA</w:t>
      </w:r>
      <w:r>
        <w:rPr>
          <w:spacing w:val="-6"/>
        </w:rPr>
        <w:t>。先后在本公司任生产部经理、副总经理、总经理特别助理、</w:t>
      </w:r>
      <w:r>
        <w:rPr>
          <w:w w:val="100"/>
        </w:rPr>
        <w:t> </w:t>
      </w:r>
      <w:r>
        <w:rPr/>
        <w:t>董事，现任本公司董事副总经理。</w:t>
      </w:r>
    </w:p>
    <w:p>
      <w:pPr>
        <w:pStyle w:val="BodyText"/>
        <w:spacing w:line="273" w:lineRule="auto" w:before="22"/>
        <w:ind w:right="312" w:firstLine="422"/>
        <w:jc w:val="left"/>
      </w:pPr>
      <w:r>
        <w:rPr/>
        <w:t>周美妹</w:t>
      </w:r>
      <w:r>
        <w:rPr>
          <w:spacing w:val="-21"/>
        </w:rPr>
        <w:t> </w:t>
      </w:r>
      <w:r>
        <w:rPr/>
        <w:t>女士，中国国籍，毕业于西南财经大学，高级会计师，注册会计师，注册税务师，现任本公</w:t>
      </w:r>
      <w:r>
        <w:rPr>
          <w:w w:val="100"/>
        </w:rPr>
        <w:t> </w:t>
      </w:r>
      <w:r>
        <w:rPr/>
        <w:t>司董事。</w:t>
      </w:r>
    </w:p>
    <w:p>
      <w:pPr>
        <w:pStyle w:val="BodyText"/>
        <w:spacing w:line="273" w:lineRule="auto" w:before="7"/>
        <w:ind w:right="312" w:firstLine="422"/>
        <w:jc w:val="left"/>
      </w:pPr>
      <w:r>
        <w:rPr/>
        <w:t>李云强</w:t>
      </w:r>
      <w:r>
        <w:rPr>
          <w:spacing w:val="-21"/>
        </w:rPr>
        <w:t> </w:t>
      </w:r>
      <w:r>
        <w:rPr/>
        <w:t>先生：本科学历，中国国籍，曾任福州二塑塑胶有限公司副总经理，本公司副总经理，鸿博</w:t>
      </w:r>
      <w:r>
        <w:rPr>
          <w:w w:val="100"/>
        </w:rPr>
        <w:t> </w:t>
      </w:r>
      <w:r>
        <w:rPr/>
        <w:t>光电有限公司总经理，现任本公司董事、重庆鸿海董事总经理。</w:t>
      </w:r>
    </w:p>
    <w:p>
      <w:pPr>
        <w:pStyle w:val="BodyText"/>
        <w:spacing w:line="240" w:lineRule="auto" w:before="7"/>
        <w:ind w:left="575" w:right="109"/>
        <w:jc w:val="left"/>
      </w:pPr>
      <w:r>
        <w:rPr/>
        <w:t>黄志雨</w:t>
      </w:r>
      <w:r>
        <w:rPr>
          <w:spacing w:val="-21"/>
        </w:rPr>
        <w:t> </w:t>
      </w:r>
      <w:r>
        <w:rPr/>
        <w:t>先生，中国国籍，大专学历，中级程序员，现任本公司董事。</w:t>
      </w:r>
    </w:p>
    <w:p>
      <w:pPr>
        <w:pStyle w:val="BodyText"/>
        <w:spacing w:line="268" w:lineRule="auto" w:before="37"/>
        <w:ind w:right="222" w:firstLine="422"/>
        <w:jc w:val="both"/>
      </w:pPr>
      <w:r>
        <w:rPr/>
        <w:t>洪 波</w:t>
      </w:r>
      <w:r>
        <w:rPr>
          <w:spacing w:val="-44"/>
        </w:rPr>
        <w:t> </w:t>
      </w:r>
      <w:r>
        <w:rPr/>
        <w:t>先生，中国国籍，中共党员。中国政法大学，本科学历，法学学士学位；厦门大学，世界经济</w:t>
      </w:r>
      <w:r>
        <w:rPr>
          <w:w w:val="100"/>
        </w:rPr>
        <w:t> </w:t>
      </w:r>
      <w:r>
        <w:rPr>
          <w:spacing w:val="-2"/>
        </w:rPr>
        <w:t>研究生学历，经济学硕士学位。历任福建省律师协会秘书长、副会长、会长、中华全国律师协会副会长等</w:t>
      </w:r>
      <w:r>
        <w:rPr>
          <w:spacing w:val="-41"/>
        </w:rPr>
        <w:t> </w:t>
      </w:r>
      <w:r>
        <w:rPr>
          <w:spacing w:val="-41"/>
        </w:rPr>
      </w:r>
      <w:r>
        <w:rPr>
          <w:spacing w:val="-2"/>
        </w:rPr>
        <w:t>职，现为福建新世通律师事务所首席合伙人、中华全国律师协会副会长、福建省律师协会名誉会长，国家</w:t>
      </w:r>
      <w:r>
        <w:rPr>
          <w:spacing w:val="-35"/>
        </w:rPr>
        <w:t> </w:t>
      </w:r>
      <w:r>
        <w:rPr>
          <w:spacing w:val="-35"/>
        </w:rPr>
      </w:r>
      <w:r>
        <w:rPr>
          <w:spacing w:val="-2"/>
        </w:rPr>
        <w:t>食品药品监督管理局（法律组）安全专家、福建省国资委法律咨询专家委员会法律咨询专家、福州市人民</w:t>
      </w:r>
      <w:r>
        <w:rPr>
          <w:spacing w:val="-35"/>
        </w:rPr>
        <w:t> </w:t>
      </w:r>
      <w:r>
        <w:rPr>
          <w:spacing w:val="-35"/>
        </w:rPr>
      </w:r>
      <w:r>
        <w:rPr>
          <w:spacing w:val="-3"/>
        </w:rPr>
        <w:t>政府法律顾问</w:t>
      </w:r>
      <w:r>
        <w:rPr>
          <w:rFonts w:ascii="Times New Roman" w:hAnsi="Times New Roman" w:cs="Times New Roman" w:eastAsia="Times New Roman" w:hint="default"/>
          <w:spacing w:val="-3"/>
        </w:rPr>
        <w:t>,</w:t>
      </w:r>
      <w:r>
        <w:rPr>
          <w:spacing w:val="-3"/>
        </w:rPr>
        <w:t>鸿博股份有限公司独立董事、纳川管材股份有限公司独立董事、泰禾集团股份有限公司独立</w:t>
      </w:r>
      <w:r>
        <w:rPr>
          <w:spacing w:val="-45"/>
        </w:rPr>
        <w:t> </w:t>
      </w:r>
      <w:r>
        <w:rPr>
          <w:spacing w:val="-45"/>
        </w:rPr>
      </w:r>
      <w:r>
        <w:rPr/>
        <w:t>董事。</w:t>
      </w:r>
    </w:p>
    <w:p>
      <w:pPr>
        <w:pStyle w:val="BodyText"/>
        <w:spacing w:line="273" w:lineRule="auto" w:before="12"/>
        <w:ind w:right="222" w:firstLine="422"/>
        <w:jc w:val="both"/>
      </w:pPr>
      <w:r>
        <w:rPr/>
        <w:t>许 萍</w:t>
      </w:r>
      <w:r>
        <w:rPr>
          <w:spacing w:val="-26"/>
        </w:rPr>
        <w:t> </w:t>
      </w:r>
      <w:r>
        <w:rPr/>
        <w:t>女士，中国国籍,厦门大学会计学专业，博士研究生,注册会计师。历任福州大学管理学院会计</w:t>
      </w:r>
      <w:r>
        <w:rPr>
          <w:w w:val="100"/>
        </w:rPr>
        <w:t> </w:t>
      </w:r>
      <w:r>
        <w:rPr>
          <w:spacing w:val="-2"/>
        </w:rPr>
        <w:t>系讲师、副教授等职,现任福州大学经济与管理学院会计系教授、硕士生导师,兼任福建省高级审计师评委</w:t>
      </w:r>
      <w:r>
        <w:rPr>
          <w:spacing w:val="-38"/>
        </w:rPr>
        <w:t> </w:t>
      </w:r>
      <w:r>
        <w:rPr>
          <w:spacing w:val="-38"/>
        </w:rPr>
      </w:r>
      <w:r>
        <w:rPr>
          <w:spacing w:val="-2"/>
        </w:rPr>
        <w:t>会评委、福建省高级会计师评委会评委、福建省首届管理会计咨询专家、福建省审计学会理事、福建省注</w:t>
      </w:r>
      <w:r>
        <w:rPr>
          <w:spacing w:val="-36"/>
        </w:rPr>
        <w:t> </w:t>
      </w:r>
      <w:r>
        <w:rPr>
          <w:spacing w:val="-36"/>
        </w:rPr>
      </w:r>
      <w:r>
        <w:rPr>
          <w:spacing w:val="-2"/>
        </w:rPr>
        <w:t>册会计师协会理事、福建省农业综合开发专家库财务专家、福建福能股份有限公司独立董事、国脉科技股</w:t>
      </w:r>
      <w:r>
        <w:rPr>
          <w:spacing w:val="-35"/>
        </w:rPr>
        <w:t> </w:t>
      </w:r>
      <w:r>
        <w:rPr>
          <w:spacing w:val="-35"/>
        </w:rPr>
      </w:r>
      <w:r>
        <w:rPr/>
        <w:t>份有限公司独立董事、鸿博股份有限公司独立董事。</w:t>
      </w:r>
    </w:p>
    <w:p>
      <w:pPr>
        <w:pStyle w:val="BodyText"/>
        <w:spacing w:line="240" w:lineRule="auto" w:before="7"/>
        <w:ind w:left="575" w:right="109"/>
        <w:jc w:val="left"/>
      </w:pPr>
      <w:r>
        <w:rPr/>
        <w:t>胡穗华</w:t>
      </w:r>
      <w:r>
        <w:rPr>
          <w:spacing w:val="-21"/>
        </w:rPr>
        <w:t> </w:t>
      </w:r>
      <w:r>
        <w:rPr/>
        <w:t>女士，中国国籍</w:t>
      </w:r>
      <w:r>
        <w:rPr>
          <w:rFonts w:ascii="Times New Roman" w:hAnsi="Times New Roman" w:cs="Times New Roman" w:eastAsia="Times New Roman" w:hint="default"/>
        </w:rPr>
        <w:t>,</w:t>
      </w:r>
      <w:r>
        <w:rPr/>
        <w:t>湖南大学应用数学专业，博士研究生。历任广东省经济管理干部学院营销管</w:t>
      </w:r>
    </w:p>
    <w:p>
      <w:pPr>
        <w:spacing w:after="0" w:line="240" w:lineRule="auto"/>
        <w:jc w:val="left"/>
        <w:sectPr>
          <w:pgSz w:w="11900" w:h="16840"/>
          <w:pgMar w:header="872" w:footer="984" w:top="1060" w:bottom="1180" w:left="980" w:right="900"/>
        </w:sectPr>
      </w:pPr>
    </w:p>
    <w:p>
      <w:pPr>
        <w:spacing w:line="240" w:lineRule="auto" w:before="12"/>
        <w:rPr>
          <w:rFonts w:ascii="宋体" w:hAnsi="宋体" w:cs="宋体" w:eastAsia="宋体" w:hint="default"/>
          <w:sz w:val="24"/>
          <w:szCs w:val="24"/>
        </w:rPr>
      </w:pPr>
    </w:p>
    <w:p>
      <w:pPr>
        <w:pStyle w:val="BodyText"/>
        <w:spacing w:line="256" w:lineRule="auto" w:before="36"/>
        <w:ind w:right="0"/>
        <w:jc w:val="left"/>
      </w:pPr>
      <w:r>
        <w:rPr>
          <w:spacing w:val="-3"/>
        </w:rPr>
        <w:t>理、科研与培训管理专业讲师、副教授等职</w:t>
      </w:r>
      <w:r>
        <w:rPr>
          <w:rFonts w:ascii="Times New Roman" w:hAnsi="Times New Roman" w:cs="Times New Roman" w:eastAsia="Times New Roman" w:hint="default"/>
          <w:spacing w:val="-3"/>
        </w:rPr>
        <w:t>,</w:t>
      </w:r>
      <w:r>
        <w:rPr>
          <w:spacing w:val="-3"/>
        </w:rPr>
        <w:t>现任广东财经大学工商管理学院、彩票研究中心副教授、硕士</w:t>
      </w:r>
      <w:r>
        <w:rPr>
          <w:spacing w:val="-46"/>
        </w:rPr>
        <w:t> </w:t>
      </w:r>
      <w:r>
        <w:rPr>
          <w:spacing w:val="-46"/>
        </w:rPr>
      </w:r>
      <w:r>
        <w:rPr/>
        <w:t>生导师。</w:t>
      </w:r>
    </w:p>
    <w:p>
      <w:pPr>
        <w:pStyle w:val="BodyText"/>
        <w:spacing w:line="273" w:lineRule="auto" w:before="22"/>
        <w:ind w:right="0" w:firstLine="422"/>
        <w:jc w:val="left"/>
      </w:pPr>
      <w:r>
        <w:rPr/>
        <w:t>林双林</w:t>
      </w:r>
      <w:r>
        <w:rPr>
          <w:spacing w:val="-20"/>
        </w:rPr>
        <w:t> </w:t>
      </w:r>
      <w:r>
        <w:rPr/>
        <w:t>先生，中国国籍。美国普渡大学经济学博士学位，历任美国奥马哈内布拉斯加大学教授，北</w:t>
      </w:r>
      <w:r>
        <w:rPr>
          <w:w w:val="100"/>
        </w:rPr>
        <w:t> </w:t>
      </w:r>
      <w:r>
        <w:rPr>
          <w:spacing w:val="-2"/>
        </w:rPr>
        <w:t>大经济学院教授、财政学系主任等职，现任北京大学国家发展研究院教授，北京大学中国公共财政研究中</w:t>
      </w:r>
      <w:r>
        <w:rPr>
          <w:spacing w:val="-35"/>
        </w:rPr>
        <w:t> </w:t>
      </w:r>
      <w:r>
        <w:rPr>
          <w:spacing w:val="-35"/>
        </w:rPr>
      </w:r>
      <w:r>
        <w:rPr/>
        <w:t>心主任、公司独立董事。</w:t>
      </w:r>
    </w:p>
    <w:p>
      <w:pPr>
        <w:pStyle w:val="BodyText"/>
        <w:spacing w:line="240" w:lineRule="auto" w:before="7"/>
        <w:ind w:right="0"/>
        <w:jc w:val="left"/>
      </w:pPr>
      <w:r>
        <w:rPr>
          <w:rFonts w:ascii="Times New Roman" w:hAnsi="Times New Roman" w:cs="Times New Roman" w:eastAsia="Times New Roman" w:hint="default"/>
        </w:rPr>
        <w:t>2.</w:t>
      </w:r>
      <w:r>
        <w:rPr/>
        <w:t>监事主要工作经历：</w:t>
      </w:r>
    </w:p>
    <w:p>
      <w:pPr>
        <w:pStyle w:val="BodyText"/>
        <w:spacing w:line="266" w:lineRule="auto" w:before="21"/>
        <w:ind w:right="0" w:firstLine="422"/>
        <w:jc w:val="left"/>
      </w:pPr>
      <w:r>
        <w:rPr/>
        <w:t>陈瑞汉</w:t>
      </w:r>
      <w:r>
        <w:rPr>
          <w:spacing w:val="-1"/>
        </w:rPr>
        <w:t> </w:t>
      </w:r>
      <w:r>
        <w:rPr/>
        <w:t>先生，中国国籍，中共党员，毕业于福州业余大学财务与审计专业，曾任福州印刷厂财务科</w:t>
      </w:r>
      <w:r>
        <w:rPr>
          <w:w w:val="100"/>
        </w:rPr>
        <w:t> </w:t>
      </w:r>
      <w:r>
        <w:rPr>
          <w:spacing w:val="-2"/>
        </w:rPr>
        <w:t>长，曾任福建鸿博印刷股份有限公司财务总监、监事，现任公司全资子公司福州港龙贸易有限公司执行董</w:t>
      </w:r>
      <w:r>
        <w:rPr>
          <w:spacing w:val="-35"/>
        </w:rPr>
        <w:t> </w:t>
      </w:r>
      <w:r>
        <w:rPr>
          <w:spacing w:val="-35"/>
        </w:rPr>
      </w:r>
      <w:r>
        <w:rPr/>
        <w:t>事、公司监事。</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6</w:t>
      </w:r>
      <w:r>
        <w:rPr/>
        <w:t>日，经公司第三届监事会 </w:t>
      </w:r>
      <w:r>
        <w:rPr>
          <w:rFonts w:ascii="Times New Roman" w:hAnsi="Times New Roman" w:cs="Times New Roman" w:eastAsia="Times New Roman" w:hint="default"/>
        </w:rPr>
        <w:t>2014</w:t>
      </w:r>
      <w:r>
        <w:rPr>
          <w:rFonts w:ascii="Times New Roman" w:hAnsi="Times New Roman" w:cs="Times New Roman" w:eastAsia="Times New Roman" w:hint="default"/>
          <w:spacing w:val="6"/>
        </w:rPr>
        <w:t> </w:t>
      </w:r>
      <w:r>
        <w:rPr/>
        <w:t>年第一次临时会议选举，陈瑞汉先生当选为为</w:t>
      </w:r>
      <w:r>
        <w:rPr>
          <w:w w:val="100"/>
        </w:rPr>
        <w:t> </w:t>
      </w:r>
      <w:r>
        <w:rPr/>
        <w:t>公司监事会主席。</w:t>
      </w:r>
    </w:p>
    <w:p>
      <w:pPr>
        <w:pStyle w:val="BodyText"/>
        <w:spacing w:line="273" w:lineRule="auto" w:before="14"/>
        <w:ind w:right="232" w:firstLine="422"/>
        <w:jc w:val="left"/>
      </w:pPr>
      <w:r>
        <w:rPr/>
        <w:t>谢友军</w:t>
      </w:r>
      <w:r>
        <w:rPr>
          <w:spacing w:val="-1"/>
        </w:rPr>
        <w:t> </w:t>
      </w:r>
      <w:r>
        <w:rPr/>
        <w:t>先生，中国国籍，毕业于福州大学企业管理专业，曾任福建鸿博印刷股份有限公司全资子公</w:t>
      </w:r>
      <w:r>
        <w:rPr>
          <w:w w:val="100"/>
        </w:rPr>
        <w:t> </w:t>
      </w:r>
      <w:r>
        <w:rPr/>
        <w:t>司重庆市鸿海印务有限公司副总经理，现任本公司总裁办副主任、监事。</w:t>
      </w:r>
    </w:p>
    <w:p>
      <w:pPr>
        <w:pStyle w:val="BodyText"/>
        <w:spacing w:line="264" w:lineRule="auto" w:before="7"/>
        <w:ind w:right="0" w:firstLine="422"/>
        <w:jc w:val="left"/>
      </w:pPr>
      <w:r>
        <w:rPr/>
        <w:t>何爱平 </w:t>
      </w:r>
      <w:r>
        <w:rPr>
          <w:spacing w:val="-4"/>
        </w:rPr>
        <w:t>女士，中国国籍，，厦门大学经济学专业，本科学历。</w:t>
      </w:r>
      <w:r>
        <w:rPr>
          <w:rFonts w:ascii="Times New Roman" w:hAnsi="Times New Roman" w:cs="Times New Roman" w:eastAsia="Times New Roman" w:hint="default"/>
          <w:spacing w:val="-4"/>
        </w:rPr>
        <w:t>2005 </w:t>
      </w:r>
      <w:r>
        <w:rPr/>
        <w:t>年 </w:t>
      </w:r>
      <w:r>
        <w:rPr>
          <w:rFonts w:ascii="Times New Roman" w:hAnsi="Times New Roman" w:cs="Times New Roman" w:eastAsia="Times New Roman" w:hint="default"/>
        </w:rPr>
        <w:t>1</w:t>
      </w:r>
      <w:r>
        <w:rPr>
          <w:rFonts w:ascii="Times New Roman" w:hAnsi="Times New Roman" w:cs="Times New Roman" w:eastAsia="Times New Roman" w:hint="default"/>
          <w:spacing w:val="20"/>
        </w:rPr>
        <w:t> </w:t>
      </w:r>
      <w:r>
        <w:rPr>
          <w:spacing w:val="-3"/>
        </w:rPr>
        <w:t>月加入公司，历任客服部经</w:t>
      </w:r>
      <w:r>
        <w:rPr>
          <w:w w:val="100"/>
        </w:rPr>
        <w:t> </w:t>
      </w:r>
      <w:r>
        <w:rPr/>
        <w:t>理、市场服务部经理等职，现任公司党支部书记、福州生产中心总经理、职工代表监事。</w:t>
      </w:r>
      <w:r>
        <w:rPr>
          <w:w w:val="100"/>
        </w:rPr>
        <w:t> </w:t>
      </w:r>
      <w:r>
        <w:rPr>
          <w:rFonts w:ascii="Times New Roman" w:hAnsi="Times New Roman" w:cs="Times New Roman" w:eastAsia="Times New Roman" w:hint="default"/>
        </w:rPr>
        <w:t>3.</w:t>
      </w:r>
      <w:r>
        <w:rPr/>
        <w:t>高级管理人员工作经历</w:t>
      </w:r>
    </w:p>
    <w:p>
      <w:pPr>
        <w:pStyle w:val="BodyText"/>
        <w:spacing w:line="273" w:lineRule="auto"/>
        <w:ind w:left="575" w:right="6128"/>
        <w:jc w:val="left"/>
      </w:pPr>
      <w:r>
        <w:rPr/>
        <w:t>尤友岳</w:t>
      </w:r>
      <w:r>
        <w:rPr>
          <w:spacing w:val="-18"/>
        </w:rPr>
        <w:t> </w:t>
      </w:r>
      <w:r>
        <w:rPr/>
        <w:t>先生，见董事工作经历介绍</w:t>
      </w:r>
      <w:r>
        <w:rPr>
          <w:w w:val="100"/>
        </w:rPr>
        <w:t> </w:t>
      </w:r>
      <w:r>
        <w:rPr/>
        <w:t>尤友鸾</w:t>
      </w:r>
      <w:r>
        <w:rPr>
          <w:spacing w:val="-18"/>
        </w:rPr>
        <w:t> </w:t>
      </w:r>
      <w:r>
        <w:rPr/>
        <w:t>先生，见董事工作经历介绍</w:t>
      </w:r>
    </w:p>
    <w:p>
      <w:pPr>
        <w:pStyle w:val="BodyText"/>
        <w:spacing w:line="256" w:lineRule="auto" w:before="7"/>
        <w:ind w:right="162" w:firstLine="422"/>
        <w:jc w:val="both"/>
      </w:pPr>
      <w:r>
        <w:rPr/>
        <w:t>罗智波 </w:t>
      </w:r>
      <w:r>
        <w:rPr>
          <w:spacing w:val="-3"/>
        </w:rPr>
        <w:t>先生，中国国籍，通讯工程师中级职称，</w:t>
      </w:r>
      <w:r>
        <w:rPr>
          <w:rFonts w:ascii="Times New Roman" w:hAnsi="Times New Roman" w:cs="Times New Roman" w:eastAsia="Times New Roman" w:hint="default"/>
          <w:spacing w:val="-3"/>
        </w:rPr>
        <w:t>2000 </w:t>
      </w:r>
      <w:r>
        <w:rPr/>
        <w:t>年 </w:t>
      </w:r>
      <w:r>
        <w:rPr>
          <w:rFonts w:ascii="Times New Roman" w:hAnsi="Times New Roman" w:cs="Times New Roman" w:eastAsia="Times New Roman" w:hint="default"/>
        </w:rPr>
        <w:t>7</w:t>
      </w:r>
      <w:r>
        <w:rPr>
          <w:rFonts w:ascii="Times New Roman" w:hAnsi="Times New Roman" w:cs="Times New Roman" w:eastAsia="Times New Roman" w:hint="default"/>
          <w:spacing w:val="-9"/>
        </w:rPr>
        <w:t> </w:t>
      </w:r>
      <w:r>
        <w:rPr/>
        <w:t>月毕业于北京邮电大学管理工程专业，本</w:t>
      </w:r>
      <w:r>
        <w:rPr>
          <w:w w:val="100"/>
        </w:rPr>
        <w:t> </w:t>
      </w:r>
      <w:r>
        <w:rPr/>
        <w:t>科学历，曾任凤凰微电子（中国）有限公司市场总监、恒宝股份有限公司市场部总经理。</w:t>
      </w:r>
      <w:r>
        <w:rPr>
          <w:rFonts w:ascii="Times New Roman" w:hAnsi="Times New Roman" w:cs="Times New Roman" w:eastAsia="Times New Roman" w:hint="default"/>
        </w:rPr>
        <w:t>2014 </w:t>
      </w:r>
      <w:r>
        <w:rPr/>
        <w:t>年 </w:t>
      </w:r>
      <w:r>
        <w:rPr>
          <w:rFonts w:ascii="Times New Roman" w:hAnsi="Times New Roman" w:cs="Times New Roman" w:eastAsia="Times New Roman" w:hint="default"/>
        </w:rPr>
        <w:t>3</w:t>
      </w:r>
      <w:r>
        <w:rPr>
          <w:rFonts w:ascii="Times New Roman" w:hAnsi="Times New Roman" w:cs="Times New Roman" w:eastAsia="Times New Roman" w:hint="default"/>
          <w:spacing w:val="-15"/>
        </w:rPr>
        <w:t> </w:t>
      </w:r>
      <w:r>
        <w:rPr/>
        <w:t>月加</w:t>
      </w:r>
      <w:r>
        <w:rPr>
          <w:w w:val="100"/>
        </w:rPr>
        <w:t> </w:t>
      </w:r>
      <w:r>
        <w:rPr/>
        <w:t>入本公司，现任本公司副总经理。</w:t>
      </w:r>
    </w:p>
    <w:p>
      <w:pPr>
        <w:pStyle w:val="BodyText"/>
        <w:spacing w:line="273" w:lineRule="auto" w:before="22"/>
        <w:ind w:right="0" w:firstLine="422"/>
        <w:jc w:val="left"/>
      </w:pPr>
      <w:r>
        <w:rPr/>
        <w:t>郭 斌</w:t>
      </w:r>
      <w:r>
        <w:rPr>
          <w:spacing w:val="-68"/>
        </w:rPr>
        <w:t> </w:t>
      </w:r>
      <w:r>
        <w:rPr/>
        <w:t>先生，工商管理硕士，中国国籍，曾任华融科技公司业务总监、赛博科技公司常务副总经理、</w:t>
      </w:r>
      <w:r>
        <w:rPr>
          <w:w w:val="100"/>
        </w:rPr>
        <w:t> </w:t>
      </w:r>
      <w:r>
        <w:rPr/>
        <w:t>公司市场总监，现任本公司副总经理。</w:t>
      </w:r>
    </w:p>
    <w:p>
      <w:pPr>
        <w:pStyle w:val="BodyText"/>
        <w:spacing w:line="273" w:lineRule="auto" w:before="7"/>
        <w:ind w:right="162" w:firstLine="422"/>
        <w:jc w:val="both"/>
      </w:pPr>
      <w:r>
        <w:rPr/>
        <w:t>高 琦</w:t>
      </w:r>
      <w:r>
        <w:rPr>
          <w:spacing w:val="-12"/>
        </w:rPr>
        <w:t> </w:t>
      </w:r>
      <w:r>
        <w:rPr>
          <w:spacing w:val="-3"/>
        </w:rPr>
        <w:t>先生，中国国籍，中国民主促进会会员，大学本科学历，中国注册会计师。历任福建弘审会计</w:t>
      </w:r>
      <w:r>
        <w:rPr>
          <w:w w:val="100"/>
        </w:rPr>
        <w:t> </w:t>
      </w:r>
      <w:r>
        <w:rPr>
          <w:spacing w:val="-2"/>
        </w:rPr>
        <w:t>师事务所审计项目经理，福建省科威技术发展有限公司财务经理，福建海峡会计师事务所审计经理，致同</w:t>
      </w:r>
      <w:r>
        <w:rPr>
          <w:spacing w:val="-36"/>
        </w:rPr>
        <w:t> </w:t>
      </w:r>
      <w:r>
        <w:rPr>
          <w:spacing w:val="-36"/>
        </w:rPr>
      </w:r>
      <w:r>
        <w:rPr/>
        <w:t>会计师事务所审计高级经理，现任本公司财务总监。</w:t>
      </w:r>
    </w:p>
    <w:p>
      <w:pPr>
        <w:pStyle w:val="BodyText"/>
        <w:spacing w:line="240" w:lineRule="auto" w:before="7"/>
        <w:ind w:left="575" w:right="0"/>
        <w:jc w:val="left"/>
      </w:pPr>
      <w:r>
        <w:rPr/>
        <w:t>李  娟</w:t>
      </w:r>
      <w:r>
        <w:rPr>
          <w:spacing w:val="-66"/>
        </w:rPr>
        <w:t> </w:t>
      </w:r>
      <w:r>
        <w:rPr/>
        <w:t>女士，大学本科，厦门大学</w:t>
      </w:r>
      <w:r>
        <w:rPr>
          <w:rFonts w:ascii="Times New Roman" w:hAnsi="Times New Roman" w:cs="Times New Roman" w:eastAsia="Times New Roman" w:hint="default"/>
        </w:rPr>
        <w:t>EMBA,</w:t>
      </w:r>
      <w:r>
        <w:rPr/>
        <w:t>中国国籍，现任本公司副总经理、董事会秘书。</w:t>
      </w:r>
    </w:p>
    <w:p>
      <w:pPr>
        <w:pStyle w:val="BodyText"/>
        <w:spacing w:line="273" w:lineRule="auto" w:before="21"/>
        <w:ind w:right="253" w:firstLine="422"/>
        <w:jc w:val="left"/>
      </w:pPr>
      <w:r>
        <w:rPr/>
        <w:t>张京平</w:t>
      </w:r>
      <w:r>
        <w:rPr>
          <w:spacing w:val="-22"/>
        </w:rPr>
        <w:t> </w:t>
      </w:r>
      <w:r>
        <w:rPr/>
        <w:t>女士，中国国籍，物流师职称，澳门科技大学，工商管理硕士。曾任中体彩印务技术有限公</w:t>
      </w:r>
      <w:r>
        <w:rPr>
          <w:w w:val="100"/>
        </w:rPr>
        <w:t> </w:t>
      </w:r>
      <w:r>
        <w:rPr/>
        <w:t>司副总经理等职务，现任鸿博股份有限公司副总经理。</w:t>
      </w:r>
    </w:p>
    <w:p>
      <w:pPr>
        <w:spacing w:before="76"/>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在股东单位任职情况</w:t>
      </w:r>
    </w:p>
    <w:p>
      <w:pPr>
        <w:spacing w:line="338" w:lineRule="auto" w:before="119"/>
        <w:ind w:left="152" w:right="695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在其他单位任职情况</w:t>
      </w:r>
    </w:p>
    <w:p>
      <w:pPr>
        <w:spacing w:before="41"/>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1234"/>
        <w:gridCol w:w="3278"/>
        <w:gridCol w:w="1090"/>
        <w:gridCol w:w="1229"/>
        <w:gridCol w:w="1358"/>
        <w:gridCol w:w="1378"/>
      </w:tblGrid>
      <w:tr>
        <w:trPr>
          <w:trHeight w:val="710" w:hRule="exact"/>
        </w:trPr>
        <w:tc>
          <w:tcPr>
            <w:tcW w:w="12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7" w:right="0"/>
              <w:jc w:val="left"/>
              <w:rPr>
                <w:rFonts w:ascii="宋体" w:hAnsi="宋体" w:cs="宋体" w:eastAsia="宋体" w:hint="default"/>
                <w:sz w:val="18"/>
                <w:szCs w:val="18"/>
              </w:rPr>
            </w:pPr>
            <w:r>
              <w:rPr>
                <w:rFonts w:ascii="宋体" w:hAnsi="宋体" w:cs="宋体" w:eastAsia="宋体" w:hint="default"/>
                <w:sz w:val="18"/>
                <w:szCs w:val="18"/>
              </w:rPr>
              <w:t>任职人员姓名</w:t>
            </w:r>
          </w:p>
        </w:tc>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89" w:right="0"/>
              <w:jc w:val="left"/>
              <w:rPr>
                <w:rFonts w:ascii="宋体" w:hAnsi="宋体" w:cs="宋体" w:eastAsia="宋体" w:hint="default"/>
                <w:sz w:val="18"/>
                <w:szCs w:val="18"/>
              </w:rPr>
            </w:pPr>
            <w:r>
              <w:rPr>
                <w:rFonts w:ascii="宋体" w:hAnsi="宋体" w:cs="宋体" w:eastAsia="宋体" w:hint="default"/>
                <w:sz w:val="18"/>
                <w:szCs w:val="18"/>
              </w:rPr>
              <w:t>其他单位名称</w:t>
            </w:r>
          </w:p>
        </w:tc>
        <w:tc>
          <w:tcPr>
            <w:tcW w:w="10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86" w:right="89"/>
              <w:jc w:val="left"/>
              <w:rPr>
                <w:rFonts w:ascii="宋体" w:hAnsi="宋体" w:cs="宋体" w:eastAsia="宋体" w:hint="default"/>
                <w:sz w:val="18"/>
                <w:szCs w:val="18"/>
              </w:rPr>
            </w:pPr>
            <w:r>
              <w:rPr>
                <w:rFonts w:ascii="宋体" w:hAnsi="宋体" w:cs="宋体" w:eastAsia="宋体" w:hint="default"/>
                <w:spacing w:val="-2"/>
                <w:sz w:val="18"/>
                <w:szCs w:val="18"/>
              </w:rPr>
              <w:t>在其他单位</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担任的职务</w:t>
            </w:r>
          </w:p>
        </w:tc>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7"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4"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13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39" w:right="50" w:hanging="87"/>
              <w:jc w:val="left"/>
              <w:rPr>
                <w:rFonts w:ascii="宋体" w:hAnsi="宋体" w:cs="宋体" w:eastAsia="宋体" w:hint="default"/>
                <w:sz w:val="18"/>
                <w:szCs w:val="18"/>
              </w:rPr>
            </w:pPr>
            <w:r>
              <w:rPr>
                <w:rFonts w:ascii="宋体" w:hAnsi="宋体" w:cs="宋体" w:eastAsia="宋体" w:hint="default"/>
                <w:spacing w:val="-3"/>
                <w:sz w:val="18"/>
                <w:szCs w:val="18"/>
              </w:rPr>
              <w:t>在其他单位是否</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领取报酬津贴</w:t>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尤玉仙</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鸿博集团有限公司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25</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尤玉仙</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福建鸿博光电科技有限公司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28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尤玉仙</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福建鸿博房地产开发有限公司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19</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0"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尤玉仙</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福州华晟动漫有限公司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19</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pgSz w:w="11900" w:h="16840"/>
          <w:pgMar w:header="872" w:footer="984" w:top="1060" w:bottom="1180" w:left="980" w:right="96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234"/>
        <w:gridCol w:w="3278"/>
        <w:gridCol w:w="1090"/>
        <w:gridCol w:w="1229"/>
        <w:gridCol w:w="1358"/>
        <w:gridCol w:w="1378"/>
      </w:tblGrid>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尤玉仙</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鸿博升国际半导体创新园有限公司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30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0"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尤友鸾</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深圳市鸿信翼展科技有限公司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17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尤友鸾</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福建鸿友投资管理有限公司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21</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李 </w:t>
            </w:r>
            <w:r>
              <w:rPr>
                <w:rFonts w:ascii="宋体" w:hAnsi="宋体" w:cs="宋体" w:eastAsia="宋体" w:hint="default"/>
                <w:spacing w:val="1"/>
                <w:sz w:val="18"/>
                <w:szCs w:val="18"/>
              </w:rPr>
              <w:t> </w:t>
            </w:r>
            <w:r>
              <w:rPr>
                <w:rFonts w:ascii="宋体" w:hAnsi="宋体" w:cs="宋体" w:eastAsia="宋体" w:hint="default"/>
                <w:sz w:val="18"/>
                <w:szCs w:val="18"/>
              </w:rPr>
              <w:t>娟</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广东维特农业科技有限公司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13</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周美妹</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广州联存医药科技有限公司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w:t>
            </w:r>
            <w:r>
              <w:rPr>
                <w:rFonts w:ascii="宋体" w:hAnsi="宋体" w:cs="宋体" w:eastAsia="宋体" w:hint="default"/>
                <w:spacing w:val="-63"/>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月</w:t>
            </w:r>
            <w:r>
              <w:rPr>
                <w:rFonts w:ascii="宋体" w:hAnsi="宋体" w:cs="宋体" w:eastAsia="宋体" w:hint="default"/>
                <w:spacing w:val="-58"/>
                <w:sz w:val="18"/>
                <w:szCs w:val="18"/>
              </w:rPr>
              <w:t> </w:t>
            </w:r>
            <w:r>
              <w:rPr>
                <w:rFonts w:ascii="Times New Roman" w:hAnsi="Times New Roman" w:cs="Times New Roman" w:eastAsia="Times New Roman" w:hint="default"/>
                <w:spacing w:val="-5"/>
                <w:sz w:val="18"/>
                <w:szCs w:val="18"/>
              </w:rPr>
              <w:t>11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0"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黄志雨</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海南春暖花开生态农业有限公司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洪波</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福建新世通律师事务所</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合伙人</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01</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洪波</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福建省律师协会</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名誉会长</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01</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洪波</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中华全国律师协会</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副会长</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0"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洪波</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泰禾集团股份有限公司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洪波</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福建永德吉灯业股份有限公司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01</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许</w:t>
            </w:r>
            <w:r>
              <w:rPr>
                <w:rFonts w:ascii="宋体" w:hAnsi="宋体" w:cs="宋体" w:eastAsia="宋体" w:hint="default"/>
                <w:spacing w:val="5"/>
                <w:sz w:val="18"/>
                <w:szCs w:val="18"/>
              </w:rPr>
              <w:t> </w:t>
            </w:r>
            <w:r>
              <w:rPr>
                <w:rFonts w:ascii="宋体" w:hAnsi="宋体" w:cs="宋体" w:eastAsia="宋体" w:hint="default"/>
                <w:sz w:val="18"/>
                <w:szCs w:val="18"/>
              </w:rPr>
              <w:t>萍</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福州大学管理学院会计系</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教授</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月</w:t>
            </w:r>
            <w:r>
              <w:rPr>
                <w:rFonts w:ascii="宋体" w:hAnsi="宋体" w:cs="宋体" w:eastAsia="宋体" w:hint="default"/>
                <w:spacing w:val="-64"/>
                <w:sz w:val="18"/>
                <w:szCs w:val="18"/>
              </w:rPr>
              <w:t> </w:t>
            </w:r>
            <w:r>
              <w:rPr>
                <w:rFonts w:ascii="Times New Roman" w:hAnsi="Times New Roman" w:cs="Times New Roman" w:eastAsia="Times New Roman" w:hint="default"/>
                <w:spacing w:val="-3"/>
                <w:sz w:val="18"/>
                <w:szCs w:val="18"/>
              </w:rPr>
              <w:t>01</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许</w:t>
            </w:r>
            <w:r>
              <w:rPr>
                <w:rFonts w:ascii="宋体" w:hAnsi="宋体" w:cs="宋体" w:eastAsia="宋体" w:hint="default"/>
                <w:spacing w:val="5"/>
                <w:sz w:val="18"/>
                <w:szCs w:val="18"/>
              </w:rPr>
              <w:t> </w:t>
            </w:r>
            <w:r>
              <w:rPr>
                <w:rFonts w:ascii="宋体" w:hAnsi="宋体" w:cs="宋体" w:eastAsia="宋体" w:hint="default"/>
                <w:sz w:val="18"/>
                <w:szCs w:val="18"/>
              </w:rPr>
              <w:t>萍</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华映科技（集团）股份有限公司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0"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许</w:t>
            </w:r>
            <w:r>
              <w:rPr>
                <w:rFonts w:ascii="宋体" w:hAnsi="宋体" w:cs="宋体" w:eastAsia="宋体" w:hint="default"/>
                <w:spacing w:val="5"/>
                <w:sz w:val="18"/>
                <w:szCs w:val="18"/>
              </w:rPr>
              <w:t> </w:t>
            </w:r>
            <w:r>
              <w:rPr>
                <w:rFonts w:ascii="宋体" w:hAnsi="宋体" w:cs="宋体" w:eastAsia="宋体" w:hint="default"/>
                <w:sz w:val="18"/>
                <w:szCs w:val="18"/>
              </w:rPr>
              <w:t>萍</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国脉科技股份有限公司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许</w:t>
            </w:r>
            <w:r>
              <w:rPr>
                <w:rFonts w:ascii="宋体" w:hAnsi="宋体" w:cs="宋体" w:eastAsia="宋体" w:hint="default"/>
                <w:spacing w:val="5"/>
                <w:sz w:val="18"/>
                <w:szCs w:val="18"/>
              </w:rPr>
              <w:t> </w:t>
            </w:r>
            <w:r>
              <w:rPr>
                <w:rFonts w:ascii="宋体" w:hAnsi="宋体" w:cs="宋体" w:eastAsia="宋体" w:hint="default"/>
                <w:sz w:val="18"/>
                <w:szCs w:val="18"/>
              </w:rPr>
              <w:t>萍</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福建福能股份有限公司</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01</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胡穗华</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广东财经大学彩票研究中心</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主任</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01</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林双林</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北京大学中国公共财政研究中心</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主任</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0"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林双林</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国务院医改领导小组专家咨询委员会</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委员</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林双林</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中国财政学会</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理事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01</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234"/>
        <w:gridCol w:w="3278"/>
        <w:gridCol w:w="1090"/>
        <w:gridCol w:w="1229"/>
        <w:gridCol w:w="1358"/>
        <w:gridCol w:w="1378"/>
      </w:tblGrid>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林双林</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北京大学国家发展研究院</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教授</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是</w:t>
            </w:r>
            <w:r>
              <w:rPr>
                <w:rFonts w:ascii="宋体" w:hAnsi="宋体" w:cs="宋体" w:eastAsia="宋体" w:hint="default"/>
                <w:sz w:val="18"/>
                <w:szCs w:val="18"/>
              </w:rPr>
            </w:r>
          </w:p>
        </w:tc>
      </w:tr>
      <w:tr>
        <w:trPr>
          <w:trHeight w:val="710"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林双林</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国立新加坡大学东亚研究所</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兼职研究员</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3"/>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1358"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4" w:right="113"/>
              <w:jc w:val="left"/>
              <w:rPr>
                <w:rFonts w:ascii="宋体" w:hAnsi="宋体" w:cs="宋体" w:eastAsia="宋体" w:hint="default"/>
                <w:sz w:val="18"/>
                <w:szCs w:val="18"/>
              </w:rPr>
            </w:pPr>
            <w:r>
              <w:rPr>
                <w:rFonts w:ascii="宋体" w:hAnsi="宋体" w:cs="宋体" w:eastAsia="宋体" w:hint="default"/>
                <w:spacing w:val="-2"/>
                <w:sz w:val="18"/>
                <w:szCs w:val="18"/>
              </w:rPr>
              <w:t>在其他单位任</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职情况的说明</w:t>
            </w:r>
          </w:p>
        </w:tc>
        <w:tc>
          <w:tcPr>
            <w:tcW w:w="8333"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公司现任及报告期内离任董事、监事和高级管理人员近三年证券监管机构处罚的情况</w:t>
      </w:r>
    </w:p>
    <w:p>
      <w:pPr>
        <w:spacing w:before="119"/>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17"/>
          <w:szCs w:val="17"/>
        </w:rPr>
      </w:pPr>
    </w:p>
    <w:p>
      <w:pPr>
        <w:pStyle w:val="Heading2"/>
        <w:spacing w:line="240" w:lineRule="auto"/>
        <w:ind w:right="0"/>
        <w:jc w:val="left"/>
        <w:rPr>
          <w:b w:val="0"/>
          <w:bCs w:val="0"/>
        </w:rPr>
      </w:pPr>
      <w:r>
        <w:rPr/>
        <w:t>四、董事、监事、高级管理人员报酬情况</w:t>
      </w:r>
      <w:r>
        <w:rPr>
          <w:b w:val="0"/>
          <w:bCs w:val="0"/>
        </w:rPr>
      </w:r>
    </w:p>
    <w:p>
      <w:pPr>
        <w:spacing w:line="240" w:lineRule="auto" w:before="3"/>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董事、监事、高级管理人员报酬的决策程序、确定依据、实际支付情况</w:t>
      </w:r>
    </w:p>
    <w:p>
      <w:pPr>
        <w:pStyle w:val="BodyText"/>
        <w:spacing w:line="266" w:lineRule="auto" w:before="89"/>
        <w:ind w:right="202" w:firstLine="422"/>
        <w:jc w:val="both"/>
      </w:pPr>
      <w:r>
        <w:rPr>
          <w:rFonts w:ascii="Times New Roman" w:hAnsi="Times New Roman" w:cs="Times New Roman" w:eastAsia="Times New Roman" w:hint="default"/>
          <w:spacing w:val="-2"/>
        </w:rPr>
        <w:t>1.</w:t>
      </w:r>
      <w:r>
        <w:rPr>
          <w:spacing w:val="-2"/>
        </w:rPr>
        <w:t>董事、监事、高级管理人员报酬的决策程序：公司建立了完善的高级管理人员绩效考评体系和薪酬</w:t>
      </w:r>
      <w:r>
        <w:rPr>
          <w:w w:val="100"/>
        </w:rPr>
        <w:t> </w:t>
      </w:r>
      <w:r>
        <w:rPr>
          <w:spacing w:val="-2"/>
        </w:rPr>
        <w:t>考核制度，高级管理人员的工作绩效与其收入挂钩。董事会薪酬与考核委员会负责对高级管理人员的工作</w:t>
      </w:r>
      <w:r>
        <w:rPr>
          <w:spacing w:val="-35"/>
        </w:rPr>
        <w:t> </w:t>
      </w:r>
      <w:r>
        <w:rPr>
          <w:spacing w:val="-35"/>
        </w:rPr>
      </w:r>
      <w:r>
        <w:rPr>
          <w:spacing w:val="-2"/>
        </w:rPr>
        <w:t>能力、履职情况、责任目标完成情况等进行年终考评，制定薪酬方案并提交董事会审议。公司董事、监事</w:t>
      </w:r>
      <w:r>
        <w:rPr>
          <w:spacing w:val="-40"/>
        </w:rPr>
        <w:t> </w:t>
      </w:r>
      <w:r>
        <w:rPr>
          <w:spacing w:val="-40"/>
        </w:rPr>
      </w:r>
      <w:r>
        <w:rPr/>
        <w:t>薪酬由公司股东大会审议批准。</w:t>
      </w:r>
    </w:p>
    <w:p>
      <w:pPr>
        <w:pStyle w:val="BodyText"/>
        <w:spacing w:line="266" w:lineRule="auto" w:before="14"/>
        <w:ind w:right="0" w:firstLine="422"/>
        <w:jc w:val="left"/>
      </w:pPr>
      <w:r>
        <w:rPr>
          <w:rFonts w:ascii="Times New Roman" w:hAnsi="Times New Roman" w:cs="Times New Roman" w:eastAsia="Times New Roman" w:hint="default"/>
        </w:rPr>
        <w:t>2.</w:t>
      </w:r>
      <w:r>
        <w:rPr/>
        <w:t>董事、监事、高级管理人员报酬的确定依据：公司董事（不含独立董事）、高级管理人员报酬依据</w:t>
      </w:r>
      <w:r>
        <w:rPr>
          <w:w w:val="100"/>
        </w:rPr>
        <w:t> </w:t>
      </w:r>
      <w:r>
        <w:rPr>
          <w:spacing w:val="-2"/>
        </w:rPr>
        <w:t>公司现行的薪酬制度并参考公司经营业绩和个人绩效考核指标来确定，独立董事报酬参照行业平均水平由</w:t>
      </w:r>
      <w:r>
        <w:rPr>
          <w:spacing w:val="-34"/>
        </w:rPr>
        <w:t> </w:t>
      </w:r>
      <w:r>
        <w:rPr>
          <w:spacing w:val="-34"/>
        </w:rPr>
      </w:r>
      <w:r>
        <w:rPr>
          <w:spacing w:val="-4"/>
        </w:rPr>
        <w:t>股东大会审议批准。公司监事多兼任公司其他职务，故公司采用监事津贴的方式支付担任监事职务的报酬，</w:t>
      </w:r>
      <w:r>
        <w:rPr>
          <w:spacing w:val="-49"/>
        </w:rPr>
        <w:t> </w:t>
      </w:r>
      <w:r>
        <w:rPr>
          <w:spacing w:val="-49"/>
        </w:rPr>
      </w:r>
      <w:r>
        <w:rPr/>
        <w:t>监事津贴金额由监事会审议通过后报股东大会审议批准。</w:t>
      </w:r>
    </w:p>
    <w:p>
      <w:pPr>
        <w:pStyle w:val="BodyText"/>
        <w:spacing w:line="264" w:lineRule="auto" w:before="14"/>
        <w:ind w:right="202" w:firstLine="422"/>
        <w:jc w:val="both"/>
      </w:pPr>
      <w:r>
        <w:rPr>
          <w:rFonts w:ascii="Times New Roman" w:hAnsi="Times New Roman" w:cs="Times New Roman" w:eastAsia="Times New Roman" w:hint="default"/>
          <w:spacing w:val="-2"/>
        </w:rPr>
        <w:t>3.</w:t>
      </w:r>
      <w:r>
        <w:rPr>
          <w:spacing w:val="-2"/>
        </w:rPr>
        <w:t>董事、监事、高级管理人员报酬的支付情况：公司董事（不含独立董事）、高级管理人员薪酬总额</w:t>
      </w:r>
      <w:r>
        <w:rPr>
          <w:w w:val="100"/>
        </w:rPr>
        <w:t> </w:t>
      </w:r>
      <w:r>
        <w:rPr>
          <w:spacing w:val="-2"/>
        </w:rPr>
        <w:t>为基本薪酬加上绩效薪酬，基本薪酬按月支付，绩效薪酬在年度结束后由薪酬与考核委员会考核、确认后</w:t>
      </w:r>
      <w:r>
        <w:rPr>
          <w:spacing w:val="-35"/>
        </w:rPr>
        <w:t> </w:t>
      </w:r>
      <w:r>
        <w:rPr>
          <w:spacing w:val="-35"/>
        </w:rPr>
      </w:r>
      <w:r>
        <w:rPr/>
        <w:t>支付。监事津贴、独立董事薪酬均按月支付。</w:t>
      </w:r>
    </w:p>
    <w:p>
      <w:pPr>
        <w:spacing w:line="240" w:lineRule="auto" w:before="10"/>
        <w:rPr>
          <w:rFonts w:ascii="宋体" w:hAnsi="宋体" w:cs="宋体" w:eastAsia="宋体" w:hint="default"/>
          <w:sz w:val="26"/>
          <w:szCs w:val="26"/>
        </w:rPr>
      </w:pPr>
    </w:p>
    <w:p>
      <w:pPr>
        <w:spacing w:before="46"/>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公司报告期内董事、监事和高级管理人员报酬情况</w:t>
      </w:r>
    </w:p>
    <w:p>
      <w:pPr>
        <w:spacing w:before="115"/>
        <w:ind w:left="0" w:right="206" w:firstLine="0"/>
        <w:jc w:val="right"/>
        <w:rPr>
          <w:rFonts w:ascii="宋体" w:hAnsi="宋体" w:cs="宋体" w:eastAsia="宋体" w:hint="default"/>
          <w:sz w:val="18"/>
          <w:szCs w:val="18"/>
        </w:rPr>
      </w:pPr>
      <w:r>
        <w:rPr>
          <w:rFonts w:ascii="宋体" w:hAnsi="宋体" w:cs="宋体" w:eastAsia="宋体" w:hint="default"/>
          <w:spacing w:val="-2"/>
          <w:sz w:val="18"/>
          <w:szCs w:val="18"/>
        </w:rPr>
        <w:t>单位：万元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1368"/>
        <w:gridCol w:w="1368"/>
        <w:gridCol w:w="1363"/>
        <w:gridCol w:w="1368"/>
        <w:gridCol w:w="1368"/>
      </w:tblGrid>
      <w:tr>
        <w:trPr>
          <w:trHeight w:val="710"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职务</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性别</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年龄</w:t>
            </w:r>
          </w:p>
        </w:tc>
        <w:tc>
          <w:tcPr>
            <w:tcW w:w="13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1"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25" w:right="46" w:hanging="178"/>
              <w:jc w:val="left"/>
              <w:rPr>
                <w:rFonts w:ascii="宋体" w:hAnsi="宋体" w:cs="宋体" w:eastAsia="宋体" w:hint="default"/>
                <w:sz w:val="18"/>
                <w:szCs w:val="18"/>
              </w:rPr>
            </w:pPr>
            <w:r>
              <w:rPr>
                <w:rFonts w:ascii="宋体" w:hAnsi="宋体" w:cs="宋体" w:eastAsia="宋体" w:hint="default"/>
                <w:spacing w:val="-3"/>
                <w:sz w:val="18"/>
                <w:szCs w:val="18"/>
              </w:rPr>
              <w:t>从公司获得的税</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前报酬总额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25" w:right="46" w:hanging="178"/>
              <w:jc w:val="left"/>
              <w:rPr>
                <w:rFonts w:ascii="宋体" w:hAnsi="宋体" w:cs="宋体" w:eastAsia="宋体" w:hint="default"/>
                <w:sz w:val="18"/>
                <w:szCs w:val="18"/>
              </w:rPr>
            </w:pPr>
            <w:r>
              <w:rPr>
                <w:rFonts w:ascii="宋体" w:hAnsi="宋体" w:cs="宋体" w:eastAsia="宋体" w:hint="default"/>
                <w:spacing w:val="-3"/>
                <w:sz w:val="18"/>
                <w:szCs w:val="18"/>
              </w:rPr>
              <w:t>是否在公司关联</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方获取报酬</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尤丽娟</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46</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30.61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尤玉仙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52</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29.74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尤友岳</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副董事长总经理</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48</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43.25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尤友鸾</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董事副总经理</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44</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26.88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李云强</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50</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41.09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周美妹</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42</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32.11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黄志雨</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36</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79.19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洪波</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56</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许萍</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44</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胡穗华</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53</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林双林</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60</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pgSz w:w="11900" w:h="16840"/>
          <w:pgMar w:header="872" w:footer="984" w:top="1060" w:bottom="1180" w:left="980" w:right="92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1368"/>
        <w:gridCol w:w="1368"/>
        <w:gridCol w:w="1363"/>
        <w:gridCol w:w="1368"/>
        <w:gridCol w:w="1368"/>
      </w:tblGrid>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潘琰</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60</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丁仕达</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67</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张新泽</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69</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张学清</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71</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陈瑞汉</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62</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谢友军</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58</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9.4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何爱平</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36</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13.36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郭斌</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47</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30.93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罗智波</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38</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71.07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李娟</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33</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31.03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张京平</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女</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49</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15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高琦</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男</w:t>
            </w:r>
            <w:r>
              <w:rPr>
                <w:rFonts w:ascii="宋体" w:hAnsi="宋体" w:cs="宋体" w:eastAsia="宋体" w:hint="default"/>
                <w:sz w:val="18"/>
                <w:szCs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41</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36.75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w:t>
            </w:r>
          </w:p>
        </w:tc>
        <w:tc>
          <w:tcPr>
            <w:tcW w:w="13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4"/>
              <w:jc w:val="center"/>
              <w:rPr>
                <w:rFonts w:ascii="Times New Roman" w:hAnsi="Times New Roman" w:cs="Times New Roman" w:eastAsia="Times New Roman" w:hint="default"/>
                <w:sz w:val="18"/>
                <w:szCs w:val="18"/>
              </w:rPr>
            </w:pPr>
            <w:r>
              <w:rPr>
                <w:rFonts w:ascii="Times New Roman"/>
                <w:sz w:val="18"/>
              </w:rPr>
              <w:t>--</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503.41</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公司董事、监事、高级管理人员报告期内被授予的股权激励情况</w:t>
      </w:r>
    </w:p>
    <w:p>
      <w:pPr>
        <w:spacing w:before="115"/>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6"/>
        <w:rPr>
          <w:rFonts w:ascii="宋体" w:hAnsi="宋体" w:cs="宋体" w:eastAsia="宋体" w:hint="default"/>
          <w:sz w:val="18"/>
          <w:szCs w:val="18"/>
        </w:rPr>
      </w:pPr>
    </w:p>
    <w:p>
      <w:pPr>
        <w:pStyle w:val="Heading2"/>
        <w:spacing w:line="240" w:lineRule="auto"/>
        <w:ind w:right="0"/>
        <w:jc w:val="left"/>
        <w:rPr>
          <w:b w:val="0"/>
          <w:bCs w:val="0"/>
        </w:rPr>
      </w:pPr>
      <w:r>
        <w:rPr/>
        <w:t>五、公司员工情况</w:t>
      </w:r>
      <w:r>
        <w:rPr>
          <w:b w:val="0"/>
          <w:bCs w:val="0"/>
        </w:rPr>
      </w:r>
    </w:p>
    <w:p>
      <w:pPr>
        <w:spacing w:line="240" w:lineRule="auto" w:before="10"/>
        <w:rPr>
          <w:rFonts w:ascii="Microsoft JhengHei" w:hAnsi="Microsoft JhengHei" w:cs="Microsoft JhengHei" w:eastAsia="Microsoft JhengHei" w:hint="default"/>
          <w:b/>
          <w:bCs/>
          <w:sz w:val="13"/>
          <w:szCs w:val="13"/>
        </w:rPr>
      </w:pPr>
    </w:p>
    <w:p>
      <w:pPr>
        <w:pStyle w:val="Heading4"/>
        <w:spacing w:line="240" w:lineRule="auto"/>
        <w:ind w:right="0"/>
        <w:jc w:val="left"/>
        <w:rPr>
          <w:b w:val="0"/>
          <w:bCs w:val="0"/>
        </w:rPr>
      </w:pPr>
      <w:r>
        <w:rPr>
          <w:rFonts w:ascii="Times New Roman" w:hAnsi="Times New Roman" w:cs="Times New Roman" w:eastAsia="Times New Roman" w:hint="default"/>
        </w:rPr>
        <w:t>1</w:t>
      </w:r>
      <w:r>
        <w:rPr/>
        <w:t>、员工数量、专业构成及教育程度</w:t>
      </w:r>
      <w:r>
        <w:rPr>
          <w:b w:val="0"/>
          <w:bCs w:val="0"/>
        </w:rPr>
      </w:r>
    </w:p>
    <w:p>
      <w:pPr>
        <w:spacing w:line="240" w:lineRule="auto" w:before="17"/>
        <w:rPr>
          <w:rFonts w:ascii="Microsoft JhengHei" w:hAnsi="Microsoft JhengHei" w:cs="Microsoft JhengHei" w:eastAsia="Microsoft JhengHei" w:hint="default"/>
          <w:b/>
          <w:bCs/>
          <w:sz w:val="18"/>
          <w:szCs w:val="18"/>
        </w:rPr>
      </w:pPr>
    </w:p>
    <w:tbl>
      <w:tblPr>
        <w:tblW w:w="0" w:type="auto"/>
        <w:jc w:val="left"/>
        <w:tblInd w:w="160" w:type="dxa"/>
        <w:tblLayout w:type="fixed"/>
        <w:tblCellMar>
          <w:top w:w="0" w:type="dxa"/>
          <w:left w:w="0" w:type="dxa"/>
          <w:bottom w:w="0" w:type="dxa"/>
          <w:right w:w="0" w:type="dxa"/>
        </w:tblCellMar>
        <w:tblLook w:val="01E0"/>
      </w:tblPr>
      <w:tblGrid>
        <w:gridCol w:w="4766"/>
        <w:gridCol w:w="4789"/>
      </w:tblGrid>
      <w:tr>
        <w:trPr>
          <w:trHeight w:val="398"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母公司在职员工的数量（人）</w:t>
            </w:r>
          </w:p>
        </w:tc>
        <w:tc>
          <w:tcPr>
            <w:tcW w:w="478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439</w:t>
            </w:r>
          </w:p>
        </w:tc>
      </w:tr>
      <w:tr>
        <w:trPr>
          <w:trHeight w:val="403"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主要子公司在职员工的数量（人）</w:t>
            </w:r>
          </w:p>
        </w:tc>
        <w:tc>
          <w:tcPr>
            <w:tcW w:w="478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1,392</w:t>
            </w:r>
          </w:p>
        </w:tc>
      </w:tr>
      <w:tr>
        <w:trPr>
          <w:trHeight w:val="403"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在职员工的数量合计（人）</w:t>
            </w:r>
          </w:p>
        </w:tc>
        <w:tc>
          <w:tcPr>
            <w:tcW w:w="478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1,831</w:t>
            </w:r>
          </w:p>
        </w:tc>
      </w:tr>
      <w:tr>
        <w:trPr>
          <w:trHeight w:val="403"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当期领取薪酬员工总人数（人）</w:t>
            </w:r>
          </w:p>
        </w:tc>
        <w:tc>
          <w:tcPr>
            <w:tcW w:w="478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1,831</w:t>
            </w:r>
          </w:p>
        </w:tc>
      </w:tr>
      <w:tr>
        <w:trPr>
          <w:trHeight w:val="403"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母公司及主要子公司需承担费用的离退休职工人数（人）</w:t>
            </w:r>
          </w:p>
        </w:tc>
        <w:tc>
          <w:tcPr>
            <w:tcW w:w="478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394" w:hRule="exact"/>
        </w:trPr>
        <w:tc>
          <w:tcPr>
            <w:tcW w:w="955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0"/>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408"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6"/>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582" w:right="0"/>
              <w:jc w:val="left"/>
              <w:rPr>
                <w:rFonts w:ascii="宋体" w:hAnsi="宋体" w:cs="宋体" w:eastAsia="宋体" w:hint="default"/>
                <w:sz w:val="18"/>
                <w:szCs w:val="18"/>
              </w:rPr>
            </w:pPr>
            <w:r>
              <w:rPr>
                <w:rFonts w:ascii="宋体" w:hAnsi="宋体" w:cs="宋体" w:eastAsia="宋体" w:hint="default"/>
                <w:spacing w:val="-3"/>
                <w:sz w:val="18"/>
                <w:szCs w:val="18"/>
              </w:rPr>
              <w:t>专业构成人数（人）</w:t>
            </w:r>
          </w:p>
        </w:tc>
      </w:tr>
      <w:tr>
        <w:trPr>
          <w:trHeight w:val="403"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78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1,008</w:t>
            </w:r>
          </w:p>
        </w:tc>
      </w:tr>
      <w:tr>
        <w:trPr>
          <w:trHeight w:val="398"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8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157</w:t>
            </w:r>
          </w:p>
        </w:tc>
      </w:tr>
      <w:tr>
        <w:trPr>
          <w:trHeight w:val="403"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8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363</w:t>
            </w:r>
          </w:p>
        </w:tc>
      </w:tr>
      <w:tr>
        <w:trPr>
          <w:trHeight w:val="403"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8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44</w:t>
            </w:r>
          </w:p>
        </w:tc>
      </w:tr>
      <w:tr>
        <w:trPr>
          <w:trHeight w:val="403"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8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259</w:t>
            </w:r>
          </w:p>
        </w:tc>
      </w:tr>
      <w:tr>
        <w:trPr>
          <w:trHeight w:val="403"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1,831</w:t>
            </w:r>
          </w:p>
        </w:tc>
      </w:tr>
      <w:tr>
        <w:trPr>
          <w:trHeight w:val="394" w:hRule="exact"/>
        </w:trPr>
        <w:tc>
          <w:tcPr>
            <w:tcW w:w="955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0"/>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08"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6"/>
              <w:jc w:val="center"/>
              <w:rPr>
                <w:rFonts w:ascii="宋体" w:hAnsi="宋体" w:cs="宋体" w:eastAsia="宋体" w:hint="default"/>
                <w:sz w:val="18"/>
                <w:szCs w:val="18"/>
              </w:rPr>
            </w:pPr>
            <w:r>
              <w:rPr>
                <w:rFonts w:ascii="宋体" w:hAnsi="宋体" w:cs="宋体" w:eastAsia="宋体" w:hint="default"/>
                <w:sz w:val="18"/>
                <w:szCs w:val="18"/>
              </w:rPr>
              <w:t>教育程度类别</w:t>
            </w:r>
          </w:p>
        </w:tc>
        <w:tc>
          <w:tcPr>
            <w:tcW w:w="4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7" w:right="0"/>
              <w:jc w:val="center"/>
              <w:rPr>
                <w:rFonts w:ascii="宋体" w:hAnsi="宋体" w:cs="宋体" w:eastAsia="宋体" w:hint="default"/>
                <w:sz w:val="18"/>
                <w:szCs w:val="18"/>
              </w:rPr>
            </w:pPr>
            <w:r>
              <w:rPr>
                <w:rFonts w:ascii="宋体" w:hAnsi="宋体" w:cs="宋体" w:eastAsia="宋体" w:hint="default"/>
                <w:sz w:val="18"/>
                <w:szCs w:val="18"/>
              </w:rPr>
              <w:t>数量（人）</w:t>
            </w:r>
          </w:p>
        </w:tc>
      </w:tr>
      <w:tr>
        <w:trPr>
          <w:trHeight w:val="403" w:hRule="exact"/>
        </w:trPr>
        <w:tc>
          <w:tcPr>
            <w:tcW w:w="4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大专以下</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1,287</w:t>
            </w:r>
          </w:p>
        </w:tc>
      </w:tr>
    </w:tbl>
    <w:p>
      <w:pPr>
        <w:spacing w:after="0" w:line="240" w:lineRule="auto"/>
        <w:jc w:val="right"/>
        <w:rPr>
          <w:rFonts w:ascii="Times New Roman" w:hAnsi="Times New Roman" w:cs="Times New Roman" w:eastAsia="Times New Roman" w:hint="default"/>
          <w:sz w:val="18"/>
          <w:szCs w:val="18"/>
        </w:rPr>
        <w:sectPr>
          <w:pgSz w:w="11900" w:h="16840"/>
          <w:pgMar w:header="872" w:footer="984" w:top="1060" w:bottom="1180" w:left="980" w:right="980"/>
        </w:sectPr>
      </w:pPr>
    </w:p>
    <w:p>
      <w:pPr>
        <w:spacing w:line="240" w:lineRule="auto" w:before="12"/>
        <w:rPr>
          <w:rFonts w:ascii="Microsoft JhengHei" w:hAnsi="Microsoft JhengHei" w:cs="Microsoft JhengHei" w:eastAsia="Microsoft JhengHei" w:hint="default"/>
          <w:b/>
          <w:bCs/>
          <w:sz w:val="21"/>
          <w:szCs w:val="21"/>
        </w:rPr>
      </w:pPr>
    </w:p>
    <w:tbl>
      <w:tblPr>
        <w:tblW w:w="0" w:type="auto"/>
        <w:jc w:val="left"/>
        <w:tblInd w:w="148" w:type="dxa"/>
        <w:tblLayout w:type="fixed"/>
        <w:tblCellMar>
          <w:top w:w="0" w:type="dxa"/>
          <w:left w:w="0" w:type="dxa"/>
          <w:bottom w:w="0" w:type="dxa"/>
          <w:right w:w="0" w:type="dxa"/>
        </w:tblCellMar>
        <w:tblLook w:val="01E0"/>
      </w:tblPr>
      <w:tblGrid>
        <w:gridCol w:w="4786"/>
        <w:gridCol w:w="4781"/>
      </w:tblGrid>
      <w:tr>
        <w:trPr>
          <w:trHeight w:val="403"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大专</w:t>
            </w:r>
          </w:p>
        </w:tc>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307</w:t>
            </w:r>
          </w:p>
        </w:tc>
      </w:tr>
      <w:tr>
        <w:trPr>
          <w:trHeight w:val="398"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本科</w:t>
            </w:r>
          </w:p>
        </w:tc>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217</w:t>
            </w:r>
          </w:p>
        </w:tc>
      </w:tr>
      <w:tr>
        <w:trPr>
          <w:trHeight w:val="403"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硕士</w:t>
            </w:r>
          </w:p>
        </w:tc>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20</w:t>
            </w:r>
          </w:p>
        </w:tc>
      </w:tr>
      <w:tr>
        <w:trPr>
          <w:trHeight w:val="403"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博士</w:t>
            </w:r>
          </w:p>
        </w:tc>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1,831</w:t>
            </w:r>
          </w:p>
        </w:tc>
      </w:tr>
    </w:tbl>
    <w:p>
      <w:pPr>
        <w:spacing w:line="240" w:lineRule="auto" w:before="8"/>
        <w:rPr>
          <w:rFonts w:ascii="Microsoft JhengHei" w:hAnsi="Microsoft JhengHei" w:cs="Microsoft JhengHei" w:eastAsia="Microsoft JhengHei" w:hint="default"/>
          <w:b/>
          <w:bCs/>
          <w:sz w:val="14"/>
          <w:szCs w:val="14"/>
        </w:rPr>
      </w:pPr>
    </w:p>
    <w:p>
      <w:pPr>
        <w:pStyle w:val="Heading4"/>
        <w:spacing w:line="335" w:lineRule="exact"/>
        <w:ind w:right="109"/>
        <w:jc w:val="left"/>
        <w:rPr>
          <w:b w:val="0"/>
          <w:bCs w:val="0"/>
        </w:rPr>
      </w:pPr>
      <w:r>
        <w:rPr>
          <w:rFonts w:ascii="Times New Roman" w:hAnsi="Times New Roman" w:cs="Times New Roman" w:eastAsia="Times New Roman" w:hint="default"/>
        </w:rPr>
        <w:t>2</w:t>
      </w:r>
      <w:r>
        <w:rPr/>
        <w:t>、薪酬政策</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66" w:lineRule="auto"/>
        <w:ind w:right="121" w:firstLine="422"/>
        <w:jc w:val="left"/>
      </w:pPr>
      <w:r>
        <w:rPr>
          <w:spacing w:val="-2"/>
        </w:rPr>
        <w:t>为体现同类岗位不同任职人个性的差异，同类岗位工资分为若干档，公司可根据任职人任职资格、绩</w:t>
      </w:r>
      <w:r>
        <w:rPr>
          <w:w w:val="100"/>
        </w:rPr>
        <w:t> </w:t>
      </w:r>
      <w:r>
        <w:rPr>
          <w:spacing w:val="-2"/>
        </w:rPr>
        <w:t>效、特殊能力等差异支付不同的岗位工资标准。与公司签有正式聘用合同的员工，其工资按月发放。未与</w:t>
      </w:r>
      <w:r>
        <w:rPr>
          <w:spacing w:val="-35"/>
        </w:rPr>
        <w:t> </w:t>
      </w:r>
      <w:r>
        <w:rPr>
          <w:spacing w:val="-35"/>
        </w:rPr>
      </w:r>
      <w:r>
        <w:rPr/>
        <w:t>公司签定正式聘用合同的临时员工，其工资按双方约定发放。日应发工资总额</w:t>
      </w:r>
      <w:r>
        <w:rPr>
          <w:rFonts w:ascii="Times New Roman" w:hAnsi="Times New Roman" w:cs="Times New Roman" w:eastAsia="Times New Roman" w:hint="default"/>
        </w:rPr>
        <w:t>=</w:t>
      </w:r>
      <w:r>
        <w:rPr/>
        <w:t>月应发工资总额</w:t>
      </w:r>
      <w:r>
        <w:rPr>
          <w:rFonts w:ascii="Times New Roman" w:hAnsi="Times New Roman" w:cs="Times New Roman" w:eastAsia="Times New Roman" w:hint="default"/>
        </w:rPr>
        <w:t>/</w:t>
      </w:r>
      <w:r>
        <w:rPr/>
        <w:t>月实际工</w:t>
      </w:r>
      <w:r>
        <w:rPr>
          <w:w w:val="100"/>
        </w:rPr>
        <w:t> </w:t>
      </w:r>
      <w:r>
        <w:rPr>
          <w:spacing w:val="-4"/>
        </w:rPr>
        <w:t>作总天数；月应发工资总额</w:t>
      </w:r>
      <w:r>
        <w:rPr>
          <w:rFonts w:ascii="Times New Roman" w:hAnsi="Times New Roman" w:cs="Times New Roman" w:eastAsia="Times New Roman" w:hint="default"/>
          <w:spacing w:val="-4"/>
        </w:rPr>
        <w:t>=</w:t>
      </w:r>
      <w:r>
        <w:rPr>
          <w:spacing w:val="-4"/>
        </w:rPr>
        <w:t>基本工资</w:t>
      </w:r>
      <w:r>
        <w:rPr>
          <w:rFonts w:ascii="Times New Roman" w:hAnsi="Times New Roman" w:cs="Times New Roman" w:eastAsia="Times New Roman" w:hint="default"/>
          <w:spacing w:val="-4"/>
        </w:rPr>
        <w:t>+</w:t>
      </w:r>
      <w:r>
        <w:rPr>
          <w:spacing w:val="-4"/>
        </w:rPr>
        <w:t>岗位工资</w:t>
      </w:r>
      <w:r>
        <w:rPr>
          <w:rFonts w:ascii="Times New Roman" w:hAnsi="Times New Roman" w:cs="Times New Roman" w:eastAsia="Times New Roman" w:hint="default"/>
          <w:spacing w:val="-4"/>
        </w:rPr>
        <w:t>+</w:t>
      </w:r>
      <w:r>
        <w:rPr>
          <w:spacing w:val="-4"/>
        </w:rPr>
        <w:t>绩效工资</w:t>
      </w:r>
      <w:r>
        <w:rPr>
          <w:rFonts w:ascii="Times New Roman" w:hAnsi="Times New Roman" w:cs="Times New Roman" w:eastAsia="Times New Roman" w:hint="default"/>
          <w:spacing w:val="-4"/>
        </w:rPr>
        <w:t>+</w:t>
      </w:r>
      <w:r>
        <w:rPr>
          <w:spacing w:val="-4"/>
        </w:rPr>
        <w:t>年功工资</w:t>
      </w:r>
      <w:r>
        <w:rPr>
          <w:rFonts w:ascii="Times New Roman" w:hAnsi="Times New Roman" w:cs="Times New Roman" w:eastAsia="Times New Roman" w:hint="default"/>
          <w:spacing w:val="-4"/>
        </w:rPr>
        <w:t>+</w:t>
      </w:r>
      <w:r>
        <w:rPr>
          <w:spacing w:val="-4"/>
        </w:rPr>
        <w:t>各种津补贴；月实发工资总额</w:t>
      </w:r>
      <w:r>
        <w:rPr>
          <w:rFonts w:ascii="Times New Roman" w:hAnsi="Times New Roman" w:cs="Times New Roman" w:eastAsia="Times New Roman" w:hint="default"/>
          <w:spacing w:val="-4"/>
        </w:rPr>
        <w:t>=</w:t>
      </w:r>
      <w:r>
        <w:rPr>
          <w:spacing w:val="-4"/>
        </w:rPr>
        <w:t>月应</w:t>
      </w:r>
      <w:r>
        <w:rPr>
          <w:spacing w:val="-20"/>
        </w:rPr>
        <w:t> </w:t>
      </w:r>
      <w:r>
        <w:rPr>
          <w:spacing w:val="-20"/>
        </w:rPr>
      </w:r>
      <w:r>
        <w:rPr>
          <w:spacing w:val="-2"/>
        </w:rPr>
        <w:t>发工资总额</w:t>
      </w:r>
      <w:r>
        <w:rPr>
          <w:rFonts w:ascii="Times New Roman" w:hAnsi="Times New Roman" w:cs="Times New Roman" w:eastAsia="Times New Roman" w:hint="default"/>
          <w:spacing w:val="-2"/>
        </w:rPr>
        <w:t>-</w:t>
      </w:r>
      <w:r>
        <w:rPr>
          <w:spacing w:val="-2"/>
        </w:rPr>
        <w:t>公司代扣代缴项目。新员工的入职定薪依据面试及考核结果，对照相应岗位的工资标准核定。</w:t>
      </w:r>
      <w:r>
        <w:rPr>
          <w:spacing w:val="-12"/>
        </w:rPr>
        <w:t> </w:t>
      </w:r>
      <w:r>
        <w:rPr>
          <w:spacing w:val="-12"/>
        </w:rPr>
      </w:r>
      <w:r>
        <w:rPr>
          <w:spacing w:val="-2"/>
        </w:rPr>
        <w:t>相同岗位薪档较多的，人力资源部门和用人部门应该制定详细的任职资格，根据任职资格等级规定相对应</w:t>
      </w:r>
      <w:r>
        <w:rPr>
          <w:spacing w:val="-35"/>
        </w:rPr>
        <w:t> </w:t>
      </w:r>
      <w:r>
        <w:rPr>
          <w:spacing w:val="-35"/>
        </w:rPr>
      </w:r>
      <w:r>
        <w:rPr>
          <w:spacing w:val="-2"/>
        </w:rPr>
        <w:t>的入职薪级，使定薪有客观标准和依据。试用期员工按经核定后的工资级别内发放，试用期届满转正后允</w:t>
      </w:r>
      <w:r>
        <w:rPr>
          <w:spacing w:val="-35"/>
        </w:rPr>
        <w:t> </w:t>
      </w:r>
      <w:r>
        <w:rPr>
          <w:spacing w:val="-35"/>
        </w:rPr>
      </w:r>
      <w:r>
        <w:rPr>
          <w:spacing w:val="-4"/>
        </w:rPr>
        <w:t>许向上调薪</w:t>
      </w:r>
      <w:r>
        <w:rPr>
          <w:rFonts w:ascii="Times New Roman" w:hAnsi="Times New Roman" w:cs="Times New Roman" w:eastAsia="Times New Roman" w:hint="default"/>
          <w:spacing w:val="-4"/>
        </w:rPr>
        <w:t>10%-30%</w:t>
      </w:r>
      <w:r>
        <w:rPr>
          <w:spacing w:val="-4"/>
        </w:rPr>
        <w:t>。公司每年度年终根据同行业平均薪酬水平、公司综合绩效、公司人力资源规划目标、</w:t>
      </w:r>
      <w:r>
        <w:rPr>
          <w:spacing w:val="-39"/>
        </w:rPr>
        <w:t> </w:t>
      </w:r>
      <w:r>
        <w:rPr>
          <w:spacing w:val="-39"/>
        </w:rPr>
      </w:r>
      <w:r>
        <w:rPr>
          <w:spacing w:val="-2"/>
        </w:rPr>
        <w:t>公司财务实际支付能力等因素，对员工薪酬水平进行必要调整。人力资源部门定期监测市场薪资行情（以</w:t>
      </w:r>
      <w:r>
        <w:rPr>
          <w:spacing w:val="-35"/>
        </w:rPr>
        <w:t> </w:t>
      </w:r>
      <w:r>
        <w:rPr>
          <w:spacing w:val="-35"/>
        </w:rPr>
      </w:r>
      <w:r>
        <w:rPr>
          <w:spacing w:val="-2"/>
        </w:rPr>
        <w:t>中位值为基准）的变化，并结合每年通货膨胀率水平以及公司整体效益，提出局部或整体薪酬体系调整意</w:t>
      </w:r>
      <w:r>
        <w:rPr>
          <w:spacing w:val="-35"/>
        </w:rPr>
        <w:t> </w:t>
      </w:r>
      <w:r>
        <w:rPr>
          <w:spacing w:val="-35"/>
        </w:rPr>
      </w:r>
      <w:r>
        <w:rPr/>
        <w:t>见（原则上每年整体提升</w:t>
      </w:r>
      <w:r>
        <w:rPr>
          <w:rFonts w:ascii="Times New Roman" w:hAnsi="Times New Roman" w:cs="Times New Roman" w:eastAsia="Times New Roman" w:hint="default"/>
        </w:rPr>
        <w:t>3-5%</w:t>
      </w:r>
      <w:r>
        <w:rPr/>
        <w:t>），呈总经理审核。</w:t>
      </w:r>
    </w:p>
    <w:p>
      <w:pPr>
        <w:spacing w:line="240" w:lineRule="auto" w:before="9"/>
        <w:rPr>
          <w:rFonts w:ascii="宋体" w:hAnsi="宋体" w:cs="宋体" w:eastAsia="宋体" w:hint="default"/>
          <w:sz w:val="17"/>
          <w:szCs w:val="17"/>
        </w:rPr>
      </w:pPr>
    </w:p>
    <w:p>
      <w:pPr>
        <w:pStyle w:val="Heading4"/>
        <w:spacing w:line="240" w:lineRule="auto"/>
        <w:ind w:right="109"/>
        <w:jc w:val="left"/>
        <w:rPr>
          <w:b w:val="0"/>
          <w:bCs w:val="0"/>
        </w:rPr>
      </w:pPr>
      <w:r>
        <w:rPr>
          <w:rFonts w:ascii="Times New Roman" w:hAnsi="Times New Roman" w:cs="Times New Roman" w:eastAsia="Times New Roman" w:hint="default"/>
        </w:rPr>
        <w:t>3</w:t>
      </w:r>
      <w:r>
        <w:rPr/>
        <w:t>、培训计划</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64" w:lineRule="auto"/>
        <w:ind w:right="217" w:firstLine="422"/>
        <w:jc w:val="both"/>
      </w:pPr>
      <w:r>
        <w:rPr>
          <w:rFonts w:ascii="Times New Roman" w:hAnsi="Times New Roman" w:cs="Times New Roman" w:eastAsia="Times New Roman" w:hint="default"/>
          <w:spacing w:val="-1"/>
        </w:rPr>
        <w:t>1.</w:t>
      </w:r>
      <w:r>
        <w:rPr>
          <w:spacing w:val="-1"/>
        </w:rPr>
        <w:t>加强新员工入职培训。各部门严格做好新员工部门级培训及岗位级培训，深入宣导公司发展史、组</w:t>
      </w:r>
      <w:r>
        <w:rPr>
          <w:w w:val="100"/>
        </w:rPr>
        <w:t> </w:t>
      </w:r>
      <w:r>
        <w:rPr>
          <w:spacing w:val="-2"/>
        </w:rPr>
        <w:t>织构架、企业文化，了解公司的人事制度，提高其组织、沟通、团队协作等能力，强化组织纪律性，使其</w:t>
      </w:r>
      <w:r>
        <w:rPr>
          <w:spacing w:val="-41"/>
        </w:rPr>
        <w:t> </w:t>
      </w:r>
      <w:r>
        <w:rPr>
          <w:spacing w:val="-41"/>
        </w:rPr>
      </w:r>
      <w:r>
        <w:rPr/>
        <w:t>能尽快适应公司环境，融入企业文化，完成自身角色的转变。</w:t>
      </w:r>
    </w:p>
    <w:p>
      <w:pPr>
        <w:pStyle w:val="BodyText"/>
        <w:spacing w:line="264" w:lineRule="auto" w:before="16"/>
        <w:ind w:right="109" w:firstLine="422"/>
        <w:jc w:val="left"/>
      </w:pPr>
      <w:r>
        <w:rPr>
          <w:rFonts w:ascii="Times New Roman" w:hAnsi="Times New Roman" w:cs="Times New Roman" w:eastAsia="Times New Roman" w:hint="default"/>
          <w:spacing w:val="-3"/>
        </w:rPr>
        <w:t>2.</w:t>
      </w:r>
      <w:r>
        <w:rPr>
          <w:spacing w:val="-3"/>
        </w:rPr>
        <w:t>强化公司技术人员培训。全体员工要做好安全知识培训，对注意事项由相关负责人进行主题式宣讲，</w:t>
      </w:r>
      <w:r>
        <w:rPr>
          <w:w w:val="100"/>
        </w:rPr>
        <w:t> </w:t>
      </w:r>
      <w:r>
        <w:rPr/>
        <w:t>鼓励通过自学等方式增长专业技术的新理论、新技术、新方法，掌握相关学科的知识，和掌握突发事件应</w:t>
      </w:r>
      <w:r>
        <w:rPr>
          <w:w w:val="100"/>
        </w:rPr>
        <w:t> </w:t>
      </w:r>
      <w:r>
        <w:rPr/>
        <w:t>急能力。</w:t>
      </w:r>
    </w:p>
    <w:p>
      <w:pPr>
        <w:pStyle w:val="BodyText"/>
        <w:spacing w:line="264" w:lineRule="auto" w:before="16"/>
        <w:ind w:right="109" w:firstLine="422"/>
        <w:jc w:val="left"/>
      </w:pPr>
      <w:r>
        <w:rPr>
          <w:rFonts w:ascii="Times New Roman" w:hAnsi="Times New Roman" w:cs="Times New Roman" w:eastAsia="Times New Roman" w:hint="default"/>
          <w:spacing w:val="-3"/>
        </w:rPr>
        <w:t>3.</w:t>
      </w:r>
      <w:r>
        <w:rPr>
          <w:spacing w:val="-3"/>
        </w:rPr>
        <w:t>加强部门团队建设。团队成员应对团队有强烈归属感，愿意以团队的利益为自身的目标，尽心尽力，</w:t>
      </w:r>
      <w:r>
        <w:rPr>
          <w:w w:val="100"/>
        </w:rPr>
        <w:t> </w:t>
      </w:r>
      <w:r>
        <w:rPr/>
        <w:t>充分发挥每个成员的个体优势，提高效率并圆满完成相关任务。由各级团队领导进行时间、沟通、协调、</w:t>
      </w:r>
      <w:r>
        <w:rPr>
          <w:w w:val="100"/>
        </w:rPr>
        <w:t> </w:t>
      </w:r>
      <w:r>
        <w:rPr/>
        <w:t>合作等方面的讲座，使员工充分理解并尽快融入团队。</w:t>
      </w:r>
    </w:p>
    <w:p>
      <w:pPr>
        <w:spacing w:line="240" w:lineRule="auto" w:before="3"/>
        <w:rPr>
          <w:rFonts w:ascii="宋体" w:hAnsi="宋体" w:cs="宋体" w:eastAsia="宋体" w:hint="default"/>
          <w:sz w:val="19"/>
          <w:szCs w:val="19"/>
        </w:rPr>
      </w:pPr>
    </w:p>
    <w:p>
      <w:pPr>
        <w:pStyle w:val="Heading4"/>
        <w:spacing w:line="240" w:lineRule="auto"/>
        <w:ind w:right="109"/>
        <w:jc w:val="left"/>
        <w:rPr>
          <w:b w:val="0"/>
          <w:bCs w:val="0"/>
        </w:rPr>
      </w:pPr>
      <w:r>
        <w:rPr>
          <w:rFonts w:ascii="Times New Roman" w:hAnsi="Times New Roman" w:cs="Times New Roman" w:eastAsia="Times New Roman" w:hint="default"/>
        </w:rPr>
        <w:t>4</w:t>
      </w:r>
      <w:r>
        <w:rPr/>
        <w:t>、劳务外包情况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109"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00" w:h="16840"/>
          <w:pgMar w:header="872" w:footer="984" w:top="1060" w:bottom="1180" w:left="980" w:right="9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0"/>
          <w:szCs w:val="20"/>
        </w:rPr>
      </w:pPr>
    </w:p>
    <w:p>
      <w:pPr>
        <w:pStyle w:val="Heading1"/>
        <w:spacing w:line="458" w:lineRule="exact"/>
        <w:ind w:right="3425"/>
        <w:jc w:val="center"/>
        <w:rPr>
          <w:b w:val="0"/>
          <w:bCs w:val="0"/>
        </w:rPr>
      </w:pPr>
      <w:bookmarkStart w:name="_TOC_250002" w:id="9"/>
      <w:r>
        <w:rPr/>
        <w:t>第九节 </w:t>
      </w:r>
      <w:r>
        <w:rPr>
          <w:spacing w:val="8"/>
        </w:rPr>
        <w:t> </w:t>
      </w:r>
      <w:r>
        <w:rPr/>
        <w:t>公司治理</w:t>
      </w:r>
      <w:bookmarkEnd w:id="9"/>
      <w:r>
        <w:rPr>
          <w:b w:val="0"/>
          <w:bCs w:val="0"/>
        </w:rPr>
      </w:r>
    </w:p>
    <w:p>
      <w:pPr>
        <w:spacing w:line="240" w:lineRule="auto" w:before="3"/>
        <w:rPr>
          <w:rFonts w:ascii="Microsoft JhengHei" w:hAnsi="Microsoft JhengHei" w:cs="Microsoft JhengHei" w:eastAsia="Microsoft JhengHei" w:hint="default"/>
          <w:b/>
          <w:bCs/>
          <w:sz w:val="25"/>
          <w:szCs w:val="25"/>
        </w:rPr>
      </w:pPr>
    </w:p>
    <w:p>
      <w:pPr>
        <w:pStyle w:val="Heading2"/>
        <w:spacing w:line="367" w:lineRule="exact"/>
        <w:ind w:right="0"/>
        <w:jc w:val="left"/>
        <w:rPr>
          <w:b w:val="0"/>
          <w:bCs w:val="0"/>
        </w:rPr>
      </w:pPr>
      <w:r>
        <w:rPr/>
        <w:t>一、公司治理的基本状况</w:t>
      </w:r>
      <w:r>
        <w:rPr>
          <w:b w:val="0"/>
          <w:bCs w:val="0"/>
        </w:rPr>
      </w:r>
    </w:p>
    <w:p>
      <w:pPr>
        <w:spacing w:line="240" w:lineRule="auto" w:before="7"/>
        <w:rPr>
          <w:rFonts w:ascii="Microsoft JhengHei" w:hAnsi="Microsoft JhengHei" w:cs="Microsoft JhengHei" w:eastAsia="Microsoft JhengHei" w:hint="default"/>
          <w:b/>
          <w:bCs/>
          <w:sz w:val="17"/>
          <w:szCs w:val="17"/>
        </w:rPr>
      </w:pPr>
    </w:p>
    <w:p>
      <w:pPr>
        <w:pStyle w:val="BodyText"/>
        <w:spacing w:line="273" w:lineRule="auto"/>
        <w:ind w:right="143" w:firstLine="422"/>
        <w:jc w:val="both"/>
      </w:pPr>
      <w:r>
        <w:rPr>
          <w:spacing w:val="-2"/>
        </w:rPr>
        <w:t>报告期内，公司严格按照《公司法》、《证券法》、《上市公司治理准则》和《深圳证券交易所股票</w:t>
      </w:r>
      <w:r>
        <w:rPr>
          <w:w w:val="100"/>
        </w:rPr>
        <w:t> </w:t>
      </w:r>
      <w:r>
        <w:rPr>
          <w:spacing w:val="-2"/>
        </w:rPr>
        <w:t>上市规则》等有关法律、法规的规定，不断完善公司法人治理结构，健全内部控制体系，进一步规范公司</w:t>
      </w:r>
      <w:r>
        <w:rPr>
          <w:spacing w:val="-41"/>
        </w:rPr>
        <w:t> </w:t>
      </w:r>
      <w:r>
        <w:rPr>
          <w:spacing w:val="-41"/>
        </w:rPr>
      </w:r>
      <w:r>
        <w:rPr>
          <w:spacing w:val="-2"/>
        </w:rPr>
        <w:t>运作。公司建立了以股东大会为权力机构、董事会为决策机构、监事会为监督机构、高级管理层为经营管</w:t>
      </w:r>
      <w:r>
        <w:rPr>
          <w:spacing w:val="-35"/>
        </w:rPr>
        <w:t> </w:t>
      </w:r>
      <w:r>
        <w:rPr>
          <w:spacing w:val="-35"/>
        </w:rPr>
      </w:r>
      <w:r>
        <w:rPr>
          <w:spacing w:val="-2"/>
        </w:rPr>
        <w:t>理机构的独立法人治理结构，不断修订完善公司治理规章制度，形成了健全的三会运作、完善的内控管理</w:t>
      </w:r>
      <w:r>
        <w:rPr>
          <w:spacing w:val="-35"/>
        </w:rPr>
        <w:t> </w:t>
      </w:r>
      <w:r>
        <w:rPr>
          <w:spacing w:val="-35"/>
        </w:rPr>
      </w:r>
      <w:r>
        <w:rPr/>
        <w:t>和严格的监督体系，实现了各机构之间的相互协调及有效运作。公司治理结构如下：</w:t>
      </w:r>
    </w:p>
    <w:p>
      <w:pPr>
        <w:spacing w:line="240" w:lineRule="auto" w:before="2"/>
        <w:rPr>
          <w:rFonts w:ascii="宋体" w:hAnsi="宋体" w:cs="宋体" w:eastAsia="宋体" w:hint="default"/>
          <w:sz w:val="6"/>
          <w:szCs w:val="6"/>
        </w:rPr>
      </w:pPr>
    </w:p>
    <w:p>
      <w:pPr>
        <w:spacing w:line="5190" w:lineRule="exact"/>
        <w:ind w:left="1424" w:right="0" w:firstLine="0"/>
        <w:rPr>
          <w:rFonts w:ascii="宋体" w:hAnsi="宋体" w:cs="宋体" w:eastAsia="宋体" w:hint="default"/>
          <w:sz w:val="20"/>
          <w:szCs w:val="20"/>
        </w:rPr>
      </w:pPr>
      <w:r>
        <w:rPr>
          <w:rFonts w:ascii="宋体" w:hAnsi="宋体" w:cs="宋体" w:eastAsia="宋体" w:hint="default"/>
          <w:position w:val="-103"/>
          <w:sz w:val="20"/>
          <w:szCs w:val="20"/>
        </w:rPr>
        <w:drawing>
          <wp:inline distT="0" distB="0" distL="0" distR="0">
            <wp:extent cx="4505985" cy="3295650"/>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9" cstate="print"/>
                    <a:stretch>
                      <a:fillRect/>
                    </a:stretch>
                  </pic:blipFill>
                  <pic:spPr>
                    <a:xfrm>
                      <a:off x="0" y="0"/>
                      <a:ext cx="4505985" cy="3295650"/>
                    </a:xfrm>
                    <a:prstGeom prst="rect">
                      <a:avLst/>
                    </a:prstGeom>
                  </pic:spPr>
                </pic:pic>
              </a:graphicData>
            </a:graphic>
          </wp:inline>
        </w:drawing>
      </w:r>
      <w:r>
        <w:rPr>
          <w:rFonts w:ascii="宋体" w:hAnsi="宋体" w:cs="宋体" w:eastAsia="宋体" w:hint="default"/>
          <w:position w:val="-103"/>
          <w:sz w:val="20"/>
          <w:szCs w:val="20"/>
        </w:rPr>
      </w:r>
    </w:p>
    <w:p>
      <w:pPr>
        <w:pStyle w:val="BodyText"/>
        <w:spacing w:line="266" w:lineRule="auto" w:before="41"/>
        <w:ind w:right="142" w:firstLine="422"/>
        <w:jc w:val="both"/>
      </w:pPr>
      <w:r>
        <w:rPr>
          <w:spacing w:val="-2"/>
        </w:rPr>
        <w:t>报告期内，公司独立董事张新泽先生和潘琰女士的任期届满，独立董事丁仕达先生和张学清先生因个</w:t>
      </w:r>
      <w:r>
        <w:rPr>
          <w:w w:val="100"/>
        </w:rPr>
        <w:t> </w:t>
      </w:r>
      <w:r>
        <w:rPr>
          <w:spacing w:val="-2"/>
        </w:rPr>
        <w:t>人原因已分别于</w:t>
      </w:r>
      <w:r>
        <w:rPr>
          <w:rFonts w:ascii="Times New Roman" w:hAnsi="Times New Roman" w:cs="Times New Roman" w:eastAsia="Times New Roman" w:hint="default"/>
          <w:spacing w:val="-2"/>
        </w:rPr>
        <w:t>2014</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12</w:t>
      </w:r>
      <w:r>
        <w:rPr>
          <w:spacing w:val="-2"/>
        </w:rPr>
        <w:t>月辞去公司独立董事职务。公司完成了独立董事补选工作，选举了许萍女</w:t>
      </w:r>
      <w:r>
        <w:rPr>
          <w:spacing w:val="-27"/>
        </w:rPr>
        <w:t> </w:t>
      </w:r>
      <w:r>
        <w:rPr>
          <w:spacing w:val="-27"/>
        </w:rPr>
      </w:r>
      <w:r>
        <w:rPr>
          <w:spacing w:val="-2"/>
        </w:rPr>
        <w:t>士、胡穗华女士、洪波先生和林双林先生为公司独立董事。截至本报告期末，公司董事会共</w:t>
      </w:r>
      <w:r>
        <w:rPr>
          <w:rFonts w:ascii="Times New Roman" w:hAnsi="Times New Roman" w:cs="Times New Roman" w:eastAsia="Times New Roman" w:hint="default"/>
          <w:spacing w:val="-2"/>
        </w:rPr>
        <w:t>11</w:t>
      </w:r>
      <w:r>
        <w:rPr>
          <w:spacing w:val="-2"/>
        </w:rPr>
        <w:t>名董事，其</w:t>
      </w:r>
      <w:r>
        <w:rPr>
          <w:spacing w:val="-39"/>
        </w:rPr>
        <w:t> </w:t>
      </w:r>
      <w:r>
        <w:rPr>
          <w:spacing w:val="-39"/>
        </w:rPr>
      </w:r>
      <w:r>
        <w:rPr>
          <w:spacing w:val="-2"/>
        </w:rPr>
        <w:t>中独立董事四名，实际控制人股东代表四名，经营管理层代表三名，人数及结构符合法律法规和公司《章</w:t>
      </w:r>
      <w:r>
        <w:rPr>
          <w:spacing w:val="-35"/>
        </w:rPr>
        <w:t> </w:t>
      </w:r>
      <w:r>
        <w:rPr>
          <w:spacing w:val="-35"/>
        </w:rPr>
      </w:r>
      <w:r>
        <w:rPr>
          <w:spacing w:val="-2"/>
        </w:rPr>
        <w:t>程》的要求。独立董事由在法律、会计、彩票行业等方面的资深人士担任，保证了董事会决策的质量和水</w:t>
      </w:r>
      <w:r>
        <w:rPr>
          <w:spacing w:val="-40"/>
        </w:rPr>
        <w:t> </w:t>
      </w:r>
      <w:r>
        <w:rPr>
          <w:spacing w:val="-40"/>
        </w:rPr>
      </w:r>
      <w:r>
        <w:rPr/>
        <w:t>平，有利于维护公司和全体股东的利益。</w:t>
      </w:r>
    </w:p>
    <w:p>
      <w:pPr>
        <w:pStyle w:val="BodyText"/>
        <w:spacing w:line="264" w:lineRule="auto" w:before="14"/>
        <w:ind w:right="0" w:firstLine="422"/>
        <w:jc w:val="left"/>
      </w:pPr>
      <w:r>
        <w:rPr>
          <w:spacing w:val="-2"/>
        </w:rPr>
        <w:t>报告期内，公司完善了公司章程的修订，增加了经营范围、完善了股东投票制度、健全了利润分配原</w:t>
      </w:r>
      <w:r>
        <w:rPr>
          <w:w w:val="100"/>
        </w:rPr>
        <w:t> </w:t>
      </w:r>
      <w:r>
        <w:rPr/>
        <w:t>则，规定</w:t>
      </w:r>
      <w:r>
        <w:rPr>
          <w:rFonts w:ascii="Times New Roman" w:hAnsi="Times New Roman" w:cs="Times New Roman" w:eastAsia="Times New Roman" w:hint="default"/>
        </w:rPr>
        <w:t>“</w:t>
      </w:r>
      <w:r>
        <w:rPr/>
        <w:t>征集股东投票权应当向被征集人充分披露具体投票意向等信息，禁止以有偿或者变相有偿的方</w:t>
      </w:r>
      <w:r>
        <w:rPr>
          <w:w w:val="100"/>
        </w:rPr>
        <w:t> </w:t>
      </w:r>
      <w:r>
        <w:rPr>
          <w:spacing w:val="-2"/>
        </w:rPr>
        <w:t>式征集股东投票权，公司不得对征集投票权提出最低持股比例限制</w:t>
      </w:r>
      <w:r>
        <w:rPr>
          <w:rFonts w:ascii="Times New Roman" w:hAnsi="Times New Roman" w:cs="Times New Roman" w:eastAsia="Times New Roman" w:hint="default"/>
          <w:spacing w:val="-2"/>
        </w:rPr>
        <w:t>”</w:t>
      </w:r>
      <w:r>
        <w:rPr>
          <w:spacing w:val="-2"/>
        </w:rPr>
        <w:t>及</w:t>
      </w:r>
      <w:r>
        <w:rPr>
          <w:rFonts w:ascii="Times New Roman" w:hAnsi="Times New Roman" w:cs="Times New Roman" w:eastAsia="Times New Roman" w:hint="default"/>
          <w:spacing w:val="-2"/>
        </w:rPr>
        <w:t>“</w:t>
      </w:r>
      <w:r>
        <w:rPr>
          <w:spacing w:val="-2"/>
        </w:rPr>
        <w:t>公司董事会在制定利润分配政策调</w:t>
      </w:r>
      <w:r>
        <w:rPr>
          <w:spacing w:val="-14"/>
        </w:rPr>
        <w:t> </w:t>
      </w:r>
      <w:r>
        <w:rPr>
          <w:spacing w:val="-14"/>
        </w:rPr>
      </w:r>
      <w:r>
        <w:rPr>
          <w:spacing w:val="-2"/>
        </w:rPr>
        <w:t>整方案时，应通过多种渠道主动与股东特别是中小股东进行沟通和交流，充分听取独立董事以及中小股东</w:t>
      </w:r>
      <w:r>
        <w:rPr>
          <w:spacing w:val="-35"/>
        </w:rPr>
        <w:t> </w:t>
      </w:r>
      <w:r>
        <w:rPr>
          <w:spacing w:val="-35"/>
        </w:rPr>
      </w:r>
      <w:r>
        <w:rPr>
          <w:spacing w:val="-2"/>
        </w:rPr>
        <w:t>的意见。有关调整利润分配政策的议案，公司独立董事应对利润分配政策调整方案发表独立意见，公司监</w:t>
      </w:r>
      <w:r>
        <w:rPr>
          <w:spacing w:val="-35"/>
        </w:rPr>
        <w:t> </w:t>
      </w:r>
      <w:r>
        <w:rPr>
          <w:spacing w:val="-35"/>
        </w:rPr>
      </w:r>
      <w:r>
        <w:rPr/>
        <w:t>事会应对利润分配政策调整方案进行审议</w:t>
      </w:r>
      <w:r>
        <w:rPr>
          <w:rFonts w:ascii="Times New Roman" w:hAnsi="Times New Roman" w:cs="Times New Roman" w:eastAsia="Times New Roman" w:hint="default"/>
        </w:rPr>
        <w:t>”</w:t>
      </w:r>
      <w:r>
        <w:rPr/>
        <w:t>，进一步维护了中小股东的权益。同时新聘任了公司一位副总</w:t>
      </w:r>
      <w:r>
        <w:rPr>
          <w:w w:val="100"/>
        </w:rPr>
        <w:t> </w:t>
      </w:r>
      <w:r>
        <w:rPr/>
        <w:t>经理，完善壮大了公司经营管理层，为促进公司的全面开展奠定了基础。</w:t>
      </w:r>
    </w:p>
    <w:p>
      <w:pPr>
        <w:pStyle w:val="BodyText"/>
        <w:spacing w:line="240" w:lineRule="auto" w:before="59"/>
        <w:ind w:right="0"/>
        <w:jc w:val="left"/>
      </w:pPr>
      <w:r>
        <w:rPr/>
        <w:t>公司治理的实际状况与中国证监会发布的有关上市公司治理的规范性文件是否存在重大差异</w:t>
      </w:r>
    </w:p>
    <w:p>
      <w:pPr>
        <w:spacing w:line="343" w:lineRule="auto" w:before="101"/>
        <w:ind w:left="152" w:right="194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是</w:t>
      </w:r>
      <w:r>
        <w:rPr>
          <w:rFonts w:ascii="宋体" w:hAnsi="宋体" w:cs="宋体" w:eastAsia="宋体" w:hint="default"/>
          <w:spacing w:val="-4"/>
          <w:sz w:val="18"/>
          <w:szCs w:val="18"/>
        </w:rPr>
        <w:t>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否</w:t>
      </w:r>
      <w:r>
        <w:rPr>
          <w:rFonts w:ascii="宋体" w:hAnsi="宋体" w:cs="宋体" w:eastAsia="宋体" w:hint="default"/>
          <w:spacing w:val="-83"/>
          <w:sz w:val="18"/>
          <w:szCs w:val="18"/>
        </w:rPr>
        <w:t> </w:t>
      </w:r>
      <w:r>
        <w:rPr>
          <w:rFonts w:ascii="宋体" w:hAnsi="宋体" w:cs="宋体" w:eastAsia="宋体" w:hint="default"/>
          <w:spacing w:val="-3"/>
          <w:sz w:val="18"/>
          <w:szCs w:val="18"/>
        </w:rPr>
        <w:t>公司治理的实际状况与中国证监会发布的有关上市公司治理的规范性文件不存在重大差异。</w:t>
      </w:r>
    </w:p>
    <w:p>
      <w:pPr>
        <w:spacing w:after="0" w:line="343" w:lineRule="auto"/>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5"/>
        <w:rPr>
          <w:rFonts w:ascii="宋体" w:hAnsi="宋体" w:cs="宋体" w:eastAsia="宋体" w:hint="default"/>
          <w:sz w:val="23"/>
          <w:szCs w:val="23"/>
        </w:rPr>
      </w:pPr>
    </w:p>
    <w:p>
      <w:pPr>
        <w:pStyle w:val="Heading2"/>
        <w:spacing w:line="367" w:lineRule="exact"/>
        <w:ind w:right="0"/>
        <w:jc w:val="left"/>
        <w:rPr>
          <w:b w:val="0"/>
          <w:bCs w:val="0"/>
        </w:rPr>
      </w:pPr>
      <w:r>
        <w:rPr/>
        <w:t>二、公司相对于控股股东在业务、人员、资产、机构、财务等方面的独立情况</w:t>
      </w:r>
      <w:r>
        <w:rPr>
          <w:b w:val="0"/>
          <w:bCs w:val="0"/>
        </w:rPr>
      </w:r>
    </w:p>
    <w:p>
      <w:pPr>
        <w:spacing w:line="240" w:lineRule="auto" w:before="7"/>
        <w:rPr>
          <w:rFonts w:ascii="Microsoft JhengHei" w:hAnsi="Microsoft JhengHei" w:cs="Microsoft JhengHei" w:eastAsia="Microsoft JhengHei" w:hint="default"/>
          <w:b/>
          <w:bCs/>
          <w:sz w:val="17"/>
          <w:szCs w:val="17"/>
        </w:rPr>
      </w:pPr>
    </w:p>
    <w:p>
      <w:pPr>
        <w:pStyle w:val="BodyText"/>
        <w:spacing w:line="273" w:lineRule="auto"/>
        <w:ind w:right="0" w:firstLine="422"/>
        <w:jc w:val="left"/>
      </w:pPr>
      <w:r>
        <w:rPr>
          <w:spacing w:val="-2"/>
        </w:rPr>
        <w:t>公司在业务、资产、人员、机构、财务等方面均独立于股东。公司具有独立完整的业务体系及面向市</w:t>
      </w:r>
      <w:r>
        <w:rPr>
          <w:w w:val="100"/>
        </w:rPr>
        <w:t> </w:t>
      </w:r>
      <w:r>
        <w:rPr>
          <w:spacing w:val="-2"/>
        </w:rPr>
        <w:t>场独立经营的能力，不依赖于股东及其他任何关联方，与控股股东不存在同业竞争的情况。公司拥有生产</w:t>
      </w:r>
      <w:r>
        <w:rPr>
          <w:spacing w:val="-35"/>
        </w:rPr>
        <w:t> </w:t>
      </w:r>
      <w:r>
        <w:rPr>
          <w:spacing w:val="-35"/>
        </w:rPr>
      </w:r>
      <w:r>
        <w:rPr>
          <w:spacing w:val="-2"/>
        </w:rPr>
        <w:t>经营所需的完整的资产，所需的技术也为公司合法独立拥有，产权清晰。公司设立有独立的财务部门，配</w:t>
      </w:r>
      <w:r>
        <w:rPr>
          <w:spacing w:val="-35"/>
        </w:rPr>
        <w:t> </w:t>
      </w:r>
      <w:r>
        <w:rPr>
          <w:spacing w:val="-35"/>
        </w:rPr>
      </w:r>
      <w:r>
        <w:rPr>
          <w:spacing w:val="-4"/>
        </w:rPr>
        <w:t>备了专职的财务会计人员，并建立了独立的会计核算体系和财务管理制度，独立纳税，独立做出财务决策，</w:t>
      </w:r>
      <w:r>
        <w:rPr>
          <w:spacing w:val="-48"/>
        </w:rPr>
        <w:t> </w:t>
      </w:r>
      <w:r>
        <w:rPr>
          <w:spacing w:val="-48"/>
        </w:rPr>
      </w:r>
      <w:r>
        <w:rPr>
          <w:spacing w:val="-2"/>
        </w:rPr>
        <w:t>公司财务人员与控股股东财务人员分开，各司其职。公司董事、监事、高级管理人员及核心技术人员不存</w:t>
      </w:r>
      <w:r>
        <w:rPr>
          <w:spacing w:val="-35"/>
        </w:rPr>
        <w:t> </w:t>
      </w:r>
      <w:r>
        <w:rPr>
          <w:spacing w:val="-35"/>
        </w:rPr>
      </w:r>
      <w:r>
        <w:rPr/>
        <w:t>在法律禁止的交叉任职的情形。公司生产经营、采购销售、人事管理也完全独立。</w:t>
      </w:r>
    </w:p>
    <w:p>
      <w:pPr>
        <w:spacing w:line="240" w:lineRule="auto" w:before="7"/>
        <w:rPr>
          <w:rFonts w:ascii="宋体" w:hAnsi="宋体" w:cs="宋体" w:eastAsia="宋体" w:hint="default"/>
          <w:sz w:val="15"/>
          <w:szCs w:val="15"/>
        </w:rPr>
      </w:pPr>
    </w:p>
    <w:p>
      <w:pPr>
        <w:pStyle w:val="Heading2"/>
        <w:spacing w:line="240" w:lineRule="auto"/>
        <w:ind w:right="0"/>
        <w:jc w:val="left"/>
        <w:rPr>
          <w:b w:val="0"/>
          <w:bCs w:val="0"/>
        </w:rPr>
      </w:pPr>
      <w:r>
        <w:rPr/>
        <w:t>三、同业竞争情况</w:t>
      </w:r>
      <w:r>
        <w:rPr>
          <w:b w:val="0"/>
          <w:bCs w:val="0"/>
        </w:rPr>
      </w:r>
    </w:p>
    <w:p>
      <w:pPr>
        <w:spacing w:line="240" w:lineRule="auto" w:before="15"/>
        <w:rPr>
          <w:rFonts w:ascii="Microsoft JhengHei" w:hAnsi="Microsoft JhengHei" w:cs="Microsoft JhengHei" w:eastAsia="Microsoft JhengHei" w:hint="default"/>
          <w:b/>
          <w:bCs/>
          <w:sz w:val="18"/>
          <w:szCs w:val="18"/>
        </w:rPr>
      </w:pPr>
    </w:p>
    <w:p>
      <w:pPr>
        <w:spacing w:before="0"/>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17"/>
          <w:szCs w:val="17"/>
        </w:rPr>
      </w:pPr>
    </w:p>
    <w:p>
      <w:pPr>
        <w:pStyle w:val="Heading2"/>
        <w:spacing w:line="240" w:lineRule="auto"/>
        <w:ind w:right="0"/>
        <w:jc w:val="left"/>
        <w:rPr>
          <w:b w:val="0"/>
          <w:bCs w:val="0"/>
        </w:rPr>
      </w:pPr>
      <w:r>
        <w:rPr/>
        <w:t>四、报告期内召开的年度股东大会和临时股东大会的有关情况</w:t>
      </w:r>
      <w:r>
        <w:rPr>
          <w:b w:val="0"/>
          <w:bCs w:val="0"/>
        </w:rPr>
      </w:r>
    </w:p>
    <w:p>
      <w:pPr>
        <w:spacing w:line="240" w:lineRule="auto" w:before="10"/>
        <w:rPr>
          <w:rFonts w:ascii="Microsoft JhengHei" w:hAnsi="Microsoft JhengHei" w:cs="Microsoft JhengHei" w:eastAsia="Microsoft JhengHei" w:hint="default"/>
          <w:b/>
          <w:bCs/>
          <w:sz w:val="13"/>
          <w:szCs w:val="13"/>
        </w:rPr>
      </w:pPr>
    </w:p>
    <w:p>
      <w:pPr>
        <w:pStyle w:val="Heading4"/>
        <w:spacing w:line="240" w:lineRule="auto"/>
        <w:ind w:right="0"/>
        <w:jc w:val="left"/>
        <w:rPr>
          <w:b w:val="0"/>
          <w:bCs w:val="0"/>
        </w:rPr>
      </w:pPr>
      <w:r>
        <w:rPr>
          <w:rFonts w:ascii="Times New Roman" w:hAnsi="Times New Roman" w:cs="Times New Roman" w:eastAsia="Times New Roman" w:hint="default"/>
        </w:rPr>
        <w:t>1</w:t>
      </w:r>
      <w:r>
        <w:rPr/>
        <w:t>、本报告期股东大会情况</w:t>
      </w:r>
      <w:r>
        <w:rPr>
          <w:b w:val="0"/>
          <w:bCs w:val="0"/>
        </w:rPr>
      </w:r>
    </w:p>
    <w:p>
      <w:pPr>
        <w:spacing w:line="240" w:lineRule="auto" w:before="17"/>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1598"/>
        <w:gridCol w:w="1594"/>
        <w:gridCol w:w="1594"/>
        <w:gridCol w:w="1594"/>
        <w:gridCol w:w="1594"/>
        <w:gridCol w:w="1594"/>
      </w:tblGrid>
      <w:tr>
        <w:trPr>
          <w:trHeight w:val="403" w:hRule="exact"/>
        </w:trPr>
        <w:tc>
          <w:tcPr>
            <w:tcW w:w="1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32"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2" w:right="0"/>
              <w:jc w:val="left"/>
              <w:rPr>
                <w:rFonts w:ascii="宋体" w:hAnsi="宋体" w:cs="宋体" w:eastAsia="宋体" w:hint="default"/>
                <w:sz w:val="18"/>
                <w:szCs w:val="18"/>
              </w:rPr>
            </w:pPr>
            <w:r>
              <w:rPr>
                <w:rFonts w:ascii="宋体" w:hAnsi="宋体" w:cs="宋体" w:eastAsia="宋体" w:hint="default"/>
                <w:sz w:val="18"/>
                <w:szCs w:val="18"/>
              </w:rPr>
              <w:t>会议类型</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53" w:right="0"/>
              <w:jc w:val="left"/>
              <w:rPr>
                <w:rFonts w:ascii="宋体" w:hAnsi="宋体" w:cs="宋体" w:eastAsia="宋体" w:hint="default"/>
                <w:sz w:val="18"/>
                <w:szCs w:val="18"/>
              </w:rPr>
            </w:pPr>
            <w:r>
              <w:rPr>
                <w:rFonts w:ascii="宋体" w:hAnsi="宋体" w:cs="宋体" w:eastAsia="宋体" w:hint="default"/>
                <w:spacing w:val="-3"/>
                <w:sz w:val="18"/>
                <w:szCs w:val="18"/>
              </w:rPr>
              <w:t>投资者参与比例</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召开日期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披露日期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715" w:hRule="exact"/>
        </w:trPr>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3"/>
              <w:ind w:left="24" w:right="74"/>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4"/>
                <w:sz w:val="18"/>
                <w:szCs w:val="18"/>
              </w:rPr>
              <w:t> </w:t>
            </w:r>
            <w:r>
              <w:rPr>
                <w:rFonts w:ascii="宋体" w:hAnsi="宋体" w:cs="宋体" w:eastAsia="宋体" w:hint="default"/>
                <w:spacing w:val="-3"/>
                <w:sz w:val="18"/>
                <w:szCs w:val="18"/>
              </w:rPr>
              <w:t>年第一次临时</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0.02%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6"/>
              <w:ind w:left="23" w:right="31"/>
              <w:jc w:val="left"/>
              <w:rPr>
                <w:rFonts w:ascii="Times New Roman" w:hAnsi="Times New Roman" w:cs="Times New Roman" w:eastAsia="Times New Roman" w:hint="default"/>
                <w:sz w:val="18"/>
                <w:szCs w:val="18"/>
              </w:rPr>
            </w:pPr>
            <w:hyperlink r:id="rId20">
              <w:r>
                <w:rPr>
                  <w:rFonts w:ascii="Times New Roman"/>
                  <w:spacing w:val="-3"/>
                  <w:sz w:val="18"/>
                </w:rPr>
                <w:t>http://www.cninfo.co</w:t>
              </w:r>
            </w:hyperlink>
            <w:r>
              <w:rPr>
                <w:rFonts w:ascii="Times New Roman"/>
                <w:spacing w:val="-2"/>
                <w:sz w:val="18"/>
              </w:rPr>
              <w:t> </w:t>
            </w:r>
            <w:r>
              <w:rPr>
                <w:rFonts w:ascii="Times New Roman"/>
                <w:spacing w:val="-2"/>
                <w:sz w:val="18"/>
              </w:rPr>
            </w:r>
            <w:r>
              <w:rPr>
                <w:rFonts w:ascii="Times New Roman"/>
                <w:sz w:val="18"/>
              </w:rPr>
              <w:t>m.cn</w:t>
            </w:r>
          </w:p>
        </w:tc>
      </w:tr>
      <w:tr>
        <w:trPr>
          <w:trHeight w:val="710" w:hRule="exact"/>
        </w:trPr>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3"/>
              <w:ind w:left="24" w:right="74"/>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4"/>
                <w:sz w:val="18"/>
                <w:szCs w:val="18"/>
              </w:rPr>
              <w:t> </w:t>
            </w:r>
            <w:r>
              <w:rPr>
                <w:rFonts w:ascii="宋体" w:hAnsi="宋体" w:cs="宋体" w:eastAsia="宋体" w:hint="default"/>
                <w:spacing w:val="-3"/>
                <w:sz w:val="18"/>
                <w:szCs w:val="18"/>
              </w:rPr>
              <w:t>年年度股东大</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年度股东大会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0.06%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6"/>
              <w:ind w:left="23" w:right="31"/>
              <w:jc w:val="left"/>
              <w:rPr>
                <w:rFonts w:ascii="Times New Roman" w:hAnsi="Times New Roman" w:cs="Times New Roman" w:eastAsia="Times New Roman" w:hint="default"/>
                <w:sz w:val="18"/>
                <w:szCs w:val="18"/>
              </w:rPr>
            </w:pPr>
            <w:hyperlink r:id="rId20">
              <w:r>
                <w:rPr>
                  <w:rFonts w:ascii="Times New Roman"/>
                  <w:spacing w:val="-3"/>
                  <w:sz w:val="18"/>
                </w:rPr>
                <w:t>http://www.cninfo.co</w:t>
              </w:r>
            </w:hyperlink>
            <w:r>
              <w:rPr>
                <w:rFonts w:ascii="Times New Roman"/>
                <w:spacing w:val="-2"/>
                <w:sz w:val="18"/>
              </w:rPr>
              <w:t> </w:t>
            </w:r>
            <w:r>
              <w:rPr>
                <w:rFonts w:ascii="Times New Roman"/>
                <w:spacing w:val="-2"/>
                <w:sz w:val="18"/>
              </w:rPr>
            </w:r>
            <w:r>
              <w:rPr>
                <w:rFonts w:ascii="Times New Roman"/>
                <w:sz w:val="18"/>
              </w:rPr>
              <w:t>m.cn</w:t>
            </w:r>
          </w:p>
        </w:tc>
      </w:tr>
      <w:tr>
        <w:trPr>
          <w:trHeight w:val="715" w:hRule="exact"/>
        </w:trPr>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53"/>
              <w:ind w:left="24" w:right="74"/>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4"/>
                <w:sz w:val="18"/>
                <w:szCs w:val="18"/>
              </w:rPr>
              <w:t> </w:t>
            </w:r>
            <w:r>
              <w:rPr>
                <w:rFonts w:ascii="宋体" w:hAnsi="宋体" w:cs="宋体" w:eastAsia="宋体" w:hint="default"/>
                <w:spacing w:val="-3"/>
                <w:sz w:val="18"/>
                <w:szCs w:val="18"/>
              </w:rPr>
              <w:t>年第二次临时</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0.01%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67" w:lineRule="auto" w:before="96"/>
              <w:ind w:left="23" w:right="31"/>
              <w:jc w:val="left"/>
              <w:rPr>
                <w:rFonts w:ascii="Times New Roman" w:hAnsi="Times New Roman" w:cs="Times New Roman" w:eastAsia="Times New Roman" w:hint="default"/>
                <w:sz w:val="18"/>
                <w:szCs w:val="18"/>
              </w:rPr>
            </w:pPr>
            <w:hyperlink r:id="rId20">
              <w:r>
                <w:rPr>
                  <w:rFonts w:ascii="Times New Roman"/>
                  <w:spacing w:val="-3"/>
                  <w:sz w:val="18"/>
                </w:rPr>
                <w:t>http://www.cninfo.co</w:t>
              </w:r>
            </w:hyperlink>
            <w:r>
              <w:rPr>
                <w:rFonts w:ascii="Times New Roman"/>
                <w:spacing w:val="-2"/>
                <w:sz w:val="18"/>
              </w:rPr>
              <w:t> </w:t>
            </w:r>
            <w:r>
              <w:rPr>
                <w:rFonts w:ascii="Times New Roman"/>
                <w:spacing w:val="-2"/>
                <w:sz w:val="18"/>
              </w:rPr>
            </w:r>
            <w:r>
              <w:rPr>
                <w:rFonts w:ascii="Times New Roman"/>
                <w:sz w:val="18"/>
              </w:rPr>
              <w:t>m.cn</w:t>
            </w:r>
          </w:p>
        </w:tc>
      </w:tr>
      <w:tr>
        <w:trPr>
          <w:trHeight w:val="715" w:hRule="exact"/>
        </w:trPr>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3"/>
              <w:ind w:left="24" w:right="74"/>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4"/>
                <w:sz w:val="18"/>
                <w:szCs w:val="18"/>
              </w:rPr>
              <w:t> </w:t>
            </w:r>
            <w:r>
              <w:rPr>
                <w:rFonts w:ascii="宋体" w:hAnsi="宋体" w:cs="宋体" w:eastAsia="宋体" w:hint="default"/>
                <w:spacing w:val="-3"/>
                <w:sz w:val="18"/>
                <w:szCs w:val="18"/>
              </w:rPr>
              <w:t>年第三次临时</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0.39%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6"/>
              <w:ind w:left="23" w:right="31"/>
              <w:jc w:val="left"/>
              <w:rPr>
                <w:rFonts w:ascii="Times New Roman" w:hAnsi="Times New Roman" w:cs="Times New Roman" w:eastAsia="Times New Roman" w:hint="default"/>
                <w:sz w:val="18"/>
                <w:szCs w:val="18"/>
              </w:rPr>
            </w:pPr>
            <w:hyperlink r:id="rId20">
              <w:r>
                <w:rPr>
                  <w:rFonts w:ascii="Times New Roman"/>
                  <w:spacing w:val="-3"/>
                  <w:sz w:val="18"/>
                </w:rPr>
                <w:t>http://www.cninfo.co</w:t>
              </w:r>
            </w:hyperlink>
            <w:r>
              <w:rPr>
                <w:rFonts w:ascii="Times New Roman"/>
                <w:spacing w:val="-2"/>
                <w:sz w:val="18"/>
              </w:rPr>
              <w:t> </w:t>
            </w:r>
            <w:r>
              <w:rPr>
                <w:rFonts w:ascii="Times New Roman"/>
                <w:spacing w:val="-2"/>
                <w:sz w:val="18"/>
              </w:rPr>
            </w:r>
            <w:r>
              <w:rPr>
                <w:rFonts w:ascii="Times New Roman"/>
                <w:sz w:val="18"/>
              </w:rPr>
              <w:t>m.cn</w:t>
            </w:r>
          </w:p>
        </w:tc>
      </w:tr>
      <w:tr>
        <w:trPr>
          <w:trHeight w:val="715" w:hRule="exact"/>
        </w:trPr>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3"/>
              <w:ind w:left="24" w:right="74"/>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4"/>
                <w:sz w:val="18"/>
                <w:szCs w:val="18"/>
              </w:rPr>
              <w:t> </w:t>
            </w:r>
            <w:r>
              <w:rPr>
                <w:rFonts w:ascii="宋体" w:hAnsi="宋体" w:cs="宋体" w:eastAsia="宋体" w:hint="default"/>
                <w:spacing w:val="-3"/>
                <w:sz w:val="18"/>
                <w:szCs w:val="18"/>
              </w:rPr>
              <w:t>年第四次临时</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0.02%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5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6"/>
              <w:ind w:left="23" w:right="31"/>
              <w:jc w:val="left"/>
              <w:rPr>
                <w:rFonts w:ascii="Times New Roman" w:hAnsi="Times New Roman" w:cs="Times New Roman" w:eastAsia="Times New Roman" w:hint="default"/>
                <w:sz w:val="18"/>
                <w:szCs w:val="18"/>
              </w:rPr>
            </w:pPr>
            <w:hyperlink r:id="rId20">
              <w:r>
                <w:rPr>
                  <w:rFonts w:ascii="Times New Roman"/>
                  <w:spacing w:val="-3"/>
                  <w:sz w:val="18"/>
                </w:rPr>
                <w:t>http://www.cninfo.co</w:t>
              </w:r>
            </w:hyperlink>
            <w:r>
              <w:rPr>
                <w:rFonts w:ascii="Times New Roman"/>
                <w:spacing w:val="-2"/>
                <w:sz w:val="18"/>
              </w:rPr>
              <w:t> </w:t>
            </w:r>
            <w:r>
              <w:rPr>
                <w:rFonts w:ascii="Times New Roman"/>
                <w:spacing w:val="-2"/>
                <w:sz w:val="18"/>
              </w:rPr>
            </w:r>
            <w:r>
              <w:rPr>
                <w:rFonts w:ascii="Times New Roman"/>
                <w:sz w:val="18"/>
              </w:rPr>
              <w:t>m.cn</w:t>
            </w:r>
          </w:p>
        </w:tc>
      </w:tr>
      <w:tr>
        <w:trPr>
          <w:trHeight w:val="710" w:hRule="exact"/>
        </w:trPr>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3"/>
              <w:ind w:left="24" w:right="74"/>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4"/>
                <w:sz w:val="18"/>
                <w:szCs w:val="18"/>
              </w:rPr>
              <w:t> </w:t>
            </w:r>
            <w:r>
              <w:rPr>
                <w:rFonts w:ascii="宋体" w:hAnsi="宋体" w:cs="宋体" w:eastAsia="宋体" w:hint="default"/>
                <w:spacing w:val="-3"/>
                <w:sz w:val="18"/>
                <w:szCs w:val="18"/>
              </w:rPr>
              <w:t>年第五次临时</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0.32%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6"/>
              <w:ind w:left="23" w:right="31"/>
              <w:jc w:val="left"/>
              <w:rPr>
                <w:rFonts w:ascii="Times New Roman" w:hAnsi="Times New Roman" w:cs="Times New Roman" w:eastAsia="Times New Roman" w:hint="default"/>
                <w:sz w:val="18"/>
                <w:szCs w:val="18"/>
              </w:rPr>
            </w:pPr>
            <w:hyperlink r:id="rId20">
              <w:r>
                <w:rPr>
                  <w:rFonts w:ascii="Times New Roman"/>
                  <w:spacing w:val="-3"/>
                  <w:sz w:val="18"/>
                </w:rPr>
                <w:t>http://www.cninfo.co</w:t>
              </w:r>
            </w:hyperlink>
            <w:r>
              <w:rPr>
                <w:rFonts w:ascii="Times New Roman"/>
                <w:spacing w:val="-2"/>
                <w:sz w:val="18"/>
              </w:rPr>
              <w:t> </w:t>
            </w:r>
            <w:r>
              <w:rPr>
                <w:rFonts w:ascii="Times New Roman"/>
                <w:spacing w:val="-2"/>
                <w:sz w:val="18"/>
              </w:rPr>
            </w:r>
            <w:r>
              <w:rPr>
                <w:rFonts w:ascii="Times New Roman"/>
                <w:sz w:val="18"/>
              </w:rPr>
              <w:t>m.cn</w:t>
            </w:r>
          </w:p>
        </w:tc>
      </w:tr>
    </w:tbl>
    <w:p>
      <w:pPr>
        <w:spacing w:line="240" w:lineRule="auto" w:before="8"/>
        <w:rPr>
          <w:rFonts w:ascii="Microsoft JhengHei" w:hAnsi="Microsoft JhengHei" w:cs="Microsoft JhengHei" w:eastAsia="Microsoft JhengHei" w:hint="default"/>
          <w:b/>
          <w:bCs/>
          <w:sz w:val="14"/>
          <w:szCs w:val="14"/>
        </w:rPr>
      </w:pPr>
    </w:p>
    <w:p>
      <w:pPr>
        <w:pStyle w:val="Heading4"/>
        <w:spacing w:line="335" w:lineRule="exact"/>
        <w:ind w:right="0"/>
        <w:jc w:val="left"/>
        <w:rPr>
          <w:b w:val="0"/>
          <w:bCs w:val="0"/>
        </w:rPr>
      </w:pPr>
      <w:r>
        <w:rPr>
          <w:rFonts w:ascii="Times New Roman" w:hAnsi="Times New Roman" w:cs="Times New Roman" w:eastAsia="Times New Roman" w:hint="default"/>
        </w:rPr>
        <w:t>2</w:t>
      </w:r>
      <w:r>
        <w:rPr/>
        <w:t>、表决权恢复的优先股股东请求召开临时股东大会</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17"/>
          <w:szCs w:val="17"/>
        </w:rPr>
      </w:pPr>
    </w:p>
    <w:p>
      <w:pPr>
        <w:pStyle w:val="Heading2"/>
        <w:spacing w:line="240" w:lineRule="auto"/>
        <w:ind w:right="0"/>
        <w:jc w:val="left"/>
        <w:rPr>
          <w:b w:val="0"/>
          <w:bCs w:val="0"/>
        </w:rPr>
      </w:pPr>
      <w:r>
        <w:rPr/>
        <w:t>五、报告期内独立董事履行职责的情况</w:t>
      </w:r>
      <w:r>
        <w:rPr>
          <w:b w:val="0"/>
          <w:bCs w:val="0"/>
        </w:rPr>
      </w:r>
    </w:p>
    <w:p>
      <w:pPr>
        <w:spacing w:line="240" w:lineRule="auto" w:before="10"/>
        <w:rPr>
          <w:rFonts w:ascii="Microsoft JhengHei" w:hAnsi="Microsoft JhengHei" w:cs="Microsoft JhengHei" w:eastAsia="Microsoft JhengHei" w:hint="default"/>
          <w:b/>
          <w:bCs/>
          <w:sz w:val="13"/>
          <w:szCs w:val="13"/>
        </w:rPr>
      </w:pPr>
    </w:p>
    <w:p>
      <w:pPr>
        <w:pStyle w:val="Heading4"/>
        <w:spacing w:line="240" w:lineRule="auto"/>
        <w:ind w:right="0"/>
        <w:jc w:val="left"/>
        <w:rPr>
          <w:b w:val="0"/>
          <w:bCs w:val="0"/>
        </w:rPr>
      </w:pP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17"/>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1622"/>
        <w:gridCol w:w="1325"/>
        <w:gridCol w:w="1325"/>
        <w:gridCol w:w="1325"/>
        <w:gridCol w:w="1325"/>
        <w:gridCol w:w="1325"/>
        <w:gridCol w:w="1320"/>
      </w:tblGrid>
      <w:tr>
        <w:trPr>
          <w:trHeight w:val="400" w:hRule="exact"/>
        </w:trPr>
        <w:tc>
          <w:tcPr>
            <w:tcW w:w="9566"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独立董事出席董事会情况</w:t>
            </w:r>
          </w:p>
        </w:tc>
      </w:tr>
      <w:tr>
        <w:trPr>
          <w:trHeight w:val="713"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0"/>
              <w:jc w:val="left"/>
              <w:rPr>
                <w:rFonts w:ascii="Microsoft JhengHei" w:hAnsi="Microsoft JhengHei" w:cs="Microsoft JhengHei" w:eastAsia="Microsoft JhengHei" w:hint="default"/>
                <w:b/>
                <w:bCs/>
                <w:sz w:val="11"/>
                <w:szCs w:val="11"/>
              </w:rPr>
            </w:pPr>
          </w:p>
          <w:p>
            <w:pPr>
              <w:pStyle w:val="TableParagraph"/>
              <w:spacing w:line="240" w:lineRule="auto"/>
              <w:ind w:left="264" w:right="0"/>
              <w:jc w:val="left"/>
              <w:rPr>
                <w:rFonts w:ascii="宋体" w:hAnsi="宋体" w:cs="宋体" w:eastAsia="宋体" w:hint="default"/>
                <w:sz w:val="18"/>
                <w:szCs w:val="18"/>
              </w:rPr>
            </w:pPr>
            <w:r>
              <w:rPr>
                <w:rFonts w:ascii="宋体" w:hAnsi="宋体" w:cs="宋体" w:eastAsia="宋体" w:hint="default"/>
                <w:sz w:val="18"/>
                <w:szCs w:val="18"/>
              </w:rPr>
              <w:t>独立董事姓名</w:t>
            </w:r>
          </w:p>
        </w:tc>
        <w:tc>
          <w:tcPr>
            <w:tcW w:w="1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1"/>
              <w:ind w:left="206" w:right="22" w:hanging="178"/>
              <w:jc w:val="left"/>
              <w:rPr>
                <w:rFonts w:ascii="宋体" w:hAnsi="宋体" w:cs="宋体" w:eastAsia="宋体" w:hint="default"/>
                <w:sz w:val="18"/>
                <w:szCs w:val="18"/>
              </w:rPr>
            </w:pPr>
            <w:r>
              <w:rPr>
                <w:rFonts w:ascii="宋体" w:hAnsi="宋体" w:cs="宋体" w:eastAsia="宋体" w:hint="default"/>
                <w:spacing w:val="-3"/>
                <w:sz w:val="18"/>
                <w:szCs w:val="18"/>
              </w:rPr>
              <w:t>本报告期应参加</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董事会次数</w:t>
            </w:r>
          </w:p>
        </w:tc>
        <w:tc>
          <w:tcPr>
            <w:tcW w:w="1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0"/>
              <w:jc w:val="left"/>
              <w:rPr>
                <w:rFonts w:ascii="Microsoft JhengHei" w:hAnsi="Microsoft JhengHei" w:cs="Microsoft JhengHei" w:eastAsia="Microsoft JhengHei" w:hint="default"/>
                <w:b/>
                <w:bCs/>
                <w:sz w:val="11"/>
                <w:szCs w:val="11"/>
              </w:rPr>
            </w:pPr>
          </w:p>
          <w:p>
            <w:pPr>
              <w:pStyle w:val="TableParagraph"/>
              <w:spacing w:line="240" w:lineRule="auto"/>
              <w:ind w:left="115" w:right="0"/>
              <w:jc w:val="left"/>
              <w:rPr>
                <w:rFonts w:ascii="宋体" w:hAnsi="宋体" w:cs="宋体" w:eastAsia="宋体" w:hint="default"/>
                <w:sz w:val="18"/>
                <w:szCs w:val="18"/>
              </w:rPr>
            </w:pPr>
            <w:r>
              <w:rPr>
                <w:rFonts w:ascii="宋体" w:hAnsi="宋体" w:cs="宋体" w:eastAsia="宋体" w:hint="default"/>
                <w:sz w:val="18"/>
                <w:szCs w:val="18"/>
              </w:rPr>
              <w:t>现场出席次数</w:t>
            </w:r>
          </w:p>
        </w:tc>
        <w:tc>
          <w:tcPr>
            <w:tcW w:w="1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1"/>
              <w:ind w:left="475" w:right="22" w:hanging="447"/>
              <w:jc w:val="left"/>
              <w:rPr>
                <w:rFonts w:ascii="宋体" w:hAnsi="宋体" w:cs="宋体" w:eastAsia="宋体" w:hint="default"/>
                <w:sz w:val="18"/>
                <w:szCs w:val="18"/>
              </w:rPr>
            </w:pPr>
            <w:r>
              <w:rPr>
                <w:rFonts w:ascii="宋体" w:hAnsi="宋体" w:cs="宋体" w:eastAsia="宋体" w:hint="default"/>
                <w:spacing w:val="-3"/>
                <w:sz w:val="18"/>
                <w:szCs w:val="18"/>
              </w:rPr>
              <w:t>以通讯方式参加</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次数</w:t>
            </w:r>
          </w:p>
        </w:tc>
        <w:tc>
          <w:tcPr>
            <w:tcW w:w="1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0"/>
              <w:jc w:val="left"/>
              <w:rPr>
                <w:rFonts w:ascii="Microsoft JhengHei" w:hAnsi="Microsoft JhengHei" w:cs="Microsoft JhengHei" w:eastAsia="Microsoft JhengHei" w:hint="default"/>
                <w:b/>
                <w:bCs/>
                <w:sz w:val="11"/>
                <w:szCs w:val="11"/>
              </w:rPr>
            </w:pPr>
          </w:p>
          <w:p>
            <w:pPr>
              <w:pStyle w:val="TableParagraph"/>
              <w:spacing w:line="240" w:lineRule="auto"/>
              <w:ind w:left="115" w:right="0"/>
              <w:jc w:val="left"/>
              <w:rPr>
                <w:rFonts w:ascii="宋体" w:hAnsi="宋体" w:cs="宋体" w:eastAsia="宋体" w:hint="default"/>
                <w:sz w:val="18"/>
                <w:szCs w:val="18"/>
              </w:rPr>
            </w:pPr>
            <w:r>
              <w:rPr>
                <w:rFonts w:ascii="宋体" w:hAnsi="宋体" w:cs="宋体" w:eastAsia="宋体" w:hint="default"/>
                <w:sz w:val="18"/>
                <w:szCs w:val="18"/>
              </w:rPr>
              <w:t>委托出席次数</w:t>
            </w:r>
          </w:p>
        </w:tc>
        <w:tc>
          <w:tcPr>
            <w:tcW w:w="1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0"/>
              <w:jc w:val="left"/>
              <w:rPr>
                <w:rFonts w:ascii="Microsoft JhengHei" w:hAnsi="Microsoft JhengHei" w:cs="Microsoft JhengHei" w:eastAsia="Microsoft JhengHei" w:hint="default"/>
                <w:b/>
                <w:bCs/>
                <w:sz w:val="11"/>
                <w:szCs w:val="11"/>
              </w:rPr>
            </w:pPr>
          </w:p>
          <w:p>
            <w:pPr>
              <w:pStyle w:val="TableParagraph"/>
              <w:spacing w:line="240" w:lineRule="auto"/>
              <w:ind w:left="292" w:right="0"/>
              <w:jc w:val="left"/>
              <w:rPr>
                <w:rFonts w:ascii="宋体" w:hAnsi="宋体" w:cs="宋体" w:eastAsia="宋体" w:hint="default"/>
                <w:sz w:val="18"/>
                <w:szCs w:val="18"/>
              </w:rPr>
            </w:pPr>
            <w:r>
              <w:rPr>
                <w:rFonts w:ascii="宋体" w:hAnsi="宋体" w:cs="宋体" w:eastAsia="宋体" w:hint="default"/>
                <w:sz w:val="18"/>
                <w:szCs w:val="18"/>
              </w:rPr>
              <w:t>缺席次数</w:t>
            </w:r>
          </w:p>
        </w:tc>
        <w:tc>
          <w:tcPr>
            <w:tcW w:w="13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1"/>
              <w:ind w:left="110" w:right="22" w:hanging="87"/>
              <w:jc w:val="left"/>
              <w:rPr>
                <w:rFonts w:ascii="宋体" w:hAnsi="宋体" w:cs="宋体" w:eastAsia="宋体" w:hint="default"/>
                <w:sz w:val="18"/>
                <w:szCs w:val="18"/>
              </w:rPr>
            </w:pPr>
            <w:r>
              <w:rPr>
                <w:rFonts w:ascii="宋体" w:hAnsi="宋体" w:cs="宋体" w:eastAsia="宋体" w:hint="default"/>
                <w:spacing w:val="-3"/>
                <w:sz w:val="18"/>
                <w:szCs w:val="18"/>
              </w:rPr>
              <w:t>是否连续两次未</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亲自参加会议</w:t>
            </w:r>
          </w:p>
        </w:tc>
      </w:tr>
    </w:tbl>
    <w:p>
      <w:pPr>
        <w:spacing w:after="0" w:line="321" w:lineRule="auto"/>
        <w:jc w:val="left"/>
        <w:rPr>
          <w:rFonts w:ascii="宋体" w:hAnsi="宋体" w:cs="宋体" w:eastAsia="宋体" w:hint="default"/>
          <w:sz w:val="18"/>
          <w:szCs w:val="18"/>
        </w:rPr>
        <w:sectPr>
          <w:pgSz w:w="11900" w:h="16840"/>
          <w:pgMar w:header="872" w:footer="984" w:top="1060" w:bottom="1180" w:left="980" w:right="920"/>
        </w:sectPr>
      </w:pPr>
    </w:p>
    <w:p>
      <w:pPr>
        <w:spacing w:line="240" w:lineRule="auto" w:before="12"/>
        <w:rPr>
          <w:rFonts w:ascii="Microsoft JhengHei" w:hAnsi="Microsoft JhengHei" w:cs="Microsoft JhengHei" w:eastAsia="Microsoft JhengHei" w:hint="default"/>
          <w:b/>
          <w:bCs/>
          <w:sz w:val="21"/>
          <w:szCs w:val="21"/>
        </w:rPr>
      </w:pPr>
    </w:p>
    <w:tbl>
      <w:tblPr>
        <w:tblW w:w="0" w:type="auto"/>
        <w:jc w:val="left"/>
        <w:tblInd w:w="148" w:type="dxa"/>
        <w:tblLayout w:type="fixed"/>
        <w:tblCellMar>
          <w:top w:w="0" w:type="dxa"/>
          <w:left w:w="0" w:type="dxa"/>
          <w:bottom w:w="0" w:type="dxa"/>
          <w:right w:w="0" w:type="dxa"/>
        </w:tblCellMar>
        <w:tblLook w:val="01E0"/>
      </w:tblPr>
      <w:tblGrid>
        <w:gridCol w:w="1622"/>
        <w:gridCol w:w="1325"/>
        <w:gridCol w:w="1325"/>
        <w:gridCol w:w="1325"/>
        <w:gridCol w:w="1325"/>
        <w:gridCol w:w="1325"/>
        <w:gridCol w:w="1320"/>
      </w:tblGrid>
      <w:tr>
        <w:trPr>
          <w:trHeight w:val="403" w:hRule="exact"/>
        </w:trPr>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洪波</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12</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12</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398" w:hRule="exact"/>
        </w:trPr>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许萍</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7</w:t>
            </w:r>
            <w:r>
              <w:rPr>
                <w:rFonts w:ascii="Times New Roman"/>
                <w:sz w:val="18"/>
              </w:rPr>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7</w:t>
            </w:r>
            <w:r>
              <w:rPr>
                <w:rFonts w:ascii="Times New Roman"/>
                <w:sz w:val="18"/>
              </w:rPr>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胡穗华</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7</w:t>
            </w:r>
            <w:r>
              <w:rPr>
                <w:rFonts w:ascii="Times New Roman"/>
                <w:sz w:val="18"/>
              </w:rPr>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6</w:t>
            </w:r>
            <w:r>
              <w:rPr>
                <w:rFonts w:ascii="Times New Roman"/>
                <w:sz w:val="18"/>
              </w:rPr>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林双林</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r>
      <w:tr>
        <w:trPr>
          <w:trHeight w:val="403" w:hRule="exact"/>
        </w:trPr>
        <w:tc>
          <w:tcPr>
            <w:tcW w:w="294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独立董事列席股东大会次数</w:t>
            </w:r>
          </w:p>
        </w:tc>
        <w:tc>
          <w:tcPr>
            <w:tcW w:w="66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r>
    </w:tbl>
    <w:p>
      <w:pPr>
        <w:spacing w:line="357" w:lineRule="auto" w:before="53"/>
        <w:ind w:left="152" w:right="7053" w:firstLine="0"/>
        <w:jc w:val="left"/>
        <w:rPr>
          <w:rFonts w:ascii="宋体" w:hAnsi="宋体" w:cs="宋体" w:eastAsia="宋体" w:hint="default"/>
          <w:sz w:val="18"/>
          <w:szCs w:val="18"/>
        </w:rPr>
      </w:pPr>
      <w:r>
        <w:rPr>
          <w:rFonts w:ascii="宋体" w:hAnsi="宋体" w:cs="宋体" w:eastAsia="宋体" w:hint="default"/>
          <w:spacing w:val="-3"/>
          <w:sz w:val="18"/>
          <w:szCs w:val="18"/>
        </w:rPr>
        <w:t>连续两次未亲自出席董事会的说明</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无</w:t>
      </w:r>
    </w:p>
    <w:p>
      <w:pPr>
        <w:spacing w:line="240" w:lineRule="auto" w:before="10"/>
        <w:rPr>
          <w:rFonts w:ascii="宋体" w:hAnsi="宋体" w:cs="宋体" w:eastAsia="宋体" w:hint="default"/>
          <w:sz w:val="14"/>
          <w:szCs w:val="14"/>
        </w:rPr>
      </w:pPr>
    </w:p>
    <w:p>
      <w:pPr>
        <w:pStyle w:val="Heading4"/>
        <w:spacing w:line="240" w:lineRule="auto"/>
        <w:ind w:right="109"/>
        <w:jc w:val="left"/>
        <w:rPr>
          <w:b w:val="0"/>
          <w:bCs w:val="0"/>
        </w:rPr>
      </w:pP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109" w:firstLine="0"/>
        <w:jc w:val="left"/>
        <w:rPr>
          <w:rFonts w:ascii="宋体" w:hAnsi="宋体" w:cs="宋体" w:eastAsia="宋体" w:hint="default"/>
          <w:sz w:val="18"/>
          <w:szCs w:val="18"/>
        </w:rPr>
      </w:pPr>
      <w:r>
        <w:rPr>
          <w:rFonts w:ascii="宋体" w:hAnsi="宋体" w:cs="宋体" w:eastAsia="宋体" w:hint="default"/>
          <w:spacing w:val="-3"/>
          <w:sz w:val="18"/>
          <w:szCs w:val="18"/>
        </w:rPr>
        <w:t>独立董事对公司有关事项是否提出异议</w:t>
      </w:r>
    </w:p>
    <w:p>
      <w:pPr>
        <w:spacing w:line="338" w:lineRule="auto" w:before="115"/>
        <w:ind w:left="152" w:right="538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是</w:t>
      </w:r>
      <w:r>
        <w:rPr>
          <w:rFonts w:ascii="宋体" w:hAnsi="宋体" w:cs="宋体" w:eastAsia="宋体" w:hint="default"/>
          <w:spacing w:val="-4"/>
          <w:sz w:val="18"/>
          <w:szCs w:val="18"/>
        </w:rPr>
        <w:t>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否</w:t>
      </w:r>
      <w:r>
        <w:rPr>
          <w:rFonts w:ascii="宋体" w:hAnsi="宋体" w:cs="宋体" w:eastAsia="宋体" w:hint="default"/>
          <w:spacing w:val="-84"/>
          <w:sz w:val="18"/>
          <w:szCs w:val="18"/>
        </w:rPr>
        <w:t> </w:t>
      </w:r>
      <w:r>
        <w:rPr>
          <w:rFonts w:ascii="宋体" w:hAnsi="宋体" w:cs="宋体" w:eastAsia="宋体" w:hint="default"/>
          <w:spacing w:val="-3"/>
          <w:sz w:val="18"/>
          <w:szCs w:val="18"/>
        </w:rPr>
        <w:t>报告期内独立董事对公司有关事项未提出异议。</w:t>
      </w:r>
    </w:p>
    <w:p>
      <w:pPr>
        <w:spacing w:line="240" w:lineRule="auto" w:before="12"/>
        <w:rPr>
          <w:rFonts w:ascii="宋体" w:hAnsi="宋体" w:cs="宋体" w:eastAsia="宋体" w:hint="default"/>
          <w:sz w:val="15"/>
          <w:szCs w:val="15"/>
        </w:rPr>
      </w:pPr>
    </w:p>
    <w:p>
      <w:pPr>
        <w:pStyle w:val="Heading4"/>
        <w:spacing w:line="240" w:lineRule="auto"/>
        <w:ind w:right="109"/>
        <w:jc w:val="left"/>
        <w:rPr>
          <w:b w:val="0"/>
          <w:bCs w:val="0"/>
        </w:rPr>
      </w:pPr>
      <w:r>
        <w:rPr>
          <w:rFonts w:ascii="Times New Roman" w:hAnsi="Times New Roman" w:cs="Times New Roman" w:eastAsia="Times New Roman" w:hint="default"/>
        </w:rPr>
        <w:t>3</w:t>
      </w:r>
      <w:r>
        <w:rPr/>
        <w:t>、独立董事履行职责的其他说明</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109" w:firstLine="0"/>
        <w:jc w:val="left"/>
        <w:rPr>
          <w:rFonts w:ascii="宋体" w:hAnsi="宋体" w:cs="宋体" w:eastAsia="宋体" w:hint="default"/>
          <w:sz w:val="18"/>
          <w:szCs w:val="18"/>
        </w:rPr>
      </w:pPr>
      <w:r>
        <w:rPr>
          <w:rFonts w:ascii="宋体" w:hAnsi="宋体" w:cs="宋体" w:eastAsia="宋体" w:hint="default"/>
          <w:spacing w:val="-3"/>
          <w:sz w:val="18"/>
          <w:szCs w:val="18"/>
        </w:rPr>
        <w:t>独立董事对公司有关建议是否被采纳</w:t>
      </w:r>
    </w:p>
    <w:p>
      <w:pPr>
        <w:spacing w:line="338" w:lineRule="auto" w:before="115"/>
        <w:ind w:left="152" w:right="538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是</w:t>
      </w:r>
      <w:r>
        <w:rPr>
          <w:rFonts w:ascii="宋体" w:hAnsi="宋体" w:cs="宋体" w:eastAsia="宋体" w:hint="default"/>
          <w:spacing w:val="-4"/>
          <w:sz w:val="18"/>
          <w:szCs w:val="18"/>
        </w:rPr>
        <w:t>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否</w:t>
      </w:r>
      <w:r>
        <w:rPr>
          <w:rFonts w:ascii="宋体" w:hAnsi="宋体" w:cs="宋体" w:eastAsia="宋体" w:hint="default"/>
          <w:spacing w:val="-84"/>
          <w:sz w:val="18"/>
          <w:szCs w:val="18"/>
        </w:rPr>
        <w:t> </w:t>
      </w:r>
      <w:r>
        <w:rPr>
          <w:rFonts w:ascii="宋体" w:hAnsi="宋体" w:cs="宋体" w:eastAsia="宋体" w:hint="default"/>
          <w:spacing w:val="-3"/>
          <w:sz w:val="18"/>
          <w:szCs w:val="18"/>
        </w:rPr>
        <w:t>独立董事对公司有关建议被采纳或未被采纳的说明</w:t>
      </w:r>
    </w:p>
    <w:p>
      <w:pPr>
        <w:pStyle w:val="BodyText"/>
        <w:spacing w:line="273" w:lineRule="auto" w:before="15"/>
        <w:ind w:right="109" w:firstLine="422"/>
        <w:jc w:val="left"/>
      </w:pPr>
      <w:r>
        <w:rPr/>
        <w:t>报告期内，公司充分尊重独立董事提出的各项建议和意见，在信息披露、财务审计、利润分配、重大</w:t>
      </w:r>
      <w:r>
        <w:rPr>
          <w:w w:val="100"/>
        </w:rPr>
        <w:t> </w:t>
      </w:r>
      <w:r>
        <w:rPr>
          <w:spacing w:val="-4"/>
        </w:rPr>
        <w:t>投资决策以及高级管理人员聘任等方面，提请独立董事审议，确保独立董事能够全面和深入了解具体内容，</w:t>
      </w:r>
      <w:r>
        <w:rPr>
          <w:spacing w:val="-44"/>
        </w:rPr>
        <w:t> </w:t>
      </w:r>
      <w:r>
        <w:rPr>
          <w:spacing w:val="-44"/>
        </w:rPr>
      </w:r>
      <w:r>
        <w:rPr/>
        <w:t>为公司规范化治理的提高，起到了积极地推动作用。</w:t>
      </w:r>
    </w:p>
    <w:p>
      <w:pPr>
        <w:spacing w:line="240" w:lineRule="auto" w:before="7"/>
        <w:rPr>
          <w:rFonts w:ascii="宋体" w:hAnsi="宋体" w:cs="宋体" w:eastAsia="宋体" w:hint="default"/>
          <w:sz w:val="15"/>
          <w:szCs w:val="15"/>
        </w:rPr>
      </w:pPr>
    </w:p>
    <w:p>
      <w:pPr>
        <w:pStyle w:val="Heading2"/>
        <w:spacing w:line="240" w:lineRule="auto"/>
        <w:ind w:right="109"/>
        <w:jc w:val="left"/>
        <w:rPr>
          <w:b w:val="0"/>
          <w:bCs w:val="0"/>
        </w:rPr>
      </w:pPr>
      <w:r>
        <w:rPr/>
        <w:t>六、董事会下设专门委员会在报告期内履行职责情况</w:t>
      </w:r>
      <w:r>
        <w:rPr>
          <w:b w:val="0"/>
          <w:bCs w:val="0"/>
        </w:rPr>
      </w:r>
    </w:p>
    <w:p>
      <w:pPr>
        <w:spacing w:line="240" w:lineRule="auto" w:before="3"/>
        <w:rPr>
          <w:rFonts w:ascii="Microsoft JhengHei" w:hAnsi="Microsoft JhengHei" w:cs="Microsoft JhengHei" w:eastAsia="Microsoft JhengHei" w:hint="default"/>
          <w:b/>
          <w:bCs/>
          <w:sz w:val="17"/>
          <w:szCs w:val="17"/>
        </w:rPr>
      </w:pPr>
    </w:p>
    <w:p>
      <w:pPr>
        <w:pStyle w:val="BodyText"/>
        <w:spacing w:line="273" w:lineRule="auto"/>
        <w:ind w:right="109" w:firstLine="422"/>
        <w:jc w:val="left"/>
      </w:pPr>
      <w:r>
        <w:rPr>
          <w:spacing w:val="-2"/>
        </w:rPr>
        <w:t>公司第三届董事会下设四个专门委员会，分别为提名委员会、审计委员会、薪酬与考核委员会、战略</w:t>
      </w:r>
      <w:r>
        <w:rPr>
          <w:w w:val="100"/>
        </w:rPr>
        <w:t> </w:t>
      </w:r>
      <w:r>
        <w:rPr/>
        <w:t>委员会。专门委员会在报告期内的履职情况如下：</w:t>
      </w:r>
    </w:p>
    <w:p>
      <w:pPr>
        <w:pStyle w:val="BodyText"/>
        <w:spacing w:line="264" w:lineRule="auto" w:before="7"/>
        <w:ind w:left="575" w:right="109"/>
        <w:jc w:val="left"/>
      </w:pPr>
      <w:r>
        <w:rPr>
          <w:rFonts w:ascii="Times New Roman" w:hAnsi="Times New Roman" w:cs="Times New Roman" w:eastAsia="Times New Roman" w:hint="default"/>
        </w:rPr>
        <w:t>1</w:t>
      </w:r>
      <w:r>
        <w:rPr/>
        <w:t>、提名委员会履职情况</w:t>
      </w:r>
      <w:r>
        <w:rPr>
          <w:spacing w:val="-103"/>
        </w:rPr>
        <w:t> </w:t>
      </w:r>
      <w:r>
        <w:rPr>
          <w:spacing w:val="-103"/>
        </w:rPr>
      </w:r>
      <w:r>
        <w:rPr>
          <w:spacing w:val="-4"/>
        </w:rPr>
        <w:t>报告期内，第三届董事会提名委员会召开三次会议。审议了提名独立董事、高级管理人员的相关议案。</w:t>
      </w:r>
      <w:r>
        <w:rPr>
          <w:spacing w:val="-53"/>
        </w:rPr>
        <w:t> </w:t>
      </w:r>
      <w:r>
        <w:rPr>
          <w:spacing w:val="-53"/>
        </w:rPr>
      </w:r>
      <w:r>
        <w:rPr>
          <w:rFonts w:ascii="Times New Roman" w:hAnsi="Times New Roman" w:cs="Times New Roman" w:eastAsia="Times New Roman" w:hint="default"/>
        </w:rPr>
        <w:t>2</w:t>
      </w:r>
      <w:r>
        <w:rPr/>
        <w:t>、审计委员会履职情况</w:t>
      </w:r>
    </w:p>
    <w:p>
      <w:pPr>
        <w:pStyle w:val="BodyText"/>
        <w:spacing w:line="264" w:lineRule="auto"/>
        <w:ind w:right="109" w:firstLine="422"/>
        <w:jc w:val="left"/>
      </w:pPr>
      <w:r>
        <w:rPr/>
        <w:t>（</w:t>
      </w:r>
      <w:r>
        <w:rPr>
          <w:rFonts w:ascii="Times New Roman" w:hAnsi="Times New Roman" w:cs="Times New Roman" w:eastAsia="Times New Roman" w:hint="default"/>
        </w:rPr>
        <w:t>1</w:t>
      </w:r>
      <w:r>
        <w:rPr/>
        <w:t>）报告期内，审计委员会共召开五次审计委员会议，每季度对公司内部控制制度执行情况、内部</w:t>
      </w:r>
      <w:r>
        <w:rPr>
          <w:w w:val="100"/>
        </w:rPr>
        <w:t> </w:t>
      </w:r>
      <w:r>
        <w:rPr>
          <w:spacing w:val="-2"/>
        </w:rPr>
        <w:t>审计机构审计情况做检查，并向董事会做报告。加强了公司内部控制体系的建设，完善了公司法人治理结</w:t>
      </w:r>
      <w:r>
        <w:rPr>
          <w:spacing w:val="-35"/>
        </w:rPr>
        <w:t> </w:t>
      </w:r>
      <w:r>
        <w:rPr>
          <w:spacing w:val="-35"/>
        </w:rPr>
      </w:r>
      <w:r>
        <w:rPr/>
        <w:t>构，有效维护了公司股东特别是中小股东的利益。</w:t>
      </w:r>
    </w:p>
    <w:p>
      <w:pPr>
        <w:pStyle w:val="BodyText"/>
        <w:spacing w:line="264" w:lineRule="auto" w:before="16"/>
        <w:ind w:right="109" w:firstLine="422"/>
        <w:jc w:val="left"/>
      </w:pPr>
      <w:r>
        <w:rPr/>
        <w:t>（</w:t>
      </w:r>
      <w:r>
        <w:rPr>
          <w:rFonts w:ascii="Times New Roman" w:hAnsi="Times New Roman" w:cs="Times New Roman" w:eastAsia="Times New Roman" w:hint="default"/>
        </w:rPr>
        <w:t>2</w:t>
      </w:r>
      <w:r>
        <w:rPr/>
        <w:t>）公司审计委员会与公司审计机构致同会计师事务所就公司</w:t>
      </w:r>
      <w:r>
        <w:rPr>
          <w:rFonts w:ascii="Times New Roman" w:hAnsi="Times New Roman" w:cs="Times New Roman" w:eastAsia="Times New Roman" w:hint="default"/>
        </w:rPr>
        <w:t>2015</w:t>
      </w:r>
      <w:r>
        <w:rPr/>
        <w:t>年度审计计划和工作安排进行了</w:t>
      </w:r>
      <w:r>
        <w:rPr>
          <w:w w:val="100"/>
        </w:rPr>
        <w:t> </w:t>
      </w:r>
      <w:r>
        <w:rPr>
          <w:spacing w:val="-2"/>
        </w:rPr>
        <w:t>沟通，确定了审计报告的出具日期。通过审阅经会计师审计的公司财务报表，审计委员会认为公司在审计</w:t>
      </w:r>
      <w:r>
        <w:rPr>
          <w:spacing w:val="-36"/>
        </w:rPr>
        <w:t> </w:t>
      </w:r>
      <w:r>
        <w:rPr>
          <w:spacing w:val="-36"/>
        </w:rPr>
      </w:r>
      <w:r>
        <w:rPr/>
        <w:t>前编制的财务报表与审计后的财务报表没有重大出入，经审计的财务报表如实反映了公司的财务状况。</w:t>
      </w:r>
    </w:p>
    <w:p>
      <w:pPr>
        <w:pStyle w:val="BodyText"/>
        <w:spacing w:line="256" w:lineRule="auto" w:before="16"/>
        <w:ind w:left="575" w:right="109"/>
        <w:jc w:val="left"/>
      </w:pPr>
      <w:r>
        <w:rPr>
          <w:rFonts w:ascii="Times New Roman" w:hAnsi="Times New Roman" w:cs="Times New Roman" w:eastAsia="Times New Roman" w:hint="default"/>
        </w:rPr>
        <w:t>3</w:t>
      </w:r>
      <w:r>
        <w:rPr/>
        <w:t>、薪酬与考核委员会履职情况</w:t>
      </w:r>
      <w:r>
        <w:rPr>
          <w:spacing w:val="-100"/>
        </w:rPr>
        <w:t> </w:t>
      </w:r>
      <w:r>
        <w:rPr>
          <w:spacing w:val="-100"/>
        </w:rPr>
      </w:r>
      <w:r>
        <w:rPr>
          <w:spacing w:val="-2"/>
        </w:rPr>
        <w:t>报告期内，薪酬与考核委员会召开了一次会议，审议通过了《关于董事、高管人员</w:t>
      </w:r>
      <w:r>
        <w:rPr>
          <w:rFonts w:ascii="Times New Roman" w:hAnsi="Times New Roman" w:cs="Times New Roman" w:eastAsia="Times New Roman" w:hint="default"/>
          <w:spacing w:val="-2"/>
        </w:rPr>
        <w:t>2014</w:t>
      </w:r>
      <w:r>
        <w:rPr>
          <w:spacing w:val="-2"/>
        </w:rPr>
        <w:t>年度绩效考核</w:t>
      </w:r>
    </w:p>
    <w:p>
      <w:pPr>
        <w:pStyle w:val="BodyText"/>
        <w:spacing w:line="256" w:lineRule="auto" w:before="5"/>
        <w:ind w:right="109"/>
        <w:jc w:val="left"/>
      </w:pPr>
      <w:r>
        <w:rPr>
          <w:spacing w:val="-2"/>
        </w:rPr>
        <w:t>结果的议案》和《</w:t>
      </w:r>
      <w:r>
        <w:rPr>
          <w:rFonts w:ascii="Times New Roman" w:hAnsi="Times New Roman" w:cs="Times New Roman" w:eastAsia="Times New Roman" w:hint="default"/>
          <w:spacing w:val="-2"/>
        </w:rPr>
        <w:t>2015</w:t>
      </w:r>
      <w:r>
        <w:rPr>
          <w:spacing w:val="-2"/>
        </w:rPr>
        <w:t>年度绩效考核方案》。会议客观公正的评价了公司经营管理层</w:t>
      </w:r>
      <w:r>
        <w:rPr>
          <w:rFonts w:ascii="Times New Roman" w:hAnsi="Times New Roman" w:cs="Times New Roman" w:eastAsia="Times New Roman" w:hint="default"/>
          <w:spacing w:val="-2"/>
        </w:rPr>
        <w:t>2014</w:t>
      </w:r>
      <w:r>
        <w:rPr>
          <w:spacing w:val="-2"/>
        </w:rPr>
        <w:t>年的工作业绩，</w:t>
      </w:r>
      <w:r>
        <w:rPr>
          <w:spacing w:val="-10"/>
        </w:rPr>
        <w:t> </w:t>
      </w:r>
      <w:r>
        <w:rPr>
          <w:spacing w:val="-10"/>
        </w:rPr>
      </w:r>
      <w:r>
        <w:rPr/>
        <w:t>并根据现实情况制定了经营管理层</w:t>
      </w:r>
      <w:r>
        <w:rPr>
          <w:rFonts w:ascii="Times New Roman" w:hAnsi="Times New Roman" w:cs="Times New Roman" w:eastAsia="Times New Roman" w:hint="default"/>
        </w:rPr>
        <w:t>2015</w:t>
      </w:r>
      <w:r>
        <w:rPr/>
        <w:t>年的绩效考核方案。</w:t>
      </w:r>
    </w:p>
    <w:p>
      <w:pPr>
        <w:pStyle w:val="BodyText"/>
        <w:spacing w:line="256" w:lineRule="auto" w:before="5"/>
        <w:ind w:left="575" w:right="109"/>
        <w:jc w:val="left"/>
      </w:pPr>
      <w:r>
        <w:rPr>
          <w:rFonts w:ascii="Times New Roman" w:hAnsi="Times New Roman" w:cs="Times New Roman" w:eastAsia="Times New Roman" w:hint="default"/>
        </w:rPr>
        <w:t>4</w:t>
      </w:r>
      <w:r>
        <w:rPr/>
        <w:t>、战略委员会履职情况</w:t>
      </w:r>
      <w:r>
        <w:rPr>
          <w:spacing w:val="-103"/>
        </w:rPr>
        <w:t> </w:t>
      </w:r>
      <w:r>
        <w:rPr>
          <w:spacing w:val="-103"/>
        </w:rPr>
      </w:r>
      <w:r>
        <w:rPr>
          <w:spacing w:val="-2"/>
        </w:rPr>
        <w:t>报告期内，公司第三届董事会战略委员会召开了一次会议，会议审议了公司《五年战略发展规划纲要</w:t>
      </w:r>
    </w:p>
    <w:p>
      <w:pPr>
        <w:spacing w:after="0" w:line="256" w:lineRule="auto"/>
        <w:jc w:val="left"/>
        <w:sectPr>
          <w:pgSz w:w="11900" w:h="16840"/>
          <w:pgMar w:header="872" w:footer="984" w:top="1060" w:bottom="1180" w:left="980" w:right="900"/>
        </w:sectPr>
      </w:pPr>
    </w:p>
    <w:p>
      <w:pPr>
        <w:spacing w:line="240" w:lineRule="auto" w:before="12"/>
        <w:rPr>
          <w:rFonts w:ascii="宋体" w:hAnsi="宋体" w:cs="宋体" w:eastAsia="宋体" w:hint="default"/>
          <w:sz w:val="24"/>
          <w:szCs w:val="24"/>
        </w:rPr>
      </w:pPr>
    </w:p>
    <w:p>
      <w:pPr>
        <w:pStyle w:val="BodyText"/>
        <w:spacing w:line="240" w:lineRule="auto" w:before="36"/>
        <w:ind w:right="0"/>
        <w:jc w:val="left"/>
      </w:pPr>
      <w:r>
        <w:rPr/>
        <w:t>（修订稿）》、《</w:t>
      </w:r>
      <w:r>
        <w:rPr>
          <w:rFonts w:ascii="Times New Roman" w:hAnsi="Times New Roman" w:cs="Times New Roman" w:eastAsia="Times New Roman" w:hint="default"/>
        </w:rPr>
        <w:t>2015</w:t>
      </w:r>
      <w:r>
        <w:rPr/>
        <w:t>年的经营目标和经营计划》，并对</w:t>
      </w:r>
      <w:r>
        <w:rPr>
          <w:rFonts w:ascii="Times New Roman" w:hAnsi="Times New Roman" w:cs="Times New Roman" w:eastAsia="Times New Roman" w:hint="default"/>
        </w:rPr>
        <w:t>2015</w:t>
      </w:r>
      <w:r>
        <w:rPr/>
        <w:t>年的经营目标和计划达成了一致意见。</w:t>
      </w:r>
    </w:p>
    <w:p>
      <w:pPr>
        <w:spacing w:line="240" w:lineRule="auto" w:before="8"/>
        <w:rPr>
          <w:rFonts w:ascii="宋体" w:hAnsi="宋体" w:cs="宋体" w:eastAsia="宋体" w:hint="default"/>
          <w:sz w:val="16"/>
          <w:szCs w:val="16"/>
        </w:rPr>
      </w:pPr>
    </w:p>
    <w:p>
      <w:pPr>
        <w:pStyle w:val="Heading2"/>
        <w:spacing w:line="240" w:lineRule="auto"/>
        <w:ind w:right="0"/>
        <w:jc w:val="left"/>
        <w:rPr>
          <w:b w:val="0"/>
          <w:bCs w:val="0"/>
        </w:rPr>
      </w:pPr>
      <w:r>
        <w:rPr/>
        <w:t>七、监事会工作情况</w:t>
      </w:r>
      <w:r>
        <w:rPr>
          <w:b w:val="0"/>
          <w:bCs w:val="0"/>
        </w:rPr>
      </w:r>
    </w:p>
    <w:p>
      <w:pPr>
        <w:spacing w:line="240" w:lineRule="auto" w:before="15"/>
        <w:rPr>
          <w:rFonts w:ascii="Microsoft JhengHei" w:hAnsi="Microsoft JhengHei" w:cs="Microsoft JhengHei" w:eastAsia="Microsoft JhengHei" w:hint="default"/>
          <w:b/>
          <w:bCs/>
          <w:sz w:val="18"/>
          <w:szCs w:val="18"/>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监事会在报告期内的监督活动中发现公司是否存在风险</w:t>
      </w:r>
    </w:p>
    <w:p>
      <w:pPr>
        <w:spacing w:line="357" w:lineRule="auto" w:before="119"/>
        <w:ind w:left="152" w:right="6405"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1"/>
          <w:sz w:val="18"/>
          <w:szCs w:val="18"/>
        </w:rPr>
        <w:t> </w:t>
      </w:r>
      <w:r>
        <w:rPr>
          <w:rFonts w:ascii="宋体" w:hAnsi="宋体" w:cs="宋体" w:eastAsia="宋体" w:hint="default"/>
          <w:sz w:val="18"/>
          <w:szCs w:val="18"/>
        </w:rPr>
        <w:t>是</w:t>
      </w:r>
      <w:r>
        <w:rPr>
          <w:rFonts w:ascii="宋体" w:hAnsi="宋体" w:cs="宋体" w:eastAsia="宋体" w:hint="default"/>
          <w:spacing w:val="-4"/>
          <w:sz w:val="18"/>
          <w:szCs w:val="18"/>
        </w:rPr>
        <w:t> </w:t>
      </w:r>
      <w:r>
        <w:rPr>
          <w:rFonts w:ascii="宋体" w:hAnsi="宋体" w:cs="宋体" w:eastAsia="宋体" w:hint="default"/>
          <w:sz w:val="18"/>
          <w:szCs w:val="18"/>
        </w:rPr>
        <w:t>√</w:t>
      </w:r>
      <w:r>
        <w:rPr>
          <w:rFonts w:ascii="宋体" w:hAnsi="宋体" w:cs="宋体" w:eastAsia="宋体" w:hint="default"/>
          <w:spacing w:val="-4"/>
          <w:sz w:val="18"/>
          <w:szCs w:val="18"/>
        </w:rPr>
        <w:t> </w:t>
      </w:r>
      <w:r>
        <w:rPr>
          <w:rFonts w:ascii="宋体" w:hAnsi="宋体" w:cs="宋体" w:eastAsia="宋体" w:hint="default"/>
          <w:sz w:val="18"/>
          <w:szCs w:val="18"/>
        </w:rPr>
        <w:t>否</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3"/>
          <w:sz w:val="18"/>
          <w:szCs w:val="18"/>
        </w:rPr>
        <w:t>监事会对报告期内的监督事项无异议。</w:t>
      </w:r>
    </w:p>
    <w:p>
      <w:pPr>
        <w:pStyle w:val="Heading2"/>
        <w:spacing w:line="240" w:lineRule="auto" w:before="149"/>
        <w:ind w:right="0"/>
        <w:jc w:val="left"/>
        <w:rPr>
          <w:b w:val="0"/>
          <w:bCs w:val="0"/>
        </w:rPr>
      </w:pPr>
      <w:r>
        <w:rPr/>
        <w:t>八、高级管理人员的考评及激励情况</w:t>
      </w:r>
      <w:r>
        <w:rPr>
          <w:b w:val="0"/>
          <w:bCs w:val="0"/>
        </w:rPr>
      </w:r>
    </w:p>
    <w:p>
      <w:pPr>
        <w:spacing w:line="240" w:lineRule="auto" w:before="7"/>
        <w:rPr>
          <w:rFonts w:ascii="Microsoft JhengHei" w:hAnsi="Microsoft JhengHei" w:cs="Microsoft JhengHei" w:eastAsia="Microsoft JhengHei" w:hint="default"/>
          <w:b/>
          <w:bCs/>
          <w:sz w:val="17"/>
          <w:szCs w:val="17"/>
        </w:rPr>
      </w:pPr>
    </w:p>
    <w:p>
      <w:pPr>
        <w:pStyle w:val="BodyText"/>
        <w:spacing w:line="273" w:lineRule="auto"/>
        <w:ind w:right="143" w:firstLine="422"/>
        <w:jc w:val="both"/>
      </w:pPr>
      <w:r>
        <w:rPr>
          <w:spacing w:val="-2"/>
        </w:rPr>
        <w:t>公司高级管理人员的聘任均由公司董事会审议。报告期内，公司董事会薪酬与考核委员会根据公司实</w:t>
      </w:r>
      <w:r>
        <w:rPr>
          <w:w w:val="100"/>
        </w:rPr>
        <w:t> </w:t>
      </w:r>
      <w:r>
        <w:rPr>
          <w:spacing w:val="-2"/>
        </w:rPr>
        <w:t>际情况，建立和完善公司内部激励机制和约束机制，充分发挥和调动了公司董事及高级管理人员的工作积</w:t>
      </w:r>
      <w:r>
        <w:rPr>
          <w:spacing w:val="-35"/>
        </w:rPr>
        <w:t> </w:t>
      </w:r>
      <w:r>
        <w:rPr>
          <w:spacing w:val="-35"/>
        </w:rPr>
      </w:r>
      <w:r>
        <w:rPr>
          <w:spacing w:val="-2"/>
        </w:rPr>
        <w:t>极性和创造性，更好的提高了企业的营运能力和效率。在实际工作中，据实际经营状况及其岗位职责和工</w:t>
      </w:r>
      <w:r>
        <w:rPr>
          <w:spacing w:val="-35"/>
        </w:rPr>
        <w:t> </w:t>
      </w:r>
      <w:r>
        <w:rPr>
          <w:spacing w:val="-35"/>
        </w:rPr>
      </w:r>
      <w:r>
        <w:rPr>
          <w:spacing w:val="-2"/>
        </w:rPr>
        <w:t>作业绩，结合公司《董事、高级管理人员薪酬考核制度》，对公司高级管理人员进行了年度绩效考评，并</w:t>
      </w:r>
      <w:r>
        <w:rPr>
          <w:spacing w:val="-35"/>
        </w:rPr>
        <w:t> </w:t>
      </w:r>
      <w:r>
        <w:rPr>
          <w:spacing w:val="-35"/>
        </w:rPr>
      </w:r>
      <w:r>
        <w:rPr/>
        <w:t>提出了新一年的绩效考核指标。</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p>
      <w:pPr>
        <w:pStyle w:val="Heading2"/>
        <w:spacing w:line="240" w:lineRule="auto"/>
        <w:ind w:right="0"/>
        <w:jc w:val="left"/>
        <w:rPr>
          <w:b w:val="0"/>
          <w:bCs w:val="0"/>
        </w:rPr>
      </w:pPr>
      <w:r>
        <w:rPr/>
        <w:t>九、内部控制评价报告</w:t>
      </w:r>
      <w:r>
        <w:rPr>
          <w:b w:val="0"/>
          <w:bCs w:val="0"/>
        </w:rPr>
      </w:r>
    </w:p>
    <w:p>
      <w:pPr>
        <w:spacing w:line="240" w:lineRule="auto" w:before="5"/>
        <w:rPr>
          <w:rFonts w:ascii="Microsoft JhengHei" w:hAnsi="Microsoft JhengHei" w:cs="Microsoft JhengHei" w:eastAsia="Microsoft JhengHei" w:hint="default"/>
          <w:b/>
          <w:bCs/>
          <w:sz w:val="13"/>
          <w:szCs w:val="13"/>
        </w:rPr>
      </w:pPr>
    </w:p>
    <w:p>
      <w:pPr>
        <w:pStyle w:val="Heading4"/>
        <w:spacing w:line="240" w:lineRule="auto"/>
        <w:ind w:right="0"/>
        <w:jc w:val="left"/>
        <w:rPr>
          <w:b w:val="0"/>
          <w:bCs w:val="0"/>
        </w:rPr>
      </w:pP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2"/>
          <w:sz w:val="18"/>
          <w:szCs w:val="18"/>
        </w:rPr>
        <w:t> </w:t>
      </w:r>
      <w:r>
        <w:rPr>
          <w:rFonts w:ascii="宋体" w:hAnsi="宋体" w:cs="宋体" w:eastAsia="宋体" w:hint="default"/>
          <w:sz w:val="18"/>
          <w:szCs w:val="18"/>
        </w:rPr>
        <w:t>否</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2</w:t>
      </w:r>
      <w:r>
        <w:rPr/>
        <w:t>、内控自我评价报告</w:t>
      </w:r>
      <w:r>
        <w:rPr>
          <w:b w:val="0"/>
          <w:bCs w:val="0"/>
        </w:rPr>
      </w:r>
    </w:p>
    <w:p>
      <w:pPr>
        <w:spacing w:line="240" w:lineRule="auto" w:before="17"/>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3187"/>
        <w:gridCol w:w="3331"/>
        <w:gridCol w:w="3048"/>
      </w:tblGrid>
      <w:tr>
        <w:trPr>
          <w:trHeight w:val="398"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内部控制评价报告全文披露日期</w:t>
            </w:r>
          </w:p>
        </w:tc>
        <w:tc>
          <w:tcPr>
            <w:tcW w:w="6379" w:type="dxa"/>
            <w:gridSpan w:val="2"/>
            <w:tcBorders>
              <w:top w:val="single" w:sz="4" w:space="0" w:color="000000"/>
              <w:left w:val="single" w:sz="12" w:space="0" w:color="D2D2D2"/>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内部控制评价报告全文披露索引</w:t>
            </w:r>
          </w:p>
        </w:tc>
        <w:tc>
          <w:tcPr>
            <w:tcW w:w="6379" w:type="dxa"/>
            <w:gridSpan w:val="2"/>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left="19" w:right="0"/>
              <w:jc w:val="left"/>
              <w:rPr>
                <w:rFonts w:ascii="Times New Roman" w:hAnsi="Times New Roman" w:cs="Times New Roman" w:eastAsia="Times New Roman" w:hint="default"/>
                <w:sz w:val="18"/>
                <w:szCs w:val="18"/>
              </w:rPr>
            </w:pPr>
            <w:hyperlink r:id="rId11">
              <w:r>
                <w:rPr>
                  <w:rFonts w:ascii="Times New Roman"/>
                  <w:spacing w:val="-3"/>
                  <w:sz w:val="18"/>
                </w:rPr>
                <w:t>http://www.cninfo.com.cn</w:t>
              </w:r>
            </w:hyperlink>
          </w:p>
        </w:tc>
      </w:tr>
      <w:tr>
        <w:trPr>
          <w:trHeight w:val="715"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89"/>
              <w:jc w:val="left"/>
              <w:rPr>
                <w:rFonts w:ascii="宋体" w:hAnsi="宋体" w:cs="宋体" w:eastAsia="宋体" w:hint="default"/>
                <w:sz w:val="18"/>
                <w:szCs w:val="18"/>
              </w:rPr>
            </w:pPr>
            <w:r>
              <w:rPr>
                <w:rFonts w:ascii="宋体" w:hAnsi="宋体" w:cs="宋体" w:eastAsia="宋体" w:hint="default"/>
                <w:spacing w:val="-3"/>
                <w:sz w:val="18"/>
                <w:szCs w:val="18"/>
              </w:rPr>
              <w:t>纳入评价范围单位资产总额占公司合并</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财务报表资产总额的比例</w:t>
            </w:r>
          </w:p>
        </w:tc>
        <w:tc>
          <w:tcPr>
            <w:tcW w:w="6379" w:type="dxa"/>
            <w:gridSpan w:val="2"/>
            <w:tcBorders>
              <w:top w:val="single" w:sz="4" w:space="0" w:color="000000"/>
              <w:left w:val="single" w:sz="12" w:space="0" w:color="D2D2D2"/>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2"/>
                <w:sz w:val="18"/>
              </w:rPr>
              <w:t>100.00%</w:t>
            </w:r>
          </w:p>
        </w:tc>
      </w:tr>
      <w:tr>
        <w:trPr>
          <w:trHeight w:val="715"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89"/>
              <w:jc w:val="left"/>
              <w:rPr>
                <w:rFonts w:ascii="宋体" w:hAnsi="宋体" w:cs="宋体" w:eastAsia="宋体" w:hint="default"/>
                <w:sz w:val="18"/>
                <w:szCs w:val="18"/>
              </w:rPr>
            </w:pPr>
            <w:r>
              <w:rPr>
                <w:rFonts w:ascii="宋体" w:hAnsi="宋体" w:cs="宋体" w:eastAsia="宋体" w:hint="default"/>
                <w:spacing w:val="-3"/>
                <w:sz w:val="18"/>
                <w:szCs w:val="18"/>
              </w:rPr>
              <w:t>纳入评价范围单位营业收入占公司合并</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pacing w:val="-3"/>
                <w:sz w:val="18"/>
                <w:szCs w:val="18"/>
              </w:rPr>
              <w:t>财务报表营业收入的比例</w:t>
            </w:r>
          </w:p>
        </w:tc>
        <w:tc>
          <w:tcPr>
            <w:tcW w:w="6379" w:type="dxa"/>
            <w:gridSpan w:val="2"/>
            <w:tcBorders>
              <w:top w:val="single" w:sz="4" w:space="0" w:color="000000"/>
              <w:left w:val="single" w:sz="12" w:space="0" w:color="D2D2D2"/>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2"/>
                <w:sz w:val="18"/>
              </w:rPr>
              <w:t>100.00%</w:t>
            </w:r>
          </w:p>
        </w:tc>
      </w:tr>
      <w:tr>
        <w:trPr>
          <w:trHeight w:val="394" w:hRule="exact"/>
        </w:trPr>
        <w:tc>
          <w:tcPr>
            <w:tcW w:w="956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8"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9"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3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366" w:hRule="exact"/>
        </w:trPr>
        <w:tc>
          <w:tcPr>
            <w:tcW w:w="3187" w:type="dxa"/>
            <w:vMerge w:val="restart"/>
            <w:tcBorders>
              <w:top w:val="single" w:sz="4" w:space="0" w:color="000000"/>
              <w:left w:val="single" w:sz="4" w:space="0" w:color="000000"/>
              <w:right w:val="single" w:sz="4" w:space="0" w:color="000000"/>
            </w:tcBorders>
            <w:shd w:val="clear" w:color="auto" w:fill="D2D2D2"/>
          </w:tcPr>
          <w:p>
            <w:pPr/>
          </w:p>
        </w:tc>
        <w:tc>
          <w:tcPr>
            <w:tcW w:w="333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8" w:right="0"/>
              <w:jc w:val="left"/>
              <w:rPr>
                <w:rFonts w:ascii="宋体" w:hAnsi="宋体" w:cs="宋体" w:eastAsia="宋体" w:hint="default"/>
                <w:sz w:val="18"/>
                <w:szCs w:val="18"/>
              </w:rPr>
            </w:pPr>
            <w:r>
              <w:rPr>
                <w:rFonts w:ascii="宋体" w:hAnsi="宋体" w:cs="宋体" w:eastAsia="宋体" w:hint="default"/>
                <w:spacing w:val="-3"/>
                <w:sz w:val="18"/>
                <w:szCs w:val="18"/>
              </w:rPr>
              <w:t>公司确定的财务报告内部控制缺陷评价的</w:t>
            </w:r>
          </w:p>
        </w:tc>
        <w:tc>
          <w:tcPr>
            <w:tcW w:w="304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3"/>
              <w:ind w:left="23" w:right="0"/>
              <w:jc w:val="left"/>
              <w:rPr>
                <w:rFonts w:ascii="宋体" w:hAnsi="宋体" w:cs="宋体" w:eastAsia="宋体" w:hint="default"/>
                <w:sz w:val="18"/>
                <w:szCs w:val="18"/>
              </w:rPr>
            </w:pPr>
            <w:r>
              <w:rPr>
                <w:rFonts w:ascii="宋体" w:hAnsi="宋体" w:cs="宋体" w:eastAsia="宋体" w:hint="default"/>
                <w:spacing w:val="-3"/>
                <w:sz w:val="18"/>
                <w:szCs w:val="18"/>
              </w:rPr>
              <w:t>内部控制缺陷可能导致或导致的损失</w:t>
            </w:r>
          </w:p>
        </w:tc>
      </w:tr>
      <w:tr>
        <w:trPr>
          <w:trHeight w:val="310" w:hRule="exact"/>
        </w:trPr>
        <w:tc>
          <w:tcPr>
            <w:tcW w:w="3187" w:type="dxa"/>
            <w:vMerge/>
            <w:tcBorders>
              <w:left w:val="single" w:sz="4" w:space="0" w:color="000000"/>
              <w:right w:val="single" w:sz="4" w:space="0" w:color="000000"/>
            </w:tcBorders>
            <w:shd w:val="clear" w:color="auto" w:fill="D2D2D2"/>
          </w:tcPr>
          <w:p>
            <w:pPr/>
          </w:p>
        </w:tc>
        <w:tc>
          <w:tcPr>
            <w:tcW w:w="3331"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28" w:right="0"/>
              <w:jc w:val="left"/>
              <w:rPr>
                <w:rFonts w:ascii="宋体" w:hAnsi="宋体" w:cs="宋体" w:eastAsia="宋体" w:hint="default"/>
                <w:sz w:val="18"/>
                <w:szCs w:val="18"/>
              </w:rPr>
            </w:pPr>
            <w:r>
              <w:rPr>
                <w:rFonts w:ascii="宋体" w:hAnsi="宋体" w:cs="宋体" w:eastAsia="宋体" w:hint="default"/>
                <w:spacing w:val="-3"/>
                <w:sz w:val="18"/>
                <w:szCs w:val="18"/>
              </w:rPr>
              <w:t>定性标准如下：财务报告重大缺陷的迹象</w:t>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40" w:lineRule="auto" w:before="18"/>
              <w:ind w:left="23" w:right="0"/>
              <w:jc w:val="left"/>
              <w:rPr>
                <w:rFonts w:ascii="宋体" w:hAnsi="宋体" w:cs="宋体" w:eastAsia="宋体" w:hint="default"/>
                <w:sz w:val="18"/>
                <w:szCs w:val="18"/>
              </w:rPr>
            </w:pPr>
            <w:r>
              <w:rPr>
                <w:rFonts w:ascii="宋体" w:hAnsi="宋体" w:cs="宋体" w:eastAsia="宋体" w:hint="default"/>
                <w:spacing w:val="-6"/>
                <w:sz w:val="18"/>
                <w:szCs w:val="18"/>
              </w:rPr>
              <w:t>与资产管理相关的，以资产总额指标衡</w:t>
            </w:r>
          </w:p>
        </w:tc>
      </w:tr>
      <w:tr>
        <w:trPr>
          <w:trHeight w:val="312" w:hRule="exact"/>
        </w:trPr>
        <w:tc>
          <w:tcPr>
            <w:tcW w:w="3187" w:type="dxa"/>
            <w:vMerge/>
            <w:tcBorders>
              <w:left w:val="single" w:sz="4" w:space="0" w:color="000000"/>
              <w:right w:val="single" w:sz="4" w:space="0" w:color="000000"/>
            </w:tcBorders>
            <w:shd w:val="clear" w:color="auto" w:fill="D2D2D2"/>
          </w:tcPr>
          <w:p>
            <w:pPr/>
          </w:p>
        </w:tc>
        <w:tc>
          <w:tcPr>
            <w:tcW w:w="3331"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8" w:right="0"/>
              <w:jc w:val="left"/>
              <w:rPr>
                <w:rFonts w:ascii="宋体" w:hAnsi="宋体" w:cs="宋体" w:eastAsia="宋体" w:hint="default"/>
                <w:sz w:val="18"/>
                <w:szCs w:val="18"/>
              </w:rPr>
            </w:pPr>
            <w:r>
              <w:rPr>
                <w:rFonts w:ascii="宋体" w:hAnsi="宋体" w:cs="宋体" w:eastAsia="宋体" w:hint="default"/>
                <w:sz w:val="18"/>
                <w:szCs w:val="18"/>
              </w:rPr>
              <w:t>包括：</w:t>
            </w:r>
            <w:r>
              <w:rPr>
                <w:rFonts w:ascii="宋体" w:hAnsi="宋体" w:cs="宋体" w:eastAsia="宋体" w:hint="default"/>
                <w:spacing w:val="47"/>
                <w:sz w:val="18"/>
                <w:szCs w:val="18"/>
              </w:rPr>
              <w:t> </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）公司董事、监事和高级管理</w:t>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23" w:right="0"/>
              <w:jc w:val="left"/>
              <w:rPr>
                <w:rFonts w:ascii="宋体" w:hAnsi="宋体" w:cs="宋体" w:eastAsia="宋体" w:hint="default"/>
                <w:sz w:val="18"/>
                <w:szCs w:val="18"/>
              </w:rPr>
            </w:pPr>
            <w:r>
              <w:rPr>
                <w:rFonts w:ascii="宋体" w:hAnsi="宋体" w:cs="宋体" w:eastAsia="宋体" w:hint="default"/>
                <w:spacing w:val="-7"/>
                <w:sz w:val="18"/>
                <w:szCs w:val="18"/>
              </w:rPr>
              <w:t>量。如果该缺陷单独或连同其他缺陷可</w:t>
            </w:r>
          </w:p>
        </w:tc>
      </w:tr>
      <w:tr>
        <w:trPr>
          <w:trHeight w:val="265" w:hRule="exact"/>
        </w:trPr>
        <w:tc>
          <w:tcPr>
            <w:tcW w:w="3187" w:type="dxa"/>
            <w:vMerge/>
            <w:tcBorders>
              <w:left w:val="single" w:sz="4" w:space="0" w:color="000000"/>
              <w:bottom w:val="nil" w:sz="6" w:space="0" w:color="auto"/>
              <w:right w:val="single" w:sz="4" w:space="0" w:color="000000"/>
            </w:tcBorders>
            <w:shd w:val="clear" w:color="auto" w:fill="D2D2D2"/>
          </w:tcPr>
          <w:p>
            <w:pPr/>
          </w:p>
        </w:tc>
        <w:tc>
          <w:tcPr>
            <w:tcW w:w="3331"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8" w:right="0"/>
              <w:jc w:val="left"/>
              <w:rPr>
                <w:rFonts w:ascii="宋体" w:hAnsi="宋体" w:cs="宋体" w:eastAsia="宋体" w:hint="default"/>
                <w:sz w:val="18"/>
                <w:szCs w:val="18"/>
              </w:rPr>
            </w:pPr>
            <w:r>
              <w:rPr>
                <w:rFonts w:ascii="宋体" w:hAnsi="宋体" w:cs="宋体" w:eastAsia="宋体" w:hint="default"/>
                <w:w w:val="101"/>
                <w:sz w:val="18"/>
                <w:szCs w:val="18"/>
              </w:rPr>
              <w:t>人</w:t>
            </w:r>
            <w:r>
              <w:rPr>
                <w:rFonts w:ascii="宋体" w:hAnsi="宋体" w:cs="宋体" w:eastAsia="宋体" w:hint="default"/>
                <w:spacing w:val="-5"/>
                <w:w w:val="101"/>
                <w:sz w:val="18"/>
                <w:szCs w:val="18"/>
              </w:rPr>
              <w:t>员</w:t>
            </w:r>
            <w:r>
              <w:rPr>
                <w:rFonts w:ascii="宋体" w:hAnsi="宋体" w:cs="宋体" w:eastAsia="宋体" w:hint="default"/>
                <w:w w:val="101"/>
                <w:sz w:val="18"/>
                <w:szCs w:val="18"/>
              </w:rPr>
              <w:t>的</w:t>
            </w:r>
            <w:r>
              <w:rPr>
                <w:rFonts w:ascii="宋体" w:hAnsi="宋体" w:cs="宋体" w:eastAsia="宋体" w:hint="default"/>
                <w:spacing w:val="-5"/>
                <w:w w:val="101"/>
                <w:sz w:val="18"/>
                <w:szCs w:val="18"/>
              </w:rPr>
              <w:t>舞</w:t>
            </w:r>
            <w:r>
              <w:rPr>
                <w:rFonts w:ascii="宋体" w:hAnsi="宋体" w:cs="宋体" w:eastAsia="宋体" w:hint="default"/>
                <w:w w:val="101"/>
                <w:sz w:val="18"/>
                <w:szCs w:val="18"/>
              </w:rPr>
              <w:t>弊</w:t>
            </w:r>
            <w:r>
              <w:rPr>
                <w:rFonts w:ascii="宋体" w:hAnsi="宋体" w:cs="宋体" w:eastAsia="宋体" w:hint="default"/>
                <w:spacing w:val="-5"/>
                <w:w w:val="101"/>
                <w:sz w:val="18"/>
                <w:szCs w:val="18"/>
              </w:rPr>
              <w:t>行</w:t>
            </w:r>
            <w:r>
              <w:rPr>
                <w:rFonts w:ascii="宋体" w:hAnsi="宋体" w:cs="宋体" w:eastAsia="宋体" w:hint="default"/>
                <w:w w:val="101"/>
                <w:sz w:val="18"/>
                <w:szCs w:val="18"/>
              </w:rPr>
              <w:t>为</w:t>
            </w:r>
            <w:r>
              <w:rPr>
                <w:rFonts w:ascii="宋体" w:hAnsi="宋体" w:cs="宋体" w:eastAsia="宋体" w:hint="default"/>
                <w:spacing w:val="-91"/>
                <w:w w:val="101"/>
                <w:sz w:val="18"/>
                <w:szCs w:val="18"/>
              </w:rPr>
              <w:t>；</w:t>
            </w:r>
            <w:r>
              <w:rPr>
                <w:rFonts w:ascii="宋体" w:hAnsi="宋体" w:cs="宋体" w:eastAsia="宋体" w:hint="default"/>
                <w:spacing w:val="-5"/>
                <w:w w:val="101"/>
                <w:sz w:val="18"/>
                <w:szCs w:val="18"/>
              </w:rPr>
              <w:t>（</w:t>
            </w:r>
            <w:r>
              <w:rPr>
                <w:rFonts w:ascii="Times New Roman" w:hAnsi="Times New Roman" w:cs="Times New Roman" w:eastAsia="Times New Roman" w:hint="default"/>
                <w:w w:val="101"/>
                <w:sz w:val="18"/>
                <w:szCs w:val="18"/>
              </w:rPr>
              <w:t>2</w:t>
            </w:r>
            <w:r>
              <w:rPr>
                <w:rFonts w:ascii="宋体" w:hAnsi="宋体" w:cs="宋体" w:eastAsia="宋体" w:hint="default"/>
                <w:spacing w:val="-5"/>
                <w:w w:val="101"/>
                <w:sz w:val="18"/>
                <w:szCs w:val="18"/>
              </w:rPr>
              <w:t>）</w:t>
            </w:r>
            <w:r>
              <w:rPr>
                <w:rFonts w:ascii="宋体" w:hAnsi="宋体" w:cs="宋体" w:eastAsia="宋体" w:hint="default"/>
                <w:w w:val="101"/>
                <w:sz w:val="18"/>
                <w:szCs w:val="18"/>
              </w:rPr>
              <w:t>公</w:t>
            </w:r>
            <w:r>
              <w:rPr>
                <w:rFonts w:ascii="宋体" w:hAnsi="宋体" w:cs="宋体" w:eastAsia="宋体" w:hint="default"/>
                <w:spacing w:val="-5"/>
                <w:w w:val="101"/>
                <w:sz w:val="18"/>
                <w:szCs w:val="18"/>
              </w:rPr>
              <w:t>司</w:t>
            </w:r>
            <w:r>
              <w:rPr>
                <w:rFonts w:ascii="宋体" w:hAnsi="宋体" w:cs="宋体" w:eastAsia="宋体" w:hint="default"/>
                <w:w w:val="101"/>
                <w:sz w:val="18"/>
                <w:szCs w:val="18"/>
              </w:rPr>
              <w:t>更</w:t>
            </w:r>
            <w:r>
              <w:rPr>
                <w:rFonts w:ascii="宋体" w:hAnsi="宋体" w:cs="宋体" w:eastAsia="宋体" w:hint="default"/>
                <w:spacing w:val="-5"/>
                <w:w w:val="101"/>
                <w:sz w:val="18"/>
                <w:szCs w:val="18"/>
              </w:rPr>
              <w:t>正</w:t>
            </w:r>
            <w:r>
              <w:rPr>
                <w:rFonts w:ascii="宋体" w:hAnsi="宋体" w:cs="宋体" w:eastAsia="宋体" w:hint="default"/>
                <w:w w:val="101"/>
                <w:sz w:val="18"/>
                <w:szCs w:val="18"/>
              </w:rPr>
              <w:t>已</w:t>
            </w:r>
            <w:r>
              <w:rPr>
                <w:rFonts w:ascii="宋体" w:hAnsi="宋体" w:cs="宋体" w:eastAsia="宋体" w:hint="default"/>
                <w:spacing w:val="-5"/>
                <w:w w:val="101"/>
                <w:sz w:val="18"/>
                <w:szCs w:val="18"/>
              </w:rPr>
              <w:t>公</w:t>
            </w:r>
            <w:r>
              <w:rPr>
                <w:rFonts w:ascii="宋体" w:hAnsi="宋体" w:cs="宋体" w:eastAsia="宋体" w:hint="default"/>
                <w:w w:val="101"/>
                <w:sz w:val="18"/>
                <w:szCs w:val="18"/>
              </w:rPr>
              <w:t>布的</w:t>
            </w:r>
            <w:r>
              <w:rPr>
                <w:rFonts w:ascii="宋体" w:hAnsi="宋体" w:cs="宋体" w:eastAsia="宋体" w:hint="default"/>
                <w:sz w:val="18"/>
                <w:szCs w:val="18"/>
              </w:rPr>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23" w:right="0"/>
              <w:jc w:val="left"/>
              <w:rPr>
                <w:rFonts w:ascii="宋体" w:hAnsi="宋体" w:cs="宋体" w:eastAsia="宋体" w:hint="default"/>
                <w:sz w:val="18"/>
                <w:szCs w:val="18"/>
              </w:rPr>
            </w:pPr>
            <w:r>
              <w:rPr>
                <w:rFonts w:ascii="宋体" w:hAnsi="宋体" w:cs="宋体" w:eastAsia="宋体" w:hint="default"/>
                <w:spacing w:val="-3"/>
                <w:sz w:val="18"/>
                <w:szCs w:val="18"/>
              </w:rPr>
              <w:t>能导致的财务报告错报金额小于资产</w:t>
            </w:r>
          </w:p>
        </w:tc>
      </w:tr>
      <w:tr>
        <w:trPr>
          <w:trHeight w:val="394" w:hRule="exact"/>
        </w:trPr>
        <w:tc>
          <w:tcPr>
            <w:tcW w:w="318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331" w:type="dxa"/>
            <w:tcBorders>
              <w:top w:val="nil" w:sz="6" w:space="0" w:color="auto"/>
              <w:left w:val="single" w:sz="12" w:space="0" w:color="D2D2D2"/>
              <w:bottom w:val="nil" w:sz="6" w:space="0" w:color="auto"/>
              <w:right w:val="single" w:sz="4" w:space="0" w:color="000000"/>
            </w:tcBorders>
          </w:tcPr>
          <w:p>
            <w:pPr>
              <w:pStyle w:val="TableParagraph"/>
              <w:spacing w:line="240" w:lineRule="auto" w:before="48"/>
              <w:ind w:left="19" w:right="0"/>
              <w:jc w:val="left"/>
              <w:rPr>
                <w:rFonts w:ascii="宋体" w:hAnsi="宋体" w:cs="宋体" w:eastAsia="宋体" w:hint="default"/>
                <w:sz w:val="18"/>
                <w:szCs w:val="18"/>
              </w:rPr>
            </w:pPr>
            <w:r>
              <w:rPr>
                <w:rFonts w:ascii="宋体" w:hAnsi="宋体" w:cs="宋体" w:eastAsia="宋体" w:hint="default"/>
                <w:w w:val="101"/>
                <w:sz w:val="18"/>
                <w:szCs w:val="18"/>
              </w:rPr>
              <w:t>财</w:t>
            </w:r>
            <w:r>
              <w:rPr>
                <w:rFonts w:ascii="宋体" w:hAnsi="宋体" w:cs="宋体" w:eastAsia="宋体" w:hint="default"/>
                <w:spacing w:val="-5"/>
                <w:w w:val="101"/>
                <w:sz w:val="18"/>
                <w:szCs w:val="18"/>
              </w:rPr>
              <w:t>务</w:t>
            </w:r>
            <w:r>
              <w:rPr>
                <w:rFonts w:ascii="宋体" w:hAnsi="宋体" w:cs="宋体" w:eastAsia="宋体" w:hint="default"/>
                <w:w w:val="101"/>
                <w:sz w:val="18"/>
                <w:szCs w:val="18"/>
              </w:rPr>
              <w:t>报告</w:t>
            </w:r>
            <w:r>
              <w:rPr>
                <w:rFonts w:ascii="宋体" w:hAnsi="宋体" w:cs="宋体" w:eastAsia="宋体" w:hint="default"/>
                <w:spacing w:val="-96"/>
                <w:w w:val="101"/>
                <w:sz w:val="18"/>
                <w:szCs w:val="18"/>
              </w:rPr>
              <w:t>；</w:t>
            </w:r>
            <w:r>
              <w:rPr>
                <w:rFonts w:ascii="宋体" w:hAnsi="宋体" w:cs="宋体" w:eastAsia="宋体" w:hint="default"/>
                <w:w w:val="101"/>
                <w:sz w:val="18"/>
                <w:szCs w:val="18"/>
              </w:rPr>
              <w:t>（</w:t>
            </w:r>
            <w:r>
              <w:rPr>
                <w:rFonts w:ascii="Times New Roman" w:hAnsi="Times New Roman" w:cs="Times New Roman" w:eastAsia="Times New Roman" w:hint="default"/>
                <w:spacing w:val="-5"/>
                <w:w w:val="101"/>
                <w:sz w:val="18"/>
                <w:szCs w:val="18"/>
              </w:rPr>
              <w:t>3</w:t>
            </w:r>
            <w:r>
              <w:rPr>
                <w:rFonts w:ascii="宋体" w:hAnsi="宋体" w:cs="宋体" w:eastAsia="宋体" w:hint="default"/>
                <w:w w:val="101"/>
                <w:sz w:val="18"/>
                <w:szCs w:val="18"/>
              </w:rPr>
              <w:t>）</w:t>
            </w:r>
            <w:r>
              <w:rPr>
                <w:rFonts w:ascii="宋体" w:hAnsi="宋体" w:cs="宋体" w:eastAsia="宋体" w:hint="default"/>
                <w:spacing w:val="-5"/>
                <w:w w:val="101"/>
                <w:sz w:val="18"/>
                <w:szCs w:val="18"/>
              </w:rPr>
              <w:t>注</w:t>
            </w:r>
            <w:r>
              <w:rPr>
                <w:rFonts w:ascii="宋体" w:hAnsi="宋体" w:cs="宋体" w:eastAsia="宋体" w:hint="default"/>
                <w:w w:val="101"/>
                <w:sz w:val="18"/>
                <w:szCs w:val="18"/>
              </w:rPr>
              <w:t>册</w:t>
            </w:r>
            <w:r>
              <w:rPr>
                <w:rFonts w:ascii="宋体" w:hAnsi="宋体" w:cs="宋体" w:eastAsia="宋体" w:hint="default"/>
                <w:spacing w:val="-5"/>
                <w:w w:val="101"/>
                <w:sz w:val="18"/>
                <w:szCs w:val="18"/>
              </w:rPr>
              <w:t>会</w:t>
            </w:r>
            <w:r>
              <w:rPr>
                <w:rFonts w:ascii="宋体" w:hAnsi="宋体" w:cs="宋体" w:eastAsia="宋体" w:hint="default"/>
                <w:w w:val="101"/>
                <w:sz w:val="18"/>
                <w:szCs w:val="18"/>
              </w:rPr>
              <w:t>计</w:t>
            </w:r>
            <w:r>
              <w:rPr>
                <w:rFonts w:ascii="宋体" w:hAnsi="宋体" w:cs="宋体" w:eastAsia="宋体" w:hint="default"/>
                <w:spacing w:val="-5"/>
                <w:w w:val="101"/>
                <w:sz w:val="18"/>
                <w:szCs w:val="18"/>
              </w:rPr>
              <w:t>师</w:t>
            </w:r>
            <w:r>
              <w:rPr>
                <w:rFonts w:ascii="宋体" w:hAnsi="宋体" w:cs="宋体" w:eastAsia="宋体" w:hint="default"/>
                <w:w w:val="101"/>
                <w:sz w:val="18"/>
                <w:szCs w:val="18"/>
              </w:rPr>
              <w:t>发</w:t>
            </w:r>
            <w:r>
              <w:rPr>
                <w:rFonts w:ascii="宋体" w:hAnsi="宋体" w:cs="宋体" w:eastAsia="宋体" w:hint="default"/>
                <w:spacing w:val="-5"/>
                <w:w w:val="101"/>
                <w:sz w:val="18"/>
                <w:szCs w:val="18"/>
              </w:rPr>
              <w:t>现</w:t>
            </w:r>
            <w:r>
              <w:rPr>
                <w:rFonts w:ascii="宋体" w:hAnsi="宋体" w:cs="宋体" w:eastAsia="宋体" w:hint="default"/>
                <w:w w:val="101"/>
                <w:sz w:val="18"/>
                <w:szCs w:val="18"/>
              </w:rPr>
              <w:t>的</w:t>
            </w:r>
            <w:r>
              <w:rPr>
                <w:rFonts w:ascii="宋体" w:hAnsi="宋体" w:cs="宋体" w:eastAsia="宋体" w:hint="default"/>
                <w:spacing w:val="-5"/>
                <w:w w:val="101"/>
                <w:sz w:val="18"/>
                <w:szCs w:val="18"/>
              </w:rPr>
              <w:t>却</w:t>
            </w:r>
            <w:r>
              <w:rPr>
                <w:rFonts w:ascii="宋体" w:hAnsi="宋体" w:cs="宋体" w:eastAsia="宋体" w:hint="default"/>
                <w:w w:val="101"/>
                <w:sz w:val="18"/>
                <w:szCs w:val="18"/>
              </w:rPr>
              <w:t>未被</w:t>
            </w:r>
            <w:r>
              <w:rPr>
                <w:rFonts w:ascii="宋体" w:hAnsi="宋体" w:cs="宋体" w:eastAsia="宋体" w:hint="default"/>
                <w:sz w:val="18"/>
                <w:szCs w:val="18"/>
              </w:rPr>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left="23" w:right="0"/>
              <w:jc w:val="left"/>
              <w:rPr>
                <w:rFonts w:ascii="宋体" w:hAnsi="宋体" w:cs="宋体" w:eastAsia="宋体" w:hint="default"/>
                <w:sz w:val="18"/>
                <w:szCs w:val="18"/>
              </w:rPr>
            </w:pPr>
            <w:r>
              <w:rPr>
                <w:rFonts w:ascii="宋体" w:hAnsi="宋体" w:cs="宋体" w:eastAsia="宋体" w:hint="default"/>
                <w:sz w:val="18"/>
                <w:szCs w:val="18"/>
              </w:rPr>
              <w:t>总额的</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0.5%</w:t>
            </w:r>
            <w:r>
              <w:rPr>
                <w:rFonts w:ascii="宋体" w:hAnsi="宋体" w:cs="宋体" w:eastAsia="宋体" w:hint="default"/>
                <w:spacing w:val="-3"/>
                <w:sz w:val="18"/>
                <w:szCs w:val="18"/>
              </w:rPr>
              <w:t>，则认定为一般缺陷；如</w:t>
            </w:r>
          </w:p>
        </w:tc>
      </w:tr>
      <w:tr>
        <w:trPr>
          <w:trHeight w:val="282" w:hRule="exact"/>
        </w:trPr>
        <w:tc>
          <w:tcPr>
            <w:tcW w:w="3187" w:type="dxa"/>
            <w:vMerge w:val="restart"/>
            <w:tcBorders>
              <w:top w:val="nil" w:sz="6" w:space="0" w:color="auto"/>
              <w:left w:val="single" w:sz="4" w:space="0" w:color="000000"/>
              <w:right w:val="single" w:sz="4" w:space="0" w:color="000000"/>
            </w:tcBorders>
            <w:shd w:val="clear" w:color="auto" w:fill="D2D2D2"/>
          </w:tcPr>
          <w:p>
            <w:pPr/>
          </w:p>
        </w:tc>
        <w:tc>
          <w:tcPr>
            <w:tcW w:w="3331" w:type="dxa"/>
            <w:tcBorders>
              <w:top w:val="nil" w:sz="6" w:space="0" w:color="auto"/>
              <w:left w:val="single" w:sz="4" w:space="0" w:color="000000"/>
              <w:bottom w:val="nil" w:sz="6" w:space="0" w:color="auto"/>
              <w:right w:val="single" w:sz="4" w:space="0" w:color="000000"/>
            </w:tcBorders>
          </w:tcPr>
          <w:p>
            <w:pPr>
              <w:pStyle w:val="TableParagraph"/>
              <w:spacing w:line="203" w:lineRule="exact"/>
              <w:ind w:left="28" w:right="0"/>
              <w:jc w:val="left"/>
              <w:rPr>
                <w:rFonts w:ascii="宋体" w:hAnsi="宋体" w:cs="宋体" w:eastAsia="宋体" w:hint="default"/>
                <w:sz w:val="18"/>
                <w:szCs w:val="18"/>
              </w:rPr>
            </w:pPr>
            <w:r>
              <w:rPr>
                <w:rFonts w:ascii="宋体" w:hAnsi="宋体" w:cs="宋体" w:eastAsia="宋体" w:hint="default"/>
                <w:spacing w:val="-3"/>
                <w:sz w:val="18"/>
                <w:szCs w:val="18"/>
              </w:rPr>
              <w:t>公司内部控制识别的当期财务报告中的重</w:t>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23" w:right="0"/>
              <w:jc w:val="left"/>
              <w:rPr>
                <w:rFonts w:ascii="宋体" w:hAnsi="宋体" w:cs="宋体" w:eastAsia="宋体" w:hint="default"/>
                <w:sz w:val="18"/>
                <w:szCs w:val="18"/>
              </w:rPr>
            </w:pPr>
            <w:r>
              <w:rPr>
                <w:rFonts w:ascii="宋体" w:hAnsi="宋体" w:cs="宋体" w:eastAsia="宋体" w:hint="default"/>
                <w:spacing w:val="-3"/>
                <w:sz w:val="18"/>
                <w:szCs w:val="18"/>
              </w:rPr>
              <w:t>果超过资产总额 </w:t>
            </w:r>
            <w:r>
              <w:rPr>
                <w:rFonts w:ascii="Times New Roman" w:hAnsi="Times New Roman" w:cs="Times New Roman" w:eastAsia="Times New Roman" w:hint="default"/>
                <w:sz w:val="18"/>
                <w:szCs w:val="18"/>
              </w:rPr>
              <w:t>0.5%</w:t>
            </w:r>
            <w:r>
              <w:rPr>
                <w:rFonts w:ascii="宋体" w:hAnsi="宋体" w:cs="宋体" w:eastAsia="宋体" w:hint="default"/>
                <w:sz w:val="18"/>
                <w:szCs w:val="18"/>
              </w:rPr>
              <w:t>但小于</w:t>
            </w:r>
            <w:r>
              <w:rPr>
                <w:rFonts w:ascii="宋体" w:hAnsi="宋体" w:cs="宋体" w:eastAsia="宋体" w:hint="default"/>
                <w:spacing w:val="27"/>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则认</w:t>
            </w:r>
          </w:p>
        </w:tc>
      </w:tr>
      <w:tr>
        <w:trPr>
          <w:trHeight w:val="307" w:hRule="exact"/>
        </w:trPr>
        <w:tc>
          <w:tcPr>
            <w:tcW w:w="3187" w:type="dxa"/>
            <w:vMerge/>
            <w:tcBorders>
              <w:left w:val="single" w:sz="4" w:space="0" w:color="000000"/>
              <w:right w:val="single" w:sz="4" w:space="0" w:color="000000"/>
            </w:tcBorders>
            <w:shd w:val="clear" w:color="auto" w:fill="D2D2D2"/>
          </w:tcPr>
          <w:p>
            <w:pPr/>
          </w:p>
        </w:tc>
        <w:tc>
          <w:tcPr>
            <w:tcW w:w="3331" w:type="dxa"/>
            <w:tcBorders>
              <w:top w:val="nil" w:sz="6" w:space="0" w:color="auto"/>
              <w:left w:val="single" w:sz="4" w:space="0" w:color="000000"/>
              <w:bottom w:val="nil" w:sz="6" w:space="0" w:color="auto"/>
              <w:right w:val="single" w:sz="4" w:space="0" w:color="000000"/>
            </w:tcBorders>
          </w:tcPr>
          <w:p>
            <w:pPr>
              <w:pStyle w:val="TableParagraph"/>
              <w:spacing w:line="246" w:lineRule="exact"/>
              <w:ind w:left="28" w:right="0"/>
              <w:jc w:val="left"/>
              <w:rPr>
                <w:rFonts w:ascii="宋体" w:hAnsi="宋体" w:cs="宋体" w:eastAsia="宋体" w:hint="default"/>
                <w:sz w:val="18"/>
                <w:szCs w:val="18"/>
              </w:rPr>
            </w:pPr>
            <w:r>
              <w:rPr>
                <w:rFonts w:ascii="宋体" w:hAnsi="宋体" w:cs="宋体" w:eastAsia="宋体" w:hint="default"/>
                <w:w w:val="101"/>
                <w:sz w:val="18"/>
                <w:szCs w:val="18"/>
              </w:rPr>
              <w:t>大</w:t>
            </w:r>
            <w:r>
              <w:rPr>
                <w:rFonts w:ascii="宋体" w:hAnsi="宋体" w:cs="宋体" w:eastAsia="宋体" w:hint="default"/>
                <w:spacing w:val="-5"/>
                <w:w w:val="101"/>
                <w:sz w:val="18"/>
                <w:szCs w:val="18"/>
              </w:rPr>
              <w:t>错</w:t>
            </w:r>
            <w:r>
              <w:rPr>
                <w:rFonts w:ascii="宋体" w:hAnsi="宋体" w:cs="宋体" w:eastAsia="宋体" w:hint="default"/>
                <w:w w:val="101"/>
                <w:sz w:val="18"/>
                <w:szCs w:val="18"/>
              </w:rPr>
              <w:t>报</w:t>
            </w:r>
            <w:r>
              <w:rPr>
                <w:rFonts w:ascii="宋体" w:hAnsi="宋体" w:cs="宋体" w:eastAsia="宋体" w:hint="default"/>
                <w:spacing w:val="-91"/>
                <w:w w:val="101"/>
                <w:sz w:val="18"/>
                <w:szCs w:val="18"/>
              </w:rPr>
              <w:t>；</w:t>
            </w:r>
            <w:r>
              <w:rPr>
                <w:rFonts w:ascii="宋体" w:hAnsi="宋体" w:cs="宋体" w:eastAsia="宋体" w:hint="default"/>
                <w:spacing w:val="-5"/>
                <w:w w:val="101"/>
                <w:sz w:val="18"/>
                <w:szCs w:val="18"/>
              </w:rPr>
              <w:t>（</w:t>
            </w:r>
            <w:r>
              <w:rPr>
                <w:rFonts w:ascii="Times New Roman" w:hAnsi="Times New Roman" w:cs="Times New Roman" w:eastAsia="Times New Roman" w:hint="default"/>
                <w:w w:val="101"/>
                <w:sz w:val="18"/>
                <w:szCs w:val="18"/>
              </w:rPr>
              <w:t>4</w:t>
            </w:r>
            <w:r>
              <w:rPr>
                <w:rFonts w:ascii="宋体" w:hAnsi="宋体" w:cs="宋体" w:eastAsia="宋体" w:hint="default"/>
                <w:spacing w:val="-5"/>
                <w:w w:val="101"/>
                <w:sz w:val="18"/>
                <w:szCs w:val="18"/>
              </w:rPr>
              <w:t>）</w:t>
            </w:r>
            <w:r>
              <w:rPr>
                <w:rFonts w:ascii="宋体" w:hAnsi="宋体" w:cs="宋体" w:eastAsia="宋体" w:hint="default"/>
                <w:w w:val="101"/>
                <w:sz w:val="18"/>
                <w:szCs w:val="18"/>
              </w:rPr>
              <w:t>审</w:t>
            </w:r>
            <w:r>
              <w:rPr>
                <w:rFonts w:ascii="宋体" w:hAnsi="宋体" w:cs="宋体" w:eastAsia="宋体" w:hint="default"/>
                <w:spacing w:val="-5"/>
                <w:w w:val="101"/>
                <w:sz w:val="18"/>
                <w:szCs w:val="18"/>
              </w:rPr>
              <w:t>计</w:t>
            </w:r>
            <w:r>
              <w:rPr>
                <w:rFonts w:ascii="宋体" w:hAnsi="宋体" w:cs="宋体" w:eastAsia="宋体" w:hint="default"/>
                <w:w w:val="101"/>
                <w:sz w:val="18"/>
                <w:szCs w:val="18"/>
              </w:rPr>
              <w:t>委</w:t>
            </w:r>
            <w:r>
              <w:rPr>
                <w:rFonts w:ascii="宋体" w:hAnsi="宋体" w:cs="宋体" w:eastAsia="宋体" w:hint="default"/>
                <w:spacing w:val="-5"/>
                <w:w w:val="101"/>
                <w:sz w:val="18"/>
                <w:szCs w:val="18"/>
              </w:rPr>
              <w:t>员</w:t>
            </w:r>
            <w:r>
              <w:rPr>
                <w:rFonts w:ascii="宋体" w:hAnsi="宋体" w:cs="宋体" w:eastAsia="宋体" w:hint="default"/>
                <w:w w:val="101"/>
                <w:sz w:val="18"/>
                <w:szCs w:val="18"/>
              </w:rPr>
              <w:t>会</w:t>
            </w:r>
            <w:r>
              <w:rPr>
                <w:rFonts w:ascii="宋体" w:hAnsi="宋体" w:cs="宋体" w:eastAsia="宋体" w:hint="default"/>
                <w:spacing w:val="-5"/>
                <w:w w:val="101"/>
                <w:sz w:val="18"/>
                <w:szCs w:val="18"/>
              </w:rPr>
              <w:t>和</w:t>
            </w:r>
            <w:r>
              <w:rPr>
                <w:rFonts w:ascii="宋体" w:hAnsi="宋体" w:cs="宋体" w:eastAsia="宋体" w:hint="default"/>
                <w:w w:val="101"/>
                <w:sz w:val="18"/>
                <w:szCs w:val="18"/>
              </w:rPr>
              <w:t>审</w:t>
            </w:r>
            <w:r>
              <w:rPr>
                <w:rFonts w:ascii="宋体" w:hAnsi="宋体" w:cs="宋体" w:eastAsia="宋体" w:hint="default"/>
                <w:spacing w:val="-5"/>
                <w:w w:val="101"/>
                <w:sz w:val="18"/>
                <w:szCs w:val="18"/>
              </w:rPr>
              <w:t>计</w:t>
            </w:r>
            <w:r>
              <w:rPr>
                <w:rFonts w:ascii="宋体" w:hAnsi="宋体" w:cs="宋体" w:eastAsia="宋体" w:hint="default"/>
                <w:w w:val="101"/>
                <w:sz w:val="18"/>
                <w:szCs w:val="18"/>
              </w:rPr>
              <w:t>部</w:t>
            </w:r>
            <w:r>
              <w:rPr>
                <w:rFonts w:ascii="宋体" w:hAnsi="宋体" w:cs="宋体" w:eastAsia="宋体" w:hint="default"/>
                <w:spacing w:val="-5"/>
                <w:w w:val="101"/>
                <w:sz w:val="18"/>
                <w:szCs w:val="18"/>
              </w:rPr>
              <w:t>门</w:t>
            </w:r>
            <w:r>
              <w:rPr>
                <w:rFonts w:ascii="宋体" w:hAnsi="宋体" w:cs="宋体" w:eastAsia="宋体" w:hint="default"/>
                <w:w w:val="101"/>
                <w:sz w:val="18"/>
                <w:szCs w:val="18"/>
              </w:rPr>
              <w:t>对公</w:t>
            </w:r>
            <w:r>
              <w:rPr>
                <w:rFonts w:ascii="宋体" w:hAnsi="宋体" w:cs="宋体" w:eastAsia="宋体" w:hint="default"/>
                <w:sz w:val="18"/>
                <w:szCs w:val="18"/>
              </w:rPr>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23" w:right="0"/>
              <w:jc w:val="left"/>
              <w:rPr>
                <w:rFonts w:ascii="宋体" w:hAnsi="宋体" w:cs="宋体" w:eastAsia="宋体" w:hint="default"/>
                <w:sz w:val="18"/>
                <w:szCs w:val="18"/>
              </w:rPr>
            </w:pPr>
            <w:r>
              <w:rPr>
                <w:rFonts w:ascii="宋体" w:hAnsi="宋体" w:cs="宋体" w:eastAsia="宋体" w:hint="default"/>
                <w:spacing w:val="-3"/>
                <w:sz w:val="18"/>
                <w:szCs w:val="18"/>
              </w:rPr>
              <w:t>定为重要缺陷；如果超过资产总额</w:t>
            </w:r>
          </w:p>
        </w:tc>
      </w:tr>
      <w:tr>
        <w:trPr>
          <w:trHeight w:val="319" w:hRule="exact"/>
        </w:trPr>
        <w:tc>
          <w:tcPr>
            <w:tcW w:w="3187" w:type="dxa"/>
            <w:vMerge/>
            <w:tcBorders>
              <w:left w:val="single" w:sz="4" w:space="0" w:color="000000"/>
              <w:right w:val="single" w:sz="4" w:space="0" w:color="000000"/>
            </w:tcBorders>
            <w:shd w:val="clear" w:color="auto" w:fill="D2D2D2"/>
          </w:tcPr>
          <w:p>
            <w:pPr/>
          </w:p>
        </w:tc>
        <w:tc>
          <w:tcPr>
            <w:tcW w:w="3331"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8" w:right="0"/>
              <w:jc w:val="left"/>
              <w:rPr>
                <w:rFonts w:ascii="宋体" w:hAnsi="宋体" w:cs="宋体" w:eastAsia="宋体" w:hint="default"/>
                <w:sz w:val="18"/>
                <w:szCs w:val="18"/>
              </w:rPr>
            </w:pPr>
            <w:r>
              <w:rPr>
                <w:rFonts w:ascii="宋体" w:hAnsi="宋体" w:cs="宋体" w:eastAsia="宋体" w:hint="default"/>
                <w:spacing w:val="-3"/>
                <w:sz w:val="18"/>
                <w:szCs w:val="18"/>
              </w:rPr>
              <w:t>司的对外财务报告和财务报告内部控制监</w:t>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23"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，则认定为重大缺陷。公司确定的</w:t>
            </w:r>
          </w:p>
        </w:tc>
      </w:tr>
      <w:tr>
        <w:trPr>
          <w:trHeight w:val="344" w:hRule="exact"/>
        </w:trPr>
        <w:tc>
          <w:tcPr>
            <w:tcW w:w="3187" w:type="dxa"/>
            <w:vMerge/>
            <w:tcBorders>
              <w:left w:val="single" w:sz="4" w:space="0" w:color="000000"/>
              <w:bottom w:val="single" w:sz="4" w:space="0" w:color="000000"/>
              <w:right w:val="single" w:sz="4" w:space="0" w:color="000000"/>
            </w:tcBorders>
            <w:shd w:val="clear" w:color="auto" w:fill="D2D2D2"/>
          </w:tcPr>
          <w:p>
            <w:pPr/>
          </w:p>
        </w:tc>
        <w:tc>
          <w:tcPr>
            <w:tcW w:w="3331" w:type="dxa"/>
            <w:tcBorders>
              <w:top w:val="nil" w:sz="6" w:space="0" w:color="auto"/>
              <w:left w:val="single" w:sz="4" w:space="0" w:color="000000"/>
              <w:bottom w:val="single" w:sz="4" w:space="0" w:color="000000"/>
              <w:right w:val="single" w:sz="4" w:space="0" w:color="000000"/>
            </w:tcBorders>
          </w:tcPr>
          <w:p>
            <w:pPr>
              <w:pStyle w:val="TableParagraph"/>
              <w:spacing w:line="235" w:lineRule="exact"/>
              <w:ind w:left="28" w:right="0"/>
              <w:jc w:val="left"/>
              <w:rPr>
                <w:rFonts w:ascii="宋体" w:hAnsi="宋体" w:cs="宋体" w:eastAsia="宋体" w:hint="default"/>
                <w:sz w:val="18"/>
                <w:szCs w:val="18"/>
              </w:rPr>
            </w:pPr>
            <w:r>
              <w:rPr>
                <w:rFonts w:ascii="宋体" w:hAnsi="宋体" w:cs="宋体" w:eastAsia="宋体" w:hint="default"/>
                <w:sz w:val="18"/>
                <w:szCs w:val="18"/>
              </w:rPr>
              <w:t>督无效。</w:t>
            </w:r>
          </w:p>
        </w:tc>
        <w:tc>
          <w:tcPr>
            <w:tcW w:w="304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pacing w:val="-3"/>
                <w:sz w:val="18"/>
                <w:szCs w:val="18"/>
              </w:rPr>
              <w:t>非财务报告内部控制缺陷评价的定性</w:t>
            </w:r>
          </w:p>
        </w:tc>
      </w:tr>
    </w:tbl>
    <w:p>
      <w:pPr>
        <w:spacing w:after="0" w:line="240" w:lineRule="auto"/>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12"/>
        <w:rPr>
          <w:rFonts w:ascii="Microsoft JhengHei" w:hAnsi="Microsoft JhengHei" w:cs="Microsoft JhengHei" w:eastAsia="Microsoft JhengHei" w:hint="default"/>
          <w:b/>
          <w:bCs/>
          <w:sz w:val="27"/>
          <w:szCs w:val="27"/>
        </w:rPr>
      </w:pPr>
    </w:p>
    <w:p>
      <w:pPr>
        <w:spacing w:before="46"/>
        <w:ind w:left="0" w:right="170" w:firstLine="0"/>
        <w:jc w:val="right"/>
        <w:rPr>
          <w:rFonts w:ascii="宋体" w:hAnsi="宋体" w:cs="宋体" w:eastAsia="宋体" w:hint="default"/>
          <w:sz w:val="18"/>
          <w:szCs w:val="18"/>
        </w:rPr>
      </w:pPr>
      <w:r>
        <w:rPr/>
        <w:pict>
          <v:shape style="position:absolute;margin-left:56.400002pt;margin-top:-92.308296pt;width:479.05pt;height:558pt;mso-position-horizontal-relative:page;mso-position-vertical-relative:paragraph;z-index:13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92"/>
                    <w:gridCol w:w="3338"/>
                    <w:gridCol w:w="3036"/>
                  </w:tblGrid>
                  <w:tr>
                    <w:trPr>
                      <w:trHeight w:val="316" w:hRule="exact"/>
                    </w:trPr>
                    <w:tc>
                      <w:tcPr>
                        <w:tcW w:w="3192" w:type="dxa"/>
                        <w:vMerge w:val="restart"/>
                        <w:tcBorders>
                          <w:top w:val="single" w:sz="4" w:space="0" w:color="000000"/>
                          <w:left w:val="single" w:sz="4" w:space="0" w:color="000000"/>
                          <w:right w:val="single" w:sz="4" w:space="0" w:color="000000"/>
                        </w:tcBorders>
                        <w:shd w:val="clear" w:color="auto" w:fill="D2D2D2"/>
                      </w:tcPr>
                      <w:p>
                        <w:pPr/>
                      </w:p>
                    </w:tc>
                    <w:tc>
                      <w:tcPr>
                        <w:tcW w:w="3338" w:type="dxa"/>
                        <w:vMerge w:val="restart"/>
                        <w:tcBorders>
                          <w:top w:val="single" w:sz="4" w:space="0" w:color="000000"/>
                          <w:left w:val="single" w:sz="4" w:space="0" w:color="000000"/>
                          <w:right w:val="single" w:sz="4" w:space="0" w:color="000000"/>
                        </w:tcBorders>
                      </w:tcPr>
                      <w:p>
                        <w:pPr/>
                      </w:p>
                    </w:tc>
                    <w:tc>
                      <w:tcPr>
                        <w:tcW w:w="303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pacing w:val="-6"/>
                            <w:sz w:val="18"/>
                            <w:szCs w:val="18"/>
                          </w:rPr>
                          <w:t>标准如下：非财务报告缺陷认定主要以</w:t>
                        </w:r>
                      </w:p>
                    </w:tc>
                  </w:tr>
                  <w:tr>
                    <w:trPr>
                      <w:trHeight w:val="312" w:hRule="exact"/>
                    </w:trPr>
                    <w:tc>
                      <w:tcPr>
                        <w:tcW w:w="3192" w:type="dxa"/>
                        <w:vMerge/>
                        <w:tcBorders>
                          <w:left w:val="single" w:sz="4" w:space="0" w:color="000000"/>
                          <w:right w:val="single" w:sz="4" w:space="0" w:color="000000"/>
                        </w:tcBorders>
                        <w:shd w:val="clear" w:color="auto" w:fill="D2D2D2"/>
                      </w:tcPr>
                      <w:p>
                        <w:pPr/>
                      </w:p>
                    </w:tc>
                    <w:tc>
                      <w:tcPr>
                        <w:tcW w:w="3338" w:type="dxa"/>
                        <w:vMerge/>
                        <w:tcBorders>
                          <w:left w:val="single" w:sz="4" w:space="0" w:color="000000"/>
                          <w:right w:val="single" w:sz="4" w:space="0" w:color="000000"/>
                        </w:tcBorders>
                      </w:tcPr>
                      <w:p>
                        <w:pPr/>
                      </w:p>
                    </w:tc>
                    <w:tc>
                      <w:tcPr>
                        <w:tcW w:w="30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12" w:right="0"/>
                          <w:jc w:val="left"/>
                          <w:rPr>
                            <w:rFonts w:ascii="宋体" w:hAnsi="宋体" w:cs="宋体" w:eastAsia="宋体" w:hint="default"/>
                            <w:sz w:val="18"/>
                            <w:szCs w:val="18"/>
                          </w:rPr>
                        </w:pPr>
                        <w:r>
                          <w:rPr>
                            <w:rFonts w:ascii="宋体" w:hAnsi="宋体" w:cs="宋体" w:eastAsia="宋体" w:hint="default"/>
                            <w:spacing w:val="-7"/>
                            <w:sz w:val="18"/>
                            <w:szCs w:val="18"/>
                          </w:rPr>
                          <w:t>缺陷对业务流程有效性的影响程度、发</w:t>
                        </w:r>
                      </w:p>
                    </w:tc>
                  </w:tr>
                  <w:tr>
                    <w:trPr>
                      <w:trHeight w:val="312" w:hRule="exact"/>
                    </w:trPr>
                    <w:tc>
                      <w:tcPr>
                        <w:tcW w:w="3192" w:type="dxa"/>
                        <w:vMerge/>
                        <w:tcBorders>
                          <w:left w:val="single" w:sz="4" w:space="0" w:color="000000"/>
                          <w:right w:val="single" w:sz="4" w:space="0" w:color="000000"/>
                        </w:tcBorders>
                        <w:shd w:val="clear" w:color="auto" w:fill="D2D2D2"/>
                      </w:tcPr>
                      <w:p>
                        <w:pPr/>
                      </w:p>
                    </w:tc>
                    <w:tc>
                      <w:tcPr>
                        <w:tcW w:w="3338" w:type="dxa"/>
                        <w:vMerge/>
                        <w:tcBorders>
                          <w:left w:val="single" w:sz="4" w:space="0" w:color="000000"/>
                          <w:right w:val="single" w:sz="4" w:space="0" w:color="000000"/>
                        </w:tcBorders>
                      </w:tcPr>
                      <w:p>
                        <w:pPr/>
                      </w:p>
                    </w:tc>
                    <w:tc>
                      <w:tcPr>
                        <w:tcW w:w="30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12" w:right="0"/>
                          <w:jc w:val="left"/>
                          <w:rPr>
                            <w:rFonts w:ascii="宋体" w:hAnsi="宋体" w:cs="宋体" w:eastAsia="宋体" w:hint="default"/>
                            <w:sz w:val="18"/>
                            <w:szCs w:val="18"/>
                          </w:rPr>
                        </w:pPr>
                        <w:r>
                          <w:rPr>
                            <w:rFonts w:ascii="宋体" w:hAnsi="宋体" w:cs="宋体" w:eastAsia="宋体" w:hint="default"/>
                            <w:spacing w:val="-6"/>
                            <w:sz w:val="18"/>
                            <w:szCs w:val="18"/>
                          </w:rPr>
                          <w:t>生的可能性作判定。如果缺陷发生的可</w:t>
                        </w:r>
                      </w:p>
                    </w:tc>
                  </w:tr>
                  <w:tr>
                    <w:trPr>
                      <w:trHeight w:val="312" w:hRule="exact"/>
                    </w:trPr>
                    <w:tc>
                      <w:tcPr>
                        <w:tcW w:w="3192" w:type="dxa"/>
                        <w:vMerge/>
                        <w:tcBorders>
                          <w:left w:val="single" w:sz="4" w:space="0" w:color="000000"/>
                          <w:right w:val="single" w:sz="4" w:space="0" w:color="000000"/>
                        </w:tcBorders>
                        <w:shd w:val="clear" w:color="auto" w:fill="D2D2D2"/>
                      </w:tcPr>
                      <w:p>
                        <w:pPr/>
                      </w:p>
                    </w:tc>
                    <w:tc>
                      <w:tcPr>
                        <w:tcW w:w="3338" w:type="dxa"/>
                        <w:vMerge/>
                        <w:tcBorders>
                          <w:left w:val="single" w:sz="4" w:space="0" w:color="000000"/>
                          <w:right w:val="single" w:sz="4" w:space="0" w:color="000000"/>
                        </w:tcBorders>
                      </w:tcPr>
                      <w:p>
                        <w:pPr/>
                      </w:p>
                    </w:tc>
                    <w:tc>
                      <w:tcPr>
                        <w:tcW w:w="30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12" w:right="0"/>
                          <w:jc w:val="left"/>
                          <w:rPr>
                            <w:rFonts w:ascii="宋体" w:hAnsi="宋体" w:cs="宋体" w:eastAsia="宋体" w:hint="default"/>
                            <w:sz w:val="18"/>
                            <w:szCs w:val="18"/>
                          </w:rPr>
                        </w:pPr>
                        <w:r>
                          <w:rPr>
                            <w:rFonts w:ascii="宋体" w:hAnsi="宋体" w:cs="宋体" w:eastAsia="宋体" w:hint="default"/>
                            <w:spacing w:val="-7"/>
                            <w:sz w:val="18"/>
                            <w:szCs w:val="18"/>
                          </w:rPr>
                          <w:t>能性较小，会降低工作效率或效果、或</w:t>
                        </w:r>
                      </w:p>
                    </w:tc>
                  </w:tr>
                  <w:tr>
                    <w:trPr>
                      <w:trHeight w:val="312" w:hRule="exact"/>
                    </w:trPr>
                    <w:tc>
                      <w:tcPr>
                        <w:tcW w:w="3192" w:type="dxa"/>
                        <w:vMerge/>
                        <w:tcBorders>
                          <w:left w:val="single" w:sz="4" w:space="0" w:color="000000"/>
                          <w:right w:val="single" w:sz="4" w:space="0" w:color="000000"/>
                        </w:tcBorders>
                        <w:shd w:val="clear" w:color="auto" w:fill="D2D2D2"/>
                      </w:tcPr>
                      <w:p>
                        <w:pPr/>
                      </w:p>
                    </w:tc>
                    <w:tc>
                      <w:tcPr>
                        <w:tcW w:w="3338" w:type="dxa"/>
                        <w:vMerge/>
                        <w:tcBorders>
                          <w:left w:val="single" w:sz="4" w:space="0" w:color="000000"/>
                          <w:right w:val="single" w:sz="4" w:space="0" w:color="000000"/>
                        </w:tcBorders>
                      </w:tcPr>
                      <w:p>
                        <w:pPr/>
                      </w:p>
                    </w:tc>
                    <w:tc>
                      <w:tcPr>
                        <w:tcW w:w="30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12" w:right="0"/>
                          <w:jc w:val="left"/>
                          <w:rPr>
                            <w:rFonts w:ascii="宋体" w:hAnsi="宋体" w:cs="宋体" w:eastAsia="宋体" w:hint="default"/>
                            <w:sz w:val="18"/>
                            <w:szCs w:val="18"/>
                          </w:rPr>
                        </w:pPr>
                        <w:r>
                          <w:rPr>
                            <w:rFonts w:ascii="宋体" w:hAnsi="宋体" w:cs="宋体" w:eastAsia="宋体" w:hint="default"/>
                            <w:spacing w:val="-7"/>
                            <w:sz w:val="18"/>
                            <w:szCs w:val="18"/>
                          </w:rPr>
                          <w:t>加大效果的不确定性、或使之偏离预期</w:t>
                        </w:r>
                      </w:p>
                    </w:tc>
                  </w:tr>
                  <w:tr>
                    <w:trPr>
                      <w:trHeight w:val="312" w:hRule="exact"/>
                    </w:trPr>
                    <w:tc>
                      <w:tcPr>
                        <w:tcW w:w="3192" w:type="dxa"/>
                        <w:vMerge/>
                        <w:tcBorders>
                          <w:left w:val="single" w:sz="4" w:space="0" w:color="000000"/>
                          <w:right w:val="single" w:sz="4" w:space="0" w:color="000000"/>
                        </w:tcBorders>
                        <w:shd w:val="clear" w:color="auto" w:fill="D2D2D2"/>
                      </w:tcPr>
                      <w:p>
                        <w:pPr/>
                      </w:p>
                    </w:tc>
                    <w:tc>
                      <w:tcPr>
                        <w:tcW w:w="3338" w:type="dxa"/>
                        <w:vMerge/>
                        <w:tcBorders>
                          <w:left w:val="single" w:sz="4" w:space="0" w:color="000000"/>
                          <w:right w:val="single" w:sz="4" w:space="0" w:color="000000"/>
                        </w:tcBorders>
                      </w:tcPr>
                      <w:p>
                        <w:pPr/>
                      </w:p>
                    </w:tc>
                    <w:tc>
                      <w:tcPr>
                        <w:tcW w:w="30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12" w:right="0"/>
                          <w:jc w:val="left"/>
                          <w:rPr>
                            <w:rFonts w:ascii="宋体" w:hAnsi="宋体" w:cs="宋体" w:eastAsia="宋体" w:hint="default"/>
                            <w:sz w:val="18"/>
                            <w:szCs w:val="18"/>
                          </w:rPr>
                        </w:pPr>
                        <w:r>
                          <w:rPr>
                            <w:rFonts w:ascii="宋体" w:hAnsi="宋体" w:cs="宋体" w:eastAsia="宋体" w:hint="default"/>
                            <w:spacing w:val="-7"/>
                            <w:sz w:val="18"/>
                            <w:szCs w:val="18"/>
                          </w:rPr>
                          <w:t>目标为一般缺陷；如果缺陷发生的可能</w:t>
                        </w:r>
                      </w:p>
                    </w:tc>
                  </w:tr>
                  <w:tr>
                    <w:trPr>
                      <w:trHeight w:val="312" w:hRule="exact"/>
                    </w:trPr>
                    <w:tc>
                      <w:tcPr>
                        <w:tcW w:w="3192" w:type="dxa"/>
                        <w:vMerge/>
                        <w:tcBorders>
                          <w:left w:val="single" w:sz="4" w:space="0" w:color="000000"/>
                          <w:right w:val="single" w:sz="4" w:space="0" w:color="000000"/>
                        </w:tcBorders>
                        <w:shd w:val="clear" w:color="auto" w:fill="D2D2D2"/>
                      </w:tcPr>
                      <w:p>
                        <w:pPr/>
                      </w:p>
                    </w:tc>
                    <w:tc>
                      <w:tcPr>
                        <w:tcW w:w="3338" w:type="dxa"/>
                        <w:vMerge/>
                        <w:tcBorders>
                          <w:left w:val="single" w:sz="4" w:space="0" w:color="000000"/>
                          <w:right w:val="single" w:sz="4" w:space="0" w:color="000000"/>
                        </w:tcBorders>
                      </w:tcPr>
                      <w:p>
                        <w:pPr/>
                      </w:p>
                    </w:tc>
                    <w:tc>
                      <w:tcPr>
                        <w:tcW w:w="30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12" w:right="0"/>
                          <w:jc w:val="left"/>
                          <w:rPr>
                            <w:rFonts w:ascii="宋体" w:hAnsi="宋体" w:cs="宋体" w:eastAsia="宋体" w:hint="default"/>
                            <w:sz w:val="18"/>
                            <w:szCs w:val="18"/>
                          </w:rPr>
                        </w:pPr>
                        <w:r>
                          <w:rPr>
                            <w:rFonts w:ascii="宋体" w:hAnsi="宋体" w:cs="宋体" w:eastAsia="宋体" w:hint="default"/>
                            <w:spacing w:val="-3"/>
                            <w:sz w:val="18"/>
                            <w:szCs w:val="18"/>
                          </w:rPr>
                          <w:t>性较高，会显著降低工作效率或效果</w:t>
                        </w:r>
                      </w:p>
                    </w:tc>
                  </w:tr>
                  <w:tr>
                    <w:trPr>
                      <w:trHeight w:val="312" w:hRule="exact"/>
                    </w:trPr>
                    <w:tc>
                      <w:tcPr>
                        <w:tcW w:w="3192" w:type="dxa"/>
                        <w:vMerge/>
                        <w:tcBorders>
                          <w:left w:val="single" w:sz="4" w:space="0" w:color="000000"/>
                          <w:right w:val="single" w:sz="4" w:space="0" w:color="000000"/>
                        </w:tcBorders>
                        <w:shd w:val="clear" w:color="auto" w:fill="D2D2D2"/>
                      </w:tcPr>
                      <w:p>
                        <w:pPr/>
                      </w:p>
                    </w:tc>
                    <w:tc>
                      <w:tcPr>
                        <w:tcW w:w="3338" w:type="dxa"/>
                        <w:vMerge/>
                        <w:tcBorders>
                          <w:left w:val="single" w:sz="4" w:space="0" w:color="000000"/>
                          <w:right w:val="single" w:sz="4" w:space="0" w:color="000000"/>
                        </w:tcBorders>
                      </w:tcPr>
                      <w:p>
                        <w:pPr/>
                      </w:p>
                    </w:tc>
                    <w:tc>
                      <w:tcPr>
                        <w:tcW w:w="30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12" w:right="0"/>
                          <w:jc w:val="left"/>
                          <w:rPr>
                            <w:rFonts w:ascii="宋体" w:hAnsi="宋体" w:cs="宋体" w:eastAsia="宋体" w:hint="default"/>
                            <w:sz w:val="18"/>
                            <w:szCs w:val="18"/>
                          </w:rPr>
                        </w:pPr>
                        <w:r>
                          <w:rPr>
                            <w:rFonts w:ascii="宋体" w:hAnsi="宋体" w:cs="宋体" w:eastAsia="宋体" w:hint="default"/>
                            <w:spacing w:val="-6"/>
                            <w:sz w:val="18"/>
                            <w:szCs w:val="18"/>
                          </w:rPr>
                          <w:t>或显著加大效果的不确定性、或使之显</w:t>
                        </w:r>
                      </w:p>
                    </w:tc>
                  </w:tr>
                  <w:tr>
                    <w:trPr>
                      <w:trHeight w:val="312" w:hRule="exact"/>
                    </w:trPr>
                    <w:tc>
                      <w:tcPr>
                        <w:tcW w:w="3192" w:type="dxa"/>
                        <w:vMerge/>
                        <w:tcBorders>
                          <w:left w:val="single" w:sz="4" w:space="0" w:color="000000"/>
                          <w:right w:val="single" w:sz="4" w:space="0" w:color="000000"/>
                        </w:tcBorders>
                        <w:shd w:val="clear" w:color="auto" w:fill="D2D2D2"/>
                      </w:tcPr>
                      <w:p>
                        <w:pPr/>
                      </w:p>
                    </w:tc>
                    <w:tc>
                      <w:tcPr>
                        <w:tcW w:w="3338" w:type="dxa"/>
                        <w:vMerge/>
                        <w:tcBorders>
                          <w:left w:val="single" w:sz="4" w:space="0" w:color="000000"/>
                          <w:right w:val="single" w:sz="4" w:space="0" w:color="000000"/>
                        </w:tcBorders>
                      </w:tcPr>
                      <w:p>
                        <w:pPr/>
                      </w:p>
                    </w:tc>
                    <w:tc>
                      <w:tcPr>
                        <w:tcW w:w="30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12" w:right="0"/>
                          <w:jc w:val="left"/>
                          <w:rPr>
                            <w:rFonts w:ascii="宋体" w:hAnsi="宋体" w:cs="宋体" w:eastAsia="宋体" w:hint="default"/>
                            <w:sz w:val="18"/>
                            <w:szCs w:val="18"/>
                          </w:rPr>
                        </w:pPr>
                        <w:r>
                          <w:rPr>
                            <w:rFonts w:ascii="宋体" w:hAnsi="宋体" w:cs="宋体" w:eastAsia="宋体" w:hint="default"/>
                            <w:spacing w:val="-6"/>
                            <w:sz w:val="18"/>
                            <w:szCs w:val="18"/>
                          </w:rPr>
                          <w:t>著偏离预期目标为重要缺陷；如果缺陷</w:t>
                        </w:r>
                      </w:p>
                    </w:tc>
                  </w:tr>
                  <w:tr>
                    <w:trPr>
                      <w:trHeight w:val="312" w:hRule="exact"/>
                    </w:trPr>
                    <w:tc>
                      <w:tcPr>
                        <w:tcW w:w="3192" w:type="dxa"/>
                        <w:vMerge/>
                        <w:tcBorders>
                          <w:left w:val="single" w:sz="4" w:space="0" w:color="000000"/>
                          <w:right w:val="single" w:sz="4" w:space="0" w:color="000000"/>
                        </w:tcBorders>
                        <w:shd w:val="clear" w:color="auto" w:fill="D2D2D2"/>
                      </w:tcPr>
                      <w:p>
                        <w:pPr/>
                      </w:p>
                    </w:tc>
                    <w:tc>
                      <w:tcPr>
                        <w:tcW w:w="3338" w:type="dxa"/>
                        <w:vMerge/>
                        <w:tcBorders>
                          <w:left w:val="single" w:sz="4" w:space="0" w:color="000000"/>
                          <w:right w:val="single" w:sz="4" w:space="0" w:color="000000"/>
                        </w:tcBorders>
                      </w:tcPr>
                      <w:p>
                        <w:pPr/>
                      </w:p>
                    </w:tc>
                    <w:tc>
                      <w:tcPr>
                        <w:tcW w:w="30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12" w:right="0"/>
                          <w:jc w:val="left"/>
                          <w:rPr>
                            <w:rFonts w:ascii="宋体" w:hAnsi="宋体" w:cs="宋体" w:eastAsia="宋体" w:hint="default"/>
                            <w:sz w:val="18"/>
                            <w:szCs w:val="18"/>
                          </w:rPr>
                        </w:pPr>
                        <w:r>
                          <w:rPr>
                            <w:rFonts w:ascii="宋体" w:hAnsi="宋体" w:cs="宋体" w:eastAsia="宋体" w:hint="default"/>
                            <w:spacing w:val="-7"/>
                            <w:sz w:val="18"/>
                            <w:szCs w:val="18"/>
                          </w:rPr>
                          <w:t>发生的可能性高，会严重降低工作效率</w:t>
                        </w:r>
                      </w:p>
                    </w:tc>
                  </w:tr>
                  <w:tr>
                    <w:trPr>
                      <w:trHeight w:val="314" w:hRule="exact"/>
                    </w:trPr>
                    <w:tc>
                      <w:tcPr>
                        <w:tcW w:w="3192" w:type="dxa"/>
                        <w:vMerge/>
                        <w:tcBorders>
                          <w:left w:val="single" w:sz="4" w:space="0" w:color="000000"/>
                          <w:right w:val="single" w:sz="4" w:space="0" w:color="000000"/>
                        </w:tcBorders>
                        <w:shd w:val="clear" w:color="auto" w:fill="D2D2D2"/>
                      </w:tcPr>
                      <w:p>
                        <w:pPr/>
                      </w:p>
                    </w:tc>
                    <w:tc>
                      <w:tcPr>
                        <w:tcW w:w="3338" w:type="dxa"/>
                        <w:vMerge/>
                        <w:tcBorders>
                          <w:left w:val="single" w:sz="4" w:space="0" w:color="000000"/>
                          <w:right w:val="single" w:sz="4" w:space="0" w:color="000000"/>
                        </w:tcBorders>
                      </w:tcPr>
                      <w:p>
                        <w:pPr/>
                      </w:p>
                    </w:tc>
                    <w:tc>
                      <w:tcPr>
                        <w:tcW w:w="30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12" w:right="0"/>
                          <w:jc w:val="left"/>
                          <w:rPr>
                            <w:rFonts w:ascii="宋体" w:hAnsi="宋体" w:cs="宋体" w:eastAsia="宋体" w:hint="default"/>
                            <w:sz w:val="18"/>
                            <w:szCs w:val="18"/>
                          </w:rPr>
                        </w:pPr>
                        <w:r>
                          <w:rPr>
                            <w:rFonts w:ascii="宋体" w:hAnsi="宋体" w:cs="宋体" w:eastAsia="宋体" w:hint="default"/>
                            <w:spacing w:val="-3"/>
                            <w:sz w:val="18"/>
                            <w:szCs w:val="18"/>
                          </w:rPr>
                          <w:t>或效果、或严重加大效果的不确定性</w:t>
                        </w:r>
                      </w:p>
                    </w:tc>
                  </w:tr>
                  <w:tr>
                    <w:trPr>
                      <w:trHeight w:val="354" w:hRule="exact"/>
                    </w:trPr>
                    <w:tc>
                      <w:tcPr>
                        <w:tcW w:w="3192" w:type="dxa"/>
                        <w:vMerge/>
                        <w:tcBorders>
                          <w:left w:val="single" w:sz="4" w:space="0" w:color="000000"/>
                          <w:bottom w:val="single" w:sz="4" w:space="0" w:color="000000"/>
                          <w:right w:val="single" w:sz="4" w:space="0" w:color="000000"/>
                        </w:tcBorders>
                        <w:shd w:val="clear" w:color="auto" w:fill="D2D2D2"/>
                      </w:tcPr>
                      <w:p>
                        <w:pPr/>
                      </w:p>
                    </w:tc>
                    <w:tc>
                      <w:tcPr>
                        <w:tcW w:w="3338" w:type="dxa"/>
                        <w:vMerge/>
                        <w:tcBorders>
                          <w:left w:val="single" w:sz="4" w:space="0" w:color="000000"/>
                          <w:bottom w:val="single" w:sz="4" w:space="0" w:color="000000"/>
                          <w:right w:val="single" w:sz="4" w:space="0" w:color="000000"/>
                        </w:tcBorders>
                      </w:tcPr>
                      <w:p>
                        <w:pPr/>
                      </w:p>
                    </w:tc>
                    <w:tc>
                      <w:tcPr>
                        <w:tcW w:w="30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12" w:right="0"/>
                          <w:jc w:val="left"/>
                          <w:rPr>
                            <w:rFonts w:ascii="宋体" w:hAnsi="宋体" w:cs="宋体" w:eastAsia="宋体" w:hint="default"/>
                            <w:sz w:val="18"/>
                            <w:szCs w:val="18"/>
                          </w:rPr>
                        </w:pPr>
                        <w:r>
                          <w:rPr>
                            <w:rFonts w:ascii="宋体" w:hAnsi="宋体" w:cs="宋体" w:eastAsia="宋体" w:hint="default"/>
                            <w:spacing w:val="-3"/>
                            <w:sz w:val="18"/>
                            <w:szCs w:val="18"/>
                          </w:rPr>
                          <w:t>或使之严重偏离预期目标为重大缺陷</w:t>
                        </w:r>
                      </w:p>
                    </w:tc>
                  </w:tr>
                  <w:tr>
                    <w:trPr>
                      <w:trHeight w:val="359" w:hRule="exact"/>
                    </w:trPr>
                    <w:tc>
                      <w:tcPr>
                        <w:tcW w:w="3192" w:type="dxa"/>
                        <w:tcBorders>
                          <w:top w:val="single" w:sz="4" w:space="0" w:color="000000"/>
                          <w:left w:val="single" w:sz="4" w:space="0" w:color="000000"/>
                          <w:bottom w:val="nil" w:sz="6" w:space="0" w:color="auto"/>
                          <w:right w:val="single" w:sz="4" w:space="0" w:color="000000"/>
                        </w:tcBorders>
                        <w:shd w:val="clear" w:color="auto" w:fill="D2D2D2"/>
                      </w:tcPr>
                      <w:p>
                        <w:pPr/>
                      </w:p>
                    </w:tc>
                    <w:tc>
                      <w:tcPr>
                        <w:tcW w:w="3338" w:type="dxa"/>
                        <w:tcBorders>
                          <w:top w:val="single" w:sz="4" w:space="0" w:color="000000"/>
                          <w:left w:val="single" w:sz="4" w:space="0" w:color="000000"/>
                          <w:bottom w:val="nil" w:sz="6" w:space="0" w:color="auto"/>
                          <w:right w:val="single" w:sz="13" w:space="0" w:color="FFFFFF"/>
                        </w:tcBorders>
                      </w:tcPr>
                      <w:p>
                        <w:pPr/>
                      </w:p>
                    </w:tc>
                    <w:tc>
                      <w:tcPr>
                        <w:tcW w:w="3036" w:type="dxa"/>
                        <w:tcBorders>
                          <w:top w:val="single" w:sz="4" w:space="0" w:color="000000"/>
                          <w:left w:val="single" w:sz="13" w:space="0" w:color="FFFFFF"/>
                          <w:bottom w:val="nil" w:sz="6" w:space="0" w:color="auto"/>
                          <w:right w:val="single" w:sz="4" w:space="0" w:color="000000"/>
                        </w:tcBorders>
                      </w:tcPr>
                      <w:p>
                        <w:pPr>
                          <w:pStyle w:val="TableParagraph"/>
                          <w:spacing w:line="240" w:lineRule="auto" w:before="53"/>
                          <w:ind w:right="0"/>
                          <w:jc w:val="left"/>
                          <w:rPr>
                            <w:rFonts w:ascii="宋体" w:hAnsi="宋体" w:cs="宋体" w:eastAsia="宋体" w:hint="default"/>
                            <w:sz w:val="18"/>
                            <w:szCs w:val="18"/>
                          </w:rPr>
                        </w:pPr>
                        <w:r>
                          <w:rPr>
                            <w:rFonts w:ascii="宋体" w:hAnsi="宋体" w:cs="宋体" w:eastAsia="宋体" w:hint="default"/>
                            <w:spacing w:val="-7"/>
                            <w:sz w:val="18"/>
                            <w:szCs w:val="18"/>
                          </w:rPr>
                          <w:t>定量标准以营业收入、资产总额作为衡</w:t>
                        </w:r>
                      </w:p>
                    </w:tc>
                  </w:tr>
                  <w:tr>
                    <w:trPr>
                      <w:trHeight w:val="322" w:hRule="exact"/>
                    </w:trPr>
                    <w:tc>
                      <w:tcPr>
                        <w:tcW w:w="3192" w:type="dxa"/>
                        <w:tcBorders>
                          <w:top w:val="nil" w:sz="6" w:space="0" w:color="auto"/>
                          <w:left w:val="single" w:sz="4" w:space="0" w:color="000000"/>
                          <w:bottom w:val="nil" w:sz="6" w:space="0" w:color="auto"/>
                          <w:right w:val="single" w:sz="4" w:space="0" w:color="000000"/>
                        </w:tcBorders>
                        <w:shd w:val="clear" w:color="auto" w:fill="D2D2D2"/>
                      </w:tcPr>
                      <w:p>
                        <w:pPr/>
                      </w:p>
                    </w:tc>
                    <w:tc>
                      <w:tcPr>
                        <w:tcW w:w="3338" w:type="dxa"/>
                        <w:tcBorders>
                          <w:top w:val="nil" w:sz="6" w:space="0" w:color="auto"/>
                          <w:left w:val="single" w:sz="4" w:space="0" w:color="000000"/>
                          <w:bottom w:val="nil" w:sz="6" w:space="0" w:color="auto"/>
                          <w:right w:val="single" w:sz="13" w:space="0" w:color="FFFFFF"/>
                        </w:tcBorders>
                      </w:tcPr>
                      <w:p>
                        <w:pPr>
                          <w:pStyle w:val="TableParagraph"/>
                          <w:spacing w:line="240" w:lineRule="auto" w:before="30"/>
                          <w:ind w:left="23" w:right="0"/>
                          <w:jc w:val="left"/>
                          <w:rPr>
                            <w:rFonts w:ascii="宋体" w:hAnsi="宋体" w:cs="宋体" w:eastAsia="宋体" w:hint="default"/>
                            <w:sz w:val="18"/>
                            <w:szCs w:val="18"/>
                          </w:rPr>
                        </w:pPr>
                        <w:r>
                          <w:rPr>
                            <w:rFonts w:ascii="宋体" w:hAnsi="宋体" w:cs="宋体" w:eastAsia="宋体" w:hint="default"/>
                            <w:spacing w:val="-3"/>
                            <w:sz w:val="18"/>
                            <w:szCs w:val="18"/>
                          </w:rPr>
                          <w:t>定量标准以营业收入、资产总额作为衡量</w:t>
                        </w:r>
                      </w:p>
                    </w:tc>
                    <w:tc>
                      <w:tcPr>
                        <w:tcW w:w="3036" w:type="dxa"/>
                        <w:tcBorders>
                          <w:top w:val="nil" w:sz="6" w:space="0" w:color="auto"/>
                          <w:left w:val="single" w:sz="13" w:space="0" w:color="FFFFFF"/>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8"/>
                            <w:szCs w:val="18"/>
                          </w:rPr>
                        </w:pPr>
                        <w:r>
                          <w:rPr>
                            <w:rFonts w:ascii="宋体" w:hAnsi="宋体" w:cs="宋体" w:eastAsia="宋体" w:hint="default"/>
                            <w:spacing w:val="-7"/>
                            <w:sz w:val="18"/>
                            <w:szCs w:val="18"/>
                          </w:rPr>
                          <w:t>量指标。内部控制缺陷可能导致或导致</w:t>
                        </w:r>
                      </w:p>
                    </w:tc>
                  </w:tr>
                  <w:tr>
                    <w:trPr>
                      <w:trHeight w:val="312" w:hRule="exact"/>
                    </w:trPr>
                    <w:tc>
                      <w:tcPr>
                        <w:tcW w:w="3192" w:type="dxa"/>
                        <w:tcBorders>
                          <w:top w:val="nil" w:sz="6" w:space="0" w:color="auto"/>
                          <w:left w:val="single" w:sz="4" w:space="0" w:color="000000"/>
                          <w:bottom w:val="nil" w:sz="6" w:space="0" w:color="auto"/>
                          <w:right w:val="single" w:sz="4" w:space="0" w:color="000000"/>
                        </w:tcBorders>
                        <w:shd w:val="clear" w:color="auto" w:fill="D2D2D2"/>
                      </w:tcPr>
                      <w:p>
                        <w:pPr/>
                      </w:p>
                    </w:tc>
                    <w:tc>
                      <w:tcPr>
                        <w:tcW w:w="3338" w:type="dxa"/>
                        <w:tcBorders>
                          <w:top w:val="nil" w:sz="6" w:space="0" w:color="auto"/>
                          <w:left w:val="single" w:sz="4" w:space="0" w:color="000000"/>
                          <w:bottom w:val="nil" w:sz="6" w:space="0" w:color="auto"/>
                          <w:right w:val="single" w:sz="13" w:space="0" w:color="FFFFFF"/>
                        </w:tcBorders>
                      </w:tcPr>
                      <w:p>
                        <w:pPr>
                          <w:pStyle w:val="TableParagraph"/>
                          <w:spacing w:line="240" w:lineRule="auto" w:before="21"/>
                          <w:ind w:left="23" w:right="0"/>
                          <w:jc w:val="left"/>
                          <w:rPr>
                            <w:rFonts w:ascii="宋体" w:hAnsi="宋体" w:cs="宋体" w:eastAsia="宋体" w:hint="default"/>
                            <w:sz w:val="18"/>
                            <w:szCs w:val="18"/>
                          </w:rPr>
                        </w:pPr>
                        <w:r>
                          <w:rPr>
                            <w:rFonts w:ascii="宋体" w:hAnsi="宋体" w:cs="宋体" w:eastAsia="宋体" w:hint="default"/>
                            <w:spacing w:val="-3"/>
                            <w:sz w:val="18"/>
                            <w:szCs w:val="18"/>
                          </w:rPr>
                          <w:t>指标。内部控制缺陷可能导致或导致的损</w:t>
                        </w:r>
                      </w:p>
                    </w:tc>
                    <w:tc>
                      <w:tcPr>
                        <w:tcW w:w="3036" w:type="dxa"/>
                        <w:tcBorders>
                          <w:top w:val="nil" w:sz="6" w:space="0" w:color="auto"/>
                          <w:left w:val="single" w:sz="13" w:space="0" w:color="FFFFFF"/>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8"/>
                            <w:szCs w:val="18"/>
                          </w:rPr>
                        </w:pPr>
                        <w:r>
                          <w:rPr>
                            <w:rFonts w:ascii="宋体" w:hAnsi="宋体" w:cs="宋体" w:eastAsia="宋体" w:hint="default"/>
                            <w:spacing w:val="-7"/>
                            <w:sz w:val="18"/>
                            <w:szCs w:val="18"/>
                          </w:rPr>
                          <w:t>的损失与利润报表相关的，以营业收入</w:t>
                        </w:r>
                      </w:p>
                    </w:tc>
                  </w:tr>
                  <w:tr>
                    <w:trPr>
                      <w:trHeight w:val="312" w:hRule="exact"/>
                    </w:trPr>
                    <w:tc>
                      <w:tcPr>
                        <w:tcW w:w="3192" w:type="dxa"/>
                        <w:tcBorders>
                          <w:top w:val="nil" w:sz="6" w:space="0" w:color="auto"/>
                          <w:left w:val="single" w:sz="4" w:space="0" w:color="000000"/>
                          <w:bottom w:val="nil" w:sz="6" w:space="0" w:color="auto"/>
                          <w:right w:val="single" w:sz="4" w:space="0" w:color="000000"/>
                        </w:tcBorders>
                        <w:shd w:val="clear" w:color="auto" w:fill="D2D2D2"/>
                      </w:tcPr>
                      <w:p>
                        <w:pPr/>
                      </w:p>
                    </w:tc>
                    <w:tc>
                      <w:tcPr>
                        <w:tcW w:w="3338" w:type="dxa"/>
                        <w:tcBorders>
                          <w:top w:val="nil" w:sz="6" w:space="0" w:color="auto"/>
                          <w:left w:val="single" w:sz="4" w:space="0" w:color="000000"/>
                          <w:bottom w:val="nil" w:sz="6" w:space="0" w:color="auto"/>
                          <w:right w:val="single" w:sz="13" w:space="0" w:color="FFFFFF"/>
                        </w:tcBorders>
                      </w:tcPr>
                      <w:p>
                        <w:pPr>
                          <w:pStyle w:val="TableParagraph"/>
                          <w:spacing w:line="240" w:lineRule="auto" w:before="21"/>
                          <w:ind w:left="23" w:right="-34"/>
                          <w:jc w:val="left"/>
                          <w:rPr>
                            <w:rFonts w:ascii="宋体" w:hAnsi="宋体" w:cs="宋体" w:eastAsia="宋体" w:hint="default"/>
                            <w:sz w:val="18"/>
                            <w:szCs w:val="18"/>
                          </w:rPr>
                        </w:pPr>
                        <w:r>
                          <w:rPr>
                            <w:rFonts w:ascii="宋体" w:hAnsi="宋体" w:cs="宋体" w:eastAsia="宋体" w:hint="default"/>
                            <w:spacing w:val="-8"/>
                            <w:sz w:val="18"/>
                            <w:szCs w:val="18"/>
                          </w:rPr>
                          <w:t>失与利润表相关的，以营业收入指标衡量。</w:t>
                        </w:r>
                        <w:r>
                          <w:rPr>
                            <w:rFonts w:ascii="宋体" w:hAnsi="宋体" w:cs="宋体" w:eastAsia="宋体" w:hint="default"/>
                            <w:sz w:val="18"/>
                            <w:szCs w:val="18"/>
                          </w:rPr>
                        </w:r>
                      </w:p>
                    </w:tc>
                    <w:tc>
                      <w:tcPr>
                        <w:tcW w:w="3036" w:type="dxa"/>
                        <w:tcBorders>
                          <w:top w:val="nil" w:sz="6" w:space="0" w:color="auto"/>
                          <w:left w:val="single" w:sz="13" w:space="0" w:color="FFFFFF"/>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8"/>
                            <w:szCs w:val="18"/>
                          </w:rPr>
                        </w:pPr>
                        <w:r>
                          <w:rPr>
                            <w:rFonts w:ascii="宋体" w:hAnsi="宋体" w:cs="宋体" w:eastAsia="宋体" w:hint="default"/>
                            <w:spacing w:val="-6"/>
                            <w:sz w:val="18"/>
                            <w:szCs w:val="18"/>
                          </w:rPr>
                          <w:t>指标衡量。如果该缺陷单独或连同其他</w:t>
                        </w:r>
                      </w:p>
                    </w:tc>
                  </w:tr>
                  <w:tr>
                    <w:trPr>
                      <w:trHeight w:val="312" w:hRule="exact"/>
                    </w:trPr>
                    <w:tc>
                      <w:tcPr>
                        <w:tcW w:w="3192" w:type="dxa"/>
                        <w:tcBorders>
                          <w:top w:val="nil" w:sz="6" w:space="0" w:color="auto"/>
                          <w:left w:val="single" w:sz="4" w:space="0" w:color="000000"/>
                          <w:bottom w:val="nil" w:sz="6" w:space="0" w:color="auto"/>
                          <w:right w:val="single" w:sz="4" w:space="0" w:color="000000"/>
                        </w:tcBorders>
                        <w:shd w:val="clear" w:color="auto" w:fill="D2D2D2"/>
                      </w:tcPr>
                      <w:p>
                        <w:pPr/>
                      </w:p>
                    </w:tc>
                    <w:tc>
                      <w:tcPr>
                        <w:tcW w:w="3338" w:type="dxa"/>
                        <w:tcBorders>
                          <w:top w:val="nil" w:sz="6" w:space="0" w:color="auto"/>
                          <w:left w:val="single" w:sz="4" w:space="0" w:color="000000"/>
                          <w:bottom w:val="nil" w:sz="6" w:space="0" w:color="auto"/>
                          <w:right w:val="single" w:sz="13" w:space="0" w:color="FFFFFF"/>
                        </w:tcBorders>
                      </w:tcPr>
                      <w:p>
                        <w:pPr>
                          <w:pStyle w:val="TableParagraph"/>
                          <w:spacing w:line="240" w:lineRule="auto" w:before="21"/>
                          <w:ind w:left="23" w:right="0"/>
                          <w:jc w:val="left"/>
                          <w:rPr>
                            <w:rFonts w:ascii="宋体" w:hAnsi="宋体" w:cs="宋体" w:eastAsia="宋体" w:hint="default"/>
                            <w:sz w:val="18"/>
                            <w:szCs w:val="18"/>
                          </w:rPr>
                        </w:pPr>
                        <w:r>
                          <w:rPr>
                            <w:rFonts w:ascii="宋体" w:hAnsi="宋体" w:cs="宋体" w:eastAsia="宋体" w:hint="default"/>
                            <w:spacing w:val="-3"/>
                            <w:sz w:val="18"/>
                            <w:szCs w:val="18"/>
                          </w:rPr>
                          <w:t>如果该缺陷单独或连同其他缺陷可能导致</w:t>
                        </w:r>
                      </w:p>
                    </w:tc>
                    <w:tc>
                      <w:tcPr>
                        <w:tcW w:w="3036" w:type="dxa"/>
                        <w:tcBorders>
                          <w:top w:val="nil" w:sz="6" w:space="0" w:color="auto"/>
                          <w:left w:val="single" w:sz="13" w:space="0" w:color="FFFFFF"/>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8"/>
                            <w:szCs w:val="18"/>
                          </w:rPr>
                        </w:pPr>
                        <w:r>
                          <w:rPr>
                            <w:rFonts w:ascii="宋体" w:hAnsi="宋体" w:cs="宋体" w:eastAsia="宋体" w:hint="default"/>
                            <w:spacing w:val="-3"/>
                            <w:sz w:val="18"/>
                            <w:szCs w:val="18"/>
                          </w:rPr>
                          <w:t>缺陷可能导致的财务报告错报金额小</w:t>
                        </w:r>
                      </w:p>
                    </w:tc>
                  </w:tr>
                  <w:tr>
                    <w:trPr>
                      <w:trHeight w:val="312" w:hRule="exact"/>
                    </w:trPr>
                    <w:tc>
                      <w:tcPr>
                        <w:tcW w:w="3192" w:type="dxa"/>
                        <w:tcBorders>
                          <w:top w:val="nil" w:sz="6" w:space="0" w:color="auto"/>
                          <w:left w:val="single" w:sz="4" w:space="0" w:color="000000"/>
                          <w:bottom w:val="nil" w:sz="6" w:space="0" w:color="auto"/>
                          <w:right w:val="single" w:sz="4" w:space="0" w:color="000000"/>
                        </w:tcBorders>
                        <w:shd w:val="clear" w:color="auto" w:fill="D2D2D2"/>
                      </w:tcPr>
                      <w:p>
                        <w:pPr/>
                      </w:p>
                    </w:tc>
                    <w:tc>
                      <w:tcPr>
                        <w:tcW w:w="3338" w:type="dxa"/>
                        <w:tcBorders>
                          <w:top w:val="nil" w:sz="6" w:space="0" w:color="auto"/>
                          <w:left w:val="single" w:sz="4" w:space="0" w:color="000000"/>
                          <w:bottom w:val="nil" w:sz="6" w:space="0" w:color="auto"/>
                          <w:right w:val="single" w:sz="13" w:space="0" w:color="FFFFFF"/>
                        </w:tcBorders>
                      </w:tcPr>
                      <w:p>
                        <w:pPr>
                          <w:pStyle w:val="TableParagraph"/>
                          <w:spacing w:line="240" w:lineRule="auto" w:before="21"/>
                          <w:ind w:left="23" w:right="0"/>
                          <w:jc w:val="left"/>
                          <w:rPr>
                            <w:rFonts w:ascii="宋体" w:hAnsi="宋体" w:cs="宋体" w:eastAsia="宋体" w:hint="default"/>
                            <w:sz w:val="18"/>
                            <w:szCs w:val="18"/>
                          </w:rPr>
                        </w:pPr>
                        <w:r>
                          <w:rPr>
                            <w:rFonts w:ascii="宋体" w:hAnsi="宋体" w:cs="宋体" w:eastAsia="宋体" w:hint="default"/>
                            <w:spacing w:val="-3"/>
                            <w:sz w:val="18"/>
                            <w:szCs w:val="18"/>
                          </w:rPr>
                          <w:t>的财务报告错报金额小于营业收入的</w:t>
                        </w:r>
                      </w:p>
                    </w:tc>
                    <w:tc>
                      <w:tcPr>
                        <w:tcW w:w="3036" w:type="dxa"/>
                        <w:tcBorders>
                          <w:top w:val="nil" w:sz="6" w:space="0" w:color="auto"/>
                          <w:left w:val="single" w:sz="13" w:space="0" w:color="FFFFFF"/>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8"/>
                            <w:szCs w:val="18"/>
                          </w:rPr>
                        </w:pPr>
                        <w:r>
                          <w:rPr>
                            <w:rFonts w:ascii="宋体" w:hAnsi="宋体" w:cs="宋体" w:eastAsia="宋体" w:hint="default"/>
                            <w:sz w:val="18"/>
                            <w:szCs w:val="18"/>
                          </w:rPr>
                          <w:t>于营业收入的</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，则认定为一般缺</w:t>
                        </w:r>
                      </w:p>
                    </w:tc>
                  </w:tr>
                  <w:tr>
                    <w:trPr>
                      <w:trHeight w:val="317" w:hRule="exact"/>
                    </w:trPr>
                    <w:tc>
                      <w:tcPr>
                        <w:tcW w:w="3192" w:type="dxa"/>
                        <w:tcBorders>
                          <w:top w:val="nil" w:sz="6" w:space="0" w:color="auto"/>
                          <w:left w:val="single" w:sz="4" w:space="0" w:color="000000"/>
                          <w:bottom w:val="nil" w:sz="6" w:space="0" w:color="auto"/>
                          <w:right w:val="single" w:sz="4" w:space="0" w:color="000000"/>
                        </w:tcBorders>
                        <w:shd w:val="clear" w:color="auto" w:fill="D2D2D2"/>
                      </w:tcPr>
                      <w:p>
                        <w:pPr/>
                      </w:p>
                    </w:tc>
                    <w:tc>
                      <w:tcPr>
                        <w:tcW w:w="3338" w:type="dxa"/>
                        <w:tcBorders>
                          <w:top w:val="nil" w:sz="6" w:space="0" w:color="auto"/>
                          <w:left w:val="single" w:sz="4" w:space="0" w:color="000000"/>
                          <w:bottom w:val="nil" w:sz="6" w:space="0" w:color="auto"/>
                          <w:right w:val="single" w:sz="13" w:space="0" w:color="FFFFFF"/>
                        </w:tcBorders>
                      </w:tcPr>
                      <w:p>
                        <w:pPr>
                          <w:pStyle w:val="TableParagraph"/>
                          <w:spacing w:line="240" w:lineRule="auto" w:before="2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  </w:t>
                        </w:r>
                        <w:r>
                          <w:rPr>
                            <w:rFonts w:ascii="Times New Roman" w:hAnsi="Times New Roman" w:cs="Times New Roman" w:eastAsia="Times New Roman" w:hint="default"/>
                            <w:spacing w:val="7"/>
                            <w:sz w:val="18"/>
                            <w:szCs w:val="18"/>
                          </w:rPr>
                          <w:t> </w:t>
                        </w:r>
                        <w:r>
                          <w:rPr>
                            <w:rFonts w:ascii="宋体" w:hAnsi="宋体" w:cs="宋体" w:eastAsia="宋体" w:hint="default"/>
                            <w:spacing w:val="-8"/>
                            <w:sz w:val="18"/>
                            <w:szCs w:val="18"/>
                          </w:rPr>
                          <w:t>，则认定为一般缺陷；如果超过营业</w:t>
                        </w:r>
                      </w:p>
                    </w:tc>
                    <w:tc>
                      <w:tcPr>
                        <w:tcW w:w="3036" w:type="dxa"/>
                        <w:tcBorders>
                          <w:top w:val="nil" w:sz="6" w:space="0" w:color="auto"/>
                          <w:left w:val="single" w:sz="13" w:space="0" w:color="FFFFFF"/>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8"/>
                            <w:szCs w:val="18"/>
                          </w:rPr>
                        </w:pPr>
                        <w:r>
                          <w:rPr>
                            <w:rFonts w:ascii="宋体" w:hAnsi="宋体" w:cs="宋体" w:eastAsia="宋体" w:hint="default"/>
                            <w:spacing w:val="-3"/>
                            <w:sz w:val="18"/>
                            <w:szCs w:val="18"/>
                          </w:rPr>
                          <w:t>陷；如果超过营业收入的</w:t>
                        </w:r>
                        <w:r>
                          <w:rPr>
                            <w:rFonts w:ascii="宋体" w:hAnsi="宋体" w:cs="宋体" w:eastAsia="宋体" w:hint="default"/>
                            <w:spacing w:val="34"/>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但小于</w:t>
                        </w:r>
                      </w:p>
                    </w:tc>
                  </w:tr>
                  <w:tr>
                    <w:trPr>
                      <w:trHeight w:val="312" w:hRule="exact"/>
                    </w:trPr>
                    <w:tc>
                      <w:tcPr>
                        <w:tcW w:w="3192" w:type="dxa"/>
                        <w:tcBorders>
                          <w:top w:val="nil" w:sz="6" w:space="0" w:color="auto"/>
                          <w:left w:val="single" w:sz="4" w:space="0" w:color="000000"/>
                          <w:bottom w:val="nil" w:sz="6" w:space="0" w:color="auto"/>
                          <w:right w:val="single" w:sz="4" w:space="0" w:color="000000"/>
                        </w:tcBorders>
                        <w:shd w:val="clear" w:color="auto" w:fill="D2D2D2"/>
                      </w:tcPr>
                      <w:p>
                        <w:pPr/>
                      </w:p>
                    </w:tc>
                    <w:tc>
                      <w:tcPr>
                        <w:tcW w:w="3338" w:type="dxa"/>
                        <w:tcBorders>
                          <w:top w:val="nil" w:sz="6" w:space="0" w:color="auto"/>
                          <w:left w:val="single" w:sz="4" w:space="0" w:color="000000"/>
                          <w:bottom w:val="nil" w:sz="6" w:space="0" w:color="auto"/>
                          <w:right w:val="single" w:sz="13" w:space="0" w:color="FFFFFF"/>
                        </w:tcBorders>
                      </w:tcPr>
                      <w:p>
                        <w:pPr>
                          <w:pStyle w:val="TableParagraph"/>
                          <w:spacing w:line="240" w:lineRule="auto" w:before="16"/>
                          <w:ind w:left="23" w:right="-29"/>
                          <w:jc w:val="left"/>
                          <w:rPr>
                            <w:rFonts w:ascii="宋体" w:hAnsi="宋体" w:cs="宋体" w:eastAsia="宋体" w:hint="default"/>
                            <w:sz w:val="18"/>
                            <w:szCs w:val="18"/>
                          </w:rPr>
                        </w:pPr>
                        <w:r>
                          <w:rPr>
                            <w:rFonts w:ascii="宋体" w:hAnsi="宋体" w:cs="宋体" w:eastAsia="宋体" w:hint="default"/>
                            <w:sz w:val="18"/>
                            <w:szCs w:val="18"/>
                          </w:rPr>
                          <w:t>收入的 </w:t>
                        </w:r>
                        <w:r>
                          <w:rPr>
                            <w:rFonts w:ascii="Times New Roman" w:hAnsi="Times New Roman" w:cs="Times New Roman" w:eastAsia="Times New Roman" w:hint="default"/>
                            <w:sz w:val="18"/>
                            <w:szCs w:val="18"/>
                          </w:rPr>
                          <w:t>0.5%</w:t>
                        </w:r>
                        <w:r>
                          <w:rPr>
                            <w:rFonts w:ascii="宋体" w:hAnsi="宋体" w:cs="宋体" w:eastAsia="宋体" w:hint="default"/>
                            <w:sz w:val="18"/>
                            <w:szCs w:val="18"/>
                          </w:rPr>
                          <w:t>但小于</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，则为重要缺陷；</w:t>
                        </w:r>
                      </w:p>
                    </w:tc>
                    <w:tc>
                      <w:tcPr>
                        <w:tcW w:w="3036" w:type="dxa"/>
                        <w:tcBorders>
                          <w:top w:val="nil" w:sz="6" w:space="0" w:color="auto"/>
                          <w:left w:val="single" w:sz="13" w:space="0" w:color="FFFFFF"/>
                          <w:bottom w:val="nil" w:sz="6" w:space="0" w:color="auto"/>
                          <w:right w:val="single" w:sz="4" w:space="0" w:color="000000"/>
                        </w:tcBorders>
                      </w:tcPr>
                      <w:p>
                        <w:pPr>
                          <w:pStyle w:val="TableParagraph"/>
                          <w:spacing w:line="246" w:lineRule="exact"/>
                          <w:ind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认定为重要缺陷；如果超过税前利</w:t>
                        </w:r>
                      </w:p>
                    </w:tc>
                  </w:tr>
                  <w:tr>
                    <w:trPr>
                      <w:trHeight w:val="629" w:hRule="exact"/>
                    </w:trPr>
                    <w:tc>
                      <w:tcPr>
                        <w:tcW w:w="31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338" w:type="dxa"/>
                        <w:tcBorders>
                          <w:top w:val="nil" w:sz="6" w:space="0" w:color="auto"/>
                          <w:left w:val="single" w:sz="4" w:space="0" w:color="000000"/>
                          <w:bottom w:val="nil" w:sz="6" w:space="0" w:color="auto"/>
                          <w:right w:val="single" w:sz="13" w:space="0" w:color="FFFFFF"/>
                        </w:tcBorders>
                      </w:tcPr>
                      <w:p>
                        <w:pPr>
                          <w:pStyle w:val="TableParagraph"/>
                          <w:spacing w:line="300" w:lineRule="auto" w:before="16"/>
                          <w:ind w:left="23" w:right="17"/>
                          <w:jc w:val="left"/>
                          <w:rPr>
                            <w:rFonts w:ascii="宋体" w:hAnsi="宋体" w:cs="宋体" w:eastAsia="宋体" w:hint="default"/>
                            <w:sz w:val="18"/>
                            <w:szCs w:val="18"/>
                          </w:rPr>
                        </w:pPr>
                        <w:r>
                          <w:rPr>
                            <w:rFonts w:ascii="宋体" w:hAnsi="宋体" w:cs="宋体" w:eastAsia="宋体" w:hint="default"/>
                            <w:spacing w:val="-2"/>
                            <w:w w:val="101"/>
                            <w:sz w:val="18"/>
                            <w:szCs w:val="18"/>
                          </w:rPr>
                          <w:t>如果超过营业收入的</w:t>
                        </w:r>
                        <w:r>
                          <w:rPr>
                            <w:rFonts w:ascii="宋体" w:hAnsi="宋体" w:cs="宋体" w:eastAsia="宋体" w:hint="default"/>
                            <w:spacing w:val="-47"/>
                            <w:w w:val="101"/>
                            <w:sz w:val="18"/>
                            <w:szCs w:val="18"/>
                          </w:rPr>
                          <w:t> </w:t>
                        </w:r>
                        <w:r>
                          <w:rPr>
                            <w:rFonts w:ascii="Times New Roman" w:hAnsi="Times New Roman" w:cs="Times New Roman" w:eastAsia="Times New Roman" w:hint="default"/>
                            <w:spacing w:val="-10"/>
                            <w:w w:val="101"/>
                            <w:sz w:val="18"/>
                            <w:szCs w:val="18"/>
                          </w:rPr>
                          <w:t>1%</w:t>
                        </w:r>
                        <w:r>
                          <w:rPr>
                            <w:rFonts w:ascii="宋体" w:hAnsi="宋体" w:cs="宋体" w:eastAsia="宋体" w:hint="default"/>
                            <w:spacing w:val="-10"/>
                            <w:w w:val="101"/>
                            <w:sz w:val="18"/>
                            <w:szCs w:val="18"/>
                          </w:rPr>
                          <w:t>，则认定为重大缺</w:t>
                        </w:r>
                        <w:r>
                          <w:rPr>
                            <w:rFonts w:ascii="宋体" w:hAnsi="宋体" w:cs="宋体" w:eastAsia="宋体" w:hint="default"/>
                            <w:w w:val="101"/>
                            <w:sz w:val="18"/>
                            <w:szCs w:val="18"/>
                          </w:rPr>
                          <w:t> </w:t>
                        </w:r>
                        <w:r>
                          <w:rPr>
                            <w:rFonts w:ascii="宋体" w:hAnsi="宋体" w:cs="宋体" w:eastAsia="宋体" w:hint="default"/>
                            <w:spacing w:val="-3"/>
                            <w:sz w:val="18"/>
                            <w:szCs w:val="18"/>
                          </w:rPr>
                          <w:t>陷。内部控制缺陷可能导致或导致的损失</w:t>
                        </w:r>
                      </w:p>
                    </w:tc>
                    <w:tc>
                      <w:tcPr>
                        <w:tcW w:w="3036" w:type="dxa"/>
                        <w:tcBorders>
                          <w:top w:val="nil" w:sz="6" w:space="0" w:color="auto"/>
                          <w:left w:val="single" w:sz="13" w:space="0" w:color="FFFFFF"/>
                          <w:bottom w:val="nil" w:sz="6" w:space="0" w:color="auto"/>
                          <w:right w:val="single" w:sz="4" w:space="0" w:color="000000"/>
                        </w:tcBorders>
                      </w:tcPr>
                      <w:p>
                        <w:pPr>
                          <w:pStyle w:val="TableParagraph"/>
                          <w:spacing w:line="304" w:lineRule="auto"/>
                          <w:ind w:right="113"/>
                          <w:jc w:val="left"/>
                          <w:rPr>
                            <w:rFonts w:ascii="宋体" w:hAnsi="宋体" w:cs="宋体" w:eastAsia="宋体" w:hint="default"/>
                            <w:sz w:val="18"/>
                            <w:szCs w:val="18"/>
                          </w:rPr>
                        </w:pPr>
                        <w:r>
                          <w:rPr>
                            <w:rFonts w:ascii="宋体" w:hAnsi="宋体" w:cs="宋体" w:eastAsia="宋体" w:hint="default"/>
                            <w:sz w:val="18"/>
                            <w:szCs w:val="18"/>
                          </w:rPr>
                          <w:t>润营业收入的</w:t>
                        </w:r>
                        <w:r>
                          <w:rPr>
                            <w:rFonts w:ascii="宋体" w:hAnsi="宋体" w:cs="宋体" w:eastAsia="宋体" w:hint="default"/>
                            <w:spacing w:val="-25"/>
                            <w:sz w:val="18"/>
                            <w:szCs w:val="18"/>
                          </w:rPr>
                          <w:t> </w:t>
                        </w:r>
                        <w:r>
                          <w:rPr>
                            <w:rFonts w:ascii="Times New Roman" w:hAnsi="Times New Roman" w:cs="Times New Roman" w:eastAsia="Times New Roman" w:hint="default"/>
                            <w:spacing w:val="-3"/>
                            <w:sz w:val="18"/>
                            <w:szCs w:val="18"/>
                          </w:rPr>
                          <w:t>12%</w:t>
                        </w:r>
                        <w:r>
                          <w:rPr>
                            <w:rFonts w:ascii="宋体" w:hAnsi="宋体" w:cs="宋体" w:eastAsia="宋体" w:hint="default"/>
                            <w:spacing w:val="-3"/>
                            <w:sz w:val="18"/>
                            <w:szCs w:val="18"/>
                          </w:rPr>
                          <w:t>，则认定为重大缺</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陷。</w:t>
                        </w:r>
                      </w:p>
                    </w:tc>
                  </w:tr>
                  <w:tr>
                    <w:trPr>
                      <w:trHeight w:val="322" w:hRule="exact"/>
                    </w:trPr>
                    <w:tc>
                      <w:tcPr>
                        <w:tcW w:w="3192" w:type="dxa"/>
                        <w:tcBorders>
                          <w:top w:val="nil" w:sz="6" w:space="0" w:color="auto"/>
                          <w:left w:val="single" w:sz="4" w:space="0" w:color="000000"/>
                          <w:bottom w:val="nil" w:sz="6" w:space="0" w:color="auto"/>
                          <w:right w:val="single" w:sz="4" w:space="0" w:color="000000"/>
                        </w:tcBorders>
                        <w:shd w:val="clear" w:color="auto" w:fill="D2D2D2"/>
                      </w:tcPr>
                      <w:p>
                        <w:pPr/>
                      </w:p>
                    </w:tc>
                    <w:tc>
                      <w:tcPr>
                        <w:tcW w:w="3338" w:type="dxa"/>
                        <w:tcBorders>
                          <w:top w:val="nil" w:sz="6" w:space="0" w:color="auto"/>
                          <w:left w:val="single" w:sz="4" w:space="0" w:color="000000"/>
                          <w:bottom w:val="nil" w:sz="6" w:space="0" w:color="auto"/>
                          <w:right w:val="single" w:sz="13" w:space="0" w:color="FFFFFF"/>
                        </w:tcBorders>
                      </w:tcPr>
                      <w:p>
                        <w:pPr>
                          <w:pStyle w:val="TableParagraph"/>
                          <w:spacing w:line="240" w:lineRule="auto" w:before="11"/>
                          <w:ind w:left="23" w:right="-34"/>
                          <w:jc w:val="left"/>
                          <w:rPr>
                            <w:rFonts w:ascii="宋体" w:hAnsi="宋体" w:cs="宋体" w:eastAsia="宋体" w:hint="default"/>
                            <w:sz w:val="18"/>
                            <w:szCs w:val="18"/>
                          </w:rPr>
                        </w:pPr>
                        <w:r>
                          <w:rPr>
                            <w:rFonts w:ascii="宋体" w:hAnsi="宋体" w:cs="宋体" w:eastAsia="宋体" w:hint="default"/>
                            <w:spacing w:val="-8"/>
                            <w:sz w:val="18"/>
                            <w:szCs w:val="18"/>
                          </w:rPr>
                          <w:t>与资产管理相关的，以资产总额指标衡量。</w:t>
                        </w:r>
                        <w:r>
                          <w:rPr>
                            <w:rFonts w:ascii="宋体" w:hAnsi="宋体" w:cs="宋体" w:eastAsia="宋体" w:hint="default"/>
                            <w:sz w:val="18"/>
                            <w:szCs w:val="18"/>
                          </w:rPr>
                        </w:r>
                      </w:p>
                    </w:tc>
                    <w:tc>
                      <w:tcPr>
                        <w:tcW w:w="3036" w:type="dxa"/>
                        <w:tcBorders>
                          <w:top w:val="nil" w:sz="6" w:space="0" w:color="auto"/>
                          <w:left w:val="single" w:sz="13" w:space="0" w:color="FFFFFF"/>
                          <w:bottom w:val="nil" w:sz="6" w:space="0" w:color="auto"/>
                          <w:right w:val="single" w:sz="4" w:space="0" w:color="000000"/>
                        </w:tcBorders>
                      </w:tcPr>
                      <w:p>
                        <w:pPr>
                          <w:pStyle w:val="TableParagraph"/>
                          <w:spacing w:line="240" w:lineRule="auto" w:before="30"/>
                          <w:ind w:right="0"/>
                          <w:jc w:val="left"/>
                          <w:rPr>
                            <w:rFonts w:ascii="宋体" w:hAnsi="宋体" w:cs="宋体" w:eastAsia="宋体" w:hint="default"/>
                            <w:sz w:val="18"/>
                            <w:szCs w:val="18"/>
                          </w:rPr>
                        </w:pPr>
                        <w:r>
                          <w:rPr>
                            <w:rFonts w:ascii="宋体" w:hAnsi="宋体" w:cs="宋体" w:eastAsia="宋体" w:hint="default"/>
                            <w:spacing w:val="-3"/>
                            <w:sz w:val="18"/>
                            <w:szCs w:val="18"/>
                          </w:rPr>
                          <w:t>内部控制缺陷可能导致或导致的损失</w:t>
                        </w:r>
                      </w:p>
                    </w:tc>
                  </w:tr>
                  <w:tr>
                    <w:trPr>
                      <w:trHeight w:val="312" w:hRule="exact"/>
                    </w:trPr>
                    <w:tc>
                      <w:tcPr>
                        <w:tcW w:w="3192" w:type="dxa"/>
                        <w:tcBorders>
                          <w:top w:val="nil" w:sz="6" w:space="0" w:color="auto"/>
                          <w:left w:val="single" w:sz="4" w:space="0" w:color="000000"/>
                          <w:bottom w:val="nil" w:sz="6" w:space="0" w:color="auto"/>
                          <w:right w:val="single" w:sz="4" w:space="0" w:color="000000"/>
                        </w:tcBorders>
                        <w:shd w:val="clear" w:color="auto" w:fill="D2D2D2"/>
                      </w:tcPr>
                      <w:p>
                        <w:pPr/>
                      </w:p>
                    </w:tc>
                    <w:tc>
                      <w:tcPr>
                        <w:tcW w:w="3338" w:type="dxa"/>
                        <w:tcBorders>
                          <w:top w:val="nil" w:sz="6" w:space="0" w:color="auto"/>
                          <w:left w:val="single" w:sz="4" w:space="0" w:color="000000"/>
                          <w:bottom w:val="nil" w:sz="6" w:space="0" w:color="auto"/>
                          <w:right w:val="single" w:sz="13" w:space="0" w:color="FFFFFF"/>
                        </w:tcBorders>
                      </w:tcPr>
                      <w:p>
                        <w:pPr>
                          <w:pStyle w:val="TableParagraph"/>
                          <w:spacing w:line="240" w:lineRule="auto" w:before="1"/>
                          <w:ind w:left="23" w:right="0"/>
                          <w:jc w:val="left"/>
                          <w:rPr>
                            <w:rFonts w:ascii="宋体" w:hAnsi="宋体" w:cs="宋体" w:eastAsia="宋体" w:hint="default"/>
                            <w:sz w:val="18"/>
                            <w:szCs w:val="18"/>
                          </w:rPr>
                        </w:pPr>
                        <w:r>
                          <w:rPr>
                            <w:rFonts w:ascii="宋体" w:hAnsi="宋体" w:cs="宋体" w:eastAsia="宋体" w:hint="default"/>
                            <w:spacing w:val="-3"/>
                            <w:sz w:val="18"/>
                            <w:szCs w:val="18"/>
                          </w:rPr>
                          <w:t>如果该缺陷单独或连同其他缺陷可能导致</w:t>
                        </w:r>
                      </w:p>
                    </w:tc>
                    <w:tc>
                      <w:tcPr>
                        <w:tcW w:w="3036" w:type="dxa"/>
                        <w:tcBorders>
                          <w:top w:val="nil" w:sz="6" w:space="0" w:color="auto"/>
                          <w:left w:val="single" w:sz="13" w:space="0" w:color="FFFFFF"/>
                          <w:bottom w:val="nil" w:sz="6" w:space="0" w:color="auto"/>
                          <w:right w:val="single" w:sz="4" w:space="0" w:color="000000"/>
                        </w:tcBorders>
                      </w:tcPr>
                      <w:p>
                        <w:pPr>
                          <w:pStyle w:val="TableParagraph"/>
                          <w:spacing w:line="240" w:lineRule="auto" w:before="21"/>
                          <w:ind w:right="0"/>
                          <w:jc w:val="left"/>
                          <w:rPr>
                            <w:rFonts w:ascii="宋体" w:hAnsi="宋体" w:cs="宋体" w:eastAsia="宋体" w:hint="default"/>
                            <w:sz w:val="18"/>
                            <w:szCs w:val="18"/>
                          </w:rPr>
                        </w:pPr>
                        <w:r>
                          <w:rPr>
                            <w:rFonts w:ascii="宋体" w:hAnsi="宋体" w:cs="宋体" w:eastAsia="宋体" w:hint="default"/>
                            <w:spacing w:val="-6"/>
                            <w:sz w:val="18"/>
                            <w:szCs w:val="18"/>
                          </w:rPr>
                          <w:t>与资产管理相关的，以资产总额指标衡</w:t>
                        </w:r>
                      </w:p>
                    </w:tc>
                  </w:tr>
                  <w:tr>
                    <w:trPr>
                      <w:trHeight w:val="312" w:hRule="exact"/>
                    </w:trPr>
                    <w:tc>
                      <w:tcPr>
                        <w:tcW w:w="3192" w:type="dxa"/>
                        <w:tcBorders>
                          <w:top w:val="nil" w:sz="6" w:space="0" w:color="auto"/>
                          <w:left w:val="single" w:sz="4" w:space="0" w:color="000000"/>
                          <w:bottom w:val="nil" w:sz="6" w:space="0" w:color="auto"/>
                          <w:right w:val="single" w:sz="4" w:space="0" w:color="000000"/>
                        </w:tcBorders>
                        <w:shd w:val="clear" w:color="auto" w:fill="D2D2D2"/>
                      </w:tcPr>
                      <w:p>
                        <w:pPr/>
                      </w:p>
                    </w:tc>
                    <w:tc>
                      <w:tcPr>
                        <w:tcW w:w="3338" w:type="dxa"/>
                        <w:tcBorders>
                          <w:top w:val="nil" w:sz="6" w:space="0" w:color="auto"/>
                          <w:left w:val="single" w:sz="4" w:space="0" w:color="000000"/>
                          <w:bottom w:val="nil" w:sz="6" w:space="0" w:color="auto"/>
                          <w:right w:val="single" w:sz="13" w:space="0" w:color="FFFFFF"/>
                        </w:tcBorders>
                      </w:tcPr>
                      <w:p>
                        <w:pPr>
                          <w:pStyle w:val="TableParagraph"/>
                          <w:spacing w:line="240" w:lineRule="auto" w:before="1"/>
                          <w:ind w:left="23" w:right="0"/>
                          <w:jc w:val="left"/>
                          <w:rPr>
                            <w:rFonts w:ascii="宋体" w:hAnsi="宋体" w:cs="宋体" w:eastAsia="宋体" w:hint="default"/>
                            <w:sz w:val="18"/>
                            <w:szCs w:val="18"/>
                          </w:rPr>
                        </w:pPr>
                        <w:r>
                          <w:rPr>
                            <w:rFonts w:ascii="宋体" w:hAnsi="宋体" w:cs="宋体" w:eastAsia="宋体" w:hint="default"/>
                            <w:spacing w:val="-3"/>
                            <w:sz w:val="18"/>
                            <w:szCs w:val="18"/>
                          </w:rPr>
                          <w:t>的财务报告错报金额小于资产总额的</w:t>
                        </w:r>
                      </w:p>
                    </w:tc>
                    <w:tc>
                      <w:tcPr>
                        <w:tcW w:w="3036" w:type="dxa"/>
                        <w:tcBorders>
                          <w:top w:val="nil" w:sz="6" w:space="0" w:color="auto"/>
                          <w:left w:val="single" w:sz="13" w:space="0" w:color="FFFFFF"/>
                          <w:bottom w:val="nil" w:sz="6" w:space="0" w:color="auto"/>
                          <w:right w:val="single" w:sz="4" w:space="0" w:color="000000"/>
                        </w:tcBorders>
                      </w:tcPr>
                      <w:p>
                        <w:pPr>
                          <w:pStyle w:val="TableParagraph"/>
                          <w:spacing w:line="240" w:lineRule="auto" w:before="21"/>
                          <w:ind w:right="0"/>
                          <w:jc w:val="left"/>
                          <w:rPr>
                            <w:rFonts w:ascii="宋体" w:hAnsi="宋体" w:cs="宋体" w:eastAsia="宋体" w:hint="default"/>
                            <w:sz w:val="18"/>
                            <w:szCs w:val="18"/>
                          </w:rPr>
                        </w:pPr>
                        <w:r>
                          <w:rPr>
                            <w:rFonts w:ascii="宋体" w:hAnsi="宋体" w:cs="宋体" w:eastAsia="宋体" w:hint="default"/>
                            <w:spacing w:val="-7"/>
                            <w:sz w:val="18"/>
                            <w:szCs w:val="18"/>
                          </w:rPr>
                          <w:t>量。如果该缺陷单独或连同其他缺陷可</w:t>
                        </w:r>
                      </w:p>
                    </w:tc>
                  </w:tr>
                  <w:tr>
                    <w:trPr>
                      <w:trHeight w:val="312" w:hRule="exact"/>
                    </w:trPr>
                    <w:tc>
                      <w:tcPr>
                        <w:tcW w:w="3192" w:type="dxa"/>
                        <w:tcBorders>
                          <w:top w:val="nil" w:sz="6" w:space="0" w:color="auto"/>
                          <w:left w:val="single" w:sz="4" w:space="0" w:color="000000"/>
                          <w:bottom w:val="nil" w:sz="6" w:space="0" w:color="auto"/>
                          <w:right w:val="single" w:sz="4" w:space="0" w:color="000000"/>
                        </w:tcBorders>
                        <w:shd w:val="clear" w:color="auto" w:fill="D2D2D2"/>
                      </w:tcPr>
                      <w:p>
                        <w:pPr/>
                      </w:p>
                    </w:tc>
                    <w:tc>
                      <w:tcPr>
                        <w:tcW w:w="3338" w:type="dxa"/>
                        <w:tcBorders>
                          <w:top w:val="nil" w:sz="6" w:space="0" w:color="auto"/>
                          <w:left w:val="single" w:sz="4" w:space="0" w:color="000000"/>
                          <w:bottom w:val="nil" w:sz="6" w:space="0" w:color="auto"/>
                          <w:right w:val="single" w:sz="13" w:space="0" w:color="FFFFFF"/>
                        </w:tcBorders>
                      </w:tcPr>
                      <w:p>
                        <w:pPr>
                          <w:pStyle w:val="TableParagraph"/>
                          <w:spacing w:line="240" w:lineRule="auto" w:before="1"/>
                          <w:ind w:left="23"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0.5%</w:t>
                        </w:r>
                        <w:r>
                          <w:rPr>
                            <w:rFonts w:ascii="宋体" w:hAnsi="宋体" w:cs="宋体" w:eastAsia="宋体" w:hint="default"/>
                            <w:spacing w:val="-3"/>
                            <w:sz w:val="18"/>
                            <w:szCs w:val="18"/>
                          </w:rPr>
                          <w:t>，则认定为一般缺陷；如果超过资产</w:t>
                        </w:r>
                      </w:p>
                    </w:tc>
                    <w:tc>
                      <w:tcPr>
                        <w:tcW w:w="3036" w:type="dxa"/>
                        <w:tcBorders>
                          <w:top w:val="nil" w:sz="6" w:space="0" w:color="auto"/>
                          <w:left w:val="single" w:sz="13" w:space="0" w:color="FFFFFF"/>
                          <w:bottom w:val="nil" w:sz="6" w:space="0" w:color="auto"/>
                          <w:right w:val="single" w:sz="4" w:space="0" w:color="000000"/>
                        </w:tcBorders>
                      </w:tcPr>
                      <w:p>
                        <w:pPr>
                          <w:pStyle w:val="TableParagraph"/>
                          <w:spacing w:line="240" w:lineRule="auto" w:before="21"/>
                          <w:ind w:right="0"/>
                          <w:jc w:val="left"/>
                          <w:rPr>
                            <w:rFonts w:ascii="宋体" w:hAnsi="宋体" w:cs="宋体" w:eastAsia="宋体" w:hint="default"/>
                            <w:sz w:val="18"/>
                            <w:szCs w:val="18"/>
                          </w:rPr>
                        </w:pPr>
                        <w:r>
                          <w:rPr>
                            <w:rFonts w:ascii="宋体" w:hAnsi="宋体" w:cs="宋体" w:eastAsia="宋体" w:hint="default"/>
                            <w:spacing w:val="-3"/>
                            <w:sz w:val="18"/>
                            <w:szCs w:val="18"/>
                          </w:rPr>
                          <w:t>能导致的财务报告错报金额小于资产</w:t>
                        </w:r>
                      </w:p>
                    </w:tc>
                  </w:tr>
                  <w:tr>
                    <w:trPr>
                      <w:trHeight w:val="317" w:hRule="exact"/>
                    </w:trPr>
                    <w:tc>
                      <w:tcPr>
                        <w:tcW w:w="3192" w:type="dxa"/>
                        <w:tcBorders>
                          <w:top w:val="nil" w:sz="6" w:space="0" w:color="auto"/>
                          <w:left w:val="single" w:sz="4" w:space="0" w:color="000000"/>
                          <w:bottom w:val="nil" w:sz="6" w:space="0" w:color="auto"/>
                          <w:right w:val="single" w:sz="4" w:space="0" w:color="000000"/>
                        </w:tcBorders>
                        <w:shd w:val="clear" w:color="auto" w:fill="D2D2D2"/>
                      </w:tcPr>
                      <w:p>
                        <w:pPr/>
                      </w:p>
                    </w:tc>
                    <w:tc>
                      <w:tcPr>
                        <w:tcW w:w="3338" w:type="dxa"/>
                        <w:tcBorders>
                          <w:top w:val="nil" w:sz="6" w:space="0" w:color="auto"/>
                          <w:left w:val="single" w:sz="4" w:space="0" w:color="000000"/>
                          <w:bottom w:val="nil" w:sz="6" w:space="0" w:color="auto"/>
                          <w:right w:val="single" w:sz="13" w:space="0" w:color="FFFFFF"/>
                        </w:tcBorders>
                      </w:tcPr>
                      <w:p>
                        <w:pPr>
                          <w:pStyle w:val="TableParagraph"/>
                          <w:spacing w:line="240" w:lineRule="auto" w:before="1"/>
                          <w:ind w:left="23" w:right="-29"/>
                          <w:jc w:val="left"/>
                          <w:rPr>
                            <w:rFonts w:ascii="宋体" w:hAnsi="宋体" w:cs="宋体" w:eastAsia="宋体" w:hint="default"/>
                            <w:sz w:val="18"/>
                            <w:szCs w:val="18"/>
                          </w:rPr>
                        </w:pPr>
                        <w:r>
                          <w:rPr>
                            <w:rFonts w:ascii="宋体" w:hAnsi="宋体" w:cs="宋体" w:eastAsia="宋体" w:hint="default"/>
                            <w:sz w:val="18"/>
                            <w:szCs w:val="18"/>
                          </w:rPr>
                          <w:t>总额的 </w:t>
                        </w:r>
                        <w:r>
                          <w:rPr>
                            <w:rFonts w:ascii="Times New Roman" w:hAnsi="Times New Roman" w:cs="Times New Roman" w:eastAsia="Times New Roman" w:hint="default"/>
                            <w:sz w:val="18"/>
                            <w:szCs w:val="18"/>
                          </w:rPr>
                          <w:t>0.5%</w:t>
                        </w:r>
                        <w:r>
                          <w:rPr>
                            <w:rFonts w:ascii="宋体" w:hAnsi="宋体" w:cs="宋体" w:eastAsia="宋体" w:hint="default"/>
                            <w:sz w:val="18"/>
                            <w:szCs w:val="18"/>
                          </w:rPr>
                          <w:t>但小于</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认定为重要缺陷；</w:t>
                        </w:r>
                      </w:p>
                    </w:tc>
                    <w:tc>
                      <w:tcPr>
                        <w:tcW w:w="3036" w:type="dxa"/>
                        <w:tcBorders>
                          <w:top w:val="nil" w:sz="6" w:space="0" w:color="auto"/>
                          <w:left w:val="single" w:sz="13" w:space="0" w:color="FFFFFF"/>
                          <w:bottom w:val="nil" w:sz="6" w:space="0" w:color="auto"/>
                          <w:right w:val="single" w:sz="4" w:space="0" w:color="000000"/>
                        </w:tcBorders>
                      </w:tcPr>
                      <w:p>
                        <w:pPr>
                          <w:pStyle w:val="TableParagraph"/>
                          <w:spacing w:line="240" w:lineRule="auto" w:before="21"/>
                          <w:ind w:right="0"/>
                          <w:jc w:val="left"/>
                          <w:rPr>
                            <w:rFonts w:ascii="宋体" w:hAnsi="宋体" w:cs="宋体" w:eastAsia="宋体" w:hint="default"/>
                            <w:sz w:val="18"/>
                            <w:szCs w:val="18"/>
                          </w:rPr>
                        </w:pPr>
                        <w:r>
                          <w:rPr>
                            <w:rFonts w:ascii="宋体" w:hAnsi="宋体" w:cs="宋体" w:eastAsia="宋体" w:hint="default"/>
                            <w:sz w:val="18"/>
                            <w:szCs w:val="18"/>
                          </w:rPr>
                          <w:t>总额的</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0.5%</w:t>
                        </w:r>
                        <w:r>
                          <w:rPr>
                            <w:rFonts w:ascii="宋体" w:hAnsi="宋体" w:cs="宋体" w:eastAsia="宋体" w:hint="default"/>
                            <w:spacing w:val="-3"/>
                            <w:sz w:val="18"/>
                            <w:szCs w:val="18"/>
                          </w:rPr>
                          <w:t>，则认定为一般缺陷；如</w:t>
                        </w:r>
                      </w:p>
                    </w:tc>
                  </w:tr>
                  <w:tr>
                    <w:trPr>
                      <w:trHeight w:val="314" w:hRule="exact"/>
                    </w:trPr>
                    <w:tc>
                      <w:tcPr>
                        <w:tcW w:w="3192" w:type="dxa"/>
                        <w:tcBorders>
                          <w:top w:val="nil" w:sz="6" w:space="0" w:color="auto"/>
                          <w:left w:val="single" w:sz="4" w:space="0" w:color="000000"/>
                          <w:bottom w:val="nil" w:sz="6" w:space="0" w:color="auto"/>
                          <w:right w:val="single" w:sz="4" w:space="0" w:color="000000"/>
                        </w:tcBorders>
                        <w:shd w:val="clear" w:color="auto" w:fill="D2D2D2"/>
                      </w:tcPr>
                      <w:p>
                        <w:pPr/>
                      </w:p>
                    </w:tc>
                    <w:tc>
                      <w:tcPr>
                        <w:tcW w:w="3338" w:type="dxa"/>
                        <w:tcBorders>
                          <w:top w:val="nil" w:sz="6" w:space="0" w:color="auto"/>
                          <w:left w:val="single" w:sz="4" w:space="0" w:color="000000"/>
                          <w:bottom w:val="nil" w:sz="6" w:space="0" w:color="auto"/>
                          <w:right w:val="single" w:sz="13" w:space="0" w:color="FFFFFF"/>
                        </w:tcBorders>
                      </w:tcPr>
                      <w:p>
                        <w:pPr>
                          <w:pStyle w:val="TableParagraph"/>
                          <w:spacing w:line="246" w:lineRule="exact"/>
                          <w:ind w:left="23" w:right="0"/>
                          <w:jc w:val="left"/>
                          <w:rPr>
                            <w:rFonts w:ascii="宋体" w:hAnsi="宋体" w:cs="宋体" w:eastAsia="宋体" w:hint="default"/>
                            <w:sz w:val="18"/>
                            <w:szCs w:val="18"/>
                          </w:rPr>
                        </w:pPr>
                        <w:r>
                          <w:rPr>
                            <w:rFonts w:ascii="宋体" w:hAnsi="宋体" w:cs="宋体" w:eastAsia="宋体" w:hint="default"/>
                            <w:sz w:val="18"/>
                            <w:szCs w:val="18"/>
                          </w:rPr>
                          <w:t>如果超过资产总额</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，则认定为重大缺</w:t>
                        </w:r>
                      </w:p>
                    </w:tc>
                    <w:tc>
                      <w:tcPr>
                        <w:tcW w:w="3036" w:type="dxa"/>
                        <w:tcBorders>
                          <w:top w:val="nil" w:sz="6" w:space="0" w:color="auto"/>
                          <w:left w:val="single" w:sz="13" w:space="0" w:color="FFFFFF"/>
                          <w:bottom w:val="nil" w:sz="6" w:space="0" w:color="auto"/>
                          <w:right w:val="single" w:sz="4" w:space="0" w:color="000000"/>
                        </w:tcBorders>
                      </w:tcPr>
                      <w:p>
                        <w:pPr>
                          <w:pStyle w:val="TableParagraph"/>
                          <w:spacing w:line="240" w:lineRule="auto" w:before="16"/>
                          <w:ind w:right="0"/>
                          <w:jc w:val="left"/>
                          <w:rPr>
                            <w:rFonts w:ascii="宋体" w:hAnsi="宋体" w:cs="宋体" w:eastAsia="宋体" w:hint="default"/>
                            <w:sz w:val="18"/>
                            <w:szCs w:val="18"/>
                          </w:rPr>
                        </w:pPr>
                        <w:r>
                          <w:rPr>
                            <w:rFonts w:ascii="宋体" w:hAnsi="宋体" w:cs="宋体" w:eastAsia="宋体" w:hint="default"/>
                            <w:spacing w:val="-3"/>
                            <w:sz w:val="18"/>
                            <w:szCs w:val="18"/>
                          </w:rPr>
                          <w:t>果超过资产总额 </w:t>
                        </w:r>
                        <w:r>
                          <w:rPr>
                            <w:rFonts w:ascii="Times New Roman" w:hAnsi="Times New Roman" w:cs="Times New Roman" w:eastAsia="Times New Roman" w:hint="default"/>
                            <w:sz w:val="18"/>
                            <w:szCs w:val="18"/>
                          </w:rPr>
                          <w:t>0.5%</w:t>
                        </w:r>
                        <w:r>
                          <w:rPr>
                            <w:rFonts w:ascii="宋体" w:hAnsi="宋体" w:cs="宋体" w:eastAsia="宋体" w:hint="default"/>
                            <w:sz w:val="18"/>
                            <w:szCs w:val="18"/>
                          </w:rPr>
                          <w:t>但小于</w:t>
                        </w:r>
                        <w:r>
                          <w:rPr>
                            <w:rFonts w:ascii="宋体" w:hAnsi="宋体" w:cs="宋体" w:eastAsia="宋体" w:hint="default"/>
                            <w:spacing w:val="27"/>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则认</w:t>
                        </w:r>
                      </w:p>
                    </w:tc>
                  </w:tr>
                  <w:tr>
                    <w:trPr>
                      <w:trHeight w:val="317" w:hRule="exact"/>
                    </w:trPr>
                    <w:tc>
                      <w:tcPr>
                        <w:tcW w:w="3192" w:type="dxa"/>
                        <w:tcBorders>
                          <w:top w:val="nil" w:sz="6" w:space="0" w:color="auto"/>
                          <w:left w:val="single" w:sz="4" w:space="0" w:color="000000"/>
                          <w:bottom w:val="nil" w:sz="6" w:space="0" w:color="auto"/>
                          <w:right w:val="single" w:sz="4" w:space="0" w:color="000000"/>
                        </w:tcBorders>
                        <w:shd w:val="clear" w:color="auto" w:fill="D2D2D2"/>
                      </w:tcPr>
                      <w:p>
                        <w:pPr/>
                      </w:p>
                    </w:tc>
                    <w:tc>
                      <w:tcPr>
                        <w:tcW w:w="3338" w:type="dxa"/>
                        <w:tcBorders>
                          <w:top w:val="nil" w:sz="6" w:space="0" w:color="auto"/>
                          <w:left w:val="single" w:sz="4" w:space="0" w:color="000000"/>
                          <w:bottom w:val="nil" w:sz="6" w:space="0" w:color="auto"/>
                          <w:right w:val="single" w:sz="13" w:space="0" w:color="FFFFFF"/>
                        </w:tcBorders>
                      </w:tcPr>
                      <w:p>
                        <w:pPr>
                          <w:pStyle w:val="TableParagraph"/>
                          <w:spacing w:line="235" w:lineRule="exact"/>
                          <w:ind w:left="23" w:right="0"/>
                          <w:jc w:val="left"/>
                          <w:rPr>
                            <w:rFonts w:ascii="宋体" w:hAnsi="宋体" w:cs="宋体" w:eastAsia="宋体" w:hint="default"/>
                            <w:sz w:val="18"/>
                            <w:szCs w:val="18"/>
                          </w:rPr>
                        </w:pPr>
                        <w:r>
                          <w:rPr>
                            <w:rFonts w:ascii="宋体" w:hAnsi="宋体" w:cs="宋体" w:eastAsia="宋体" w:hint="default"/>
                            <w:sz w:val="18"/>
                            <w:szCs w:val="18"/>
                          </w:rPr>
                          <w:t>陷。</w:t>
                        </w:r>
                      </w:p>
                    </w:tc>
                    <w:tc>
                      <w:tcPr>
                        <w:tcW w:w="3036" w:type="dxa"/>
                        <w:tcBorders>
                          <w:top w:val="nil" w:sz="6" w:space="0" w:color="auto"/>
                          <w:left w:val="single" w:sz="13" w:space="0" w:color="FFFFFF"/>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8"/>
                            <w:szCs w:val="18"/>
                          </w:rPr>
                        </w:pPr>
                        <w:r>
                          <w:rPr>
                            <w:rFonts w:ascii="宋体" w:hAnsi="宋体" w:cs="宋体" w:eastAsia="宋体" w:hint="default"/>
                            <w:spacing w:val="-3"/>
                            <w:sz w:val="18"/>
                            <w:szCs w:val="18"/>
                          </w:rPr>
                          <w:t>定为重要缺陷；如果超过资产总额</w:t>
                        </w:r>
                      </w:p>
                    </w:tc>
                  </w:tr>
                  <w:tr>
                    <w:trPr>
                      <w:trHeight w:val="354" w:hRule="exact"/>
                    </w:trPr>
                    <w:tc>
                      <w:tcPr>
                        <w:tcW w:w="3192" w:type="dxa"/>
                        <w:tcBorders>
                          <w:top w:val="nil" w:sz="6" w:space="0" w:color="auto"/>
                          <w:left w:val="single" w:sz="4" w:space="0" w:color="000000"/>
                          <w:bottom w:val="single" w:sz="4" w:space="0" w:color="000000"/>
                          <w:right w:val="single" w:sz="4" w:space="0" w:color="000000"/>
                        </w:tcBorders>
                        <w:shd w:val="clear" w:color="auto" w:fill="D2D2D2"/>
                      </w:tcPr>
                      <w:p>
                        <w:pPr/>
                      </w:p>
                    </w:tc>
                    <w:tc>
                      <w:tcPr>
                        <w:tcW w:w="3338" w:type="dxa"/>
                        <w:tcBorders>
                          <w:top w:val="nil" w:sz="6" w:space="0" w:color="auto"/>
                          <w:left w:val="single" w:sz="4" w:space="0" w:color="000000"/>
                          <w:bottom w:val="single" w:sz="4" w:space="0" w:color="000000"/>
                          <w:right w:val="single" w:sz="13" w:space="0" w:color="FFFFFF"/>
                        </w:tcBorders>
                      </w:tcPr>
                      <w:p>
                        <w:pPr/>
                      </w:p>
                    </w:tc>
                    <w:tc>
                      <w:tcPr>
                        <w:tcW w:w="3036" w:type="dxa"/>
                        <w:tcBorders>
                          <w:top w:val="nil" w:sz="6" w:space="0" w:color="auto"/>
                          <w:left w:val="single" w:sz="13" w:space="0" w:color="FFFFFF"/>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，则认定为重大缺陷。</w:t>
                        </w:r>
                      </w:p>
                    </w:tc>
                  </w:tr>
                  <w:tr>
                    <w:trPr>
                      <w:trHeight w:val="403"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财务报告重大缺陷数量（个）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非财务报告重大缺陷数量（个）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财务报告重要缺陷数量（个）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非财务报告重要缺陷数量（个）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bl>
                <w:p>
                  <w:pPr/>
                </w:p>
              </w:txbxContent>
            </v:textbox>
            <w10:wrap type="none"/>
          </v:shape>
        </w:pict>
      </w:r>
      <w:r>
        <w:rPr>
          <w:rFonts w:ascii="宋体" w:hAnsi="宋体" w:cs="宋体" w:eastAsia="宋体" w:hint="default"/>
          <w:w w:val="101"/>
          <w:sz w:val="18"/>
          <w:szCs w:val="18"/>
        </w:rPr>
        <w:t>、</w:t>
      </w:r>
      <w:r>
        <w:rPr>
          <w:rFonts w:ascii="宋体" w:hAnsi="宋体" w:cs="宋体" w:eastAsia="宋体" w:hint="default"/>
          <w:sz w:val="18"/>
          <w:szCs w:val="18"/>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spacing w:before="46"/>
        <w:ind w:left="0" w:right="170" w:firstLine="0"/>
        <w:jc w:val="right"/>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p>
      <w:pPr>
        <w:spacing w:before="81"/>
        <w:ind w:left="0" w:right="170" w:firstLine="0"/>
        <w:jc w:val="right"/>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p>
      <w:pPr>
        <w:spacing w:line="312" w:lineRule="exact"/>
        <w:ind w:left="6700" w:right="0" w:firstLine="0"/>
        <w:rPr>
          <w:rFonts w:ascii="宋体" w:hAnsi="宋体" w:cs="宋体" w:eastAsia="宋体" w:hint="default"/>
          <w:sz w:val="20"/>
          <w:szCs w:val="20"/>
        </w:rPr>
      </w:pPr>
      <w:r>
        <w:rPr>
          <w:rFonts w:ascii="宋体" w:hAnsi="宋体" w:cs="宋体" w:eastAsia="宋体" w:hint="default"/>
          <w:position w:val="-5"/>
          <w:sz w:val="20"/>
          <w:szCs w:val="20"/>
        </w:rPr>
        <w:pict>
          <v:group style="width:149.8pt;height:15.6pt;mso-position-horizontal-relative:char;mso-position-vertical-relative:line" coordorigin="0,0" coordsize="2996,312">
            <v:group style="position:absolute;left:0;top:0;width:2996;height:312" coordorigin="0,0" coordsize="2996,312">
              <v:shape style="position:absolute;left:0;top:0;width:2996;height:312" coordorigin="0,0" coordsize="2996,312" path="m0,312l2995,312,2995,0,0,0,0,312xe" filled="true" fillcolor="#ffffff" stroked="false">
                <v:path arrowok="t"/>
                <v:fill type="solid"/>
              </v:shape>
            </v:group>
          </v:group>
        </w:pict>
      </w:r>
      <w:r>
        <w:rPr>
          <w:rFonts w:ascii="宋体" w:hAnsi="宋体" w:cs="宋体" w:eastAsia="宋体" w:hint="default"/>
          <w:position w:val="-5"/>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5"/>
          <w:szCs w:val="25"/>
        </w:rPr>
      </w:pPr>
    </w:p>
    <w:p>
      <w:pPr>
        <w:spacing w:line="312" w:lineRule="exact"/>
        <w:ind w:left="6700" w:right="0" w:firstLine="0"/>
        <w:rPr>
          <w:rFonts w:ascii="宋体" w:hAnsi="宋体" w:cs="宋体" w:eastAsia="宋体" w:hint="default"/>
          <w:sz w:val="20"/>
          <w:szCs w:val="20"/>
        </w:rPr>
      </w:pPr>
      <w:r>
        <w:rPr>
          <w:rFonts w:ascii="宋体" w:hAnsi="宋体" w:cs="宋体" w:eastAsia="宋体" w:hint="default"/>
          <w:position w:val="-5"/>
          <w:sz w:val="20"/>
          <w:szCs w:val="20"/>
        </w:rPr>
        <w:pict>
          <v:group style="width:149.8pt;height:15.6pt;mso-position-horizontal-relative:char;mso-position-vertical-relative:line" coordorigin="0,0" coordsize="2996,312">
            <v:group style="position:absolute;left:0;top:0;width:2996;height:312" coordorigin="0,0" coordsize="2996,312">
              <v:shape style="position:absolute;left:0;top:0;width:2996;height:312" coordorigin="0,0" coordsize="2996,312" path="m0,312l2995,312,2995,0,0,0,0,312xe" filled="true" fillcolor="#ffffff" stroked="false">
                <v:path arrowok="t"/>
                <v:fill type="solid"/>
              </v:shape>
            </v:group>
          </v:group>
        </w:pict>
      </w:r>
      <w:r>
        <w:rPr>
          <w:rFonts w:ascii="宋体" w:hAnsi="宋体" w:cs="宋体" w:eastAsia="宋体" w:hint="default"/>
          <w:position w:val="-5"/>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2"/>
        <w:spacing w:line="240" w:lineRule="auto" w:before="100"/>
        <w:ind w:right="0"/>
        <w:jc w:val="left"/>
        <w:rPr>
          <w:b w:val="0"/>
          <w:bCs w:val="0"/>
        </w:rPr>
      </w:pPr>
      <w:r>
        <w:rPr/>
        <w:t>十、内部控制审计报告或鉴证报告</w:t>
      </w:r>
      <w:r>
        <w:rPr>
          <w:b w:val="0"/>
          <w:bCs w:val="0"/>
        </w:rPr>
      </w:r>
    </w:p>
    <w:p>
      <w:pPr>
        <w:spacing w:line="240" w:lineRule="auto" w:before="15"/>
        <w:rPr>
          <w:rFonts w:ascii="Microsoft JhengHei" w:hAnsi="Microsoft JhengHei" w:cs="Microsoft JhengHei" w:eastAsia="Microsoft JhengHei" w:hint="default"/>
          <w:b/>
          <w:bCs/>
          <w:sz w:val="18"/>
          <w:szCs w:val="18"/>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0"/>
          <w:szCs w:val="20"/>
        </w:rPr>
      </w:pPr>
    </w:p>
    <w:p>
      <w:pPr>
        <w:pStyle w:val="Heading1"/>
        <w:spacing w:line="458" w:lineRule="exact"/>
        <w:ind w:left="3744" w:right="3827"/>
        <w:jc w:val="center"/>
        <w:rPr>
          <w:b w:val="0"/>
          <w:bCs w:val="0"/>
        </w:rPr>
      </w:pPr>
      <w:bookmarkStart w:name="_TOC_250001" w:id="10"/>
      <w:r>
        <w:rPr/>
        <w:t>第十节 </w:t>
      </w:r>
      <w:r>
        <w:rPr>
          <w:spacing w:val="8"/>
        </w:rPr>
        <w:t> </w:t>
      </w:r>
      <w:r>
        <w:rPr/>
        <w:t>财务报告</w:t>
      </w:r>
      <w:bookmarkEnd w:id="10"/>
      <w:r>
        <w:rPr>
          <w:b w:val="0"/>
          <w:bCs w:val="0"/>
        </w:rPr>
      </w:r>
    </w:p>
    <w:p>
      <w:pPr>
        <w:spacing w:line="240" w:lineRule="auto" w:before="3"/>
        <w:rPr>
          <w:rFonts w:ascii="Microsoft JhengHei" w:hAnsi="Microsoft JhengHei" w:cs="Microsoft JhengHei" w:eastAsia="Microsoft JhengHei" w:hint="default"/>
          <w:b/>
          <w:bCs/>
          <w:sz w:val="25"/>
          <w:szCs w:val="25"/>
        </w:rPr>
      </w:pPr>
    </w:p>
    <w:p>
      <w:pPr>
        <w:pStyle w:val="Heading2"/>
        <w:spacing w:line="367" w:lineRule="exact"/>
        <w:ind w:right="109"/>
        <w:jc w:val="left"/>
        <w:rPr>
          <w:b w:val="0"/>
          <w:bCs w:val="0"/>
        </w:rPr>
      </w:pPr>
      <w:r>
        <w:rPr/>
        <w:t>一、审计报告</w:t>
      </w:r>
      <w:r>
        <w:rPr>
          <w:b w:val="0"/>
          <w:bCs w:val="0"/>
        </w:rPr>
      </w:r>
    </w:p>
    <w:p>
      <w:pPr>
        <w:spacing w:line="240" w:lineRule="auto" w:before="5"/>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4781"/>
        <w:gridCol w:w="4786"/>
      </w:tblGrid>
      <w:tr>
        <w:trPr>
          <w:trHeight w:val="398" w:hRule="exact"/>
        </w:trPr>
        <w:tc>
          <w:tcPr>
            <w:tcW w:w="4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标准无保留审计意见</w:t>
            </w:r>
          </w:p>
        </w:tc>
      </w:tr>
      <w:tr>
        <w:trPr>
          <w:trHeight w:val="403" w:hRule="exact"/>
        </w:trPr>
        <w:tc>
          <w:tcPr>
            <w:tcW w:w="4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r>
      <w:tr>
        <w:trPr>
          <w:trHeight w:val="403" w:hRule="exact"/>
        </w:trPr>
        <w:tc>
          <w:tcPr>
            <w:tcW w:w="4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pacing w:val="-3"/>
                <w:sz w:val="18"/>
                <w:szCs w:val="18"/>
              </w:rPr>
              <w:t>致同会计师事务所（特殊普通合伙）</w:t>
            </w:r>
          </w:p>
        </w:tc>
      </w:tr>
      <w:tr>
        <w:trPr>
          <w:trHeight w:val="403" w:hRule="exact"/>
        </w:trPr>
        <w:tc>
          <w:tcPr>
            <w:tcW w:w="4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致同审字</w:t>
            </w:r>
            <w:r>
              <w:rPr>
                <w:rFonts w:ascii="Times New Roman" w:hAnsi="Times New Roman" w:cs="Times New Roman" w:eastAsia="Times New Roman" w:hint="default"/>
                <w:sz w:val="18"/>
                <w:szCs w:val="18"/>
              </w:rPr>
              <w:t>(2016)</w:t>
            </w: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351ZA0022 </w:t>
            </w:r>
            <w:r>
              <w:rPr>
                <w:rFonts w:ascii="宋体" w:hAnsi="宋体" w:cs="宋体" w:eastAsia="宋体" w:hint="default"/>
                <w:sz w:val="18"/>
                <w:szCs w:val="18"/>
              </w:rPr>
              <w:t>号</w:t>
            </w:r>
          </w:p>
        </w:tc>
      </w:tr>
      <w:tr>
        <w:trPr>
          <w:trHeight w:val="398" w:hRule="exact"/>
        </w:trPr>
        <w:tc>
          <w:tcPr>
            <w:tcW w:w="4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注册会计师姓名</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林新田</w:t>
            </w:r>
            <w:r>
              <w:rPr>
                <w:rFonts w:ascii="宋体" w:hAnsi="宋体" w:cs="宋体" w:eastAsia="宋体" w:hint="default"/>
                <w:spacing w:val="5"/>
                <w:sz w:val="18"/>
                <w:szCs w:val="18"/>
              </w:rPr>
              <w:t> </w:t>
            </w:r>
            <w:r>
              <w:rPr>
                <w:rFonts w:ascii="宋体" w:hAnsi="宋体" w:cs="宋体" w:eastAsia="宋体" w:hint="default"/>
                <w:sz w:val="18"/>
                <w:szCs w:val="18"/>
              </w:rPr>
              <w:t>张孝仲</w:t>
            </w:r>
          </w:p>
        </w:tc>
      </w:tr>
    </w:tbl>
    <w:p>
      <w:pPr>
        <w:spacing w:before="53"/>
        <w:ind w:left="3744" w:right="3818" w:firstLine="0"/>
        <w:jc w:val="center"/>
        <w:rPr>
          <w:rFonts w:ascii="宋体" w:hAnsi="宋体" w:cs="宋体" w:eastAsia="宋体" w:hint="default"/>
          <w:sz w:val="18"/>
          <w:szCs w:val="18"/>
        </w:rPr>
      </w:pPr>
      <w:r>
        <w:rPr>
          <w:rFonts w:ascii="宋体" w:hAnsi="宋体" w:cs="宋体" w:eastAsia="宋体" w:hint="default"/>
          <w:sz w:val="18"/>
          <w:szCs w:val="18"/>
        </w:rPr>
        <w:t>审计报告正文</w:t>
      </w:r>
    </w:p>
    <w:p>
      <w:pPr>
        <w:spacing w:line="240" w:lineRule="auto" w:before="0"/>
        <w:rPr>
          <w:rFonts w:ascii="宋体" w:hAnsi="宋体" w:cs="宋体" w:eastAsia="宋体" w:hint="default"/>
          <w:sz w:val="18"/>
          <w:szCs w:val="18"/>
        </w:rPr>
      </w:pPr>
    </w:p>
    <w:p>
      <w:pPr>
        <w:spacing w:before="132"/>
        <w:ind w:left="3744" w:right="3827" w:firstLine="0"/>
        <w:jc w:val="center"/>
        <w:rPr>
          <w:rFonts w:ascii="Microsoft JhengHei" w:hAnsi="Microsoft JhengHei" w:cs="Microsoft JhengHei" w:eastAsia="Microsoft JhengHei" w:hint="default"/>
          <w:sz w:val="32"/>
          <w:szCs w:val="32"/>
        </w:rPr>
      </w:pPr>
      <w:r>
        <w:rPr>
          <w:rFonts w:ascii="Microsoft JhengHei" w:hAnsi="Microsoft JhengHei" w:cs="Microsoft JhengHei" w:eastAsia="Microsoft JhengHei" w:hint="default"/>
          <w:b/>
          <w:bCs/>
          <w:sz w:val="32"/>
          <w:szCs w:val="32"/>
        </w:rPr>
        <w:t>审计报告</w:t>
      </w:r>
      <w:r>
        <w:rPr>
          <w:rFonts w:ascii="Microsoft JhengHei" w:hAnsi="Microsoft JhengHei" w:cs="Microsoft JhengHei" w:eastAsia="Microsoft JhengHei" w:hint="default"/>
          <w:sz w:val="32"/>
          <w:szCs w:val="32"/>
        </w:rPr>
      </w:r>
    </w:p>
    <w:p>
      <w:pPr>
        <w:spacing w:line="240" w:lineRule="auto" w:before="13"/>
        <w:rPr>
          <w:rFonts w:ascii="Microsoft JhengHei" w:hAnsi="Microsoft JhengHei" w:cs="Microsoft JhengHei" w:eastAsia="Microsoft JhengHei" w:hint="default"/>
          <w:b/>
          <w:bCs/>
          <w:sz w:val="20"/>
          <w:szCs w:val="20"/>
        </w:rPr>
      </w:pPr>
    </w:p>
    <w:p>
      <w:pPr>
        <w:pStyle w:val="Heading3"/>
        <w:spacing w:line="240" w:lineRule="auto" w:before="26"/>
        <w:ind w:left="6556" w:right="109" w:firstLine="0"/>
        <w:jc w:val="left"/>
      </w:pPr>
      <w:r>
        <w:rPr/>
        <w:t>致同审字</w:t>
      </w:r>
      <w:r>
        <w:rPr>
          <w:rFonts w:ascii="Times New Roman" w:hAnsi="Times New Roman" w:cs="Times New Roman" w:eastAsia="Times New Roman" w:hint="default"/>
        </w:rPr>
        <w:t>(2016)</w:t>
      </w:r>
      <w:r>
        <w:rPr/>
        <w:t>第</w:t>
      </w:r>
      <w:r>
        <w:rPr>
          <w:rFonts w:ascii="Times New Roman" w:hAnsi="Times New Roman" w:cs="Times New Roman" w:eastAsia="Times New Roman" w:hint="default"/>
        </w:rPr>
        <w:t>351ZA0022</w:t>
      </w:r>
      <w:r>
        <w:rPr/>
        <w:t>号</w:t>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5"/>
          <w:szCs w:val="25"/>
        </w:rPr>
      </w:pPr>
    </w:p>
    <w:p>
      <w:pPr>
        <w:pStyle w:val="Heading2"/>
        <w:spacing w:line="240" w:lineRule="auto"/>
        <w:ind w:right="109"/>
        <w:jc w:val="left"/>
        <w:rPr>
          <w:b w:val="0"/>
          <w:bCs w:val="0"/>
        </w:rPr>
      </w:pPr>
      <w:r>
        <w:rPr/>
        <w:t>鸿博股份有限公司全体股东：</w:t>
      </w:r>
      <w:r>
        <w:rPr>
          <w:b w:val="0"/>
          <w:bCs w:val="0"/>
        </w:rPr>
      </w:r>
    </w:p>
    <w:p>
      <w:pPr>
        <w:pStyle w:val="Heading3"/>
        <w:spacing w:line="312" w:lineRule="exact"/>
        <w:ind w:right="231"/>
        <w:jc w:val="both"/>
      </w:pPr>
      <w:r>
        <w:rPr/>
        <w:t>我们审计了后附的鸿博股份有限公司（以下简称鸿博股份）财务报表，包括</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12</w:t>
      </w:r>
      <w:r>
        <w:rPr/>
        <w:t>月</w:t>
      </w:r>
      <w:r>
        <w:rPr>
          <w:w w:val="99"/>
        </w:rPr>
        <w:t> </w:t>
      </w:r>
      <w:r>
        <w:rPr>
          <w:rFonts w:ascii="Times New Roman" w:hAnsi="Times New Roman" w:cs="Times New Roman" w:eastAsia="Times New Roman" w:hint="default"/>
        </w:rPr>
        <w:t>31</w:t>
      </w:r>
      <w:r>
        <w:rPr/>
        <w:t>日的合并及公司资产负债表，</w:t>
      </w:r>
      <w:r>
        <w:rPr>
          <w:rFonts w:ascii="Times New Roman" w:hAnsi="Times New Roman" w:cs="Times New Roman" w:eastAsia="Times New Roman" w:hint="default"/>
        </w:rPr>
        <w:t>2015</w:t>
      </w:r>
      <w:r>
        <w:rPr/>
        <w:t>年度的合并及公司利润表、合并及公司现金流量表、合</w:t>
      </w:r>
      <w:r>
        <w:rPr>
          <w:spacing w:val="-94"/>
        </w:rPr>
        <w:t> </w:t>
      </w:r>
      <w:r>
        <w:rPr>
          <w:spacing w:val="-94"/>
        </w:rPr>
      </w:r>
      <w:r>
        <w:rPr/>
        <w:t>并及公司股东权益变动表以及财务报表附注。</w:t>
      </w:r>
    </w:p>
    <w:p>
      <w:pPr>
        <w:pStyle w:val="Heading2"/>
        <w:spacing w:line="240" w:lineRule="auto" w:before="13"/>
        <w:ind w:left="632" w:right="109"/>
        <w:jc w:val="left"/>
        <w:rPr>
          <w:b w:val="0"/>
          <w:bCs w:val="0"/>
        </w:rPr>
      </w:pPr>
      <w:r>
        <w:rPr/>
        <w:t>一、管理层对财务报表的责任</w:t>
      </w:r>
      <w:r>
        <w:rPr>
          <w:b w:val="0"/>
          <w:bCs w:val="0"/>
        </w:rPr>
      </w:r>
    </w:p>
    <w:p>
      <w:pPr>
        <w:pStyle w:val="Heading3"/>
        <w:spacing w:line="312" w:lineRule="exact"/>
        <w:ind w:right="145"/>
        <w:jc w:val="both"/>
      </w:pPr>
      <w:r>
        <w:rPr>
          <w:spacing w:val="-3"/>
        </w:rPr>
        <w:t>编制和公允列报财务报表是鸿博股份管理层的责任，这种责任包括：（</w:t>
      </w:r>
      <w:r>
        <w:rPr>
          <w:rFonts w:ascii="Times New Roman" w:hAnsi="Times New Roman" w:cs="Times New Roman" w:eastAsia="Times New Roman" w:hint="default"/>
          <w:spacing w:val="-3"/>
        </w:rPr>
        <w:t>1</w:t>
      </w:r>
      <w:r>
        <w:rPr>
          <w:spacing w:val="-3"/>
        </w:rPr>
        <w:t>）按照企业会计</w:t>
      </w:r>
      <w:r>
        <w:rPr>
          <w:w w:val="99"/>
        </w:rPr>
        <w:t> </w:t>
      </w:r>
      <w:r>
        <w:rPr/>
        <w:t>准则的规定编制财务报表，并使其实现公允反映；（</w:t>
      </w:r>
      <w:r>
        <w:rPr>
          <w:rFonts w:ascii="Times New Roman" w:hAnsi="Times New Roman" w:cs="Times New Roman" w:eastAsia="Times New Roman" w:hint="default"/>
        </w:rPr>
        <w:t>2</w:t>
      </w:r>
      <w:r>
        <w:rPr/>
        <w:t>）设计、执行和维护必要的内部控制，</w:t>
      </w:r>
      <w:r>
        <w:rPr>
          <w:w w:val="99"/>
        </w:rPr>
        <w:t> </w:t>
      </w:r>
      <w:r>
        <w:rPr/>
        <w:t>以使财务报表不存在由于舞弊或错误导致的重大错报。</w:t>
      </w:r>
    </w:p>
    <w:p>
      <w:pPr>
        <w:pStyle w:val="Heading2"/>
        <w:spacing w:line="240" w:lineRule="auto" w:before="13"/>
        <w:ind w:left="632" w:right="109"/>
        <w:jc w:val="left"/>
        <w:rPr>
          <w:b w:val="0"/>
          <w:bCs w:val="0"/>
        </w:rPr>
      </w:pPr>
      <w:r>
        <w:rPr/>
        <w:t>二、注册会计师的责任</w:t>
      </w:r>
      <w:r>
        <w:rPr>
          <w:b w:val="0"/>
          <w:bCs w:val="0"/>
        </w:rPr>
      </w:r>
    </w:p>
    <w:p>
      <w:pPr>
        <w:pStyle w:val="Heading3"/>
        <w:spacing w:line="312" w:lineRule="exact"/>
        <w:ind w:right="232"/>
        <w:jc w:val="both"/>
      </w:pPr>
      <w:r>
        <w:rPr/>
        <w:t>我们的责任是在执行审计工作的基础上对财务报表发表审计意见。我们按照中国注册会</w:t>
      </w:r>
      <w:r>
        <w:rPr>
          <w:w w:val="99"/>
        </w:rPr>
        <w:t> </w:t>
      </w:r>
      <w:r>
        <w:rPr/>
        <w:t>计师审计准则的规定执行了审计工作。中国注册会计师审计准则要求我们遵守中国注册会计</w:t>
      </w:r>
      <w:r>
        <w:rPr>
          <w:spacing w:val="-95"/>
        </w:rPr>
        <w:t> </w:t>
      </w:r>
      <w:r>
        <w:rPr>
          <w:spacing w:val="-95"/>
        </w:rPr>
      </w:r>
      <w:r>
        <w:rPr/>
        <w:t>师职业道德守则，计划和执行审计工作以对财务报表是否不存在重大错报获取合理保证。</w:t>
      </w:r>
    </w:p>
    <w:p>
      <w:pPr>
        <w:pStyle w:val="Heading3"/>
        <w:spacing w:line="312" w:lineRule="exact" w:before="120"/>
        <w:ind w:right="90"/>
        <w:jc w:val="left"/>
      </w:pPr>
      <w:r>
        <w:rPr/>
        <w:t>审计工作涉及实施审计程序，以获取有关财务报表金额和披露的审计证据。选择的审计</w:t>
      </w:r>
      <w:r>
        <w:rPr>
          <w:w w:val="99"/>
        </w:rPr>
        <w:t> </w:t>
      </w:r>
      <w:r>
        <w:rPr>
          <w:spacing w:val="-2"/>
        </w:rPr>
        <w:t>程序取决于注册会计师的判断，包括对由于舞弊或错误导致的财务报表重大错报风险的评估。</w:t>
      </w:r>
      <w:r>
        <w:rPr>
          <w:w w:val="99"/>
        </w:rPr>
        <w:t> </w:t>
      </w:r>
      <w:r>
        <w:rPr/>
        <w:t>在进行风险评估时，注册会计师考虑与财务报表编制和公允列报相关的内部控制，以设计恰</w:t>
      </w:r>
      <w:r>
        <w:rPr>
          <w:spacing w:val="-95"/>
        </w:rPr>
        <w:t> </w:t>
      </w:r>
      <w:r>
        <w:rPr>
          <w:spacing w:val="-95"/>
        </w:rPr>
      </w:r>
      <w:r>
        <w:rPr/>
        <w:t>当的审计程序，但目的并非对内部控制的有效性发表意见</w:t>
      </w:r>
      <w:r>
        <w:rPr>
          <w:rFonts w:ascii="宋体" w:hAnsi="宋体" w:cs="宋体" w:eastAsia="宋体" w:hint="default"/>
          <w:sz w:val="25"/>
          <w:szCs w:val="25"/>
        </w:rPr>
        <w:t>。</w:t>
      </w:r>
      <w:r>
        <w:rPr/>
        <w:t>审计工作还包括评价管理层选用</w:t>
      </w:r>
      <w:r>
        <w:rPr>
          <w:spacing w:val="-105"/>
        </w:rPr>
        <w:t> </w:t>
      </w:r>
      <w:r>
        <w:rPr>
          <w:spacing w:val="-105"/>
        </w:rPr>
      </w:r>
      <w:r>
        <w:rPr/>
        <w:t>会计政策的恰当性和作出会计估计的合理性，以及评价财务报表的总体列报。</w:t>
      </w:r>
    </w:p>
    <w:p>
      <w:pPr>
        <w:pStyle w:val="Heading3"/>
        <w:spacing w:line="240" w:lineRule="auto" w:before="89"/>
        <w:ind w:left="647" w:right="109" w:firstLine="0"/>
        <w:jc w:val="left"/>
      </w:pPr>
      <w:r>
        <w:rPr/>
        <w:t>我们相信，我们获取的审计证据是充分、适当的，为发表审计意见提供了基础。</w:t>
      </w:r>
    </w:p>
    <w:p>
      <w:pPr>
        <w:spacing w:after="0" w:line="240" w:lineRule="auto"/>
        <w:jc w:val="left"/>
        <w:sectPr>
          <w:pgSz w:w="11900" w:h="16840"/>
          <w:pgMar w:header="872" w:footer="984" w:top="1060" w:bottom="1180" w:left="980" w:right="900"/>
        </w:sectPr>
      </w:pPr>
    </w:p>
    <w:p>
      <w:pPr>
        <w:spacing w:line="240" w:lineRule="auto" w:before="10"/>
        <w:rPr>
          <w:rFonts w:ascii="宋体" w:hAnsi="宋体" w:cs="宋体" w:eastAsia="宋体" w:hint="default"/>
          <w:sz w:val="23"/>
          <w:szCs w:val="23"/>
        </w:rPr>
      </w:pPr>
    </w:p>
    <w:p>
      <w:pPr>
        <w:pStyle w:val="Heading2"/>
        <w:spacing w:line="367" w:lineRule="exact"/>
        <w:ind w:left="632" w:right="0"/>
        <w:jc w:val="left"/>
        <w:rPr>
          <w:b w:val="0"/>
          <w:bCs w:val="0"/>
        </w:rPr>
      </w:pPr>
      <w:r>
        <w:rPr/>
        <w:t>三、审计意见</w:t>
      </w:r>
      <w:r>
        <w:rPr>
          <w:b w:val="0"/>
          <w:bCs w:val="0"/>
        </w:rPr>
      </w:r>
    </w:p>
    <w:p>
      <w:pPr>
        <w:pStyle w:val="Heading3"/>
        <w:spacing w:line="312" w:lineRule="exact"/>
        <w:ind w:right="151"/>
        <w:jc w:val="both"/>
      </w:pPr>
      <w:r>
        <w:rPr/>
        <w:t>我们认为，鸿博股份财务报表在所有重大方面按照企业会计准则的规定编制，公允反映</w:t>
      </w:r>
      <w:r>
        <w:rPr>
          <w:w w:val="99"/>
        </w:rPr>
        <w:t> </w:t>
      </w:r>
      <w:r>
        <w:rPr>
          <w:spacing w:val="3"/>
        </w:rPr>
        <w:t>了鸿博股份</w:t>
      </w:r>
      <w:r>
        <w:rPr>
          <w:spacing w:val="-9"/>
        </w:rPr>
        <w:t> </w:t>
      </w:r>
      <w:r>
        <w:rPr>
          <w:rFonts w:ascii="Times New Roman" w:hAnsi="Times New Roman" w:cs="Times New Roman" w:eastAsia="Times New Roman" w:hint="default"/>
          <w:spacing w:val="3"/>
        </w:rPr>
        <w:t>2015</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31</w:t>
      </w:r>
      <w:r>
        <w:rPr>
          <w:spacing w:val="3"/>
        </w:rPr>
        <w:t>日的合并及公司财务状况以及</w:t>
      </w:r>
      <w:r>
        <w:rPr>
          <w:rFonts w:ascii="Times New Roman" w:hAnsi="Times New Roman" w:cs="Times New Roman" w:eastAsia="Times New Roman" w:hint="default"/>
          <w:spacing w:val="3"/>
        </w:rPr>
        <w:t>2015</w:t>
      </w:r>
      <w:r>
        <w:rPr>
          <w:spacing w:val="3"/>
        </w:rPr>
        <w:t>年度的合并及公司经营成果和</w:t>
      </w:r>
      <w:r>
        <w:rPr>
          <w:w w:val="99"/>
        </w:rPr>
        <w:t> </w:t>
      </w:r>
      <w:r>
        <w:rPr/>
        <w:t>合并及公司现金流量。</w:t>
      </w:r>
    </w:p>
    <w:p>
      <w:pPr>
        <w:pStyle w:val="Heading2"/>
        <w:spacing w:line="240" w:lineRule="auto" w:before="190"/>
        <w:ind w:right="0"/>
        <w:jc w:val="left"/>
        <w:rPr>
          <w:b w:val="0"/>
          <w:bCs w:val="0"/>
        </w:rPr>
      </w:pPr>
      <w:r>
        <w:rPr/>
        <w:t>二、财务报表</w:t>
      </w:r>
      <w:r>
        <w:rPr>
          <w:b w:val="0"/>
          <w:bCs w:val="0"/>
        </w:rPr>
      </w:r>
    </w:p>
    <w:p>
      <w:pPr>
        <w:spacing w:line="240" w:lineRule="auto" w:before="15"/>
        <w:rPr>
          <w:rFonts w:ascii="Microsoft JhengHei" w:hAnsi="Microsoft JhengHei" w:cs="Microsoft JhengHei" w:eastAsia="Microsoft JhengHei" w:hint="default"/>
          <w:b/>
          <w:bCs/>
          <w:sz w:val="18"/>
          <w:szCs w:val="18"/>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财务附注中报表的单位为：人民币元</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1</w:t>
      </w:r>
      <w:r>
        <w:rPr/>
        <w:t>、合并资产负债表</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after="0" w:line="240" w:lineRule="auto"/>
        <w:rPr>
          <w:rFonts w:ascii="Microsoft JhengHei" w:hAnsi="Microsoft JhengHei" w:cs="Microsoft JhengHei" w:eastAsia="Microsoft JhengHei" w:hint="default"/>
          <w:sz w:val="17"/>
          <w:szCs w:val="17"/>
        </w:rPr>
        <w:sectPr>
          <w:pgSz w:w="11900" w:h="16840"/>
          <w:pgMar w:header="872" w:footer="984" w:top="1060" w:bottom="1180" w:left="980" w:right="980"/>
        </w:sectPr>
      </w:pPr>
    </w:p>
    <w:p>
      <w:pPr>
        <w:spacing w:before="46"/>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编制单位：鸿博股份有限公司</w:t>
      </w:r>
    </w:p>
    <w:p>
      <w:pPr>
        <w:spacing w:line="240" w:lineRule="auto" w:before="0"/>
        <w:rPr>
          <w:rFonts w:ascii="宋体" w:hAnsi="宋体" w:cs="宋体" w:eastAsia="宋体" w:hint="default"/>
          <w:sz w:val="18"/>
          <w:szCs w:val="18"/>
        </w:rPr>
      </w:pPr>
      <w:r>
        <w:rPr/>
        <w:br w:type="column"/>
      </w:r>
      <w:r>
        <w:rPr>
          <w:rFonts w:ascii="宋体"/>
          <w:sz w:val="18"/>
        </w:rPr>
      </w:r>
    </w:p>
    <w:p>
      <w:pPr>
        <w:spacing w:before="161"/>
        <w:ind w:left="152" w:right="-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00" w:h="16840"/>
          <w:pgMar w:top="1060" w:bottom="1180" w:left="980" w:right="980"/>
          <w:cols w:num="3" w:equalWidth="0">
            <w:col w:w="2496" w:space="1580"/>
            <w:col w:w="1641" w:space="3197"/>
            <w:col w:w="1026"/>
          </w:cols>
        </w:sectPr>
      </w:pP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945"/>
        <w:gridCol w:w="3312"/>
        <w:gridCol w:w="3298"/>
      </w:tblGrid>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7"/>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512,170,628.61</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156,857,096.95</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1" w:right="36" w:firstLine="36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以公允价值计量且其变动计入当</w:t>
            </w:r>
            <w:r>
              <w:rPr>
                <w:rFonts w:ascii="宋体" w:hAnsi="宋体" w:cs="宋体" w:eastAsia="宋体" w:hint="default"/>
                <w:w w:val="101"/>
                <w:sz w:val="18"/>
                <w:szCs w:val="18"/>
              </w:rPr>
              <w:t> </w:t>
            </w:r>
            <w:r>
              <w:rPr>
                <w:rFonts w:ascii="宋体" w:hAnsi="宋体" w:cs="宋体" w:eastAsia="宋体" w:hint="default"/>
                <w:sz w:val="18"/>
                <w:szCs w:val="18"/>
              </w:rPr>
              <w:t>期损益的金融资产</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1,933,009.64</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1,152,954.00</w:t>
            </w: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187,986,206.88</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160,403,119.91</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8,154,580.71</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10,454,154.22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应收分保合同准备金</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72,608,171.75</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116,498,861.56</w:t>
            </w: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165,602,259.68</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130,119,356.01</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划分为持有待售的资产</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一年内到期的非流动资产</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9,552,181.74</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7,283,961.26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958,007,039.01</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582,769,503.91</w:t>
            </w:r>
          </w:p>
        </w:tc>
      </w:tr>
    </w:tbl>
    <w:p>
      <w:pPr>
        <w:spacing w:after="0" w:line="240" w:lineRule="auto"/>
        <w:jc w:val="right"/>
        <w:rPr>
          <w:rFonts w:ascii="Times New Roman" w:hAnsi="Times New Roman" w:cs="Times New Roman" w:eastAsia="Times New Roman" w:hint="default"/>
          <w:sz w:val="18"/>
          <w:szCs w:val="18"/>
        </w:rPr>
        <w:sectPr>
          <w:type w:val="continuous"/>
          <w:pgSz w:w="11900" w:h="16840"/>
          <w:pgMar w:top="1060" w:bottom="11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2"/>
        <w:gridCol w:w="3298"/>
      </w:tblGrid>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发放贷款及垫款</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179,315,265.00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116,060,000.00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持有至到期投资</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3,533,751.85</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3,740,513.77</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664,246,108.50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505,208,182.02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10,796,874.84</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48,714,593.45</w:t>
            </w: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生产性生物资产</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59,469,399.79</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61,878,809.10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83,049,755.61</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19,728,402.48</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44,435,126.16</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4,553,251.42</w:t>
            </w: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40,820,785.08</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23,101,844.34</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其他非流动资产</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2,134,607.76</w:t>
            </w: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非流动资产合计</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1,087,801,674.59</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782,985,596.58</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2,045,808,713.60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1,365,755,100.49</w:t>
            </w: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330,000,000.00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167,500,000.00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向中央银行借款</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938"/>
              <w:jc w:val="right"/>
              <w:rPr>
                <w:rFonts w:ascii="宋体" w:hAnsi="宋体" w:cs="宋体" w:eastAsia="宋体" w:hint="default"/>
                <w:sz w:val="18"/>
                <w:szCs w:val="18"/>
              </w:rPr>
            </w:pPr>
            <w:r>
              <w:rPr>
                <w:rFonts w:ascii="宋体" w:hAnsi="宋体" w:cs="宋体" w:eastAsia="宋体" w:hint="default"/>
                <w:spacing w:val="-3"/>
                <w:sz w:val="18"/>
                <w:szCs w:val="18"/>
              </w:rPr>
              <w:t>吸收存款及同业存放</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1" w:right="36" w:firstLine="36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以公允价值计量且其变动计入当</w:t>
            </w:r>
            <w:r>
              <w:rPr>
                <w:rFonts w:ascii="宋体" w:hAnsi="宋体" w:cs="宋体" w:eastAsia="宋体" w:hint="default"/>
                <w:w w:val="101"/>
                <w:sz w:val="18"/>
                <w:szCs w:val="18"/>
              </w:rPr>
              <w:t> </w:t>
            </w:r>
            <w:r>
              <w:rPr>
                <w:rFonts w:ascii="宋体" w:hAnsi="宋体" w:cs="宋体" w:eastAsia="宋体" w:hint="default"/>
                <w:sz w:val="18"/>
                <w:szCs w:val="18"/>
              </w:rPr>
              <w:t>期损益的金融负债</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109,261,684.98</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35,143,038.38</w:t>
            </w: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181,931,293.29</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163,432,713.56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30,090,105.09</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29,469,772.60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938"/>
              <w:jc w:val="right"/>
              <w:rPr>
                <w:rFonts w:ascii="宋体" w:hAnsi="宋体" w:cs="宋体" w:eastAsia="宋体" w:hint="default"/>
                <w:sz w:val="18"/>
                <w:szCs w:val="18"/>
              </w:rPr>
            </w:pPr>
            <w:r>
              <w:rPr>
                <w:rFonts w:ascii="宋体" w:hAnsi="宋体" w:cs="宋体" w:eastAsia="宋体" w:hint="default"/>
                <w:spacing w:val="-3"/>
                <w:sz w:val="18"/>
                <w:szCs w:val="18"/>
              </w:rPr>
              <w:t>卖出回购金融资产款</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2"/>
        <w:gridCol w:w="3298"/>
      </w:tblGrid>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18,867,574.69</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9,967,726.11</w:t>
            </w: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31,830,497.93</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6,207,733.06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458,780.07</w:t>
            </w: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179,019,480.13</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42,643,865.03</w:t>
            </w: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保险合同准备金</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代理买卖证券款</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代理承销证券款</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划分为持有待售的负债</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一年内到期的非流动负债</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14,190,583.34</w:t>
            </w: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895,649,999.52</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454,364,848.74</w:t>
            </w: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70,952,916.83</w:t>
            </w: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54" w:right="0"/>
              <w:jc w:val="left"/>
              <w:rPr>
                <w:rFonts w:ascii="宋体" w:hAnsi="宋体" w:cs="宋体" w:eastAsia="宋体" w:hint="default"/>
                <w:sz w:val="18"/>
                <w:szCs w:val="18"/>
              </w:rPr>
            </w:pPr>
            <w:r>
              <w:rPr>
                <w:rFonts w:ascii="宋体" w:hAnsi="宋体" w:cs="宋体" w:eastAsia="宋体" w:hint="default"/>
                <w:spacing w:val="-3"/>
                <w:sz w:val="18"/>
                <w:szCs w:val="18"/>
              </w:rPr>
              <w:t>其中：优先股</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06"/>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20,383,623.96</w:t>
            </w: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11,481,085.65</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3,166,272.98</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631,486.64</w:t>
            </w: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其他非流动负债</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非流动负债合计</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103,449,113.08</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3,166,272.98</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999,099,112.60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457,531,121.72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298,186,000.00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298,186,000.00</w:t>
            </w: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54" w:right="0"/>
              <w:jc w:val="left"/>
              <w:rPr>
                <w:rFonts w:ascii="宋体" w:hAnsi="宋体" w:cs="宋体" w:eastAsia="宋体" w:hint="default"/>
                <w:sz w:val="18"/>
                <w:szCs w:val="18"/>
              </w:rPr>
            </w:pPr>
            <w:r>
              <w:rPr>
                <w:rFonts w:ascii="宋体" w:hAnsi="宋体" w:cs="宋体" w:eastAsia="宋体" w:hint="default"/>
                <w:spacing w:val="-3"/>
                <w:sz w:val="18"/>
                <w:szCs w:val="18"/>
              </w:rPr>
              <w:t>其中：优先股</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06"/>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334,340,738.20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334,340,738.20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966"/>
        <w:gridCol w:w="3302"/>
        <w:gridCol w:w="3298"/>
      </w:tblGrid>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02" w:type="dxa"/>
            <w:tcBorders>
              <w:top w:val="single" w:sz="4" w:space="0" w:color="000000"/>
              <w:left w:val="single" w:sz="4" w:space="0" w:color="000000"/>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39,327,736.65</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35,550,913.34</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3302" w:type="dxa"/>
            <w:tcBorders>
              <w:top w:val="single" w:sz="4" w:space="0" w:color="000000"/>
              <w:left w:val="single" w:sz="4" w:space="0" w:color="000000"/>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199,202,457.75</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193,805,760.64</w:t>
            </w:r>
          </w:p>
        </w:tc>
      </w:tr>
      <w:tr>
        <w:trPr>
          <w:trHeight w:val="398"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归属于母公司所有者权益合计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871,056,932.60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861,883,412.18</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175,652,668.40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46,340,566.59</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所有者权益合计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1,046,709,601.00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908,223,978.77</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2,045,808,713.60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1,365,755,100.49</w:t>
            </w:r>
          </w:p>
        </w:tc>
      </w:tr>
    </w:tbl>
    <w:p>
      <w:pPr>
        <w:spacing w:line="240" w:lineRule="auto" w:before="2"/>
        <w:rPr>
          <w:rFonts w:ascii="Times New Roman" w:hAnsi="Times New Roman" w:cs="Times New Roman" w:eastAsia="Times New Roman" w:hint="default"/>
          <w:sz w:val="23"/>
          <w:szCs w:val="23"/>
        </w:rPr>
      </w:pPr>
    </w:p>
    <w:p>
      <w:pPr>
        <w:tabs>
          <w:tab w:pos="3513" w:val="left" w:leader="none"/>
          <w:tab w:pos="7564" w:val="left" w:leader="none"/>
        </w:tabs>
        <w:spacing w:before="46"/>
        <w:ind w:left="0" w:right="238" w:firstLine="0"/>
        <w:jc w:val="right"/>
        <w:rPr>
          <w:rFonts w:ascii="宋体" w:hAnsi="宋体" w:cs="宋体" w:eastAsia="宋体" w:hint="default"/>
          <w:sz w:val="18"/>
          <w:szCs w:val="18"/>
        </w:rPr>
      </w:pPr>
      <w:r>
        <w:rPr>
          <w:rFonts w:ascii="宋体" w:hAnsi="宋体" w:cs="宋体" w:eastAsia="宋体" w:hint="default"/>
          <w:spacing w:val="-3"/>
          <w:sz w:val="18"/>
          <w:szCs w:val="18"/>
        </w:rPr>
        <w:t>法定代表人：尤丽娟</w:t>
        <w:tab/>
        <w:t>主管会计工作负责人：高琦</w:t>
        <w:tab/>
        <w:t>会计机构负责人：林雄坤</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2</w:t>
      </w:r>
      <w:r>
        <w:rPr/>
        <w:t>、母公司资产负债表</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0" w:right="146" w:firstLine="0"/>
        <w:jc w:val="right"/>
        <w:rPr>
          <w:rFonts w:ascii="宋体" w:hAnsi="宋体" w:cs="宋体" w:eastAsia="宋体" w:hint="default"/>
          <w:sz w:val="18"/>
          <w:szCs w:val="18"/>
        </w:rPr>
      </w:pPr>
      <w:r>
        <w:rPr>
          <w:rFonts w:ascii="宋体" w:hAnsi="宋体" w:cs="宋体" w:eastAsia="宋体" w:hint="default"/>
          <w:spacing w:val="-2"/>
          <w:sz w:val="18"/>
          <w:szCs w:val="18"/>
        </w:rPr>
        <w:t>单位：元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945"/>
        <w:gridCol w:w="3312"/>
        <w:gridCol w:w="3298"/>
      </w:tblGrid>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7"/>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264,224,710.35</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63,794,568.91</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1" w:right="36" w:firstLine="36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以公允价值计量且其变动计入当</w:t>
            </w:r>
            <w:r>
              <w:rPr>
                <w:rFonts w:ascii="宋体" w:hAnsi="宋体" w:cs="宋体" w:eastAsia="宋体" w:hint="default"/>
                <w:w w:val="101"/>
                <w:sz w:val="18"/>
                <w:szCs w:val="18"/>
              </w:rPr>
              <w:t> </w:t>
            </w:r>
            <w:r>
              <w:rPr>
                <w:rFonts w:ascii="宋体" w:hAnsi="宋体" w:cs="宋体" w:eastAsia="宋体" w:hint="default"/>
                <w:sz w:val="18"/>
                <w:szCs w:val="18"/>
              </w:rPr>
              <w:t>期损益的金融资产</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29,416,474.63</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58,411,542.70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10,157,740.98</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13,203,573.73</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221,436,648.49</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141,259,221.19</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39,718,801.25</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23,937,870.92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划分为持有待售的资产</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一年内到期的非流动资产</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45,386.73</w:t>
            </w: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564,999,762.43</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300,606,777.45</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142,815,265.00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82,560,000.00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持有至到期投资</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2"/>
        <w:gridCol w:w="3298"/>
      </w:tblGrid>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666,588,672.83</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568,875,567.46</w:t>
            </w: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120,007,107.96</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119,797,532.70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1,764,957.30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10,863,247.96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生产性生物资产</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5,649,949.45</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6,543,231.27</w:t>
            </w: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641,637.18</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1,042,035.32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444,194.18</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579,773.66</w:t>
            </w: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其他非流动资产</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1,485,122.76</w:t>
            </w: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非流动资产合计</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939,396,906.66</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790,261,388.37</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1,504,396,669.09</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1,090,868,165.82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180,000,000.00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132,500,000.00</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1" w:right="36" w:firstLine="360"/>
              <w:jc w:val="left"/>
              <w:rPr>
                <w:rFonts w:ascii="宋体" w:hAnsi="宋体" w:cs="宋体" w:eastAsia="宋体" w:hint="default"/>
                <w:sz w:val="18"/>
                <w:szCs w:val="18"/>
              </w:rPr>
            </w:pPr>
            <w:r>
              <w:rPr>
                <w:rFonts w:ascii="宋体" w:hAnsi="宋体" w:cs="宋体" w:eastAsia="宋体" w:hint="default"/>
                <w:spacing w:val="-3"/>
                <w:sz w:val="18"/>
                <w:szCs w:val="18"/>
              </w:rPr>
              <w:t>以公允价值计量且其变动计入当</w:t>
            </w:r>
            <w:r>
              <w:rPr>
                <w:rFonts w:ascii="宋体" w:hAnsi="宋体" w:cs="宋体" w:eastAsia="宋体" w:hint="default"/>
                <w:w w:val="101"/>
                <w:sz w:val="18"/>
                <w:szCs w:val="18"/>
              </w:rPr>
              <w:t> </w:t>
            </w:r>
            <w:r>
              <w:rPr>
                <w:rFonts w:ascii="宋体" w:hAnsi="宋体" w:cs="宋体" w:eastAsia="宋体" w:hint="default"/>
                <w:sz w:val="18"/>
                <w:szCs w:val="18"/>
              </w:rPr>
              <w:t>期损益的金融负债</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98,861,684.98</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20,143,038.38</w:t>
            </w: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22,328,826.38</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30,150,567.42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27,900,246.94</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581,884.30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2,807,268.49</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2,575,697.49</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6,954,007.25</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5,854,768.59</w:t>
            </w: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177,258.33</w:t>
            </w: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294,026,647.72</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65,489,713.74</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划分为持有待售的负债</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一年内到期的非流动负债</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633,055,940.09</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257,295,669.92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after="0"/>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2"/>
        <w:gridCol w:w="3298"/>
      </w:tblGrid>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54" w:right="0"/>
              <w:jc w:val="left"/>
              <w:rPr>
                <w:rFonts w:ascii="宋体" w:hAnsi="宋体" w:cs="宋体" w:eastAsia="宋体" w:hint="default"/>
                <w:sz w:val="18"/>
                <w:szCs w:val="18"/>
              </w:rPr>
            </w:pPr>
            <w:r>
              <w:rPr>
                <w:rFonts w:ascii="宋体" w:hAnsi="宋体" w:cs="宋体" w:eastAsia="宋体" w:hint="default"/>
                <w:spacing w:val="-3"/>
                <w:sz w:val="18"/>
                <w:szCs w:val="18"/>
              </w:rPr>
              <w:t>其中：优先股</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06"/>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其他非流动负债</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非流动负债合计</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633,055,940.09</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257,295,669.92</w:t>
            </w: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298,186,000.00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298,186,000.00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54" w:right="0"/>
              <w:jc w:val="left"/>
              <w:rPr>
                <w:rFonts w:ascii="宋体" w:hAnsi="宋体" w:cs="宋体" w:eastAsia="宋体" w:hint="default"/>
                <w:sz w:val="18"/>
                <w:szCs w:val="18"/>
              </w:rPr>
            </w:pPr>
            <w:r>
              <w:rPr>
                <w:rFonts w:ascii="宋体" w:hAnsi="宋体" w:cs="宋体" w:eastAsia="宋体" w:hint="default"/>
                <w:spacing w:val="-3"/>
                <w:sz w:val="18"/>
                <w:szCs w:val="18"/>
              </w:rPr>
              <w:t>其中：优先股</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06"/>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335,816,646.98</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335,816,646.98</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38,098,918.25</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34,322,094.94</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199,239,163.77</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165,247,753.98</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所有者权益合计</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871,340,729.00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833,572,495.90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1,504,396,669.09</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1,090,868,165.82</w:t>
            </w:r>
          </w:p>
        </w:tc>
      </w:tr>
    </w:tbl>
    <w:p>
      <w:pPr>
        <w:spacing w:line="240" w:lineRule="auto" w:before="10"/>
        <w:rPr>
          <w:rFonts w:ascii="Times New Roman" w:hAnsi="Times New Roman" w:cs="Times New Roman" w:eastAsia="Times New Roman" w:hint="default"/>
          <w:sz w:val="21"/>
          <w:szCs w:val="21"/>
        </w:rPr>
      </w:pPr>
    </w:p>
    <w:p>
      <w:pPr>
        <w:pStyle w:val="Heading4"/>
        <w:spacing w:line="335" w:lineRule="exact"/>
        <w:ind w:right="0"/>
        <w:jc w:val="left"/>
        <w:rPr>
          <w:b w:val="0"/>
          <w:bCs w:val="0"/>
        </w:rPr>
      </w:pPr>
      <w:r>
        <w:rPr>
          <w:rFonts w:ascii="Times New Roman" w:hAnsi="Times New Roman" w:cs="Times New Roman" w:eastAsia="Times New Roman" w:hint="default"/>
        </w:rPr>
        <w:t>3</w:t>
      </w:r>
      <w:r>
        <w:rPr/>
        <w:t>、合并利润表</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pacing w:val="-2"/>
          <w:sz w:val="18"/>
          <w:szCs w:val="18"/>
        </w:rPr>
        <w:t>单位：元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058"/>
        <w:gridCol w:w="3218"/>
        <w:gridCol w:w="3278"/>
      </w:tblGrid>
      <w:tr>
        <w:trPr>
          <w:trHeight w:val="403" w:hRule="exact"/>
        </w:trPr>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一、营业总收入</w:t>
            </w:r>
          </w:p>
        </w:tc>
        <w:tc>
          <w:tcPr>
            <w:tcW w:w="321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660,716,146.75</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863,512,984.42</w:t>
            </w:r>
          </w:p>
        </w:tc>
      </w:tr>
      <w:tr>
        <w:trPr>
          <w:trHeight w:val="398" w:hRule="exact"/>
        </w:trPr>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其中：营业收入</w:t>
            </w:r>
          </w:p>
        </w:tc>
        <w:tc>
          <w:tcPr>
            <w:tcW w:w="321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660,716,146.75</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863,512,984.42</w:t>
            </w:r>
          </w:p>
        </w:tc>
      </w:tr>
      <w:tr>
        <w:trPr>
          <w:trHeight w:val="403" w:hRule="exact"/>
        </w:trPr>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14" w:right="0"/>
              <w:jc w:val="left"/>
              <w:rPr>
                <w:rFonts w:ascii="宋体" w:hAnsi="宋体" w:cs="宋体" w:eastAsia="宋体" w:hint="default"/>
                <w:sz w:val="18"/>
                <w:szCs w:val="18"/>
              </w:rPr>
            </w:pPr>
            <w:r>
              <w:rPr>
                <w:rFonts w:ascii="宋体" w:hAnsi="宋体" w:cs="宋体" w:eastAsia="宋体" w:hint="default"/>
                <w:spacing w:val="-3"/>
                <w:sz w:val="18"/>
                <w:szCs w:val="18"/>
              </w:rPr>
              <w:t>利息收入</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14" w:right="0"/>
              <w:jc w:val="left"/>
              <w:rPr>
                <w:rFonts w:ascii="宋体" w:hAnsi="宋体" w:cs="宋体" w:eastAsia="宋体" w:hint="default"/>
                <w:sz w:val="18"/>
                <w:szCs w:val="18"/>
              </w:rPr>
            </w:pPr>
            <w:r>
              <w:rPr>
                <w:rFonts w:ascii="宋体" w:hAnsi="宋体" w:cs="宋体" w:eastAsia="宋体" w:hint="default"/>
                <w:spacing w:val="-3"/>
                <w:sz w:val="18"/>
                <w:szCs w:val="18"/>
              </w:rPr>
              <w:t>已赚保费</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3070"/>
        <w:gridCol w:w="3218"/>
        <w:gridCol w:w="3278"/>
      </w:tblGrid>
      <w:tr>
        <w:trPr>
          <w:trHeight w:val="403"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26" w:right="0"/>
              <w:jc w:val="left"/>
              <w:rPr>
                <w:rFonts w:ascii="宋体" w:hAnsi="宋体" w:cs="宋体" w:eastAsia="宋体" w:hint="default"/>
                <w:sz w:val="18"/>
                <w:szCs w:val="18"/>
              </w:rPr>
            </w:pPr>
            <w:r>
              <w:rPr>
                <w:rFonts w:ascii="宋体" w:hAnsi="宋体" w:cs="宋体" w:eastAsia="宋体" w:hint="default"/>
                <w:spacing w:val="-3"/>
                <w:sz w:val="18"/>
                <w:szCs w:val="18"/>
              </w:rPr>
              <w:t>手续费及佣金收入</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二、营业总成本</w:t>
            </w:r>
          </w:p>
        </w:tc>
        <w:tc>
          <w:tcPr>
            <w:tcW w:w="321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697,314,864.90</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840,833,474.54</w:t>
            </w:r>
          </w:p>
        </w:tc>
      </w:tr>
      <w:tr>
        <w:trPr>
          <w:trHeight w:val="403"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其中：营业成本</w:t>
            </w:r>
          </w:p>
        </w:tc>
        <w:tc>
          <w:tcPr>
            <w:tcW w:w="321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501,528,210.42</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658,516,279.95</w:t>
            </w:r>
          </w:p>
        </w:tc>
      </w:tr>
      <w:tr>
        <w:trPr>
          <w:trHeight w:val="403"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26" w:right="0"/>
              <w:jc w:val="left"/>
              <w:rPr>
                <w:rFonts w:ascii="宋体" w:hAnsi="宋体" w:cs="宋体" w:eastAsia="宋体" w:hint="default"/>
                <w:sz w:val="18"/>
                <w:szCs w:val="18"/>
              </w:rPr>
            </w:pPr>
            <w:r>
              <w:rPr>
                <w:rFonts w:ascii="宋体" w:hAnsi="宋体" w:cs="宋体" w:eastAsia="宋体" w:hint="default"/>
                <w:spacing w:val="-3"/>
                <w:sz w:val="18"/>
                <w:szCs w:val="18"/>
              </w:rPr>
              <w:t>利息支出</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26" w:right="0"/>
              <w:jc w:val="left"/>
              <w:rPr>
                <w:rFonts w:ascii="宋体" w:hAnsi="宋体" w:cs="宋体" w:eastAsia="宋体" w:hint="default"/>
                <w:sz w:val="18"/>
                <w:szCs w:val="18"/>
              </w:rPr>
            </w:pPr>
            <w:r>
              <w:rPr>
                <w:rFonts w:ascii="宋体" w:hAnsi="宋体" w:cs="宋体" w:eastAsia="宋体" w:hint="default"/>
                <w:spacing w:val="-3"/>
                <w:sz w:val="18"/>
                <w:szCs w:val="18"/>
              </w:rPr>
              <w:t>手续费及佣金支出</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26"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26" w:right="0"/>
              <w:jc w:val="left"/>
              <w:rPr>
                <w:rFonts w:ascii="宋体" w:hAnsi="宋体" w:cs="宋体" w:eastAsia="宋体" w:hint="default"/>
                <w:sz w:val="18"/>
                <w:szCs w:val="18"/>
              </w:rPr>
            </w:pPr>
            <w:r>
              <w:rPr>
                <w:rFonts w:ascii="宋体" w:hAnsi="宋体" w:cs="宋体" w:eastAsia="宋体" w:hint="default"/>
                <w:spacing w:val="-3"/>
                <w:sz w:val="18"/>
                <w:szCs w:val="18"/>
              </w:rPr>
              <w:t>赔付支出净额</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26" w:right="0"/>
              <w:jc w:val="left"/>
              <w:rPr>
                <w:rFonts w:ascii="宋体" w:hAnsi="宋体" w:cs="宋体" w:eastAsia="宋体" w:hint="default"/>
                <w:sz w:val="18"/>
                <w:szCs w:val="18"/>
              </w:rPr>
            </w:pPr>
            <w:r>
              <w:rPr>
                <w:rFonts w:ascii="宋体" w:hAnsi="宋体" w:cs="宋体" w:eastAsia="宋体" w:hint="default"/>
                <w:spacing w:val="-3"/>
                <w:sz w:val="18"/>
                <w:szCs w:val="18"/>
              </w:rPr>
              <w:t>提取保险合同准备金净额</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26" w:right="0"/>
              <w:jc w:val="left"/>
              <w:rPr>
                <w:rFonts w:ascii="宋体" w:hAnsi="宋体" w:cs="宋体" w:eastAsia="宋体" w:hint="default"/>
                <w:sz w:val="18"/>
                <w:szCs w:val="18"/>
              </w:rPr>
            </w:pPr>
            <w:r>
              <w:rPr>
                <w:rFonts w:ascii="宋体" w:hAnsi="宋体" w:cs="宋体" w:eastAsia="宋体" w:hint="default"/>
                <w:spacing w:val="-3"/>
                <w:sz w:val="18"/>
                <w:szCs w:val="18"/>
              </w:rPr>
              <w:t>保单红利支出</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26" w:right="0"/>
              <w:jc w:val="left"/>
              <w:rPr>
                <w:rFonts w:ascii="宋体" w:hAnsi="宋体" w:cs="宋体" w:eastAsia="宋体" w:hint="default"/>
                <w:sz w:val="18"/>
                <w:szCs w:val="18"/>
              </w:rPr>
            </w:pPr>
            <w:r>
              <w:rPr>
                <w:rFonts w:ascii="宋体" w:hAnsi="宋体" w:cs="宋体" w:eastAsia="宋体" w:hint="default"/>
                <w:spacing w:val="-3"/>
                <w:sz w:val="18"/>
                <w:szCs w:val="18"/>
              </w:rPr>
              <w:t>分保费用</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26" w:right="0"/>
              <w:jc w:val="left"/>
              <w:rPr>
                <w:rFonts w:ascii="宋体" w:hAnsi="宋体" w:cs="宋体" w:eastAsia="宋体" w:hint="default"/>
                <w:sz w:val="18"/>
                <w:szCs w:val="18"/>
              </w:rPr>
            </w:pPr>
            <w:r>
              <w:rPr>
                <w:rFonts w:ascii="宋体" w:hAnsi="宋体" w:cs="宋体" w:eastAsia="宋体" w:hint="default"/>
                <w:spacing w:val="-3"/>
                <w:sz w:val="18"/>
                <w:szCs w:val="18"/>
              </w:rPr>
              <w:t>营业税金及附加</w:t>
            </w:r>
          </w:p>
        </w:tc>
        <w:tc>
          <w:tcPr>
            <w:tcW w:w="321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3,936,517.12</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5,569,573.12</w:t>
            </w:r>
          </w:p>
        </w:tc>
      </w:tr>
      <w:tr>
        <w:trPr>
          <w:trHeight w:val="403"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26" w:right="0"/>
              <w:jc w:val="left"/>
              <w:rPr>
                <w:rFonts w:ascii="宋体" w:hAnsi="宋体" w:cs="宋体" w:eastAsia="宋体" w:hint="default"/>
                <w:sz w:val="18"/>
                <w:szCs w:val="18"/>
              </w:rPr>
            </w:pPr>
            <w:r>
              <w:rPr>
                <w:rFonts w:ascii="宋体" w:hAnsi="宋体" w:cs="宋体" w:eastAsia="宋体" w:hint="default"/>
                <w:spacing w:val="-3"/>
                <w:sz w:val="18"/>
                <w:szCs w:val="18"/>
              </w:rPr>
              <w:t>销售费用</w:t>
            </w:r>
          </w:p>
        </w:tc>
        <w:tc>
          <w:tcPr>
            <w:tcW w:w="321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57,624,442.38</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51,528,674.13</w:t>
            </w:r>
          </w:p>
        </w:tc>
      </w:tr>
      <w:tr>
        <w:trPr>
          <w:trHeight w:val="403"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26" w:right="0"/>
              <w:jc w:val="left"/>
              <w:rPr>
                <w:rFonts w:ascii="宋体" w:hAnsi="宋体" w:cs="宋体" w:eastAsia="宋体" w:hint="default"/>
                <w:sz w:val="18"/>
                <w:szCs w:val="18"/>
              </w:rPr>
            </w:pPr>
            <w:r>
              <w:rPr>
                <w:rFonts w:ascii="宋体" w:hAnsi="宋体" w:cs="宋体" w:eastAsia="宋体" w:hint="default"/>
                <w:spacing w:val="-3"/>
                <w:sz w:val="18"/>
                <w:szCs w:val="18"/>
              </w:rPr>
              <w:t>管理费用</w:t>
            </w:r>
          </w:p>
        </w:tc>
        <w:tc>
          <w:tcPr>
            <w:tcW w:w="321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113,391,393.91</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99,526,431.37</w:t>
            </w:r>
          </w:p>
        </w:tc>
      </w:tr>
      <w:tr>
        <w:trPr>
          <w:trHeight w:val="398"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26" w:right="0"/>
              <w:jc w:val="left"/>
              <w:rPr>
                <w:rFonts w:ascii="宋体" w:hAnsi="宋体" w:cs="宋体" w:eastAsia="宋体" w:hint="default"/>
                <w:sz w:val="18"/>
                <w:szCs w:val="18"/>
              </w:rPr>
            </w:pPr>
            <w:r>
              <w:rPr>
                <w:rFonts w:ascii="宋体" w:hAnsi="宋体" w:cs="宋体" w:eastAsia="宋体" w:hint="default"/>
                <w:spacing w:val="-3"/>
                <w:sz w:val="18"/>
                <w:szCs w:val="18"/>
              </w:rPr>
              <w:t>财务费用</w:t>
            </w:r>
          </w:p>
        </w:tc>
        <w:tc>
          <w:tcPr>
            <w:tcW w:w="321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14,559,008.44</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10,556,920.37</w:t>
            </w:r>
          </w:p>
        </w:tc>
      </w:tr>
      <w:tr>
        <w:trPr>
          <w:trHeight w:val="403"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26" w:right="0"/>
              <w:jc w:val="left"/>
              <w:rPr>
                <w:rFonts w:ascii="宋体" w:hAnsi="宋体" w:cs="宋体" w:eastAsia="宋体" w:hint="default"/>
                <w:sz w:val="18"/>
                <w:szCs w:val="18"/>
              </w:rPr>
            </w:pPr>
            <w:r>
              <w:rPr>
                <w:rFonts w:ascii="宋体" w:hAnsi="宋体" w:cs="宋体" w:eastAsia="宋体" w:hint="default"/>
                <w:spacing w:val="-3"/>
                <w:sz w:val="18"/>
                <w:szCs w:val="18"/>
              </w:rPr>
              <w:t>资产减值损失</w:t>
            </w:r>
          </w:p>
        </w:tc>
        <w:tc>
          <w:tcPr>
            <w:tcW w:w="321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6,275,292.63</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15,135,595.60</w:t>
            </w:r>
          </w:p>
        </w:tc>
      </w:tr>
      <w:tr>
        <w:trPr>
          <w:trHeight w:val="715"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4" w:right="149" w:firstLine="360"/>
              <w:jc w:val="left"/>
              <w:rPr>
                <w:rFonts w:ascii="宋体" w:hAnsi="宋体" w:cs="宋体" w:eastAsia="宋体" w:hint="default"/>
                <w:sz w:val="18"/>
                <w:szCs w:val="18"/>
              </w:rPr>
            </w:pPr>
            <w:r>
              <w:rPr>
                <w:rFonts w:ascii="宋体" w:hAnsi="宋体" w:cs="宋体" w:eastAsia="宋体" w:hint="default"/>
                <w:spacing w:val="-3"/>
                <w:sz w:val="18"/>
                <w:szCs w:val="18"/>
              </w:rPr>
              <w:t>加：公允价值变动收益（损失以</w:t>
            </w:r>
            <w:r>
              <w:rPr>
                <w:rFonts w:ascii="宋体" w:hAnsi="宋体" w:cs="宋体" w:eastAsia="宋体" w:hint="default"/>
                <w:w w:val="101"/>
                <w:sz w:val="18"/>
                <w:szCs w:val="18"/>
              </w:rPr>
              <w:t> </w:t>
            </w:r>
            <w:r>
              <w:rPr>
                <w:rFonts w:ascii="宋体" w:hAnsi="宋体" w:cs="宋体" w:eastAsia="宋体" w:hint="default"/>
                <w:spacing w:val="-3"/>
                <w:sz w:val="18"/>
                <w:szCs w:val="18"/>
              </w:rPr>
              <w:t>“－”号填列）</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44" w:right="0"/>
              <w:jc w:val="left"/>
              <w:rPr>
                <w:rFonts w:ascii="宋体" w:hAnsi="宋体" w:cs="宋体" w:eastAsia="宋体" w:hint="default"/>
                <w:sz w:val="18"/>
                <w:szCs w:val="18"/>
              </w:rPr>
            </w:pPr>
            <w:r>
              <w:rPr>
                <w:rFonts w:ascii="宋体" w:hAnsi="宋体" w:cs="宋体" w:eastAsia="宋体" w:hint="default"/>
                <w:spacing w:val="-5"/>
                <w:sz w:val="18"/>
                <w:szCs w:val="18"/>
              </w:rPr>
              <w:t>投资收益（损失以“－”号填</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1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45,520,265.00</w:t>
            </w: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5" w:firstLine="720"/>
              <w:jc w:val="left"/>
              <w:rPr>
                <w:rFonts w:ascii="宋体" w:hAnsi="宋体" w:cs="宋体" w:eastAsia="宋体" w:hint="default"/>
                <w:sz w:val="18"/>
                <w:szCs w:val="18"/>
              </w:rPr>
            </w:pPr>
            <w:r>
              <w:rPr>
                <w:rFonts w:ascii="宋体" w:hAnsi="宋体" w:cs="宋体" w:eastAsia="宋体" w:hint="default"/>
                <w:spacing w:val="-5"/>
                <w:sz w:val="18"/>
                <w:szCs w:val="18"/>
              </w:rPr>
              <w:t>其中：对联营企业和合营企业</w:t>
            </w:r>
            <w:r>
              <w:rPr>
                <w:rFonts w:ascii="宋体" w:hAnsi="宋体" w:cs="宋体" w:eastAsia="宋体" w:hint="default"/>
                <w:w w:val="101"/>
                <w:sz w:val="18"/>
                <w:szCs w:val="18"/>
              </w:rPr>
              <w:t> </w:t>
            </w:r>
            <w:r>
              <w:rPr>
                <w:rFonts w:ascii="宋体" w:hAnsi="宋体" w:cs="宋体" w:eastAsia="宋体" w:hint="default"/>
                <w:sz w:val="18"/>
                <w:szCs w:val="18"/>
              </w:rPr>
              <w:t>的投资收益</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44" w:right="0"/>
              <w:jc w:val="left"/>
              <w:rPr>
                <w:rFonts w:ascii="宋体" w:hAnsi="宋体" w:cs="宋体" w:eastAsia="宋体" w:hint="default"/>
                <w:sz w:val="18"/>
                <w:szCs w:val="18"/>
              </w:rPr>
            </w:pPr>
            <w:r>
              <w:rPr>
                <w:rFonts w:ascii="宋体" w:hAnsi="宋体" w:cs="宋体" w:eastAsia="宋体" w:hint="default"/>
                <w:spacing w:val="-3"/>
                <w:sz w:val="18"/>
                <w:szCs w:val="18"/>
              </w:rPr>
              <w:t>汇兑收益（损失以“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w:t>
            </w:r>
          </w:p>
          <w:p>
            <w:pPr>
              <w:pStyle w:val="TableParagraph"/>
              <w:spacing w:line="240" w:lineRule="auto" w:before="67"/>
              <w:ind w:left="24"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70"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53"/>
              <w:ind w:left="24" w:right="-39"/>
              <w:jc w:val="left"/>
              <w:rPr>
                <w:rFonts w:ascii="宋体" w:hAnsi="宋体" w:cs="宋体" w:eastAsia="宋体" w:hint="default"/>
                <w:sz w:val="18"/>
                <w:szCs w:val="18"/>
              </w:rPr>
            </w:pPr>
            <w:r>
              <w:rPr>
                <w:rFonts w:ascii="宋体" w:hAnsi="宋体" w:cs="宋体" w:eastAsia="宋体" w:hint="default"/>
                <w:spacing w:val="-3"/>
                <w:sz w:val="18"/>
                <w:szCs w:val="18"/>
              </w:rPr>
              <w:t>三、营业利润（亏损以“－”号填列）</w:t>
            </w:r>
          </w:p>
        </w:tc>
        <w:tc>
          <w:tcPr>
            <w:tcW w:w="3218" w:type="dxa"/>
            <w:tcBorders>
              <w:top w:val="single" w:sz="4" w:space="0" w:color="000000"/>
              <w:left w:val="single" w:sz="23" w:space="0" w:color="FFFFFF"/>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8,921,546.85</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22,679,509.88</w:t>
            </w:r>
          </w:p>
        </w:tc>
      </w:tr>
      <w:tr>
        <w:trPr>
          <w:trHeight w:val="403"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加：营业外收入</w:t>
            </w:r>
          </w:p>
        </w:tc>
        <w:tc>
          <w:tcPr>
            <w:tcW w:w="321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9,561,764.45</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12,541,707.50</w:t>
            </w:r>
          </w:p>
        </w:tc>
      </w:tr>
      <w:tr>
        <w:trPr>
          <w:trHeight w:val="398"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44" w:right="0"/>
              <w:jc w:val="left"/>
              <w:rPr>
                <w:rFonts w:ascii="宋体" w:hAnsi="宋体" w:cs="宋体" w:eastAsia="宋体" w:hint="default"/>
                <w:sz w:val="18"/>
                <w:szCs w:val="18"/>
              </w:rPr>
            </w:pPr>
            <w:r>
              <w:rPr>
                <w:rFonts w:ascii="宋体" w:hAnsi="宋体" w:cs="宋体" w:eastAsia="宋体" w:hint="default"/>
                <w:spacing w:val="-3"/>
                <w:sz w:val="18"/>
                <w:szCs w:val="18"/>
              </w:rPr>
              <w:t>其中：非流动资产处置利得</w:t>
            </w:r>
          </w:p>
        </w:tc>
        <w:tc>
          <w:tcPr>
            <w:tcW w:w="321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274,242.00</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36,717.90</w:t>
            </w:r>
          </w:p>
        </w:tc>
      </w:tr>
      <w:tr>
        <w:trPr>
          <w:trHeight w:val="403"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减：营业外支出</w:t>
            </w:r>
          </w:p>
        </w:tc>
        <w:tc>
          <w:tcPr>
            <w:tcW w:w="321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260,790.79</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1,299,052.49</w:t>
            </w:r>
          </w:p>
        </w:tc>
      </w:tr>
      <w:tr>
        <w:trPr>
          <w:trHeight w:val="403"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44" w:right="0"/>
              <w:jc w:val="left"/>
              <w:rPr>
                <w:rFonts w:ascii="宋体" w:hAnsi="宋体" w:cs="宋体" w:eastAsia="宋体" w:hint="default"/>
                <w:sz w:val="18"/>
                <w:szCs w:val="18"/>
              </w:rPr>
            </w:pPr>
            <w:r>
              <w:rPr>
                <w:rFonts w:ascii="宋体" w:hAnsi="宋体" w:cs="宋体" w:eastAsia="宋体" w:hint="default"/>
                <w:spacing w:val="-3"/>
                <w:sz w:val="18"/>
                <w:szCs w:val="18"/>
              </w:rPr>
              <w:t>其中：非流动资产处置损失</w:t>
            </w:r>
          </w:p>
        </w:tc>
        <w:tc>
          <w:tcPr>
            <w:tcW w:w="321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13,702.91</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407,497.89</w:t>
            </w:r>
          </w:p>
        </w:tc>
      </w:tr>
      <w:tr>
        <w:trPr>
          <w:trHeight w:val="715"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5"/>
              <w:jc w:val="left"/>
              <w:rPr>
                <w:rFonts w:ascii="宋体" w:hAnsi="宋体" w:cs="宋体" w:eastAsia="宋体" w:hint="default"/>
                <w:sz w:val="18"/>
                <w:szCs w:val="18"/>
              </w:rPr>
            </w:pPr>
            <w:r>
              <w:rPr>
                <w:rFonts w:ascii="宋体" w:hAnsi="宋体" w:cs="宋体" w:eastAsia="宋体" w:hint="default"/>
                <w:spacing w:val="-5"/>
                <w:sz w:val="18"/>
                <w:szCs w:val="18"/>
              </w:rPr>
              <w:t>四、利润总额（亏损总额以“－”号填</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宋体" w:hAnsi="宋体" w:cs="宋体" w:eastAsia="宋体" w:hint="default"/>
                <w:sz w:val="18"/>
                <w:szCs w:val="18"/>
              </w:rPr>
              <w:t>列）</w:t>
            </w:r>
          </w:p>
        </w:tc>
        <w:tc>
          <w:tcPr>
            <w:tcW w:w="321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18,222,520.51</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33,922,164.89</w:t>
            </w:r>
          </w:p>
        </w:tc>
      </w:tr>
      <w:tr>
        <w:trPr>
          <w:trHeight w:val="398"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减：所得税费用</w:t>
            </w:r>
          </w:p>
        </w:tc>
        <w:tc>
          <w:tcPr>
            <w:tcW w:w="321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1,261,646.15</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-2,520,946.34</w:t>
            </w:r>
          </w:p>
        </w:tc>
      </w:tr>
      <w:tr>
        <w:trPr>
          <w:trHeight w:val="403" w:hRule="exact"/>
        </w:trPr>
        <w:tc>
          <w:tcPr>
            <w:tcW w:w="3070"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53"/>
              <w:ind w:left="24" w:right="-39"/>
              <w:jc w:val="left"/>
              <w:rPr>
                <w:rFonts w:ascii="宋体" w:hAnsi="宋体" w:cs="宋体" w:eastAsia="宋体" w:hint="default"/>
                <w:sz w:val="18"/>
                <w:szCs w:val="18"/>
              </w:rPr>
            </w:pPr>
            <w:r>
              <w:rPr>
                <w:rFonts w:ascii="宋体" w:hAnsi="宋体" w:cs="宋体" w:eastAsia="宋体" w:hint="default"/>
                <w:spacing w:val="-3"/>
                <w:sz w:val="18"/>
                <w:szCs w:val="18"/>
              </w:rPr>
              <w:t>五、净利润（净亏损以“－”号填列）</w:t>
            </w:r>
          </w:p>
        </w:tc>
        <w:tc>
          <w:tcPr>
            <w:tcW w:w="3218" w:type="dxa"/>
            <w:tcBorders>
              <w:top w:val="single" w:sz="4" w:space="0" w:color="000000"/>
              <w:left w:val="single" w:sz="23" w:space="0" w:color="FFFFFF"/>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16,960,874.36</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3"/>
                <w:sz w:val="18"/>
              </w:rPr>
              <w:t>36,443,111.23</w:t>
            </w:r>
          </w:p>
        </w:tc>
      </w:tr>
      <w:tr>
        <w:trPr>
          <w:trHeight w:val="403"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归属于母公司所有者的净利润</w:t>
            </w:r>
          </w:p>
        </w:tc>
        <w:tc>
          <w:tcPr>
            <w:tcW w:w="321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9,173,520.42</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27,673,025.40</w:t>
            </w:r>
          </w:p>
        </w:tc>
      </w:tr>
      <w:tr>
        <w:trPr>
          <w:trHeight w:val="403"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321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7,787,353.94</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8,770,085.83</w:t>
            </w:r>
          </w:p>
        </w:tc>
      </w:tr>
      <w:tr>
        <w:trPr>
          <w:trHeight w:val="403" w:hRule="exact"/>
        </w:trPr>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六、其他综合收益的税后净额</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058"/>
        <w:gridCol w:w="3218"/>
        <w:gridCol w:w="3278"/>
      </w:tblGrid>
      <w:tr>
        <w:trPr>
          <w:trHeight w:val="715" w:hRule="exact"/>
        </w:trPr>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149" w:firstLine="182"/>
              <w:jc w:val="left"/>
              <w:rPr>
                <w:rFonts w:ascii="宋体" w:hAnsi="宋体" w:cs="宋体" w:eastAsia="宋体" w:hint="default"/>
                <w:sz w:val="18"/>
                <w:szCs w:val="18"/>
              </w:rPr>
            </w:pPr>
            <w:r>
              <w:rPr>
                <w:rFonts w:ascii="宋体" w:hAnsi="宋体" w:cs="宋体" w:eastAsia="宋体" w:hint="default"/>
                <w:spacing w:val="-3"/>
                <w:sz w:val="18"/>
                <w:szCs w:val="18"/>
              </w:rPr>
              <w:t>归属母公司所有者的其他综合收益</w:t>
            </w:r>
            <w:r>
              <w:rPr>
                <w:rFonts w:ascii="宋体" w:hAnsi="宋体" w:cs="宋体" w:eastAsia="宋体" w:hint="default"/>
                <w:w w:val="101"/>
                <w:sz w:val="18"/>
                <w:szCs w:val="18"/>
              </w:rPr>
              <w:t> </w:t>
            </w:r>
            <w:r>
              <w:rPr>
                <w:rFonts w:ascii="宋体" w:hAnsi="宋体" w:cs="宋体" w:eastAsia="宋体" w:hint="default"/>
                <w:sz w:val="18"/>
                <w:szCs w:val="18"/>
              </w:rPr>
              <w:t>的税后净额</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5" w:firstLine="345"/>
              <w:jc w:val="left"/>
              <w:rPr>
                <w:rFonts w:ascii="宋体" w:hAnsi="宋体" w:cs="宋体" w:eastAsia="宋体" w:hint="default"/>
                <w:sz w:val="18"/>
                <w:szCs w:val="18"/>
              </w:rPr>
            </w:pPr>
            <w:r>
              <w:rPr>
                <w:rFonts w:ascii="宋体" w:hAnsi="宋体" w:cs="宋体" w:eastAsia="宋体" w:hint="default"/>
                <w:spacing w:val="-4"/>
                <w:sz w:val="18"/>
                <w:szCs w:val="18"/>
              </w:rPr>
              <w:t>（一）以后不能重分类进损益的其</w:t>
            </w:r>
            <w:r>
              <w:rPr>
                <w:rFonts w:ascii="宋体" w:hAnsi="宋体" w:cs="宋体" w:eastAsia="宋体" w:hint="default"/>
                <w:w w:val="101"/>
                <w:sz w:val="18"/>
                <w:szCs w:val="18"/>
              </w:rPr>
              <w:t> </w:t>
            </w:r>
            <w:r>
              <w:rPr>
                <w:rFonts w:ascii="宋体" w:hAnsi="宋体" w:cs="宋体" w:eastAsia="宋体" w:hint="default"/>
                <w:sz w:val="18"/>
                <w:szCs w:val="18"/>
              </w:rPr>
              <w:t>他综合收益</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11" w:right="14" w:firstLine="90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重新计量设定受益计划净</w:t>
            </w:r>
            <w:r>
              <w:rPr>
                <w:rFonts w:ascii="宋体" w:hAnsi="宋体" w:cs="宋体" w:eastAsia="宋体" w:hint="default"/>
                <w:w w:val="101"/>
                <w:sz w:val="18"/>
                <w:szCs w:val="18"/>
              </w:rPr>
              <w:t> </w:t>
            </w:r>
            <w:r>
              <w:rPr>
                <w:rFonts w:ascii="宋体" w:hAnsi="宋体" w:cs="宋体" w:eastAsia="宋体" w:hint="default"/>
                <w:spacing w:val="-3"/>
                <w:sz w:val="18"/>
                <w:szCs w:val="18"/>
              </w:rPr>
              <w:t>负债或净资产的变动</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53"/>
              <w:ind w:left="11" w:right="14" w:firstLine="90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权益法下在被投资单位不</w:t>
            </w:r>
            <w:r>
              <w:rPr>
                <w:rFonts w:ascii="宋体" w:hAnsi="宋体" w:cs="宋体" w:eastAsia="宋体" w:hint="default"/>
                <w:w w:val="101"/>
                <w:sz w:val="18"/>
                <w:szCs w:val="18"/>
              </w:rPr>
              <w:t> </w:t>
            </w:r>
            <w:r>
              <w:rPr>
                <w:rFonts w:ascii="宋体" w:hAnsi="宋体" w:cs="宋体" w:eastAsia="宋体" w:hint="default"/>
                <w:spacing w:val="-3"/>
                <w:sz w:val="18"/>
                <w:szCs w:val="18"/>
              </w:rPr>
              <w:t>能重分类进损益的其他综合收益中享</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宋体" w:hAnsi="宋体" w:cs="宋体" w:eastAsia="宋体" w:hint="default"/>
                <w:sz w:val="18"/>
                <w:szCs w:val="18"/>
              </w:rPr>
              <w:t>有的份额</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5" w:firstLine="345"/>
              <w:jc w:val="left"/>
              <w:rPr>
                <w:rFonts w:ascii="宋体" w:hAnsi="宋体" w:cs="宋体" w:eastAsia="宋体" w:hint="default"/>
                <w:sz w:val="18"/>
                <w:szCs w:val="18"/>
              </w:rPr>
            </w:pPr>
            <w:r>
              <w:rPr>
                <w:rFonts w:ascii="宋体" w:hAnsi="宋体" w:cs="宋体" w:eastAsia="宋体" w:hint="default"/>
                <w:spacing w:val="-4"/>
                <w:sz w:val="18"/>
                <w:szCs w:val="18"/>
              </w:rPr>
              <w:t>（二）以后将重分类进损益的其他</w:t>
            </w:r>
            <w:r>
              <w:rPr>
                <w:rFonts w:ascii="宋体" w:hAnsi="宋体" w:cs="宋体" w:eastAsia="宋体" w:hint="default"/>
                <w:w w:val="101"/>
                <w:sz w:val="18"/>
                <w:szCs w:val="18"/>
              </w:rPr>
              <w:t> </w:t>
            </w:r>
            <w:r>
              <w:rPr>
                <w:rFonts w:ascii="宋体" w:hAnsi="宋体" w:cs="宋体" w:eastAsia="宋体" w:hint="default"/>
                <w:sz w:val="18"/>
                <w:szCs w:val="18"/>
              </w:rPr>
              <w:t>综合收益</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1022" w:hRule="exact"/>
        </w:trPr>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3"/>
              <w:ind w:left="11" w:right="14" w:firstLine="90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权益法下在被投资单位以</w:t>
            </w:r>
            <w:r>
              <w:rPr>
                <w:rFonts w:ascii="宋体" w:hAnsi="宋体" w:cs="宋体" w:eastAsia="宋体" w:hint="default"/>
                <w:w w:val="101"/>
                <w:sz w:val="18"/>
                <w:szCs w:val="18"/>
              </w:rPr>
              <w:t> </w:t>
            </w:r>
            <w:r>
              <w:rPr>
                <w:rFonts w:ascii="宋体" w:hAnsi="宋体" w:cs="宋体" w:eastAsia="宋体" w:hint="default"/>
                <w:spacing w:val="-3"/>
                <w:sz w:val="18"/>
                <w:szCs w:val="18"/>
              </w:rPr>
              <w:t>后将重分类进损益的其他综合收益中</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宋体" w:hAnsi="宋体" w:cs="宋体" w:eastAsia="宋体" w:hint="default"/>
                <w:sz w:val="18"/>
                <w:szCs w:val="18"/>
              </w:rPr>
              <w:t>享有的份额</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14"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可供出售金融资产公允价</w:t>
            </w:r>
          </w:p>
          <w:p>
            <w:pPr>
              <w:pStyle w:val="TableParagraph"/>
              <w:spacing w:line="240" w:lineRule="auto" w:before="67"/>
              <w:ind w:left="11" w:right="0"/>
              <w:jc w:val="left"/>
              <w:rPr>
                <w:rFonts w:ascii="宋体" w:hAnsi="宋体" w:cs="宋体" w:eastAsia="宋体" w:hint="default"/>
                <w:sz w:val="18"/>
                <w:szCs w:val="18"/>
              </w:rPr>
            </w:pPr>
            <w:r>
              <w:rPr>
                <w:rFonts w:ascii="宋体" w:hAnsi="宋体" w:cs="宋体" w:eastAsia="宋体" w:hint="default"/>
                <w:sz w:val="18"/>
                <w:szCs w:val="18"/>
              </w:rPr>
              <w:t>值变动损益</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11" w:right="14" w:firstLine="90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持有至到期投资重分类为</w:t>
            </w:r>
            <w:r>
              <w:rPr>
                <w:rFonts w:ascii="宋体" w:hAnsi="宋体" w:cs="宋体" w:eastAsia="宋体" w:hint="default"/>
                <w:w w:val="101"/>
                <w:sz w:val="18"/>
                <w:szCs w:val="18"/>
              </w:rPr>
              <w:t> </w:t>
            </w:r>
            <w:r>
              <w:rPr>
                <w:rFonts w:ascii="宋体" w:hAnsi="宋体" w:cs="宋体" w:eastAsia="宋体" w:hint="default"/>
                <w:sz w:val="18"/>
                <w:szCs w:val="18"/>
              </w:rPr>
              <w:t>可供出售金融资产损益</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14"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现金流量套期损益的有效</w:t>
            </w:r>
          </w:p>
          <w:p>
            <w:pPr>
              <w:pStyle w:val="TableParagraph"/>
              <w:spacing w:line="240" w:lineRule="auto" w:before="63"/>
              <w:ind w:left="11" w:right="0"/>
              <w:jc w:val="left"/>
              <w:rPr>
                <w:rFonts w:ascii="宋体" w:hAnsi="宋体" w:cs="宋体" w:eastAsia="宋体" w:hint="default"/>
                <w:sz w:val="18"/>
                <w:szCs w:val="18"/>
              </w:rPr>
            </w:pPr>
            <w:r>
              <w:rPr>
                <w:rFonts w:ascii="宋体" w:hAnsi="宋体" w:cs="宋体" w:eastAsia="宋体" w:hint="default"/>
                <w:sz w:val="18"/>
                <w:szCs w:val="18"/>
              </w:rPr>
              <w:t>部分</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92"/>
              <w:jc w:val="right"/>
              <w:rPr>
                <w:rFonts w:ascii="宋体" w:hAnsi="宋体" w:cs="宋体" w:eastAsia="宋体" w:hint="default"/>
                <w:sz w:val="18"/>
                <w:szCs w:val="18"/>
              </w:rPr>
            </w:pP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外币财务报表折算差额</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1" w:right="149" w:firstLine="182"/>
              <w:jc w:val="left"/>
              <w:rPr>
                <w:rFonts w:ascii="宋体" w:hAnsi="宋体" w:cs="宋体" w:eastAsia="宋体" w:hint="default"/>
                <w:sz w:val="18"/>
                <w:szCs w:val="18"/>
              </w:rPr>
            </w:pPr>
            <w:r>
              <w:rPr>
                <w:rFonts w:ascii="宋体" w:hAnsi="宋体" w:cs="宋体" w:eastAsia="宋体" w:hint="default"/>
                <w:spacing w:val="-3"/>
                <w:sz w:val="18"/>
                <w:szCs w:val="18"/>
              </w:rPr>
              <w:t>归属于少数股东的其他综合收益的</w:t>
            </w:r>
            <w:r>
              <w:rPr>
                <w:rFonts w:ascii="宋体" w:hAnsi="宋体" w:cs="宋体" w:eastAsia="宋体" w:hint="default"/>
                <w:w w:val="101"/>
                <w:sz w:val="18"/>
                <w:szCs w:val="18"/>
              </w:rPr>
              <w:t> </w:t>
            </w:r>
            <w:r>
              <w:rPr>
                <w:rFonts w:ascii="宋体" w:hAnsi="宋体" w:cs="宋体" w:eastAsia="宋体" w:hint="default"/>
                <w:sz w:val="18"/>
                <w:szCs w:val="18"/>
              </w:rPr>
              <w:t>税后净额</w:t>
            </w:r>
          </w:p>
        </w:tc>
        <w:tc>
          <w:tcPr>
            <w:tcW w:w="3218" w:type="dxa"/>
            <w:tcBorders>
              <w:top w:val="single" w:sz="4" w:space="0" w:color="000000"/>
              <w:left w:val="single" w:sz="10"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21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16,960,874.36</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3"/>
                <w:sz w:val="18"/>
              </w:rPr>
              <w:t>36,443,111.23</w:t>
            </w:r>
          </w:p>
        </w:tc>
      </w:tr>
      <w:tr>
        <w:trPr>
          <w:trHeight w:val="710" w:hRule="exact"/>
        </w:trPr>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149" w:firstLine="360"/>
              <w:jc w:val="left"/>
              <w:rPr>
                <w:rFonts w:ascii="宋体" w:hAnsi="宋体" w:cs="宋体" w:eastAsia="宋体" w:hint="default"/>
                <w:sz w:val="18"/>
                <w:szCs w:val="18"/>
              </w:rPr>
            </w:pPr>
            <w:r>
              <w:rPr>
                <w:rFonts w:ascii="宋体" w:hAnsi="宋体" w:cs="宋体" w:eastAsia="宋体" w:hint="default"/>
                <w:spacing w:val="-3"/>
                <w:sz w:val="18"/>
                <w:szCs w:val="18"/>
              </w:rPr>
              <w:t>归属于母公司所有者的综合收益</w:t>
            </w:r>
            <w:r>
              <w:rPr>
                <w:rFonts w:ascii="宋体" w:hAnsi="宋体" w:cs="宋体" w:eastAsia="宋体" w:hint="default"/>
                <w:w w:val="101"/>
                <w:sz w:val="18"/>
                <w:szCs w:val="18"/>
              </w:rPr>
              <w:t> </w:t>
            </w:r>
            <w:r>
              <w:rPr>
                <w:rFonts w:ascii="宋体" w:hAnsi="宋体" w:cs="宋体" w:eastAsia="宋体" w:hint="default"/>
                <w:sz w:val="18"/>
                <w:szCs w:val="18"/>
              </w:rPr>
              <w:t>总额</w:t>
            </w:r>
          </w:p>
        </w:tc>
        <w:tc>
          <w:tcPr>
            <w:tcW w:w="321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9,173,520.42</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27,673,025.40</w:t>
            </w:r>
          </w:p>
        </w:tc>
      </w:tr>
      <w:tr>
        <w:trPr>
          <w:trHeight w:val="403" w:hRule="exact"/>
        </w:trPr>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49"/>
              <w:jc w:val="right"/>
              <w:rPr>
                <w:rFonts w:ascii="宋体" w:hAnsi="宋体" w:cs="宋体" w:eastAsia="宋体" w:hint="default"/>
                <w:sz w:val="18"/>
                <w:szCs w:val="18"/>
              </w:rPr>
            </w:pPr>
            <w:r>
              <w:rPr>
                <w:rFonts w:ascii="宋体" w:hAnsi="宋体" w:cs="宋体" w:eastAsia="宋体" w:hint="default"/>
                <w:spacing w:val="-3"/>
                <w:sz w:val="18"/>
                <w:szCs w:val="18"/>
              </w:rPr>
              <w:t>归属于少数股东的综合收益总额</w:t>
            </w:r>
          </w:p>
        </w:tc>
        <w:tc>
          <w:tcPr>
            <w:tcW w:w="321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7,787,353.94</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8,770,085.83</w:t>
            </w:r>
          </w:p>
        </w:tc>
      </w:tr>
      <w:tr>
        <w:trPr>
          <w:trHeight w:val="403" w:hRule="exact"/>
        </w:trPr>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八、每股收益：</w:t>
            </w:r>
          </w:p>
        </w:tc>
        <w:tc>
          <w:tcPr>
            <w:tcW w:w="32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（一）基本每股收益</w:t>
            </w:r>
          </w:p>
        </w:tc>
        <w:tc>
          <w:tcPr>
            <w:tcW w:w="321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0.0308</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0.0928</w:t>
            </w:r>
          </w:p>
        </w:tc>
      </w:tr>
      <w:tr>
        <w:trPr>
          <w:trHeight w:val="403" w:hRule="exact"/>
        </w:trPr>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（二）稀释每股收益</w:t>
            </w:r>
          </w:p>
        </w:tc>
        <w:tc>
          <w:tcPr>
            <w:tcW w:w="321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0.0308</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0.0928</w:t>
            </w:r>
          </w:p>
        </w:tc>
      </w:tr>
    </w:tbl>
    <w:p>
      <w:pPr>
        <w:tabs>
          <w:tab w:pos="3666" w:val="left" w:leader="none"/>
          <w:tab w:pos="7717" w:val="left" w:leader="none"/>
        </w:tabs>
        <w:spacing w:line="621" w:lineRule="auto" w:before="53"/>
        <w:ind w:left="152" w:right="238" w:firstLine="0"/>
        <w:jc w:val="left"/>
        <w:rPr>
          <w:rFonts w:ascii="宋体" w:hAnsi="宋体" w:cs="宋体" w:eastAsia="宋体" w:hint="default"/>
          <w:sz w:val="18"/>
          <w:szCs w:val="18"/>
        </w:rPr>
      </w:pPr>
      <w:r>
        <w:rPr>
          <w:rFonts w:ascii="宋体" w:hAnsi="宋体" w:cs="宋体" w:eastAsia="宋体" w:hint="default"/>
          <w:spacing w:val="-3"/>
          <w:sz w:val="18"/>
          <w:szCs w:val="18"/>
        </w:rPr>
        <w:t>本期发生同一控制下企业合并的，被合并方在合并前实现的净利润为：元，上期被合并方实现的净利润为：元。</w:t>
      </w:r>
      <w:r>
        <w:rPr>
          <w:rFonts w:ascii="宋体" w:hAnsi="宋体" w:cs="宋体" w:eastAsia="宋体" w:hint="default"/>
          <w:spacing w:val="52"/>
          <w:sz w:val="18"/>
          <w:szCs w:val="18"/>
        </w:rPr>
        <w:t> </w:t>
      </w:r>
      <w:r>
        <w:rPr>
          <w:rFonts w:ascii="宋体" w:hAnsi="宋体" w:cs="宋体" w:eastAsia="宋体" w:hint="default"/>
          <w:spacing w:val="52"/>
          <w:sz w:val="18"/>
          <w:szCs w:val="18"/>
        </w:rPr>
      </w:r>
      <w:r>
        <w:rPr>
          <w:rFonts w:ascii="宋体" w:hAnsi="宋体" w:cs="宋体" w:eastAsia="宋体" w:hint="default"/>
          <w:spacing w:val="-3"/>
          <w:sz w:val="18"/>
          <w:szCs w:val="18"/>
        </w:rPr>
        <w:t>法定代表人：尤丽娟</w:t>
        <w:tab/>
        <w:t>主管会计工作负责人：高琦</w:t>
        <w:tab/>
        <w:t>会计机构负责人：林雄坤</w:t>
      </w:r>
    </w:p>
    <w:p>
      <w:pPr>
        <w:pStyle w:val="Heading4"/>
        <w:spacing w:line="361" w:lineRule="exact"/>
        <w:ind w:right="0"/>
        <w:jc w:val="left"/>
        <w:rPr>
          <w:b w:val="0"/>
          <w:bCs w:val="0"/>
        </w:rPr>
      </w:pPr>
      <w:r>
        <w:rPr>
          <w:rFonts w:ascii="Times New Roman" w:hAnsi="Times New Roman" w:cs="Times New Roman" w:eastAsia="Times New Roman" w:hint="default"/>
        </w:rPr>
        <w:t>4</w:t>
      </w:r>
      <w:r>
        <w:rPr/>
        <w:t>、母公司利润表</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0" w:right="146" w:firstLine="0"/>
        <w:jc w:val="right"/>
        <w:rPr>
          <w:rFonts w:ascii="宋体" w:hAnsi="宋体" w:cs="宋体" w:eastAsia="宋体" w:hint="default"/>
          <w:sz w:val="18"/>
          <w:szCs w:val="18"/>
        </w:rPr>
      </w:pPr>
      <w:r>
        <w:rPr>
          <w:rFonts w:ascii="宋体" w:hAnsi="宋体" w:cs="宋体" w:eastAsia="宋体" w:hint="default"/>
          <w:spacing w:val="-2"/>
          <w:sz w:val="18"/>
          <w:szCs w:val="18"/>
        </w:rPr>
        <w:t>单位：元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966"/>
        <w:gridCol w:w="3302"/>
        <w:gridCol w:w="3298"/>
      </w:tblGrid>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r>
        <w:rPr/>
        <w:pict>
          <v:group style="position:absolute;margin-left:206.399994pt;margin-top:320.239990pt;width:162.25pt;height:19.7pt;mso-position-horizontal-relative:page;mso-position-vertical-relative:page;z-index:-1069576" coordorigin="4128,6405" coordsize="3245,394">
            <v:shape style="position:absolute;left:4128;top:6405;width:3245;height:394" coordorigin="4128,6405" coordsize="3245,394" path="m4128,6798l7373,6798,7373,6405,4128,6405,4128,6798xe" filled="true" fillcolor="#ffffff" stroked="false">
              <v:path arrowok="t"/>
              <v:fill type="solid"/>
            </v:shape>
            <w10:wrap type="none"/>
          </v:group>
        </w:pict>
      </w:r>
      <w:r>
        <w:rPr/>
        <w:pict>
          <v:group style="position:absolute;margin-left:206.399994pt;margin-top:476.720001pt;width:162.25pt;height:19.45pt;mso-position-horizontal-relative:page;mso-position-vertical-relative:page;z-index:-1069552" coordorigin="4128,9534" coordsize="3245,389">
            <v:shape style="position:absolute;left:4128;top:9534;width:3245;height:389" coordorigin="4128,9534" coordsize="3245,389" path="m4128,9923l7373,9923,7373,9534,4128,9534,4128,9923xe" filled="true" fillcolor="#ffffff" stroked="false">
              <v:path arrowok="t"/>
              <v:fill type="solid"/>
            </v:shape>
            <w10:wrap type="none"/>
          </v:group>
        </w:pict>
      </w:r>
    </w:p>
    <w:p>
      <w:pPr>
        <w:spacing w:line="240" w:lineRule="auto" w:before="9"/>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966"/>
        <w:gridCol w:w="3302"/>
        <w:gridCol w:w="3298"/>
      </w:tblGrid>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152,819,818.24</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214,963,044.99</w:t>
            </w:r>
          </w:p>
        </w:tc>
      </w:tr>
      <w:tr>
        <w:trPr>
          <w:trHeight w:val="398"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110,292,397.07</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129,728,569.57</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44" w:right="0"/>
              <w:jc w:val="left"/>
              <w:rPr>
                <w:rFonts w:ascii="宋体" w:hAnsi="宋体" w:cs="宋体" w:eastAsia="宋体" w:hint="default"/>
                <w:sz w:val="18"/>
                <w:szCs w:val="18"/>
              </w:rPr>
            </w:pPr>
            <w:r>
              <w:rPr>
                <w:rFonts w:ascii="宋体" w:hAnsi="宋体" w:cs="宋体" w:eastAsia="宋体" w:hint="default"/>
                <w:spacing w:val="-3"/>
                <w:sz w:val="18"/>
                <w:szCs w:val="18"/>
              </w:rPr>
              <w:t>营业税金及附加</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1,364,704.12</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1,913,251.06</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44"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22,832,466.93</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15,676,075.43</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44"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41,271,956.80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40,304,417.07</w:t>
            </w:r>
          </w:p>
        </w:tc>
      </w:tr>
      <w:tr>
        <w:trPr>
          <w:trHeight w:val="398"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44"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9,507,123.55</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7,906,472.35</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44"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-580,505.18</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2,767,716.72</w:t>
            </w: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4" w:right="46" w:firstLine="360"/>
              <w:jc w:val="left"/>
              <w:rPr>
                <w:rFonts w:ascii="宋体" w:hAnsi="宋体" w:cs="宋体" w:eastAsia="宋体" w:hint="default"/>
                <w:sz w:val="18"/>
                <w:szCs w:val="18"/>
              </w:rPr>
            </w:pPr>
            <w:r>
              <w:rPr>
                <w:rFonts w:ascii="宋体" w:hAnsi="宋体" w:cs="宋体" w:eastAsia="宋体" w:hint="default"/>
                <w:spacing w:val="-3"/>
                <w:sz w:val="18"/>
                <w:szCs w:val="18"/>
              </w:rPr>
              <w:t>加：公允价值变动收益（损失以</w:t>
            </w:r>
            <w:r>
              <w:rPr>
                <w:rFonts w:ascii="宋体" w:hAnsi="宋体" w:cs="宋体" w:eastAsia="宋体" w:hint="default"/>
                <w:w w:val="101"/>
                <w:sz w:val="18"/>
                <w:szCs w:val="18"/>
              </w:rPr>
              <w:t> </w:t>
            </w:r>
            <w:r>
              <w:rPr>
                <w:rFonts w:ascii="宋体" w:hAnsi="宋体" w:cs="宋体" w:eastAsia="宋体" w:hint="default"/>
                <w:spacing w:val="-3"/>
                <w:sz w:val="18"/>
                <w:szCs w:val="18"/>
              </w:rPr>
              <w:t>“－”号填列）</w:t>
            </w:r>
          </w:p>
        </w:tc>
        <w:tc>
          <w:tcPr>
            <w:tcW w:w="3302" w:type="dxa"/>
            <w:tcBorders>
              <w:top w:val="single" w:sz="4" w:space="0" w:color="000000"/>
              <w:left w:val="single" w:sz="4" w:space="0" w:color="000000"/>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44" w:right="0"/>
              <w:jc w:val="left"/>
              <w:rPr>
                <w:rFonts w:ascii="宋体" w:hAnsi="宋体" w:cs="宋体" w:eastAsia="宋体" w:hint="default"/>
                <w:sz w:val="18"/>
                <w:szCs w:val="18"/>
              </w:rPr>
            </w:pPr>
            <w:r>
              <w:rPr>
                <w:rFonts w:ascii="宋体" w:hAnsi="宋体" w:cs="宋体" w:eastAsia="宋体" w:hint="default"/>
                <w:spacing w:val="-3"/>
                <w:sz w:val="18"/>
                <w:szCs w:val="18"/>
              </w:rPr>
              <w:t>投资收益（损失以“－”号</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63,919,662.35</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11,281,564.08</w:t>
            </w:r>
          </w:p>
        </w:tc>
      </w:tr>
      <w:tr>
        <w:trPr>
          <w:trHeight w:val="710"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46" w:firstLine="720"/>
              <w:jc w:val="left"/>
              <w:rPr>
                <w:rFonts w:ascii="宋体" w:hAnsi="宋体" w:cs="宋体" w:eastAsia="宋体" w:hint="default"/>
                <w:sz w:val="18"/>
                <w:szCs w:val="18"/>
              </w:rPr>
            </w:pPr>
            <w:r>
              <w:rPr>
                <w:rFonts w:ascii="宋体" w:hAnsi="宋体" w:cs="宋体" w:eastAsia="宋体" w:hint="default"/>
                <w:spacing w:val="-3"/>
                <w:sz w:val="18"/>
                <w:szCs w:val="18"/>
              </w:rPr>
              <w:t>其中：对联营企业和合营企</w:t>
            </w:r>
            <w:r>
              <w:rPr>
                <w:rFonts w:ascii="宋体" w:hAnsi="宋体" w:cs="宋体" w:eastAsia="宋体" w:hint="default"/>
                <w:w w:val="101"/>
                <w:sz w:val="18"/>
                <w:szCs w:val="18"/>
              </w:rPr>
              <w:t> </w:t>
            </w:r>
            <w:r>
              <w:rPr>
                <w:rFonts w:ascii="宋体" w:hAnsi="宋体" w:cs="宋体" w:eastAsia="宋体" w:hint="default"/>
                <w:sz w:val="18"/>
                <w:szCs w:val="18"/>
              </w:rPr>
              <w:t>业的投资收益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6"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6"/>
                <w:sz w:val="18"/>
                <w:szCs w:val="18"/>
              </w:rPr>
              <w:t>二、营业利润（亏损以“－”号填列</w:t>
            </w:r>
          </w:p>
        </w:tc>
        <w:tc>
          <w:tcPr>
            <w:tcW w:w="3302" w:type="dxa"/>
            <w:tcBorders>
              <w:top w:val="single" w:sz="4" w:space="0" w:color="000000"/>
              <w:left w:val="single" w:sz="13" w:space="0" w:color="FFFFFF"/>
              <w:bottom w:val="single" w:sz="4" w:space="0" w:color="000000"/>
              <w:right w:val="single" w:sz="4" w:space="0" w:color="000000"/>
            </w:tcBorders>
          </w:tcPr>
          <w:p>
            <w:pPr>
              <w:pStyle w:val="TableParagraph"/>
              <w:tabs>
                <w:tab w:pos="2215" w:val="left" w:leader="none"/>
              </w:tabs>
              <w:spacing w:line="240" w:lineRule="auto" w:before="53"/>
              <w:ind w:left="-132" w:right="22"/>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pacing w:val="-1"/>
                <w:sz w:val="18"/>
                <w:szCs w:val="18"/>
              </w:rPr>
              <w:t>32,051,337.30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27,948,106.87</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加：营业外收入</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7,247,180.00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11,209,842.49</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46"/>
              <w:jc w:val="right"/>
              <w:rPr>
                <w:rFonts w:ascii="宋体" w:hAnsi="宋体" w:cs="宋体" w:eastAsia="宋体" w:hint="default"/>
                <w:sz w:val="18"/>
                <w:szCs w:val="18"/>
              </w:rPr>
            </w:pPr>
            <w:r>
              <w:rPr>
                <w:rFonts w:ascii="宋体" w:hAnsi="宋体" w:cs="宋体" w:eastAsia="宋体" w:hint="default"/>
                <w:spacing w:val="-3"/>
                <w:sz w:val="18"/>
                <w:szCs w:val="18"/>
              </w:rPr>
              <w:t>其中：非流动资产处置利得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237,066.15</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15,439.90</w:t>
            </w:r>
          </w:p>
        </w:tc>
      </w:tr>
      <w:tr>
        <w:trPr>
          <w:trHeight w:val="398"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减：营业外支出</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14,276.75</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391,366.89</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46"/>
              <w:jc w:val="right"/>
              <w:rPr>
                <w:rFonts w:ascii="宋体" w:hAnsi="宋体" w:cs="宋体" w:eastAsia="宋体" w:hint="default"/>
                <w:sz w:val="18"/>
                <w:szCs w:val="18"/>
              </w:rPr>
            </w:pPr>
            <w:r>
              <w:rPr>
                <w:rFonts w:ascii="宋体" w:hAnsi="宋体" w:cs="宋体" w:eastAsia="宋体" w:hint="default"/>
                <w:spacing w:val="-3"/>
                <w:sz w:val="18"/>
                <w:szCs w:val="18"/>
              </w:rPr>
              <w:t>其中：非流动资产处置损失</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5,051.92</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253,734.97</w:t>
            </w: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4" w:right="46"/>
              <w:jc w:val="left"/>
              <w:rPr>
                <w:rFonts w:ascii="宋体" w:hAnsi="宋体" w:cs="宋体" w:eastAsia="宋体" w:hint="default"/>
                <w:sz w:val="18"/>
                <w:szCs w:val="18"/>
              </w:rPr>
            </w:pPr>
            <w:r>
              <w:rPr>
                <w:rFonts w:ascii="宋体" w:hAnsi="宋体" w:cs="宋体" w:eastAsia="宋体" w:hint="default"/>
                <w:spacing w:val="-3"/>
                <w:sz w:val="18"/>
                <w:szCs w:val="18"/>
              </w:rPr>
              <w:t>三、利润总额（亏损总额以“－”号</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宋体" w:hAnsi="宋体" w:cs="宋体" w:eastAsia="宋体" w:hint="default"/>
                <w:sz w:val="18"/>
                <w:szCs w:val="18"/>
              </w:rPr>
              <w:t>填列）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39,284,240.55</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38,766,582.47</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减：所得税费用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1,516,007.45</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3,822,313.77</w:t>
            </w:r>
          </w:p>
        </w:tc>
      </w:tr>
      <w:tr>
        <w:trPr>
          <w:trHeight w:val="398" w:hRule="exact"/>
        </w:trPr>
        <w:tc>
          <w:tcPr>
            <w:tcW w:w="2966"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6"/>
                <w:sz w:val="18"/>
                <w:szCs w:val="18"/>
              </w:rPr>
              <w:t>四、净利润（净亏损以“－”号填列</w:t>
            </w:r>
          </w:p>
        </w:tc>
        <w:tc>
          <w:tcPr>
            <w:tcW w:w="3302" w:type="dxa"/>
            <w:tcBorders>
              <w:top w:val="single" w:sz="4" w:space="0" w:color="000000"/>
              <w:left w:val="single" w:sz="13" w:space="0" w:color="FFFFFF"/>
              <w:bottom w:val="single" w:sz="4" w:space="0" w:color="000000"/>
              <w:right w:val="single" w:sz="4" w:space="0" w:color="000000"/>
            </w:tcBorders>
          </w:tcPr>
          <w:p>
            <w:pPr>
              <w:pStyle w:val="TableParagraph"/>
              <w:tabs>
                <w:tab w:pos="2215" w:val="left" w:leader="none"/>
              </w:tabs>
              <w:spacing w:line="240" w:lineRule="auto" w:before="53"/>
              <w:ind w:left="-132" w:right="22"/>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pacing w:val="-1"/>
                <w:sz w:val="18"/>
                <w:szCs w:val="18"/>
              </w:rPr>
              <w:t>37,768,233.10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34,944,268.70</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五、其他综合收益的税后净额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4" w:right="46" w:firstLine="360"/>
              <w:jc w:val="left"/>
              <w:rPr>
                <w:rFonts w:ascii="宋体" w:hAnsi="宋体" w:cs="宋体" w:eastAsia="宋体" w:hint="default"/>
                <w:sz w:val="18"/>
                <w:szCs w:val="18"/>
              </w:rPr>
            </w:pPr>
            <w:r>
              <w:rPr>
                <w:rFonts w:ascii="宋体" w:hAnsi="宋体" w:cs="宋体" w:eastAsia="宋体" w:hint="default"/>
                <w:spacing w:val="-3"/>
                <w:sz w:val="18"/>
                <w:szCs w:val="18"/>
              </w:rPr>
              <w:t>（一）以后不能重分类进损益的</w:t>
            </w:r>
            <w:r>
              <w:rPr>
                <w:rFonts w:ascii="宋体" w:hAnsi="宋体" w:cs="宋体" w:eastAsia="宋体" w:hint="default"/>
                <w:w w:val="101"/>
                <w:sz w:val="18"/>
                <w:szCs w:val="18"/>
              </w:rPr>
              <w:t> </w:t>
            </w:r>
            <w:r>
              <w:rPr>
                <w:rFonts w:ascii="宋体" w:hAnsi="宋体" w:cs="宋体" w:eastAsia="宋体" w:hint="default"/>
                <w:sz w:val="18"/>
                <w:szCs w:val="18"/>
              </w:rPr>
              <w:t>其他综合收益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24" w:right="89" w:firstLine="90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重新计量设定受益计划</w:t>
            </w:r>
            <w:r>
              <w:rPr>
                <w:rFonts w:ascii="宋体" w:hAnsi="宋体" w:cs="宋体" w:eastAsia="宋体" w:hint="default"/>
                <w:w w:val="101"/>
                <w:sz w:val="18"/>
                <w:szCs w:val="18"/>
              </w:rPr>
              <w:t> </w:t>
            </w:r>
            <w:r>
              <w:rPr>
                <w:rFonts w:ascii="宋体" w:hAnsi="宋体" w:cs="宋体" w:eastAsia="宋体" w:hint="default"/>
                <w:sz w:val="18"/>
                <w:szCs w:val="18"/>
              </w:rPr>
              <w:t>净负债或净资产的变动</w:t>
            </w:r>
          </w:p>
        </w:tc>
        <w:tc>
          <w:tcPr>
            <w:tcW w:w="3302" w:type="dxa"/>
            <w:tcBorders>
              <w:top w:val="single" w:sz="4" w:space="0" w:color="000000"/>
              <w:left w:val="single" w:sz="4" w:space="0" w:color="000000"/>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102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3"/>
              <w:ind w:left="24" w:right="46" w:firstLine="902"/>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权益法下在被投资单位</w:t>
            </w:r>
            <w:r>
              <w:rPr>
                <w:rFonts w:ascii="宋体" w:hAnsi="宋体" w:cs="宋体" w:eastAsia="宋体" w:hint="default"/>
                <w:w w:val="101"/>
                <w:sz w:val="18"/>
                <w:szCs w:val="18"/>
              </w:rPr>
              <w:t> </w:t>
            </w:r>
            <w:r>
              <w:rPr>
                <w:rFonts w:ascii="宋体" w:hAnsi="宋体" w:cs="宋体" w:eastAsia="宋体" w:hint="default"/>
                <w:spacing w:val="-3"/>
                <w:sz w:val="18"/>
                <w:szCs w:val="18"/>
              </w:rPr>
              <w:t>不能重分类进损益的其他综合收益中</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宋体" w:hAnsi="宋体" w:cs="宋体" w:eastAsia="宋体" w:hint="default"/>
                <w:sz w:val="18"/>
                <w:szCs w:val="18"/>
              </w:rPr>
              <w:t>享有的份额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4" w:right="46" w:firstLine="360"/>
              <w:jc w:val="left"/>
              <w:rPr>
                <w:rFonts w:ascii="宋体" w:hAnsi="宋体" w:cs="宋体" w:eastAsia="宋体" w:hint="default"/>
                <w:sz w:val="18"/>
                <w:szCs w:val="18"/>
              </w:rPr>
            </w:pPr>
            <w:r>
              <w:rPr>
                <w:rFonts w:ascii="宋体" w:hAnsi="宋体" w:cs="宋体" w:eastAsia="宋体" w:hint="default"/>
                <w:spacing w:val="-3"/>
                <w:sz w:val="18"/>
                <w:szCs w:val="18"/>
              </w:rPr>
              <w:t>（二）以后将重分类进损益的其</w:t>
            </w:r>
            <w:r>
              <w:rPr>
                <w:rFonts w:ascii="宋体" w:hAnsi="宋体" w:cs="宋体" w:eastAsia="宋体" w:hint="default"/>
                <w:w w:val="101"/>
                <w:sz w:val="18"/>
                <w:szCs w:val="18"/>
              </w:rPr>
              <w:t> </w:t>
            </w:r>
            <w:r>
              <w:rPr>
                <w:rFonts w:ascii="宋体" w:hAnsi="宋体" w:cs="宋体" w:eastAsia="宋体" w:hint="default"/>
                <w:sz w:val="18"/>
                <w:szCs w:val="18"/>
              </w:rPr>
              <w:t>他综合收益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53"/>
              <w:ind w:left="24" w:right="46" w:firstLine="902"/>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权益法下在被投资单位</w:t>
            </w:r>
            <w:r>
              <w:rPr>
                <w:rFonts w:ascii="宋体" w:hAnsi="宋体" w:cs="宋体" w:eastAsia="宋体" w:hint="default"/>
                <w:w w:val="101"/>
                <w:sz w:val="18"/>
                <w:szCs w:val="18"/>
              </w:rPr>
              <w:t> </w:t>
            </w:r>
            <w:r>
              <w:rPr>
                <w:rFonts w:ascii="宋体" w:hAnsi="宋体" w:cs="宋体" w:eastAsia="宋体" w:hint="default"/>
                <w:spacing w:val="-3"/>
                <w:sz w:val="18"/>
                <w:szCs w:val="18"/>
              </w:rPr>
              <w:t>以后将重分类进损益的其他综合收益</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宋体" w:hAnsi="宋体" w:cs="宋体" w:eastAsia="宋体" w:hint="default"/>
                <w:sz w:val="18"/>
                <w:szCs w:val="18"/>
              </w:rPr>
              <w:t>中享有的份额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24" w:right="89" w:firstLine="90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可供出售金融资产公允</w:t>
            </w:r>
            <w:r>
              <w:rPr>
                <w:rFonts w:ascii="宋体" w:hAnsi="宋体" w:cs="宋体" w:eastAsia="宋体" w:hint="default"/>
                <w:w w:val="101"/>
                <w:sz w:val="18"/>
                <w:szCs w:val="18"/>
              </w:rPr>
              <w:t> </w:t>
            </w:r>
            <w:r>
              <w:rPr>
                <w:rFonts w:ascii="宋体" w:hAnsi="宋体" w:cs="宋体" w:eastAsia="宋体" w:hint="default"/>
                <w:sz w:val="18"/>
                <w:szCs w:val="18"/>
              </w:rPr>
              <w:t>价值变动损益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2"/>
        <w:gridCol w:w="3298"/>
      </w:tblGrid>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1" w:right="79" w:firstLine="90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持有至到期投资重分类</w:t>
            </w:r>
            <w:r>
              <w:rPr>
                <w:rFonts w:ascii="宋体" w:hAnsi="宋体" w:cs="宋体" w:eastAsia="宋体" w:hint="default"/>
                <w:w w:val="101"/>
                <w:sz w:val="18"/>
                <w:szCs w:val="18"/>
              </w:rPr>
              <w:t> </w:t>
            </w:r>
            <w:r>
              <w:rPr>
                <w:rFonts w:ascii="宋体" w:hAnsi="宋体" w:cs="宋体" w:eastAsia="宋体" w:hint="default"/>
                <w:spacing w:val="-3"/>
                <w:sz w:val="18"/>
                <w:szCs w:val="18"/>
              </w:rPr>
              <w:t>为可供出售金融资产损益</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w:t>
            </w:r>
          </w:p>
          <w:p>
            <w:pPr>
              <w:pStyle w:val="TableParagraph"/>
              <w:spacing w:line="240" w:lineRule="auto" w:before="63"/>
              <w:ind w:left="11" w:right="0"/>
              <w:jc w:val="left"/>
              <w:rPr>
                <w:rFonts w:ascii="宋体" w:hAnsi="宋体" w:cs="宋体" w:eastAsia="宋体" w:hint="default"/>
                <w:sz w:val="18"/>
                <w:szCs w:val="18"/>
              </w:rPr>
            </w:pPr>
            <w:r>
              <w:rPr>
                <w:rFonts w:ascii="宋体" w:hAnsi="宋体" w:cs="宋体" w:eastAsia="宋体" w:hint="default"/>
                <w:sz w:val="18"/>
                <w:szCs w:val="18"/>
              </w:rPr>
              <w:t>效部分</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12" w:type="dxa"/>
            <w:tcBorders>
              <w:top w:val="single" w:sz="4" w:space="0" w:color="000000"/>
              <w:left w:val="single" w:sz="8"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37,768,233.10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34,944,268.70</w:t>
            </w:r>
          </w:p>
        </w:tc>
      </w:tr>
      <w:tr>
        <w:trPr>
          <w:trHeight w:val="398"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七、每股收益：</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（一）基本每股收益</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0.1267</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0.1172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（二）稀释每股收益</w:t>
            </w:r>
          </w:p>
        </w:tc>
        <w:tc>
          <w:tcPr>
            <w:tcW w:w="331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0.1267</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0.1172</w:t>
            </w:r>
          </w:p>
        </w:tc>
      </w:tr>
    </w:tbl>
    <w:p>
      <w:pPr>
        <w:spacing w:line="240" w:lineRule="auto" w:before="10"/>
        <w:rPr>
          <w:rFonts w:ascii="Times New Roman" w:hAnsi="Times New Roman" w:cs="Times New Roman" w:eastAsia="Times New Roman" w:hint="default"/>
          <w:sz w:val="21"/>
          <w:szCs w:val="21"/>
        </w:rPr>
      </w:pPr>
    </w:p>
    <w:p>
      <w:pPr>
        <w:pStyle w:val="Heading4"/>
        <w:spacing w:line="335" w:lineRule="exact"/>
        <w:ind w:right="0"/>
        <w:jc w:val="left"/>
        <w:rPr>
          <w:b w:val="0"/>
          <w:bCs w:val="0"/>
        </w:rPr>
      </w:pPr>
      <w:r>
        <w:rPr>
          <w:rFonts w:ascii="Times New Roman" w:hAnsi="Times New Roman" w:cs="Times New Roman" w:eastAsia="Times New Roman" w:hint="default"/>
        </w:rPr>
        <w:t>5</w:t>
      </w:r>
      <w:r>
        <w:rPr/>
        <w:t>、合并现金流量表</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pacing w:val="-2"/>
          <w:sz w:val="18"/>
          <w:szCs w:val="18"/>
        </w:rPr>
        <w:t>单位：元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954"/>
        <w:gridCol w:w="3314"/>
        <w:gridCol w:w="3298"/>
      </w:tblGrid>
      <w:tr>
        <w:trPr>
          <w:trHeight w:val="398"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一、经营活动产生的现金流量：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4"/>
              <w:jc w:val="right"/>
              <w:rPr>
                <w:rFonts w:ascii="宋体" w:hAnsi="宋体" w:cs="宋体" w:eastAsia="宋体" w:hint="default"/>
                <w:sz w:val="18"/>
                <w:szCs w:val="18"/>
              </w:rPr>
            </w:pPr>
            <w:r>
              <w:rPr>
                <w:rFonts w:ascii="宋体" w:hAnsi="宋体" w:cs="宋体" w:eastAsia="宋体" w:hint="default"/>
                <w:spacing w:val="-3"/>
                <w:sz w:val="18"/>
                <w:szCs w:val="18"/>
              </w:rPr>
              <w:t>销售商品、提供劳务收到的现金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798,562,732.69</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954,493,478.08</w:t>
            </w:r>
          </w:p>
        </w:tc>
      </w:tr>
      <w:tr>
        <w:trPr>
          <w:trHeight w:val="71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客户存款和同业存放款项净增加</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w w:val="101"/>
                <w:sz w:val="18"/>
                <w:szCs w:val="18"/>
              </w:rPr>
              <w:t>额</w:t>
            </w:r>
            <w:r>
              <w:rPr>
                <w:rFonts w:ascii="宋体" w:hAnsi="宋体" w:cs="宋体" w:eastAsia="宋体" w:hint="default"/>
                <w:sz w:val="18"/>
                <w:szCs w:val="18"/>
              </w:rPr>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向中央银行借款净增加额</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向其他金融机构拆入资金净增加</w:t>
            </w:r>
          </w:p>
          <w:p>
            <w:pPr>
              <w:pStyle w:val="TableParagraph"/>
              <w:spacing w:line="240" w:lineRule="auto" w:before="81"/>
              <w:ind w:left="24" w:right="0"/>
              <w:jc w:val="left"/>
              <w:rPr>
                <w:rFonts w:ascii="宋体" w:hAnsi="宋体" w:cs="宋体" w:eastAsia="宋体" w:hint="default"/>
                <w:sz w:val="18"/>
                <w:szCs w:val="18"/>
              </w:rPr>
            </w:pPr>
            <w:r>
              <w:rPr>
                <w:rFonts w:ascii="宋体" w:hAnsi="宋体" w:cs="宋体" w:eastAsia="宋体" w:hint="default"/>
                <w:w w:val="101"/>
                <w:sz w:val="18"/>
                <w:szCs w:val="18"/>
              </w:rPr>
              <w:t>额</w:t>
            </w:r>
            <w:r>
              <w:rPr>
                <w:rFonts w:ascii="宋体" w:hAnsi="宋体" w:cs="宋体" w:eastAsia="宋体" w:hint="default"/>
                <w:sz w:val="18"/>
                <w:szCs w:val="18"/>
              </w:rPr>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4"/>
              <w:jc w:val="right"/>
              <w:rPr>
                <w:rFonts w:ascii="宋体" w:hAnsi="宋体" w:cs="宋体" w:eastAsia="宋体" w:hint="default"/>
                <w:sz w:val="18"/>
                <w:szCs w:val="18"/>
              </w:rPr>
            </w:pPr>
            <w:r>
              <w:rPr>
                <w:rFonts w:ascii="宋体" w:hAnsi="宋体" w:cs="宋体" w:eastAsia="宋体" w:hint="default"/>
                <w:spacing w:val="-3"/>
                <w:sz w:val="18"/>
                <w:szCs w:val="18"/>
              </w:rPr>
              <w:t>收到原保险合同保费取得的现金</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收到再保险业务现金净额</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保户储金及投资款净增加额</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4" w:right="34" w:firstLine="360"/>
              <w:jc w:val="left"/>
              <w:rPr>
                <w:rFonts w:ascii="宋体" w:hAnsi="宋体" w:cs="宋体" w:eastAsia="宋体" w:hint="default"/>
                <w:sz w:val="18"/>
                <w:szCs w:val="18"/>
              </w:rPr>
            </w:pPr>
            <w:r>
              <w:rPr>
                <w:rFonts w:ascii="宋体" w:hAnsi="宋体" w:cs="宋体" w:eastAsia="宋体" w:hint="default"/>
                <w:spacing w:val="-3"/>
                <w:sz w:val="18"/>
                <w:szCs w:val="18"/>
              </w:rPr>
              <w:t>处置以公允价值计量且其变动计</w:t>
            </w:r>
            <w:r>
              <w:rPr>
                <w:rFonts w:ascii="宋体" w:hAnsi="宋体" w:cs="宋体" w:eastAsia="宋体" w:hint="default"/>
                <w:w w:val="101"/>
                <w:sz w:val="18"/>
                <w:szCs w:val="18"/>
              </w:rPr>
              <w:t> </w:t>
            </w:r>
            <w:r>
              <w:rPr>
                <w:rFonts w:ascii="宋体" w:hAnsi="宋体" w:cs="宋体" w:eastAsia="宋体" w:hint="default"/>
                <w:spacing w:val="-3"/>
                <w:sz w:val="18"/>
                <w:szCs w:val="18"/>
              </w:rPr>
              <w:t>入当期损益的金融资产净增加额</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4"/>
              <w:jc w:val="right"/>
              <w:rPr>
                <w:rFonts w:ascii="宋体" w:hAnsi="宋体" w:cs="宋体" w:eastAsia="宋体" w:hint="default"/>
                <w:sz w:val="18"/>
                <w:szCs w:val="18"/>
              </w:rPr>
            </w:pPr>
            <w:r>
              <w:rPr>
                <w:rFonts w:ascii="宋体" w:hAnsi="宋体" w:cs="宋体" w:eastAsia="宋体" w:hint="default"/>
                <w:spacing w:val="-3"/>
                <w:sz w:val="18"/>
                <w:szCs w:val="18"/>
              </w:rPr>
              <w:t>收取利息、手续费及佣金的现金</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收到的税费返还</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3,622,274.00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6,188,226.16</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4"/>
              <w:jc w:val="right"/>
              <w:rPr>
                <w:rFonts w:ascii="宋体" w:hAnsi="宋体" w:cs="宋体" w:eastAsia="宋体" w:hint="default"/>
                <w:sz w:val="18"/>
                <w:szCs w:val="18"/>
              </w:rPr>
            </w:pPr>
            <w:r>
              <w:rPr>
                <w:rFonts w:ascii="宋体" w:hAnsi="宋体" w:cs="宋体" w:eastAsia="宋体" w:hint="default"/>
                <w:spacing w:val="-3"/>
                <w:sz w:val="18"/>
                <w:szCs w:val="18"/>
              </w:rPr>
              <w:t>收到其他与经营活动有关的现金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32,117,422.84</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2,499,473.24</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834,302,429.53</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963,181,177.48</w:t>
            </w:r>
          </w:p>
        </w:tc>
      </w:tr>
      <w:tr>
        <w:trPr>
          <w:trHeight w:val="398"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4"/>
              <w:jc w:val="right"/>
              <w:rPr>
                <w:rFonts w:ascii="宋体" w:hAnsi="宋体" w:cs="宋体" w:eastAsia="宋体" w:hint="default"/>
                <w:sz w:val="18"/>
                <w:szCs w:val="18"/>
              </w:rPr>
            </w:pPr>
            <w:r>
              <w:rPr>
                <w:rFonts w:ascii="宋体" w:hAnsi="宋体" w:cs="宋体" w:eastAsia="宋体" w:hint="default"/>
                <w:spacing w:val="-3"/>
                <w:sz w:val="18"/>
                <w:szCs w:val="18"/>
              </w:rPr>
              <w:t>购买商品、接受劳务支付的现金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443,428,034.17</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644,958,816.50</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客户贷款及垫款净增加额</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3"/>
              <w:ind w:right="34"/>
              <w:jc w:val="right"/>
              <w:rPr>
                <w:rFonts w:ascii="宋体" w:hAnsi="宋体" w:cs="宋体" w:eastAsia="宋体" w:hint="default"/>
                <w:sz w:val="18"/>
                <w:szCs w:val="18"/>
              </w:rPr>
            </w:pPr>
            <w:r>
              <w:rPr>
                <w:rFonts w:ascii="宋体" w:hAnsi="宋体" w:cs="宋体" w:eastAsia="宋体" w:hint="default"/>
                <w:spacing w:val="-3"/>
                <w:sz w:val="18"/>
                <w:szCs w:val="18"/>
              </w:rPr>
              <w:t>存放中央银行和同业款项净增加</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954"/>
        <w:gridCol w:w="3314"/>
        <w:gridCol w:w="3298"/>
      </w:tblGrid>
      <w:tr>
        <w:trPr>
          <w:trHeight w:val="360"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w w:val="101"/>
                <w:sz w:val="18"/>
                <w:szCs w:val="18"/>
              </w:rPr>
              <w:t>额</w:t>
            </w:r>
            <w:r>
              <w:rPr>
                <w:rFonts w:ascii="宋体" w:hAnsi="宋体" w:cs="宋体" w:eastAsia="宋体" w:hint="default"/>
                <w:sz w:val="18"/>
                <w:szCs w:val="18"/>
              </w:rPr>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4"/>
              <w:jc w:val="right"/>
              <w:rPr>
                <w:rFonts w:ascii="宋体" w:hAnsi="宋体" w:cs="宋体" w:eastAsia="宋体" w:hint="default"/>
                <w:sz w:val="18"/>
                <w:szCs w:val="18"/>
              </w:rPr>
            </w:pPr>
            <w:r>
              <w:rPr>
                <w:rFonts w:ascii="宋体" w:hAnsi="宋体" w:cs="宋体" w:eastAsia="宋体" w:hint="default"/>
                <w:spacing w:val="-3"/>
                <w:sz w:val="18"/>
                <w:szCs w:val="18"/>
              </w:rPr>
              <w:t>支付原保险合同赔付款项的现金</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4"/>
              <w:jc w:val="right"/>
              <w:rPr>
                <w:rFonts w:ascii="宋体" w:hAnsi="宋体" w:cs="宋体" w:eastAsia="宋体" w:hint="default"/>
                <w:sz w:val="18"/>
                <w:szCs w:val="18"/>
              </w:rPr>
            </w:pPr>
            <w:r>
              <w:rPr>
                <w:rFonts w:ascii="宋体" w:hAnsi="宋体" w:cs="宋体" w:eastAsia="宋体" w:hint="default"/>
                <w:spacing w:val="-3"/>
                <w:sz w:val="18"/>
                <w:szCs w:val="18"/>
              </w:rPr>
              <w:t>支付利息、手续费及佣金的现金</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支付保单红利的现金</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支付给职工以及为职工支付的现</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149,788,296.67</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137,145,211.75</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支付的各项税费</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51,829,971.06</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67,524,924.79</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4"/>
              <w:jc w:val="right"/>
              <w:rPr>
                <w:rFonts w:ascii="宋体" w:hAnsi="宋体" w:cs="宋体" w:eastAsia="宋体" w:hint="default"/>
                <w:sz w:val="18"/>
                <w:szCs w:val="18"/>
              </w:rPr>
            </w:pPr>
            <w:r>
              <w:rPr>
                <w:rFonts w:ascii="宋体" w:hAnsi="宋体" w:cs="宋体" w:eastAsia="宋体" w:hint="default"/>
                <w:spacing w:val="-3"/>
                <w:sz w:val="18"/>
                <w:szCs w:val="18"/>
              </w:rPr>
              <w:t>支付其他与经营活动有关的现金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88,604,068.19</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92,714,405.09</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733,650,370.09</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942,343,358.13</w:t>
            </w:r>
          </w:p>
        </w:tc>
      </w:tr>
      <w:tr>
        <w:trPr>
          <w:trHeight w:val="398"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经营活动产生的现金流量净额</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100,652,059.44</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20,837,819.35</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二、投资活动产生的现金流量：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收回投资收到的现金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80,765,000.00</w:t>
            </w: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取得投资收益收到的现金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4,500,000.00</w:t>
            </w: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34" w:firstLine="360"/>
              <w:jc w:val="left"/>
              <w:rPr>
                <w:rFonts w:ascii="宋体" w:hAnsi="宋体" w:cs="宋体" w:eastAsia="宋体" w:hint="default"/>
                <w:sz w:val="18"/>
                <w:szCs w:val="18"/>
              </w:rPr>
            </w:pPr>
            <w:r>
              <w:rPr>
                <w:rFonts w:ascii="宋体" w:hAnsi="宋体" w:cs="宋体" w:eastAsia="宋体" w:hint="default"/>
                <w:spacing w:val="-3"/>
                <w:sz w:val="18"/>
                <w:szCs w:val="18"/>
              </w:rPr>
              <w:t>处置固定资产、无形资产和其他</w:t>
            </w:r>
            <w:r>
              <w:rPr>
                <w:rFonts w:ascii="宋体" w:hAnsi="宋体" w:cs="宋体" w:eastAsia="宋体" w:hint="default"/>
                <w:w w:val="101"/>
                <w:sz w:val="18"/>
                <w:szCs w:val="18"/>
              </w:rPr>
              <w:t> </w:t>
            </w:r>
            <w:r>
              <w:rPr>
                <w:rFonts w:ascii="宋体" w:hAnsi="宋体" w:cs="宋体" w:eastAsia="宋体" w:hint="default"/>
                <w:spacing w:val="-3"/>
                <w:sz w:val="18"/>
                <w:szCs w:val="18"/>
              </w:rPr>
              <w:t>长期资产收回的现金净额</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1,671,278.30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1,331,979.03</w:t>
            </w:r>
          </w:p>
        </w:tc>
      </w:tr>
      <w:tr>
        <w:trPr>
          <w:trHeight w:val="71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4" w:right="34" w:firstLine="360"/>
              <w:jc w:val="left"/>
              <w:rPr>
                <w:rFonts w:ascii="宋体" w:hAnsi="宋体" w:cs="宋体" w:eastAsia="宋体" w:hint="default"/>
                <w:sz w:val="18"/>
                <w:szCs w:val="18"/>
              </w:rPr>
            </w:pPr>
            <w:r>
              <w:rPr>
                <w:rFonts w:ascii="宋体" w:hAnsi="宋体" w:cs="宋体" w:eastAsia="宋体" w:hint="default"/>
                <w:spacing w:val="-3"/>
                <w:sz w:val="18"/>
                <w:szCs w:val="18"/>
              </w:rPr>
              <w:t>处置子公司及其他营业单位收到</w:t>
            </w:r>
            <w:r>
              <w:rPr>
                <w:rFonts w:ascii="宋体" w:hAnsi="宋体" w:cs="宋体" w:eastAsia="宋体" w:hint="default"/>
                <w:w w:val="101"/>
                <w:sz w:val="18"/>
                <w:szCs w:val="18"/>
              </w:rPr>
              <w:t> </w:t>
            </w:r>
            <w:r>
              <w:rPr>
                <w:rFonts w:ascii="宋体" w:hAnsi="宋体" w:cs="宋体" w:eastAsia="宋体" w:hint="default"/>
                <w:sz w:val="18"/>
                <w:szCs w:val="18"/>
              </w:rPr>
              <w:t>的现金净额</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3,933,316.28</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4"/>
              <w:jc w:val="right"/>
              <w:rPr>
                <w:rFonts w:ascii="宋体" w:hAnsi="宋体" w:cs="宋体" w:eastAsia="宋体" w:hint="default"/>
                <w:sz w:val="18"/>
                <w:szCs w:val="18"/>
              </w:rPr>
            </w:pPr>
            <w:r>
              <w:rPr>
                <w:rFonts w:ascii="宋体" w:hAnsi="宋体" w:cs="宋体" w:eastAsia="宋体" w:hint="default"/>
                <w:spacing w:val="-3"/>
                <w:sz w:val="18"/>
                <w:szCs w:val="18"/>
              </w:rPr>
              <w:t>收到其他与投资活动有关的现金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54,240,123.46</w:t>
            </w: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141,176,401.76</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5,265,295.31</w:t>
            </w:r>
          </w:p>
        </w:tc>
      </w:tr>
      <w:tr>
        <w:trPr>
          <w:trHeight w:val="710"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34" w:firstLine="360"/>
              <w:jc w:val="left"/>
              <w:rPr>
                <w:rFonts w:ascii="宋体" w:hAnsi="宋体" w:cs="宋体" w:eastAsia="宋体" w:hint="default"/>
                <w:sz w:val="18"/>
                <w:szCs w:val="18"/>
              </w:rPr>
            </w:pPr>
            <w:r>
              <w:rPr>
                <w:rFonts w:ascii="宋体" w:hAnsi="宋体" w:cs="宋体" w:eastAsia="宋体" w:hint="default"/>
                <w:spacing w:val="-3"/>
                <w:sz w:val="18"/>
                <w:szCs w:val="18"/>
              </w:rPr>
              <w:t>购建固定资产、无形资产和其他</w:t>
            </w:r>
            <w:r>
              <w:rPr>
                <w:rFonts w:ascii="宋体" w:hAnsi="宋体" w:cs="宋体" w:eastAsia="宋体" w:hint="default"/>
                <w:w w:val="101"/>
                <w:sz w:val="18"/>
                <w:szCs w:val="18"/>
              </w:rPr>
              <w:t> </w:t>
            </w:r>
            <w:r>
              <w:rPr>
                <w:rFonts w:ascii="宋体" w:hAnsi="宋体" w:cs="宋体" w:eastAsia="宋体" w:hint="default"/>
                <w:spacing w:val="-3"/>
                <w:sz w:val="18"/>
                <w:szCs w:val="18"/>
              </w:rPr>
              <w:t>长期资产支付的现金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36,061,903.71</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69,342,260.06</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投资支付的现金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103,000,000.00</w:t>
            </w: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34" w:firstLine="360"/>
              <w:jc w:val="left"/>
              <w:rPr>
                <w:rFonts w:ascii="宋体" w:hAnsi="宋体" w:cs="宋体" w:eastAsia="宋体" w:hint="default"/>
                <w:sz w:val="18"/>
                <w:szCs w:val="18"/>
              </w:rPr>
            </w:pPr>
            <w:r>
              <w:rPr>
                <w:rFonts w:ascii="宋体" w:hAnsi="宋体" w:cs="宋体" w:eastAsia="宋体" w:hint="default"/>
                <w:spacing w:val="-3"/>
                <w:sz w:val="18"/>
                <w:szCs w:val="18"/>
              </w:rPr>
              <w:t>取得子公司及其他营业单位支付</w:t>
            </w:r>
            <w:r>
              <w:rPr>
                <w:rFonts w:ascii="宋体" w:hAnsi="宋体" w:cs="宋体" w:eastAsia="宋体" w:hint="default"/>
                <w:w w:val="101"/>
                <w:sz w:val="18"/>
                <w:szCs w:val="18"/>
              </w:rPr>
              <w:t> </w:t>
            </w:r>
            <w:r>
              <w:rPr>
                <w:rFonts w:ascii="宋体" w:hAnsi="宋体" w:cs="宋体" w:eastAsia="宋体" w:hint="default"/>
                <w:sz w:val="18"/>
                <w:szCs w:val="18"/>
              </w:rPr>
              <w:t>的现金净额</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4"/>
              <w:jc w:val="right"/>
              <w:rPr>
                <w:rFonts w:ascii="宋体" w:hAnsi="宋体" w:cs="宋体" w:eastAsia="宋体" w:hint="default"/>
                <w:sz w:val="18"/>
                <w:szCs w:val="18"/>
              </w:rPr>
            </w:pPr>
            <w:r>
              <w:rPr>
                <w:rFonts w:ascii="宋体" w:hAnsi="宋体" w:cs="宋体" w:eastAsia="宋体" w:hint="default"/>
                <w:spacing w:val="-3"/>
                <w:sz w:val="18"/>
                <w:szCs w:val="18"/>
              </w:rPr>
              <w:t>支付其他与投资活动有关的现金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51,236,894.63</w:t>
            </w: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190,298,798.34</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69,342,260.06</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投资活动产生的现金流量净额</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-49,122,396.58</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-64,076,964.75</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三、筹资活动产生的现金流量：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98"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吸收投资收到的现金</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4" w:right="34" w:firstLine="360"/>
              <w:jc w:val="left"/>
              <w:rPr>
                <w:rFonts w:ascii="宋体" w:hAnsi="宋体" w:cs="宋体" w:eastAsia="宋体" w:hint="default"/>
                <w:sz w:val="18"/>
                <w:szCs w:val="18"/>
              </w:rPr>
            </w:pPr>
            <w:r>
              <w:rPr>
                <w:rFonts w:ascii="宋体" w:hAnsi="宋体" w:cs="宋体" w:eastAsia="宋体" w:hint="default"/>
                <w:spacing w:val="-3"/>
                <w:sz w:val="18"/>
                <w:szCs w:val="18"/>
              </w:rPr>
              <w:t>其中：子公司吸收少数股东投资</w:t>
            </w:r>
            <w:r>
              <w:rPr>
                <w:rFonts w:ascii="宋体" w:hAnsi="宋体" w:cs="宋体" w:eastAsia="宋体" w:hint="default"/>
                <w:w w:val="101"/>
                <w:sz w:val="18"/>
                <w:szCs w:val="18"/>
              </w:rPr>
              <w:t> </w:t>
            </w:r>
            <w:r>
              <w:rPr>
                <w:rFonts w:ascii="宋体" w:hAnsi="宋体" w:cs="宋体" w:eastAsia="宋体" w:hint="default"/>
                <w:sz w:val="18"/>
                <w:szCs w:val="18"/>
              </w:rPr>
              <w:t>收到的现金</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取得借款收到的现金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508,000,000.00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167,500,000.00</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发行债券收到的现金</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4"/>
              <w:jc w:val="right"/>
              <w:rPr>
                <w:rFonts w:ascii="宋体" w:hAnsi="宋体" w:cs="宋体" w:eastAsia="宋体" w:hint="default"/>
                <w:sz w:val="18"/>
                <w:szCs w:val="18"/>
              </w:rPr>
            </w:pPr>
            <w:r>
              <w:rPr>
                <w:rFonts w:ascii="宋体" w:hAnsi="宋体" w:cs="宋体" w:eastAsia="宋体" w:hint="default"/>
                <w:spacing w:val="-3"/>
                <w:sz w:val="18"/>
                <w:szCs w:val="18"/>
              </w:rPr>
              <w:t>收到其他与筹资活动有关的现金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201,500,000.00</w:t>
            </w: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709,500,000.00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167,500,000.00</w:t>
            </w:r>
          </w:p>
        </w:tc>
      </w:tr>
    </w:tbl>
    <w:p>
      <w:pPr>
        <w:spacing w:after="0" w:line="240" w:lineRule="auto"/>
        <w:jc w:val="right"/>
        <w:rPr>
          <w:rFonts w:ascii="Times New Roman" w:hAnsi="Times New Roman" w:cs="Times New Roman" w:eastAsia="Times New Roman" w:hint="default"/>
          <w:sz w:val="18"/>
          <w:szCs w:val="18"/>
        </w:rPr>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954"/>
        <w:gridCol w:w="3314"/>
        <w:gridCol w:w="3298"/>
      </w:tblGrid>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偿还债务支付的现金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345,500,000.00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82,500,000.00</w:t>
            </w:r>
          </w:p>
        </w:tc>
      </w:tr>
      <w:tr>
        <w:trPr>
          <w:trHeight w:val="710"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34" w:firstLine="360"/>
              <w:jc w:val="left"/>
              <w:rPr>
                <w:rFonts w:ascii="宋体" w:hAnsi="宋体" w:cs="宋体" w:eastAsia="宋体" w:hint="default"/>
                <w:sz w:val="18"/>
                <w:szCs w:val="18"/>
              </w:rPr>
            </w:pPr>
            <w:r>
              <w:rPr>
                <w:rFonts w:ascii="宋体" w:hAnsi="宋体" w:cs="宋体" w:eastAsia="宋体" w:hint="default"/>
                <w:spacing w:val="-3"/>
                <w:sz w:val="18"/>
                <w:szCs w:val="18"/>
              </w:rPr>
              <w:t>分配股利、利润或偿付利息支付</w:t>
            </w:r>
            <w:r>
              <w:rPr>
                <w:rFonts w:ascii="宋体" w:hAnsi="宋体" w:cs="宋体" w:eastAsia="宋体" w:hint="default"/>
                <w:w w:val="101"/>
                <w:sz w:val="18"/>
                <w:szCs w:val="18"/>
              </w:rPr>
              <w:t> </w:t>
            </w:r>
            <w:r>
              <w:rPr>
                <w:rFonts w:ascii="宋体" w:hAnsi="宋体" w:cs="宋体" w:eastAsia="宋体" w:hint="default"/>
                <w:sz w:val="18"/>
                <w:szCs w:val="18"/>
              </w:rPr>
              <w:t>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22,711,841.86</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26,571,174.69</w:t>
            </w:r>
          </w:p>
        </w:tc>
      </w:tr>
      <w:tr>
        <w:trPr>
          <w:trHeight w:val="71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4" w:right="34" w:firstLine="360"/>
              <w:jc w:val="left"/>
              <w:rPr>
                <w:rFonts w:ascii="宋体" w:hAnsi="宋体" w:cs="宋体" w:eastAsia="宋体" w:hint="default"/>
                <w:sz w:val="18"/>
                <w:szCs w:val="18"/>
              </w:rPr>
            </w:pPr>
            <w:r>
              <w:rPr>
                <w:rFonts w:ascii="宋体" w:hAnsi="宋体" w:cs="宋体" w:eastAsia="宋体" w:hint="default"/>
                <w:spacing w:val="-3"/>
                <w:sz w:val="18"/>
                <w:szCs w:val="18"/>
              </w:rPr>
              <w:t>其中：子公司支付给少数股东的</w:t>
            </w:r>
            <w:r>
              <w:rPr>
                <w:rFonts w:ascii="宋体" w:hAnsi="宋体" w:cs="宋体" w:eastAsia="宋体" w:hint="default"/>
                <w:w w:val="101"/>
                <w:sz w:val="18"/>
                <w:szCs w:val="18"/>
              </w:rPr>
              <w:t> </w:t>
            </w:r>
            <w:r>
              <w:rPr>
                <w:rFonts w:ascii="宋体" w:hAnsi="宋体" w:cs="宋体" w:eastAsia="宋体" w:hint="default"/>
                <w:sz w:val="18"/>
                <w:szCs w:val="18"/>
              </w:rPr>
              <w:t>股利、利润</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7,248,970.29</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7,621,818.10</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4"/>
              <w:jc w:val="right"/>
              <w:rPr>
                <w:rFonts w:ascii="宋体" w:hAnsi="宋体" w:cs="宋体" w:eastAsia="宋体" w:hint="default"/>
                <w:sz w:val="18"/>
                <w:szCs w:val="18"/>
              </w:rPr>
            </w:pPr>
            <w:r>
              <w:rPr>
                <w:rFonts w:ascii="宋体" w:hAnsi="宋体" w:cs="宋体" w:eastAsia="宋体" w:hint="default"/>
                <w:spacing w:val="-3"/>
                <w:sz w:val="18"/>
                <w:szCs w:val="18"/>
              </w:rPr>
              <w:t>支付其他与筹资活动有关的现金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98,600,000.00</w:t>
            </w: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466,811,841.86</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109,071,174.69</w:t>
            </w:r>
          </w:p>
        </w:tc>
      </w:tr>
      <w:tr>
        <w:trPr>
          <w:trHeight w:val="398"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筹资活动产生的现金流量净额</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242,688,158.14</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58,428,825.31</w:t>
            </w:r>
          </w:p>
        </w:tc>
      </w:tr>
      <w:tr>
        <w:trPr>
          <w:trHeight w:val="71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4" w:right="34"/>
              <w:jc w:val="left"/>
              <w:rPr>
                <w:rFonts w:ascii="宋体" w:hAnsi="宋体" w:cs="宋体" w:eastAsia="宋体" w:hint="default"/>
                <w:sz w:val="18"/>
                <w:szCs w:val="18"/>
              </w:rPr>
            </w:pPr>
            <w:r>
              <w:rPr>
                <w:rFonts w:ascii="宋体" w:hAnsi="宋体" w:cs="宋体" w:eastAsia="宋体" w:hint="default"/>
                <w:spacing w:val="-3"/>
                <w:sz w:val="18"/>
                <w:szCs w:val="18"/>
              </w:rPr>
              <w:t>四、汇率变动对现金及现金等价物的</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宋体" w:hAnsi="宋体" w:cs="宋体" w:eastAsia="宋体" w:hint="default"/>
                <w:sz w:val="18"/>
                <w:szCs w:val="18"/>
              </w:rPr>
              <w:t>影响</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44,043.14</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2,093.03</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五、现金及现金等价物净增加额</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294,261,864.14</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15,191,772.94</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4"/>
              <w:jc w:val="right"/>
              <w:rPr>
                <w:rFonts w:ascii="宋体" w:hAnsi="宋体" w:cs="宋体" w:eastAsia="宋体" w:hint="default"/>
                <w:sz w:val="18"/>
                <w:szCs w:val="18"/>
              </w:rPr>
            </w:pPr>
            <w:r>
              <w:rPr>
                <w:rFonts w:ascii="宋体" w:hAnsi="宋体" w:cs="宋体" w:eastAsia="宋体" w:hint="default"/>
                <w:spacing w:val="-3"/>
                <w:sz w:val="18"/>
                <w:szCs w:val="18"/>
              </w:rPr>
              <w:t>加：期初现金及现金等价物余额</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127,654,594.35</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112,462,821.41</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六、期末现金及现金等价物余额</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421,916,458.49</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127,654,594.35</w:t>
            </w:r>
          </w:p>
        </w:tc>
      </w:tr>
    </w:tbl>
    <w:p>
      <w:pPr>
        <w:spacing w:line="240" w:lineRule="auto" w:before="10"/>
        <w:rPr>
          <w:rFonts w:ascii="Times New Roman" w:hAnsi="Times New Roman" w:cs="Times New Roman" w:eastAsia="Times New Roman" w:hint="default"/>
          <w:sz w:val="21"/>
          <w:szCs w:val="21"/>
        </w:rPr>
      </w:pPr>
    </w:p>
    <w:p>
      <w:pPr>
        <w:pStyle w:val="Heading4"/>
        <w:spacing w:line="335" w:lineRule="exact"/>
        <w:ind w:right="0"/>
        <w:jc w:val="left"/>
        <w:rPr>
          <w:b w:val="0"/>
          <w:bCs w:val="0"/>
        </w:rPr>
      </w:pPr>
      <w:r>
        <w:rPr>
          <w:rFonts w:ascii="Times New Roman" w:hAnsi="Times New Roman" w:cs="Times New Roman" w:eastAsia="Times New Roman" w:hint="default"/>
        </w:rPr>
        <w:t>6</w:t>
      </w:r>
      <w:r>
        <w:rPr/>
        <w:t>、母公司现金流量表</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pacing w:val="-2"/>
          <w:sz w:val="18"/>
          <w:szCs w:val="18"/>
        </w:rPr>
        <w:t>单位：元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954"/>
        <w:gridCol w:w="3314"/>
        <w:gridCol w:w="3298"/>
      </w:tblGrid>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一、经营活动产生的现金流量：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98"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4"/>
              <w:jc w:val="right"/>
              <w:rPr>
                <w:rFonts w:ascii="宋体" w:hAnsi="宋体" w:cs="宋体" w:eastAsia="宋体" w:hint="default"/>
                <w:sz w:val="18"/>
                <w:szCs w:val="18"/>
              </w:rPr>
            </w:pPr>
            <w:r>
              <w:rPr>
                <w:rFonts w:ascii="宋体" w:hAnsi="宋体" w:cs="宋体" w:eastAsia="宋体" w:hint="default"/>
                <w:spacing w:val="-3"/>
                <w:sz w:val="18"/>
                <w:szCs w:val="18"/>
              </w:rPr>
              <w:t>销售商品、提供劳务收到的现金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241,291,360.75</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198,667,701.41</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收到的税费返还</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3,669,434.00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5,312,031.32</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4"/>
              <w:jc w:val="right"/>
              <w:rPr>
                <w:rFonts w:ascii="宋体" w:hAnsi="宋体" w:cs="宋体" w:eastAsia="宋体" w:hint="default"/>
                <w:sz w:val="18"/>
                <w:szCs w:val="18"/>
              </w:rPr>
            </w:pPr>
            <w:r>
              <w:rPr>
                <w:rFonts w:ascii="宋体" w:hAnsi="宋体" w:cs="宋体" w:eastAsia="宋体" w:hint="default"/>
                <w:spacing w:val="-3"/>
                <w:sz w:val="18"/>
                <w:szCs w:val="18"/>
              </w:rPr>
              <w:t>收到其他与经营活动有关的现金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228,311,895.03</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10,105,009.99</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473,272,689.78</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214,084,742.72</w:t>
            </w:r>
          </w:p>
        </w:tc>
      </w:tr>
      <w:tr>
        <w:trPr>
          <w:trHeight w:val="398"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4"/>
              <w:jc w:val="right"/>
              <w:rPr>
                <w:rFonts w:ascii="宋体" w:hAnsi="宋体" w:cs="宋体" w:eastAsia="宋体" w:hint="default"/>
                <w:sz w:val="18"/>
                <w:szCs w:val="18"/>
              </w:rPr>
            </w:pPr>
            <w:r>
              <w:rPr>
                <w:rFonts w:ascii="宋体" w:hAnsi="宋体" w:cs="宋体" w:eastAsia="宋体" w:hint="default"/>
                <w:spacing w:val="-3"/>
                <w:sz w:val="18"/>
                <w:szCs w:val="18"/>
              </w:rPr>
              <w:t>购买商品、接受劳务支付的现金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114,285,318.92</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134,394,906.74</w:t>
            </w:r>
          </w:p>
        </w:tc>
      </w:tr>
      <w:tr>
        <w:trPr>
          <w:trHeight w:val="71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支付给职工以及为职工支付的现</w:t>
            </w:r>
          </w:p>
          <w:p>
            <w:pPr>
              <w:pStyle w:val="TableParagraph"/>
              <w:spacing w:line="240" w:lineRule="auto" w:before="81"/>
              <w:ind w:left="24" w:right="0"/>
              <w:jc w:val="left"/>
              <w:rPr>
                <w:rFonts w:ascii="宋体" w:hAnsi="宋体" w:cs="宋体" w:eastAsia="宋体" w:hint="default"/>
                <w:sz w:val="18"/>
                <w:szCs w:val="18"/>
              </w:rPr>
            </w:pPr>
            <w:r>
              <w:rPr>
                <w:rFonts w:ascii="宋体" w:hAnsi="宋体" w:cs="宋体" w:eastAsia="宋体" w:hint="default"/>
                <w:w w:val="101"/>
                <w:sz w:val="18"/>
                <w:szCs w:val="18"/>
              </w:rPr>
              <w:t>金</w:t>
            </w:r>
            <w:r>
              <w:rPr>
                <w:rFonts w:ascii="宋体" w:hAnsi="宋体" w:cs="宋体" w:eastAsia="宋体" w:hint="default"/>
                <w:sz w:val="18"/>
                <w:szCs w:val="18"/>
              </w:rPr>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41,672,210.15</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37,389,743.91</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支付的各项税费</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13,532,522.59</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23,131,912.84</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4"/>
              <w:jc w:val="right"/>
              <w:rPr>
                <w:rFonts w:ascii="宋体" w:hAnsi="宋体" w:cs="宋体" w:eastAsia="宋体" w:hint="default"/>
                <w:sz w:val="18"/>
                <w:szCs w:val="18"/>
              </w:rPr>
            </w:pPr>
            <w:r>
              <w:rPr>
                <w:rFonts w:ascii="宋体" w:hAnsi="宋体" w:cs="宋体" w:eastAsia="宋体" w:hint="default"/>
                <w:spacing w:val="-3"/>
                <w:sz w:val="18"/>
                <w:szCs w:val="18"/>
              </w:rPr>
              <w:t>支付其他与经营活动有关的现金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127,947,073.56</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46,064,411.81</w:t>
            </w:r>
          </w:p>
        </w:tc>
      </w:tr>
      <w:tr>
        <w:trPr>
          <w:trHeight w:val="398"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297,437,125.22</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240,980,975.30</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经营活动产生的现金流量净额</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175,835,564.56</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-26,896,232.58</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二、投资活动产生的现金流量：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收回投资收到的现金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80,800,941.92</w:t>
            </w: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取得投资收益收到的现金</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11,281,564.08</w:t>
            </w:r>
          </w:p>
        </w:tc>
      </w:tr>
      <w:tr>
        <w:trPr>
          <w:trHeight w:val="71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4" w:right="34" w:firstLine="360"/>
              <w:jc w:val="left"/>
              <w:rPr>
                <w:rFonts w:ascii="宋体" w:hAnsi="宋体" w:cs="宋体" w:eastAsia="宋体" w:hint="default"/>
                <w:sz w:val="18"/>
                <w:szCs w:val="18"/>
              </w:rPr>
            </w:pPr>
            <w:r>
              <w:rPr>
                <w:rFonts w:ascii="宋体" w:hAnsi="宋体" w:cs="宋体" w:eastAsia="宋体" w:hint="default"/>
                <w:spacing w:val="-3"/>
                <w:sz w:val="18"/>
                <w:szCs w:val="18"/>
              </w:rPr>
              <w:t>处置固定资产、无形资产和其他</w:t>
            </w:r>
            <w:r>
              <w:rPr>
                <w:rFonts w:ascii="宋体" w:hAnsi="宋体" w:cs="宋体" w:eastAsia="宋体" w:hint="default"/>
                <w:w w:val="101"/>
                <w:sz w:val="18"/>
                <w:szCs w:val="18"/>
              </w:rPr>
              <w:t> </w:t>
            </w:r>
            <w:r>
              <w:rPr>
                <w:rFonts w:ascii="宋体" w:hAnsi="宋体" w:cs="宋体" w:eastAsia="宋体" w:hint="default"/>
                <w:spacing w:val="-3"/>
                <w:sz w:val="18"/>
                <w:szCs w:val="18"/>
              </w:rPr>
              <w:t>长期资产收回的现金净额</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1,206,000.00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570,693.18</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3"/>
              <w:ind w:right="34"/>
              <w:jc w:val="right"/>
              <w:rPr>
                <w:rFonts w:ascii="宋体" w:hAnsi="宋体" w:cs="宋体" w:eastAsia="宋体" w:hint="default"/>
                <w:sz w:val="18"/>
                <w:szCs w:val="18"/>
              </w:rPr>
            </w:pPr>
            <w:r>
              <w:rPr>
                <w:rFonts w:ascii="宋体" w:hAnsi="宋体" w:cs="宋体" w:eastAsia="宋体" w:hint="default"/>
                <w:spacing w:val="-3"/>
                <w:sz w:val="18"/>
                <w:szCs w:val="18"/>
              </w:rPr>
              <w:t>处置子公司及其他营业单位收到</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2954"/>
        <w:gridCol w:w="3314"/>
        <w:gridCol w:w="3298"/>
      </w:tblGrid>
      <w:tr>
        <w:trPr>
          <w:trHeight w:val="360"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的现金净额</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4"/>
              <w:jc w:val="right"/>
              <w:rPr>
                <w:rFonts w:ascii="宋体" w:hAnsi="宋体" w:cs="宋体" w:eastAsia="宋体" w:hint="default"/>
                <w:sz w:val="18"/>
                <w:szCs w:val="18"/>
              </w:rPr>
            </w:pPr>
            <w:r>
              <w:rPr>
                <w:rFonts w:ascii="宋体" w:hAnsi="宋体" w:cs="宋体" w:eastAsia="宋体" w:hint="default"/>
                <w:spacing w:val="-3"/>
                <w:sz w:val="18"/>
                <w:szCs w:val="18"/>
              </w:rPr>
              <w:t>收到其他与投资活动有关的现金</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82,006,941.92</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11,852,257.26</w:t>
            </w:r>
          </w:p>
        </w:tc>
      </w:tr>
      <w:tr>
        <w:trPr>
          <w:trHeight w:val="71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34" w:firstLine="360"/>
              <w:jc w:val="left"/>
              <w:rPr>
                <w:rFonts w:ascii="宋体" w:hAnsi="宋体" w:cs="宋体" w:eastAsia="宋体" w:hint="default"/>
                <w:sz w:val="18"/>
                <w:szCs w:val="18"/>
              </w:rPr>
            </w:pPr>
            <w:r>
              <w:rPr>
                <w:rFonts w:ascii="宋体" w:hAnsi="宋体" w:cs="宋体" w:eastAsia="宋体" w:hint="default"/>
                <w:spacing w:val="-3"/>
                <w:sz w:val="18"/>
                <w:szCs w:val="18"/>
              </w:rPr>
              <w:t>购建固定资产、无形资产和其他</w:t>
            </w:r>
            <w:r>
              <w:rPr>
                <w:rFonts w:ascii="宋体" w:hAnsi="宋体" w:cs="宋体" w:eastAsia="宋体" w:hint="default"/>
                <w:w w:val="101"/>
                <w:sz w:val="18"/>
                <w:szCs w:val="18"/>
              </w:rPr>
              <w:t> </w:t>
            </w:r>
            <w:r>
              <w:rPr>
                <w:rFonts w:ascii="宋体" w:hAnsi="宋体" w:cs="宋体" w:eastAsia="宋体" w:hint="default"/>
                <w:spacing w:val="-3"/>
                <w:sz w:val="18"/>
                <w:szCs w:val="18"/>
              </w:rPr>
              <w:t>长期资产支付的现金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8,136,477.78</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23,988,572.16</w:t>
            </w:r>
          </w:p>
        </w:tc>
      </w:tr>
      <w:tr>
        <w:trPr>
          <w:trHeight w:val="398"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投资支付的现金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212,713,105.37</w:t>
            </w: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4" w:right="34" w:firstLine="360"/>
              <w:jc w:val="left"/>
              <w:rPr>
                <w:rFonts w:ascii="宋体" w:hAnsi="宋体" w:cs="宋体" w:eastAsia="宋体" w:hint="default"/>
                <w:sz w:val="18"/>
                <w:szCs w:val="18"/>
              </w:rPr>
            </w:pPr>
            <w:r>
              <w:rPr>
                <w:rFonts w:ascii="宋体" w:hAnsi="宋体" w:cs="宋体" w:eastAsia="宋体" w:hint="default"/>
                <w:spacing w:val="-3"/>
                <w:sz w:val="18"/>
                <w:szCs w:val="18"/>
              </w:rPr>
              <w:t>取得子公司及其他营业单位支付</w:t>
            </w:r>
            <w:r>
              <w:rPr>
                <w:rFonts w:ascii="宋体" w:hAnsi="宋体" w:cs="宋体" w:eastAsia="宋体" w:hint="default"/>
                <w:w w:val="101"/>
                <w:sz w:val="18"/>
                <w:szCs w:val="18"/>
              </w:rPr>
              <w:t> </w:t>
            </w:r>
            <w:r>
              <w:rPr>
                <w:rFonts w:ascii="宋体" w:hAnsi="宋体" w:cs="宋体" w:eastAsia="宋体" w:hint="default"/>
                <w:sz w:val="18"/>
                <w:szCs w:val="18"/>
              </w:rPr>
              <w:t>的现金净额</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4"/>
              <w:jc w:val="right"/>
              <w:rPr>
                <w:rFonts w:ascii="宋体" w:hAnsi="宋体" w:cs="宋体" w:eastAsia="宋体" w:hint="default"/>
                <w:sz w:val="18"/>
                <w:szCs w:val="18"/>
              </w:rPr>
            </w:pPr>
            <w:r>
              <w:rPr>
                <w:rFonts w:ascii="宋体" w:hAnsi="宋体" w:cs="宋体" w:eastAsia="宋体" w:hint="default"/>
                <w:spacing w:val="-3"/>
                <w:sz w:val="18"/>
                <w:szCs w:val="18"/>
              </w:rPr>
              <w:t>支付其他与投资活动有关的现金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51,236,894.63</w:t>
            </w: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272,086,477.78</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23,988,572.16</w:t>
            </w:r>
          </w:p>
        </w:tc>
      </w:tr>
      <w:tr>
        <w:trPr>
          <w:trHeight w:val="398"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投资活动产生的现金流量净额</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-190,079,535.86</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-12,136,314.90</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三、筹资活动产生的现金流量：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吸收投资收到的现金</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取得借款收到的现金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418,000,000.00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132,500,000.00</w:t>
            </w:r>
          </w:p>
        </w:tc>
      </w:tr>
      <w:tr>
        <w:trPr>
          <w:trHeight w:val="398"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发行债券收到的现金</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4"/>
              <w:jc w:val="right"/>
              <w:rPr>
                <w:rFonts w:ascii="宋体" w:hAnsi="宋体" w:cs="宋体" w:eastAsia="宋体" w:hint="default"/>
                <w:sz w:val="18"/>
                <w:szCs w:val="18"/>
              </w:rPr>
            </w:pPr>
            <w:r>
              <w:rPr>
                <w:rFonts w:ascii="宋体" w:hAnsi="宋体" w:cs="宋体" w:eastAsia="宋体" w:hint="default"/>
                <w:spacing w:val="-3"/>
                <w:sz w:val="18"/>
                <w:szCs w:val="18"/>
              </w:rPr>
              <w:t>收到其他与筹资活动有关的现金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6,500,000.00</w:t>
            </w: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424,500,000.00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132,500,000.00</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偿还债务支付的现金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274,100,000.00</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67,500,000.00</w:t>
            </w:r>
          </w:p>
        </w:tc>
      </w:tr>
      <w:tr>
        <w:trPr>
          <w:trHeight w:val="710"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34" w:firstLine="360"/>
              <w:jc w:val="left"/>
              <w:rPr>
                <w:rFonts w:ascii="宋体" w:hAnsi="宋体" w:cs="宋体" w:eastAsia="宋体" w:hint="default"/>
                <w:sz w:val="18"/>
                <w:szCs w:val="18"/>
              </w:rPr>
            </w:pPr>
            <w:r>
              <w:rPr>
                <w:rFonts w:ascii="宋体" w:hAnsi="宋体" w:cs="宋体" w:eastAsia="宋体" w:hint="default"/>
                <w:spacing w:val="-3"/>
                <w:sz w:val="18"/>
                <w:szCs w:val="18"/>
              </w:rPr>
              <w:t>分配股利、利润或偿付利息支付</w:t>
            </w:r>
            <w:r>
              <w:rPr>
                <w:rFonts w:ascii="宋体" w:hAnsi="宋体" w:cs="宋体" w:eastAsia="宋体" w:hint="default"/>
                <w:w w:val="101"/>
                <w:sz w:val="18"/>
                <w:szCs w:val="18"/>
              </w:rPr>
              <w:t> </w:t>
            </w:r>
            <w:r>
              <w:rPr>
                <w:rFonts w:ascii="宋体" w:hAnsi="宋体" w:cs="宋体" w:eastAsia="宋体" w:hint="default"/>
                <w:sz w:val="18"/>
                <w:szCs w:val="18"/>
              </w:rPr>
              <w:t>的现金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9,721,576.67</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18,472,743.27</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4"/>
              <w:jc w:val="right"/>
              <w:rPr>
                <w:rFonts w:ascii="宋体" w:hAnsi="宋体" w:cs="宋体" w:eastAsia="宋体" w:hint="default"/>
                <w:sz w:val="18"/>
                <w:szCs w:val="18"/>
              </w:rPr>
            </w:pPr>
            <w:r>
              <w:rPr>
                <w:rFonts w:ascii="宋体" w:hAnsi="宋体" w:cs="宋体" w:eastAsia="宋体" w:hint="default"/>
                <w:spacing w:val="-3"/>
                <w:sz w:val="18"/>
                <w:szCs w:val="18"/>
              </w:rPr>
              <w:t>支付其他与筹资活动有关的现金</w:t>
            </w:r>
          </w:p>
        </w:tc>
        <w:tc>
          <w:tcPr>
            <w:tcW w:w="3314" w:type="dxa"/>
            <w:tcBorders>
              <w:top w:val="single" w:sz="4" w:space="0" w:color="000000"/>
              <w:left w:val="single" w:sz="10" w:space="0" w:color="D2D2D2"/>
              <w:bottom w:val="single" w:sz="4" w:space="0" w:color="000000"/>
              <w:right w:val="single" w:sz="4" w:space="0" w:color="000000"/>
            </w:tcBorders>
          </w:tcPr>
          <w:p>
            <w:pPr/>
          </w:p>
        </w:tc>
        <w:tc>
          <w:tcPr>
            <w:tcW w:w="32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283,821,576.67</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85,972,743.27</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筹资活动产生的现金流量净额</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140,678,423.33</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46,527,256.73</w:t>
            </w:r>
          </w:p>
        </w:tc>
      </w:tr>
      <w:tr>
        <w:trPr>
          <w:trHeight w:val="710"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34"/>
              <w:jc w:val="left"/>
              <w:rPr>
                <w:rFonts w:ascii="宋体" w:hAnsi="宋体" w:cs="宋体" w:eastAsia="宋体" w:hint="default"/>
                <w:sz w:val="18"/>
                <w:szCs w:val="18"/>
              </w:rPr>
            </w:pPr>
            <w:r>
              <w:rPr>
                <w:rFonts w:ascii="宋体" w:hAnsi="宋体" w:cs="宋体" w:eastAsia="宋体" w:hint="default"/>
                <w:spacing w:val="-3"/>
                <w:sz w:val="18"/>
                <w:szCs w:val="18"/>
              </w:rPr>
              <w:t>四、汇率变动对现金及现金等价物的</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宋体" w:hAnsi="宋体" w:cs="宋体" w:eastAsia="宋体" w:hint="default"/>
                <w:sz w:val="18"/>
                <w:szCs w:val="18"/>
              </w:rPr>
              <w:t>影响</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44,021.89</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2,092.63</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五、现金及现金等价物净增加额</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126,478,473.92</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7,496,801.88</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34"/>
              <w:jc w:val="right"/>
              <w:rPr>
                <w:rFonts w:ascii="宋体" w:hAnsi="宋体" w:cs="宋体" w:eastAsia="宋体" w:hint="default"/>
                <w:sz w:val="18"/>
                <w:szCs w:val="18"/>
              </w:rPr>
            </w:pPr>
            <w:r>
              <w:rPr>
                <w:rFonts w:ascii="宋体" w:hAnsi="宋体" w:cs="宋体" w:eastAsia="宋体" w:hint="default"/>
                <w:spacing w:val="-3"/>
                <w:sz w:val="18"/>
                <w:szCs w:val="18"/>
              </w:rPr>
              <w:t>加：期初现金及现金等价物余额</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52,892,066.31</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45,395,264.43</w:t>
            </w:r>
          </w:p>
        </w:tc>
      </w:tr>
      <w:tr>
        <w:trPr>
          <w:trHeight w:val="403"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六、期末现金及现金等价物余额</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179,370,540.23</w:t>
            </w:r>
          </w:p>
        </w:tc>
        <w:tc>
          <w:tcPr>
            <w:tcW w:w="3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52,892,066.31</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rFonts w:ascii="Times New Roman" w:hAnsi="Times New Roman" w:cs="Times New Roman" w:eastAsia="Times New Roman" w:hint="default"/>
        </w:rPr>
        <w:t>7</w:t>
      </w:r>
      <w:r>
        <w:rPr/>
        <w:t>、合并所有者权益变动表</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152"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115"/>
        <w:ind w:left="0" w:right="146" w:firstLine="0"/>
        <w:jc w:val="right"/>
        <w:rPr>
          <w:rFonts w:ascii="宋体" w:hAnsi="宋体" w:cs="宋体" w:eastAsia="宋体" w:hint="default"/>
          <w:sz w:val="18"/>
          <w:szCs w:val="18"/>
        </w:rPr>
      </w:pPr>
      <w:r>
        <w:rPr>
          <w:rFonts w:ascii="宋体" w:hAnsi="宋体" w:cs="宋体" w:eastAsia="宋体" w:hint="default"/>
          <w:spacing w:val="-2"/>
          <w:sz w:val="18"/>
          <w:szCs w:val="18"/>
        </w:rPr>
        <w:t>单位：元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440"/>
        <w:gridCol w:w="562"/>
        <w:gridCol w:w="1594"/>
        <w:gridCol w:w="662"/>
        <w:gridCol w:w="662"/>
        <w:gridCol w:w="667"/>
        <w:gridCol w:w="667"/>
        <w:gridCol w:w="662"/>
        <w:gridCol w:w="662"/>
        <w:gridCol w:w="667"/>
        <w:gridCol w:w="662"/>
        <w:gridCol w:w="662"/>
      </w:tblGrid>
      <w:tr>
        <w:trPr>
          <w:trHeight w:val="398" w:hRule="exact"/>
        </w:trPr>
        <w:tc>
          <w:tcPr>
            <w:tcW w:w="144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131"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7"/>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403" w:hRule="exact"/>
        </w:trPr>
        <w:tc>
          <w:tcPr>
            <w:tcW w:w="1440" w:type="dxa"/>
            <w:vMerge/>
            <w:tcBorders>
              <w:left w:val="single" w:sz="4" w:space="0" w:color="000000"/>
              <w:right w:val="single" w:sz="4" w:space="0" w:color="000000"/>
            </w:tcBorders>
            <w:shd w:val="clear" w:color="auto" w:fill="D2D2D2"/>
          </w:tcPr>
          <w:p>
            <w:pPr/>
          </w:p>
        </w:tc>
        <w:tc>
          <w:tcPr>
            <w:tcW w:w="6806"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pacing w:val="-3"/>
                <w:sz w:val="18"/>
                <w:szCs w:val="18"/>
              </w:rPr>
              <w:t>归属于母公司所有者权益</w:t>
            </w:r>
          </w:p>
        </w:tc>
        <w:tc>
          <w:tcPr>
            <w:tcW w:w="662" w:type="dxa"/>
            <w:vMerge w:val="restart"/>
            <w:tcBorders>
              <w:top w:val="single" w:sz="4" w:space="0" w:color="000000"/>
              <w:left w:val="single" w:sz="4" w:space="0" w:color="000000"/>
              <w:right w:val="single" w:sz="4" w:space="0" w:color="000000"/>
            </w:tcBorders>
            <w:shd w:val="clear" w:color="auto" w:fill="D2D2D2"/>
          </w:tcPr>
          <w:p>
            <w:pPr>
              <w:pStyle w:val="TableParagraph"/>
              <w:spacing w:line="321" w:lineRule="auto" w:before="53"/>
              <w:ind w:left="57" w:right="50"/>
              <w:jc w:val="left"/>
              <w:rPr>
                <w:rFonts w:ascii="宋体" w:hAnsi="宋体" w:cs="宋体" w:eastAsia="宋体" w:hint="default"/>
                <w:sz w:val="18"/>
                <w:szCs w:val="18"/>
              </w:rPr>
            </w:pPr>
            <w:r>
              <w:rPr>
                <w:rFonts w:ascii="宋体" w:hAnsi="宋体" w:cs="宋体" w:eastAsia="宋体" w:hint="default"/>
                <w:sz w:val="18"/>
                <w:szCs w:val="18"/>
              </w:rPr>
              <w:t>少数股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东权益</w:t>
            </w:r>
          </w:p>
        </w:tc>
        <w:tc>
          <w:tcPr>
            <w:tcW w:w="66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57" w:right="50"/>
              <w:jc w:val="left"/>
              <w:rPr>
                <w:rFonts w:ascii="宋体" w:hAnsi="宋体" w:cs="宋体" w:eastAsia="宋体" w:hint="default"/>
                <w:sz w:val="18"/>
                <w:szCs w:val="18"/>
              </w:rPr>
            </w:pPr>
            <w:r>
              <w:rPr>
                <w:rFonts w:ascii="宋体" w:hAnsi="宋体" w:cs="宋体" w:eastAsia="宋体" w:hint="default"/>
                <w:sz w:val="18"/>
                <w:szCs w:val="18"/>
              </w:rPr>
              <w:t>所有者</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权益合</w:t>
            </w:r>
          </w:p>
        </w:tc>
      </w:tr>
      <w:tr>
        <w:trPr>
          <w:trHeight w:val="403" w:hRule="exact"/>
        </w:trPr>
        <w:tc>
          <w:tcPr>
            <w:tcW w:w="1440" w:type="dxa"/>
            <w:vMerge/>
            <w:tcBorders>
              <w:left w:val="single" w:sz="4" w:space="0" w:color="000000"/>
              <w:bottom w:val="single" w:sz="4" w:space="0" w:color="000000"/>
              <w:right w:val="single" w:sz="4" w:space="0" w:color="000000"/>
            </w:tcBorders>
            <w:shd w:val="clear" w:color="auto" w:fill="D2D2D2"/>
          </w:tcPr>
          <w:p>
            <w:pPr/>
          </w:p>
        </w:tc>
        <w:tc>
          <w:tcPr>
            <w:tcW w:w="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6"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9"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52" w:right="0"/>
              <w:jc w:val="left"/>
              <w:rPr>
                <w:rFonts w:ascii="宋体" w:hAnsi="宋体" w:cs="宋体" w:eastAsia="宋体" w:hint="default"/>
                <w:sz w:val="18"/>
                <w:szCs w:val="18"/>
              </w:rPr>
            </w:pPr>
            <w:r>
              <w:rPr>
                <w:rFonts w:ascii="宋体" w:hAnsi="宋体" w:cs="宋体" w:eastAsia="宋体" w:hint="default"/>
                <w:sz w:val="18"/>
                <w:szCs w:val="18"/>
              </w:rPr>
              <w:t>资本公</w:t>
            </w:r>
          </w:p>
        </w:tc>
        <w:tc>
          <w:tcPr>
            <w:tcW w:w="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57" w:right="0"/>
              <w:jc w:val="left"/>
              <w:rPr>
                <w:rFonts w:ascii="宋体" w:hAnsi="宋体" w:cs="宋体" w:eastAsia="宋体" w:hint="default"/>
                <w:sz w:val="18"/>
                <w:szCs w:val="18"/>
              </w:rPr>
            </w:pPr>
            <w:r>
              <w:rPr>
                <w:rFonts w:ascii="宋体" w:hAnsi="宋体" w:cs="宋体" w:eastAsia="宋体" w:hint="default"/>
                <w:sz w:val="18"/>
                <w:szCs w:val="18"/>
              </w:rPr>
              <w:t>减：库</w:t>
            </w:r>
          </w:p>
        </w:tc>
        <w:tc>
          <w:tcPr>
            <w:tcW w:w="6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57" w:right="0"/>
              <w:jc w:val="left"/>
              <w:rPr>
                <w:rFonts w:ascii="宋体" w:hAnsi="宋体" w:cs="宋体" w:eastAsia="宋体" w:hint="default"/>
                <w:sz w:val="18"/>
                <w:szCs w:val="18"/>
              </w:rPr>
            </w:pPr>
            <w:r>
              <w:rPr>
                <w:rFonts w:ascii="宋体" w:hAnsi="宋体" w:cs="宋体" w:eastAsia="宋体" w:hint="default"/>
                <w:sz w:val="18"/>
                <w:szCs w:val="18"/>
              </w:rPr>
              <w:t>其他综</w:t>
            </w:r>
          </w:p>
        </w:tc>
        <w:tc>
          <w:tcPr>
            <w:tcW w:w="6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57" w:right="0"/>
              <w:jc w:val="left"/>
              <w:rPr>
                <w:rFonts w:ascii="宋体" w:hAnsi="宋体" w:cs="宋体" w:eastAsia="宋体" w:hint="default"/>
                <w:sz w:val="18"/>
                <w:szCs w:val="18"/>
              </w:rPr>
            </w:pPr>
            <w:r>
              <w:rPr>
                <w:rFonts w:ascii="宋体" w:hAnsi="宋体" w:cs="宋体" w:eastAsia="宋体" w:hint="default"/>
                <w:sz w:val="18"/>
                <w:szCs w:val="18"/>
              </w:rPr>
              <w:t>专项储</w:t>
            </w:r>
          </w:p>
        </w:tc>
        <w:tc>
          <w:tcPr>
            <w:tcW w:w="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52" w:right="0"/>
              <w:jc w:val="left"/>
              <w:rPr>
                <w:rFonts w:ascii="宋体" w:hAnsi="宋体" w:cs="宋体" w:eastAsia="宋体" w:hint="default"/>
                <w:sz w:val="18"/>
                <w:szCs w:val="18"/>
              </w:rPr>
            </w:pPr>
            <w:r>
              <w:rPr>
                <w:rFonts w:ascii="宋体" w:hAnsi="宋体" w:cs="宋体" w:eastAsia="宋体" w:hint="default"/>
                <w:sz w:val="18"/>
                <w:szCs w:val="18"/>
              </w:rPr>
              <w:t>盈余公</w:t>
            </w:r>
          </w:p>
        </w:tc>
        <w:tc>
          <w:tcPr>
            <w:tcW w:w="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57" w:right="0"/>
              <w:jc w:val="left"/>
              <w:rPr>
                <w:rFonts w:ascii="宋体" w:hAnsi="宋体" w:cs="宋体" w:eastAsia="宋体" w:hint="default"/>
                <w:sz w:val="18"/>
                <w:szCs w:val="18"/>
              </w:rPr>
            </w:pPr>
            <w:r>
              <w:rPr>
                <w:rFonts w:ascii="宋体" w:hAnsi="宋体" w:cs="宋体" w:eastAsia="宋体" w:hint="default"/>
                <w:sz w:val="18"/>
                <w:szCs w:val="18"/>
              </w:rPr>
              <w:t>一般风</w:t>
            </w:r>
          </w:p>
        </w:tc>
        <w:tc>
          <w:tcPr>
            <w:tcW w:w="6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57" w:right="0"/>
              <w:jc w:val="left"/>
              <w:rPr>
                <w:rFonts w:ascii="宋体" w:hAnsi="宋体" w:cs="宋体" w:eastAsia="宋体" w:hint="default"/>
                <w:sz w:val="18"/>
                <w:szCs w:val="18"/>
              </w:rPr>
            </w:pPr>
            <w:r>
              <w:rPr>
                <w:rFonts w:ascii="宋体" w:hAnsi="宋体" w:cs="宋体" w:eastAsia="宋体" w:hint="default"/>
                <w:sz w:val="18"/>
                <w:szCs w:val="18"/>
              </w:rPr>
              <w:t>未分配</w:t>
            </w:r>
          </w:p>
        </w:tc>
        <w:tc>
          <w:tcPr>
            <w:tcW w:w="662" w:type="dxa"/>
            <w:vMerge/>
            <w:tcBorders>
              <w:left w:val="single" w:sz="4" w:space="0" w:color="000000"/>
              <w:bottom w:val="single" w:sz="4" w:space="0" w:color="000000"/>
              <w:right w:val="single" w:sz="4" w:space="0" w:color="000000"/>
            </w:tcBorders>
            <w:shd w:val="clear" w:color="auto" w:fill="D2D2D2"/>
          </w:tcPr>
          <w:p>
            <w:pPr/>
          </w:p>
        </w:tc>
        <w:tc>
          <w:tcPr>
            <w:tcW w:w="662"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r>
        <w:rPr/>
        <w:pict>
          <v:group style="position:absolute;margin-left:128.880005pt;margin-top:353.119995pt;width:26.4pt;height:20.7pt;mso-position-horizontal-relative:page;mso-position-vertical-relative:page;z-index:-1069528" coordorigin="2578,7062" coordsize="528,414">
            <v:group style="position:absolute;left:2587;top:7072;width:2;height:394" coordorigin="2587,7072" coordsize="2,394">
              <v:shape style="position:absolute;left:2587;top:7072;width:2;height:394" coordorigin="2587,7072" coordsize="0,394" path="m2587,7072l2587,7466e" filled="false" stroked="true" strokeweight=".96pt" strokecolor="#ffffff">
                <v:path arrowok="t"/>
              </v:shape>
            </v:group>
            <v:group style="position:absolute;left:2597;top:7072;width:509;height:394" coordorigin="2597,7072" coordsize="509,394">
              <v:shape style="position:absolute;left:2597;top:7072;width:509;height:394" coordorigin="2597,7072" coordsize="509,394" path="m2597,7466l3106,7466,3106,7072,2597,7072,2597,7466xe" filled="true" fillcolor="#ffffff" stroked="false">
                <v:path arrowok="t"/>
                <v:fill type="solid"/>
              </v:shape>
            </v:group>
            <w10:wrap type="none"/>
          </v:group>
        </w:pict>
      </w:r>
    </w:p>
    <w:p>
      <w:pPr>
        <w:spacing w:line="240" w:lineRule="auto" w:before="9"/>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1416"/>
        <w:gridCol w:w="574"/>
        <w:gridCol w:w="528"/>
        <w:gridCol w:w="533"/>
        <w:gridCol w:w="533"/>
        <w:gridCol w:w="662"/>
        <w:gridCol w:w="662"/>
        <w:gridCol w:w="667"/>
        <w:gridCol w:w="667"/>
        <w:gridCol w:w="662"/>
        <w:gridCol w:w="662"/>
        <w:gridCol w:w="667"/>
        <w:gridCol w:w="662"/>
        <w:gridCol w:w="662"/>
      </w:tblGrid>
      <w:tr>
        <w:trPr>
          <w:trHeight w:val="158" w:hRule="exact"/>
        </w:trPr>
        <w:tc>
          <w:tcPr>
            <w:tcW w:w="1416" w:type="dxa"/>
            <w:vMerge w:val="restart"/>
            <w:tcBorders>
              <w:top w:val="single" w:sz="4" w:space="0" w:color="000000"/>
              <w:left w:val="single" w:sz="4" w:space="0" w:color="000000"/>
              <w:right w:val="single" w:sz="4" w:space="0" w:color="000000"/>
            </w:tcBorders>
            <w:shd w:val="clear" w:color="auto" w:fill="D2D2D2"/>
          </w:tcPr>
          <w:p>
            <w:pPr/>
          </w:p>
        </w:tc>
        <w:tc>
          <w:tcPr>
            <w:tcW w:w="574" w:type="dxa"/>
            <w:vMerge w:val="restart"/>
            <w:tcBorders>
              <w:top w:val="single" w:sz="4" w:space="0" w:color="000000"/>
              <w:left w:val="single" w:sz="4" w:space="0" w:color="000000"/>
              <w:right w:val="single" w:sz="4" w:space="0" w:color="000000"/>
            </w:tcBorders>
            <w:shd w:val="clear" w:color="auto" w:fill="D2D2D2"/>
          </w:tcPr>
          <w:p>
            <w:pPr/>
          </w:p>
        </w:tc>
        <w:tc>
          <w:tcPr>
            <w:tcW w:w="52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81" w:right="0"/>
              <w:jc w:val="left"/>
              <w:rPr>
                <w:rFonts w:ascii="宋体" w:hAnsi="宋体" w:cs="宋体" w:eastAsia="宋体" w:hint="default"/>
                <w:sz w:val="18"/>
                <w:szCs w:val="18"/>
              </w:rPr>
            </w:pPr>
            <w:r>
              <w:rPr>
                <w:rFonts w:ascii="宋体" w:hAnsi="宋体" w:cs="宋体" w:eastAsia="宋体" w:hint="default"/>
                <w:sz w:val="18"/>
                <w:szCs w:val="18"/>
              </w:rPr>
              <w:t>优先</w:t>
            </w:r>
          </w:p>
        </w:tc>
        <w:tc>
          <w:tcPr>
            <w:tcW w:w="5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81" w:right="0"/>
              <w:jc w:val="left"/>
              <w:rPr>
                <w:rFonts w:ascii="宋体" w:hAnsi="宋体" w:cs="宋体" w:eastAsia="宋体" w:hint="default"/>
                <w:sz w:val="18"/>
                <w:szCs w:val="18"/>
              </w:rPr>
            </w:pPr>
            <w:r>
              <w:rPr>
                <w:rFonts w:ascii="宋体" w:hAnsi="宋体" w:cs="宋体" w:eastAsia="宋体" w:hint="default"/>
                <w:sz w:val="18"/>
                <w:szCs w:val="18"/>
              </w:rPr>
              <w:t>永续</w:t>
            </w:r>
          </w:p>
        </w:tc>
        <w:tc>
          <w:tcPr>
            <w:tcW w:w="533" w:type="dxa"/>
            <w:tcBorders>
              <w:top w:val="single" w:sz="4" w:space="0" w:color="000000"/>
              <w:left w:val="single" w:sz="4" w:space="0" w:color="000000"/>
              <w:bottom w:val="nil" w:sz="6" w:space="0" w:color="auto"/>
              <w:right w:val="single" w:sz="4" w:space="0" w:color="000000"/>
            </w:tcBorders>
            <w:shd w:val="clear" w:color="auto" w:fill="D2D2D2"/>
          </w:tcPr>
          <w:p>
            <w:pPr/>
          </w:p>
        </w:tc>
        <w:tc>
          <w:tcPr>
            <w:tcW w:w="6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right="7"/>
              <w:jc w:val="center"/>
              <w:rPr>
                <w:rFonts w:ascii="宋体" w:hAnsi="宋体" w:cs="宋体" w:eastAsia="宋体" w:hint="default"/>
                <w:sz w:val="18"/>
                <w:szCs w:val="18"/>
              </w:rPr>
            </w:pPr>
            <w:r>
              <w:rPr>
                <w:rFonts w:ascii="宋体" w:hAnsi="宋体" w:cs="宋体" w:eastAsia="宋体" w:hint="default"/>
                <w:w w:val="101"/>
                <w:sz w:val="18"/>
                <w:szCs w:val="18"/>
              </w:rPr>
              <w:t>积</w:t>
            </w:r>
            <w:r>
              <w:rPr>
                <w:rFonts w:ascii="宋体" w:hAnsi="宋体" w:cs="宋体" w:eastAsia="宋体" w:hint="default"/>
                <w:sz w:val="18"/>
                <w:szCs w:val="18"/>
              </w:rPr>
            </w:r>
          </w:p>
        </w:tc>
        <w:tc>
          <w:tcPr>
            <w:tcW w:w="6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left="143" w:right="0"/>
              <w:jc w:val="left"/>
              <w:rPr>
                <w:rFonts w:ascii="宋体" w:hAnsi="宋体" w:cs="宋体" w:eastAsia="宋体" w:hint="default"/>
                <w:sz w:val="18"/>
                <w:szCs w:val="18"/>
              </w:rPr>
            </w:pPr>
            <w:r>
              <w:rPr>
                <w:rFonts w:ascii="宋体" w:hAnsi="宋体" w:cs="宋体" w:eastAsia="宋体" w:hint="default"/>
                <w:sz w:val="18"/>
                <w:szCs w:val="18"/>
              </w:rPr>
              <w:t>存股</w:t>
            </w:r>
          </w:p>
        </w:tc>
        <w:tc>
          <w:tcPr>
            <w:tcW w:w="6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left="57" w:right="0"/>
              <w:jc w:val="left"/>
              <w:rPr>
                <w:rFonts w:ascii="宋体" w:hAnsi="宋体" w:cs="宋体" w:eastAsia="宋体" w:hint="default"/>
                <w:sz w:val="18"/>
                <w:szCs w:val="18"/>
              </w:rPr>
            </w:pPr>
            <w:r>
              <w:rPr>
                <w:rFonts w:ascii="宋体" w:hAnsi="宋体" w:cs="宋体" w:eastAsia="宋体" w:hint="default"/>
                <w:sz w:val="18"/>
                <w:szCs w:val="18"/>
              </w:rPr>
              <w:t>合收益</w:t>
            </w:r>
          </w:p>
        </w:tc>
        <w:tc>
          <w:tcPr>
            <w:tcW w:w="6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right="2"/>
              <w:jc w:val="center"/>
              <w:rPr>
                <w:rFonts w:ascii="宋体" w:hAnsi="宋体" w:cs="宋体" w:eastAsia="宋体" w:hint="default"/>
                <w:sz w:val="18"/>
                <w:szCs w:val="18"/>
              </w:rPr>
            </w:pPr>
            <w:r>
              <w:rPr>
                <w:rFonts w:ascii="宋体" w:hAnsi="宋体" w:cs="宋体" w:eastAsia="宋体" w:hint="default"/>
                <w:w w:val="101"/>
                <w:sz w:val="18"/>
                <w:szCs w:val="18"/>
              </w:rPr>
              <w:t>备</w:t>
            </w:r>
            <w:r>
              <w:rPr>
                <w:rFonts w:ascii="宋体" w:hAnsi="宋体" w:cs="宋体" w:eastAsia="宋体" w:hint="default"/>
                <w:sz w:val="18"/>
                <w:szCs w:val="18"/>
              </w:rPr>
            </w:r>
          </w:p>
        </w:tc>
        <w:tc>
          <w:tcPr>
            <w:tcW w:w="6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right="7"/>
              <w:jc w:val="center"/>
              <w:rPr>
                <w:rFonts w:ascii="宋体" w:hAnsi="宋体" w:cs="宋体" w:eastAsia="宋体" w:hint="default"/>
                <w:sz w:val="18"/>
                <w:szCs w:val="18"/>
              </w:rPr>
            </w:pPr>
            <w:r>
              <w:rPr>
                <w:rFonts w:ascii="宋体" w:hAnsi="宋体" w:cs="宋体" w:eastAsia="宋体" w:hint="default"/>
                <w:w w:val="101"/>
                <w:sz w:val="18"/>
                <w:szCs w:val="18"/>
              </w:rPr>
              <w:t>积</w:t>
            </w:r>
            <w:r>
              <w:rPr>
                <w:rFonts w:ascii="宋体" w:hAnsi="宋体" w:cs="宋体" w:eastAsia="宋体" w:hint="default"/>
                <w:sz w:val="18"/>
                <w:szCs w:val="18"/>
              </w:rPr>
            </w:r>
          </w:p>
        </w:tc>
        <w:tc>
          <w:tcPr>
            <w:tcW w:w="6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left="57" w:right="0"/>
              <w:jc w:val="left"/>
              <w:rPr>
                <w:rFonts w:ascii="宋体" w:hAnsi="宋体" w:cs="宋体" w:eastAsia="宋体" w:hint="default"/>
                <w:sz w:val="18"/>
                <w:szCs w:val="18"/>
              </w:rPr>
            </w:pPr>
            <w:r>
              <w:rPr>
                <w:rFonts w:ascii="宋体" w:hAnsi="宋体" w:cs="宋体" w:eastAsia="宋体" w:hint="default"/>
                <w:sz w:val="18"/>
                <w:szCs w:val="18"/>
              </w:rPr>
              <w:t>险准备</w:t>
            </w:r>
          </w:p>
        </w:tc>
        <w:tc>
          <w:tcPr>
            <w:tcW w:w="6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left="143" w:right="0"/>
              <w:jc w:val="left"/>
              <w:rPr>
                <w:rFonts w:ascii="宋体" w:hAnsi="宋体" w:cs="宋体" w:eastAsia="宋体" w:hint="default"/>
                <w:sz w:val="18"/>
                <w:szCs w:val="18"/>
              </w:rPr>
            </w:pPr>
            <w:r>
              <w:rPr>
                <w:rFonts w:ascii="宋体" w:hAnsi="宋体" w:cs="宋体" w:eastAsia="宋体" w:hint="default"/>
                <w:sz w:val="18"/>
                <w:szCs w:val="18"/>
              </w:rPr>
              <w:t>利润</w:t>
            </w:r>
          </w:p>
        </w:tc>
        <w:tc>
          <w:tcPr>
            <w:tcW w:w="662" w:type="dxa"/>
            <w:vMerge w:val="restart"/>
            <w:tcBorders>
              <w:top w:val="single" w:sz="4" w:space="0" w:color="000000"/>
              <w:left w:val="single" w:sz="4" w:space="0" w:color="000000"/>
              <w:right w:val="single" w:sz="4" w:space="0" w:color="000000"/>
            </w:tcBorders>
            <w:shd w:val="clear" w:color="auto" w:fill="D2D2D2"/>
          </w:tcPr>
          <w:p>
            <w:pPr/>
          </w:p>
        </w:tc>
        <w:tc>
          <w:tcPr>
            <w:tcW w:w="6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w w:val="101"/>
                <w:sz w:val="18"/>
                <w:szCs w:val="18"/>
              </w:rPr>
              <w:t>计</w:t>
            </w:r>
            <w:r>
              <w:rPr>
                <w:rFonts w:ascii="宋体" w:hAnsi="宋体" w:cs="宋体" w:eastAsia="宋体" w:hint="default"/>
                <w:sz w:val="18"/>
                <w:szCs w:val="18"/>
              </w:rPr>
            </w:r>
          </w:p>
        </w:tc>
      </w:tr>
      <w:tr>
        <w:trPr>
          <w:trHeight w:val="198" w:hRule="exact"/>
        </w:trPr>
        <w:tc>
          <w:tcPr>
            <w:tcW w:w="1416" w:type="dxa"/>
            <w:vMerge/>
            <w:tcBorders>
              <w:left w:val="single" w:sz="4" w:space="0" w:color="000000"/>
              <w:right w:val="single" w:sz="4" w:space="0" w:color="000000"/>
            </w:tcBorders>
            <w:shd w:val="clear" w:color="auto" w:fill="D2D2D2"/>
          </w:tcPr>
          <w:p>
            <w:pPr/>
          </w:p>
        </w:tc>
        <w:tc>
          <w:tcPr>
            <w:tcW w:w="574" w:type="dxa"/>
            <w:vMerge/>
            <w:tcBorders>
              <w:left w:val="single" w:sz="4" w:space="0" w:color="000000"/>
              <w:right w:val="single" w:sz="4" w:space="0" w:color="000000"/>
            </w:tcBorders>
            <w:shd w:val="clear" w:color="auto" w:fill="D2D2D2"/>
          </w:tcPr>
          <w:p>
            <w:pPr/>
          </w:p>
        </w:tc>
        <w:tc>
          <w:tcPr>
            <w:tcW w:w="528" w:type="dxa"/>
            <w:vMerge/>
            <w:tcBorders>
              <w:left w:val="single" w:sz="4" w:space="0" w:color="000000"/>
              <w:bottom w:val="nil" w:sz="6" w:space="0" w:color="auto"/>
              <w:right w:val="single" w:sz="4" w:space="0" w:color="000000"/>
            </w:tcBorders>
            <w:shd w:val="clear" w:color="auto" w:fill="D2D2D2"/>
          </w:tcPr>
          <w:p>
            <w:pPr/>
          </w:p>
        </w:tc>
        <w:tc>
          <w:tcPr>
            <w:tcW w:w="533" w:type="dxa"/>
            <w:vMerge/>
            <w:tcBorders>
              <w:left w:val="single" w:sz="4" w:space="0" w:color="000000"/>
              <w:bottom w:val="nil" w:sz="6" w:space="0" w:color="auto"/>
              <w:right w:val="single" w:sz="4" w:space="0" w:color="000000"/>
            </w:tcBorders>
            <w:shd w:val="clear" w:color="auto" w:fill="D2D2D2"/>
          </w:tcPr>
          <w:p>
            <w:pPr/>
          </w:p>
        </w:tc>
        <w:tc>
          <w:tcPr>
            <w:tcW w:w="53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7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62" w:type="dxa"/>
            <w:vMerge/>
            <w:tcBorders>
              <w:left w:val="single" w:sz="4" w:space="0" w:color="000000"/>
              <w:bottom w:val="nil" w:sz="6" w:space="0" w:color="auto"/>
              <w:right w:val="single" w:sz="4" w:space="0" w:color="000000"/>
            </w:tcBorders>
            <w:shd w:val="clear" w:color="auto" w:fill="D2D2D2"/>
          </w:tcPr>
          <w:p>
            <w:pPr/>
          </w:p>
        </w:tc>
        <w:tc>
          <w:tcPr>
            <w:tcW w:w="662" w:type="dxa"/>
            <w:vMerge/>
            <w:tcBorders>
              <w:left w:val="single" w:sz="4" w:space="0" w:color="000000"/>
              <w:bottom w:val="nil" w:sz="6" w:space="0" w:color="auto"/>
              <w:right w:val="single" w:sz="4" w:space="0" w:color="000000"/>
            </w:tcBorders>
            <w:shd w:val="clear" w:color="auto" w:fill="D2D2D2"/>
          </w:tcPr>
          <w:p>
            <w:pPr/>
          </w:p>
        </w:tc>
        <w:tc>
          <w:tcPr>
            <w:tcW w:w="667" w:type="dxa"/>
            <w:vMerge/>
            <w:tcBorders>
              <w:left w:val="single" w:sz="4" w:space="0" w:color="000000"/>
              <w:bottom w:val="nil" w:sz="6" w:space="0" w:color="auto"/>
              <w:right w:val="single" w:sz="4" w:space="0" w:color="000000"/>
            </w:tcBorders>
            <w:shd w:val="clear" w:color="auto" w:fill="D2D2D2"/>
          </w:tcPr>
          <w:p>
            <w:pPr/>
          </w:p>
        </w:tc>
        <w:tc>
          <w:tcPr>
            <w:tcW w:w="667" w:type="dxa"/>
            <w:vMerge/>
            <w:tcBorders>
              <w:left w:val="single" w:sz="4" w:space="0" w:color="000000"/>
              <w:bottom w:val="nil" w:sz="6" w:space="0" w:color="auto"/>
              <w:right w:val="single" w:sz="4" w:space="0" w:color="000000"/>
            </w:tcBorders>
            <w:shd w:val="clear" w:color="auto" w:fill="D2D2D2"/>
          </w:tcPr>
          <w:p>
            <w:pPr/>
          </w:p>
        </w:tc>
        <w:tc>
          <w:tcPr>
            <w:tcW w:w="662" w:type="dxa"/>
            <w:vMerge/>
            <w:tcBorders>
              <w:left w:val="single" w:sz="4" w:space="0" w:color="000000"/>
              <w:bottom w:val="nil" w:sz="6" w:space="0" w:color="auto"/>
              <w:right w:val="single" w:sz="4" w:space="0" w:color="000000"/>
            </w:tcBorders>
            <w:shd w:val="clear" w:color="auto" w:fill="D2D2D2"/>
          </w:tcPr>
          <w:p>
            <w:pPr/>
          </w:p>
        </w:tc>
        <w:tc>
          <w:tcPr>
            <w:tcW w:w="662" w:type="dxa"/>
            <w:vMerge/>
            <w:tcBorders>
              <w:left w:val="single" w:sz="4" w:space="0" w:color="000000"/>
              <w:bottom w:val="nil" w:sz="6" w:space="0" w:color="auto"/>
              <w:right w:val="single" w:sz="4" w:space="0" w:color="000000"/>
            </w:tcBorders>
            <w:shd w:val="clear" w:color="auto" w:fill="D2D2D2"/>
          </w:tcPr>
          <w:p>
            <w:pPr/>
          </w:p>
        </w:tc>
        <w:tc>
          <w:tcPr>
            <w:tcW w:w="667" w:type="dxa"/>
            <w:vMerge/>
            <w:tcBorders>
              <w:left w:val="single" w:sz="4" w:space="0" w:color="000000"/>
              <w:bottom w:val="nil" w:sz="6" w:space="0" w:color="auto"/>
              <w:right w:val="single" w:sz="4" w:space="0" w:color="000000"/>
            </w:tcBorders>
            <w:shd w:val="clear" w:color="auto" w:fill="D2D2D2"/>
          </w:tcPr>
          <w:p>
            <w:pPr/>
          </w:p>
        </w:tc>
        <w:tc>
          <w:tcPr>
            <w:tcW w:w="662" w:type="dxa"/>
            <w:vMerge/>
            <w:tcBorders>
              <w:left w:val="single" w:sz="4" w:space="0" w:color="000000"/>
              <w:right w:val="single" w:sz="4" w:space="0" w:color="000000"/>
            </w:tcBorders>
            <w:shd w:val="clear" w:color="auto" w:fill="D2D2D2"/>
          </w:tcPr>
          <w:p>
            <w:pPr/>
          </w:p>
        </w:tc>
        <w:tc>
          <w:tcPr>
            <w:tcW w:w="662" w:type="dxa"/>
            <w:vMerge/>
            <w:tcBorders>
              <w:left w:val="single" w:sz="4" w:space="0" w:color="000000"/>
              <w:bottom w:val="nil" w:sz="6" w:space="0" w:color="auto"/>
              <w:right w:val="single" w:sz="4" w:space="0" w:color="000000"/>
            </w:tcBorders>
            <w:shd w:val="clear" w:color="auto" w:fill="D2D2D2"/>
          </w:tcPr>
          <w:p>
            <w:pPr/>
          </w:p>
        </w:tc>
      </w:tr>
      <w:tr>
        <w:trPr>
          <w:trHeight w:val="197" w:hRule="exact"/>
        </w:trPr>
        <w:tc>
          <w:tcPr>
            <w:tcW w:w="1416" w:type="dxa"/>
            <w:vMerge/>
            <w:tcBorders>
              <w:left w:val="single" w:sz="4" w:space="0" w:color="000000"/>
              <w:right w:val="single" w:sz="4" w:space="0" w:color="000000"/>
            </w:tcBorders>
            <w:shd w:val="clear" w:color="auto" w:fill="D2D2D2"/>
          </w:tcPr>
          <w:p>
            <w:pPr/>
          </w:p>
        </w:tc>
        <w:tc>
          <w:tcPr>
            <w:tcW w:w="574" w:type="dxa"/>
            <w:vMerge/>
            <w:tcBorders>
              <w:left w:val="single" w:sz="4" w:space="0" w:color="000000"/>
              <w:right w:val="single" w:sz="4" w:space="0" w:color="000000"/>
            </w:tcBorders>
            <w:shd w:val="clear" w:color="auto" w:fill="D2D2D2"/>
          </w:tcPr>
          <w:p>
            <w:pPr/>
          </w:p>
        </w:tc>
        <w:tc>
          <w:tcPr>
            <w:tcW w:w="52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5"/>
              <w:ind w:left="168" w:right="0"/>
              <w:jc w:val="left"/>
              <w:rPr>
                <w:rFonts w:ascii="宋体" w:hAnsi="宋体" w:cs="宋体" w:eastAsia="宋体" w:hint="default"/>
                <w:sz w:val="18"/>
                <w:szCs w:val="18"/>
              </w:rPr>
            </w:pPr>
            <w:r>
              <w:rPr>
                <w:rFonts w:ascii="宋体" w:hAnsi="宋体" w:cs="宋体" w:eastAsia="宋体" w:hint="default"/>
                <w:w w:val="101"/>
                <w:sz w:val="18"/>
                <w:szCs w:val="18"/>
              </w:rPr>
              <w:t>股</w:t>
            </w:r>
            <w:r>
              <w:rPr>
                <w:rFonts w:ascii="宋体" w:hAnsi="宋体" w:cs="宋体" w:eastAsia="宋体" w:hint="default"/>
                <w:sz w:val="18"/>
                <w:szCs w:val="18"/>
              </w:rPr>
            </w:r>
          </w:p>
        </w:tc>
        <w:tc>
          <w:tcPr>
            <w:tcW w:w="53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5"/>
              <w:ind w:left="167" w:right="0"/>
              <w:jc w:val="left"/>
              <w:rPr>
                <w:rFonts w:ascii="宋体" w:hAnsi="宋体" w:cs="宋体" w:eastAsia="宋体" w:hint="default"/>
                <w:sz w:val="18"/>
                <w:szCs w:val="18"/>
              </w:rPr>
            </w:pPr>
            <w:r>
              <w:rPr>
                <w:rFonts w:ascii="宋体" w:hAnsi="宋体" w:cs="宋体" w:eastAsia="宋体" w:hint="default"/>
                <w:w w:val="101"/>
                <w:sz w:val="18"/>
                <w:szCs w:val="18"/>
              </w:rPr>
              <w:t>债</w:t>
            </w:r>
            <w:r>
              <w:rPr>
                <w:rFonts w:ascii="宋体" w:hAnsi="宋体" w:cs="宋体" w:eastAsia="宋体" w:hint="default"/>
                <w:sz w:val="18"/>
                <w:szCs w:val="18"/>
              </w:rPr>
            </w:r>
          </w:p>
        </w:tc>
        <w:tc>
          <w:tcPr>
            <w:tcW w:w="533" w:type="dxa"/>
            <w:vMerge/>
            <w:tcBorders>
              <w:left w:val="single" w:sz="4" w:space="0" w:color="000000"/>
              <w:bottom w:val="nil" w:sz="6" w:space="0" w:color="auto"/>
              <w:right w:val="single" w:sz="4" w:space="0" w:color="000000"/>
            </w:tcBorders>
            <w:shd w:val="clear" w:color="auto" w:fill="D2D2D2"/>
          </w:tcPr>
          <w:p>
            <w:pPr/>
          </w:p>
        </w:tc>
        <w:tc>
          <w:tcPr>
            <w:tcW w:w="662" w:type="dxa"/>
            <w:vMerge w:val="restart"/>
            <w:tcBorders>
              <w:top w:val="nil" w:sz="6" w:space="0" w:color="auto"/>
              <w:left w:val="single" w:sz="4" w:space="0" w:color="000000"/>
              <w:right w:val="single" w:sz="4" w:space="0" w:color="000000"/>
            </w:tcBorders>
            <w:shd w:val="clear" w:color="auto" w:fill="D2D2D2"/>
          </w:tcPr>
          <w:p>
            <w:pPr/>
          </w:p>
        </w:tc>
        <w:tc>
          <w:tcPr>
            <w:tcW w:w="662" w:type="dxa"/>
            <w:vMerge w:val="restart"/>
            <w:tcBorders>
              <w:top w:val="nil" w:sz="6" w:space="0" w:color="auto"/>
              <w:left w:val="single" w:sz="4" w:space="0" w:color="000000"/>
              <w:right w:val="single" w:sz="4" w:space="0" w:color="000000"/>
            </w:tcBorders>
            <w:shd w:val="clear" w:color="auto" w:fill="D2D2D2"/>
          </w:tcPr>
          <w:p>
            <w:pPr/>
          </w:p>
        </w:tc>
        <w:tc>
          <w:tcPr>
            <w:tcW w:w="667" w:type="dxa"/>
            <w:vMerge w:val="restart"/>
            <w:tcBorders>
              <w:top w:val="nil" w:sz="6" w:space="0" w:color="auto"/>
              <w:left w:val="single" w:sz="4" w:space="0" w:color="000000"/>
              <w:right w:val="single" w:sz="4" w:space="0" w:color="000000"/>
            </w:tcBorders>
            <w:shd w:val="clear" w:color="auto" w:fill="D2D2D2"/>
          </w:tcPr>
          <w:p>
            <w:pPr/>
          </w:p>
        </w:tc>
        <w:tc>
          <w:tcPr>
            <w:tcW w:w="667" w:type="dxa"/>
            <w:vMerge w:val="restart"/>
            <w:tcBorders>
              <w:top w:val="nil" w:sz="6" w:space="0" w:color="auto"/>
              <w:left w:val="single" w:sz="4" w:space="0" w:color="000000"/>
              <w:right w:val="single" w:sz="4" w:space="0" w:color="000000"/>
            </w:tcBorders>
            <w:shd w:val="clear" w:color="auto" w:fill="D2D2D2"/>
          </w:tcPr>
          <w:p>
            <w:pPr/>
          </w:p>
        </w:tc>
        <w:tc>
          <w:tcPr>
            <w:tcW w:w="662" w:type="dxa"/>
            <w:vMerge w:val="restart"/>
            <w:tcBorders>
              <w:top w:val="nil" w:sz="6" w:space="0" w:color="auto"/>
              <w:left w:val="single" w:sz="4" w:space="0" w:color="000000"/>
              <w:right w:val="single" w:sz="4" w:space="0" w:color="000000"/>
            </w:tcBorders>
            <w:shd w:val="clear" w:color="auto" w:fill="D2D2D2"/>
          </w:tcPr>
          <w:p>
            <w:pPr/>
          </w:p>
        </w:tc>
        <w:tc>
          <w:tcPr>
            <w:tcW w:w="662" w:type="dxa"/>
            <w:vMerge w:val="restart"/>
            <w:tcBorders>
              <w:top w:val="nil" w:sz="6" w:space="0" w:color="auto"/>
              <w:left w:val="single" w:sz="4" w:space="0" w:color="000000"/>
              <w:right w:val="single" w:sz="4" w:space="0" w:color="000000"/>
            </w:tcBorders>
            <w:shd w:val="clear" w:color="auto" w:fill="D2D2D2"/>
          </w:tcPr>
          <w:p>
            <w:pPr/>
          </w:p>
        </w:tc>
        <w:tc>
          <w:tcPr>
            <w:tcW w:w="667" w:type="dxa"/>
            <w:vMerge w:val="restart"/>
            <w:tcBorders>
              <w:top w:val="nil" w:sz="6" w:space="0" w:color="auto"/>
              <w:left w:val="single" w:sz="4" w:space="0" w:color="000000"/>
              <w:right w:val="single" w:sz="4" w:space="0" w:color="000000"/>
            </w:tcBorders>
            <w:shd w:val="clear" w:color="auto" w:fill="D2D2D2"/>
          </w:tcPr>
          <w:p>
            <w:pPr/>
          </w:p>
        </w:tc>
        <w:tc>
          <w:tcPr>
            <w:tcW w:w="662" w:type="dxa"/>
            <w:vMerge/>
            <w:tcBorders>
              <w:left w:val="single" w:sz="4" w:space="0" w:color="000000"/>
              <w:right w:val="single" w:sz="4" w:space="0" w:color="000000"/>
            </w:tcBorders>
            <w:shd w:val="clear" w:color="auto" w:fill="D2D2D2"/>
          </w:tcPr>
          <w:p>
            <w:pPr/>
          </w:p>
        </w:tc>
        <w:tc>
          <w:tcPr>
            <w:tcW w:w="662" w:type="dxa"/>
            <w:vMerge w:val="restart"/>
            <w:tcBorders>
              <w:top w:val="nil" w:sz="6" w:space="0" w:color="auto"/>
              <w:left w:val="single" w:sz="4" w:space="0" w:color="000000"/>
              <w:right w:val="single" w:sz="4" w:space="0" w:color="000000"/>
            </w:tcBorders>
            <w:shd w:val="clear" w:color="auto" w:fill="D2D2D2"/>
          </w:tcPr>
          <w:p>
            <w:pPr/>
          </w:p>
        </w:tc>
      </w:tr>
      <w:tr>
        <w:trPr>
          <w:trHeight w:val="163" w:hRule="exact"/>
        </w:trPr>
        <w:tc>
          <w:tcPr>
            <w:tcW w:w="1416" w:type="dxa"/>
            <w:vMerge/>
            <w:tcBorders>
              <w:left w:val="single" w:sz="4" w:space="0" w:color="000000"/>
              <w:bottom w:val="single" w:sz="4" w:space="0" w:color="000000"/>
              <w:right w:val="single" w:sz="4" w:space="0" w:color="000000"/>
            </w:tcBorders>
            <w:shd w:val="clear" w:color="auto" w:fill="D2D2D2"/>
          </w:tcPr>
          <w:p>
            <w:pPr/>
          </w:p>
        </w:tc>
        <w:tc>
          <w:tcPr>
            <w:tcW w:w="574" w:type="dxa"/>
            <w:vMerge/>
            <w:tcBorders>
              <w:left w:val="single" w:sz="4" w:space="0" w:color="000000"/>
              <w:bottom w:val="single" w:sz="4" w:space="0" w:color="000000"/>
              <w:right w:val="single" w:sz="4" w:space="0" w:color="000000"/>
            </w:tcBorders>
            <w:shd w:val="clear" w:color="auto" w:fill="D2D2D2"/>
          </w:tcPr>
          <w:p>
            <w:pPr/>
          </w:p>
        </w:tc>
        <w:tc>
          <w:tcPr>
            <w:tcW w:w="528" w:type="dxa"/>
            <w:vMerge/>
            <w:tcBorders>
              <w:left w:val="single" w:sz="4" w:space="0" w:color="000000"/>
              <w:bottom w:val="single" w:sz="4" w:space="0" w:color="000000"/>
              <w:right w:val="single" w:sz="4" w:space="0" w:color="000000"/>
            </w:tcBorders>
            <w:shd w:val="clear" w:color="auto" w:fill="D2D2D2"/>
          </w:tcPr>
          <w:p>
            <w:pPr/>
          </w:p>
        </w:tc>
        <w:tc>
          <w:tcPr>
            <w:tcW w:w="533" w:type="dxa"/>
            <w:vMerge/>
            <w:tcBorders>
              <w:left w:val="single" w:sz="4" w:space="0" w:color="000000"/>
              <w:bottom w:val="single" w:sz="4" w:space="0" w:color="000000"/>
              <w:right w:val="single" w:sz="4" w:space="0" w:color="000000"/>
            </w:tcBorders>
            <w:shd w:val="clear" w:color="auto" w:fill="D2D2D2"/>
          </w:tcPr>
          <w:p>
            <w:pPr/>
          </w:p>
        </w:tc>
        <w:tc>
          <w:tcPr>
            <w:tcW w:w="533" w:type="dxa"/>
            <w:tcBorders>
              <w:top w:val="nil" w:sz="6" w:space="0" w:color="auto"/>
              <w:left w:val="single" w:sz="4" w:space="0" w:color="000000"/>
              <w:bottom w:val="single" w:sz="4" w:space="0" w:color="000000"/>
              <w:right w:val="single" w:sz="4" w:space="0" w:color="000000"/>
            </w:tcBorders>
            <w:shd w:val="clear" w:color="auto" w:fill="D2D2D2"/>
          </w:tcPr>
          <w:p>
            <w:pPr/>
          </w:p>
        </w:tc>
        <w:tc>
          <w:tcPr>
            <w:tcW w:w="662" w:type="dxa"/>
            <w:vMerge/>
            <w:tcBorders>
              <w:left w:val="single" w:sz="4" w:space="0" w:color="000000"/>
              <w:bottom w:val="single" w:sz="4" w:space="0" w:color="000000"/>
              <w:right w:val="single" w:sz="4" w:space="0" w:color="000000"/>
            </w:tcBorders>
            <w:shd w:val="clear" w:color="auto" w:fill="D2D2D2"/>
          </w:tcPr>
          <w:p>
            <w:pPr/>
          </w:p>
        </w:tc>
        <w:tc>
          <w:tcPr>
            <w:tcW w:w="662" w:type="dxa"/>
            <w:vMerge/>
            <w:tcBorders>
              <w:left w:val="single" w:sz="4" w:space="0" w:color="000000"/>
              <w:bottom w:val="single" w:sz="4" w:space="0" w:color="000000"/>
              <w:right w:val="single" w:sz="4" w:space="0" w:color="000000"/>
            </w:tcBorders>
            <w:shd w:val="clear" w:color="auto" w:fill="D2D2D2"/>
          </w:tcPr>
          <w:p>
            <w:pPr/>
          </w:p>
        </w:tc>
        <w:tc>
          <w:tcPr>
            <w:tcW w:w="667" w:type="dxa"/>
            <w:vMerge/>
            <w:tcBorders>
              <w:left w:val="single" w:sz="4" w:space="0" w:color="000000"/>
              <w:bottom w:val="single" w:sz="4" w:space="0" w:color="000000"/>
              <w:right w:val="single" w:sz="4" w:space="0" w:color="000000"/>
            </w:tcBorders>
            <w:shd w:val="clear" w:color="auto" w:fill="D2D2D2"/>
          </w:tcPr>
          <w:p>
            <w:pPr/>
          </w:p>
        </w:tc>
        <w:tc>
          <w:tcPr>
            <w:tcW w:w="667" w:type="dxa"/>
            <w:vMerge/>
            <w:tcBorders>
              <w:left w:val="single" w:sz="4" w:space="0" w:color="000000"/>
              <w:bottom w:val="single" w:sz="4" w:space="0" w:color="000000"/>
              <w:right w:val="single" w:sz="4" w:space="0" w:color="000000"/>
            </w:tcBorders>
            <w:shd w:val="clear" w:color="auto" w:fill="D2D2D2"/>
          </w:tcPr>
          <w:p>
            <w:pPr/>
          </w:p>
        </w:tc>
        <w:tc>
          <w:tcPr>
            <w:tcW w:w="662" w:type="dxa"/>
            <w:vMerge/>
            <w:tcBorders>
              <w:left w:val="single" w:sz="4" w:space="0" w:color="000000"/>
              <w:bottom w:val="single" w:sz="4" w:space="0" w:color="000000"/>
              <w:right w:val="single" w:sz="4" w:space="0" w:color="000000"/>
            </w:tcBorders>
            <w:shd w:val="clear" w:color="auto" w:fill="D2D2D2"/>
          </w:tcPr>
          <w:p>
            <w:pPr/>
          </w:p>
        </w:tc>
        <w:tc>
          <w:tcPr>
            <w:tcW w:w="662" w:type="dxa"/>
            <w:vMerge/>
            <w:tcBorders>
              <w:left w:val="single" w:sz="4" w:space="0" w:color="000000"/>
              <w:bottom w:val="single" w:sz="4" w:space="0" w:color="000000"/>
              <w:right w:val="single" w:sz="4" w:space="0" w:color="000000"/>
            </w:tcBorders>
            <w:shd w:val="clear" w:color="auto" w:fill="D2D2D2"/>
          </w:tcPr>
          <w:p>
            <w:pPr/>
          </w:p>
        </w:tc>
        <w:tc>
          <w:tcPr>
            <w:tcW w:w="667" w:type="dxa"/>
            <w:vMerge/>
            <w:tcBorders>
              <w:left w:val="single" w:sz="4" w:space="0" w:color="000000"/>
              <w:bottom w:val="single" w:sz="4" w:space="0" w:color="000000"/>
              <w:right w:val="single" w:sz="4" w:space="0" w:color="000000"/>
            </w:tcBorders>
            <w:shd w:val="clear" w:color="auto" w:fill="D2D2D2"/>
          </w:tcPr>
          <w:p>
            <w:pPr/>
          </w:p>
        </w:tc>
        <w:tc>
          <w:tcPr>
            <w:tcW w:w="662" w:type="dxa"/>
            <w:vMerge/>
            <w:tcBorders>
              <w:left w:val="single" w:sz="4" w:space="0" w:color="000000"/>
              <w:bottom w:val="single" w:sz="4" w:space="0" w:color="000000"/>
              <w:right w:val="single" w:sz="4" w:space="0" w:color="000000"/>
            </w:tcBorders>
            <w:shd w:val="clear" w:color="auto" w:fill="D2D2D2"/>
          </w:tcPr>
          <w:p>
            <w:pPr/>
          </w:p>
        </w:tc>
        <w:tc>
          <w:tcPr>
            <w:tcW w:w="662" w:type="dxa"/>
            <w:vMerge/>
            <w:tcBorders>
              <w:left w:val="single" w:sz="4" w:space="0" w:color="000000"/>
              <w:bottom w:val="single" w:sz="4" w:space="0" w:color="000000"/>
              <w:right w:val="single" w:sz="4" w:space="0" w:color="000000"/>
            </w:tcBorders>
            <w:shd w:val="clear" w:color="auto" w:fill="D2D2D2"/>
          </w:tcPr>
          <w:p>
            <w:pPr/>
          </w:p>
        </w:tc>
      </w:tr>
      <w:tr>
        <w:trPr>
          <w:trHeight w:val="317" w:hRule="exact"/>
        </w:trPr>
        <w:tc>
          <w:tcPr>
            <w:tcW w:w="141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10" w:space="0" w:color="D2D2D2"/>
              <w:right w:val="single" w:sz="4" w:space="0" w:color="000000"/>
            </w:tcBorders>
          </w:tcPr>
          <w:p>
            <w:pPr>
              <w:pStyle w:val="TableParagraph"/>
              <w:spacing w:line="240" w:lineRule="auto" w:before="96"/>
              <w:ind w:left="33" w:right="0"/>
              <w:jc w:val="left"/>
              <w:rPr>
                <w:rFonts w:ascii="Times New Roman" w:hAnsi="Times New Roman" w:cs="Times New Roman" w:eastAsia="Times New Roman" w:hint="default"/>
                <w:sz w:val="18"/>
                <w:szCs w:val="18"/>
              </w:rPr>
            </w:pPr>
            <w:r>
              <w:rPr>
                <w:rFonts w:ascii="Times New Roman"/>
                <w:sz w:val="18"/>
              </w:rPr>
              <w:t>298,18</w:t>
            </w:r>
          </w:p>
          <w:p>
            <w:pPr>
              <w:pStyle w:val="TableParagraph"/>
              <w:spacing w:line="240" w:lineRule="auto" w:before="100"/>
              <w:ind w:left="76" w:right="0"/>
              <w:jc w:val="left"/>
              <w:rPr>
                <w:rFonts w:ascii="Times New Roman" w:hAnsi="Times New Roman" w:cs="Times New Roman" w:eastAsia="Times New Roman" w:hint="default"/>
                <w:sz w:val="18"/>
                <w:szCs w:val="18"/>
              </w:rPr>
            </w:pPr>
            <w:r>
              <w:rPr>
                <w:rFonts w:ascii="Times New Roman"/>
                <w:sz w:val="18"/>
              </w:rPr>
              <w:t>6,000.</w:t>
            </w:r>
          </w:p>
          <w:p>
            <w:pPr>
              <w:pStyle w:val="TableParagraph"/>
              <w:spacing w:line="240" w:lineRule="auto" w:before="110"/>
              <w:ind w:left="345" w:right="0"/>
              <w:jc w:val="left"/>
              <w:rPr>
                <w:rFonts w:ascii="Times New Roman" w:hAnsi="Times New Roman" w:cs="Times New Roman" w:eastAsia="Times New Roman" w:hint="default"/>
                <w:sz w:val="18"/>
                <w:szCs w:val="18"/>
              </w:rPr>
            </w:pPr>
            <w:r>
              <w:rPr>
                <w:rFonts w:ascii="Times New Roman"/>
                <w:sz w:val="18"/>
              </w:rPr>
              <w:t>00</w:t>
            </w:r>
          </w:p>
        </w:tc>
        <w:tc>
          <w:tcPr>
            <w:tcW w:w="528" w:type="dxa"/>
            <w:vMerge w:val="restart"/>
            <w:tcBorders>
              <w:top w:val="single" w:sz="4" w:space="0" w:color="000000"/>
              <w:left w:val="single" w:sz="4" w:space="0" w:color="000000"/>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334,340</w:t>
            </w:r>
          </w:p>
          <w:p>
            <w:pPr>
              <w:pStyle w:val="TableParagraph"/>
              <w:spacing w:line="240" w:lineRule="auto" w:before="105"/>
              <w:ind w:left="86" w:right="0"/>
              <w:jc w:val="left"/>
              <w:rPr>
                <w:rFonts w:ascii="Times New Roman" w:hAnsi="Times New Roman" w:cs="Times New Roman" w:eastAsia="Times New Roman" w:hint="default"/>
                <w:sz w:val="18"/>
                <w:szCs w:val="18"/>
              </w:rPr>
            </w:pPr>
            <w:r>
              <w:rPr>
                <w:rFonts w:ascii="Times New Roman"/>
                <w:sz w:val="18"/>
              </w:rPr>
              <w:t>,738.20</w:t>
            </w: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35,550,</w:t>
            </w:r>
          </w:p>
          <w:p>
            <w:pPr>
              <w:pStyle w:val="TableParagraph"/>
              <w:spacing w:line="240" w:lineRule="auto" w:before="105"/>
              <w:ind w:left="129" w:right="0"/>
              <w:jc w:val="left"/>
              <w:rPr>
                <w:rFonts w:ascii="Times New Roman" w:hAnsi="Times New Roman" w:cs="Times New Roman" w:eastAsia="Times New Roman" w:hint="default"/>
                <w:sz w:val="18"/>
                <w:szCs w:val="18"/>
              </w:rPr>
            </w:pPr>
            <w:r>
              <w:rPr>
                <w:rFonts w:ascii="Times New Roman"/>
                <w:sz w:val="18"/>
              </w:rPr>
              <w:t>913.34</w:t>
            </w: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193,805</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,760.64</w:t>
            </w:r>
          </w:p>
        </w:tc>
        <w:tc>
          <w:tcPr>
            <w:tcW w:w="662"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95" w:right="0"/>
              <w:jc w:val="left"/>
              <w:rPr>
                <w:rFonts w:ascii="Times New Roman" w:hAnsi="Times New Roman" w:cs="Times New Roman" w:eastAsia="Times New Roman" w:hint="default"/>
                <w:sz w:val="18"/>
                <w:szCs w:val="18"/>
              </w:rPr>
            </w:pPr>
            <w:r>
              <w:rPr>
                <w:rFonts w:ascii="Times New Roman"/>
                <w:sz w:val="18"/>
              </w:rPr>
              <w:t>46,340,</w:t>
            </w:r>
          </w:p>
          <w:p>
            <w:pPr>
              <w:pStyle w:val="TableParagraph"/>
              <w:spacing w:line="240" w:lineRule="auto" w:before="105"/>
              <w:ind w:left="134" w:right="0"/>
              <w:jc w:val="left"/>
              <w:rPr>
                <w:rFonts w:ascii="Times New Roman" w:hAnsi="Times New Roman" w:cs="Times New Roman" w:eastAsia="Times New Roman" w:hint="default"/>
                <w:sz w:val="18"/>
                <w:szCs w:val="18"/>
              </w:rPr>
            </w:pPr>
            <w:r>
              <w:rPr>
                <w:rFonts w:ascii="Times New Roman"/>
                <w:sz w:val="18"/>
              </w:rPr>
              <w:t>566.59</w:t>
            </w:r>
          </w:p>
        </w:tc>
        <w:tc>
          <w:tcPr>
            <w:tcW w:w="662"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908,223</w:t>
            </w:r>
          </w:p>
          <w:p>
            <w:pPr>
              <w:pStyle w:val="TableParagraph"/>
              <w:spacing w:line="240" w:lineRule="auto" w:before="105"/>
              <w:ind w:left="86" w:right="0"/>
              <w:jc w:val="left"/>
              <w:rPr>
                <w:rFonts w:ascii="Times New Roman" w:hAnsi="Times New Roman" w:cs="Times New Roman" w:eastAsia="Times New Roman" w:hint="default"/>
                <w:sz w:val="18"/>
                <w:szCs w:val="18"/>
              </w:rPr>
            </w:pPr>
            <w:r>
              <w:rPr>
                <w:rFonts w:ascii="Times New Roman"/>
                <w:sz w:val="18"/>
              </w:rPr>
              <w:t>,978.77</w:t>
            </w:r>
          </w:p>
        </w:tc>
      </w:tr>
      <w:tr>
        <w:trPr>
          <w:trHeight w:val="389" w:hRule="exact"/>
        </w:trPr>
        <w:tc>
          <w:tcPr>
            <w:tcW w:w="14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4"/>
              <w:ind w:left="11" w:right="0"/>
              <w:jc w:val="left"/>
              <w:rPr>
                <w:rFonts w:ascii="宋体" w:hAnsi="宋体" w:cs="宋体" w:eastAsia="宋体" w:hint="default"/>
                <w:sz w:val="18"/>
                <w:szCs w:val="18"/>
              </w:rPr>
            </w:pPr>
            <w:r>
              <w:rPr>
                <w:rFonts w:ascii="宋体" w:hAnsi="宋体" w:cs="宋体" w:eastAsia="宋体" w:hint="default"/>
                <w:spacing w:val="-10"/>
                <w:sz w:val="18"/>
                <w:szCs w:val="18"/>
              </w:rPr>
              <w:t>一、上年期末余额</w:t>
            </w:r>
          </w:p>
        </w:tc>
        <w:tc>
          <w:tcPr>
            <w:tcW w:w="574" w:type="dxa"/>
            <w:vMerge/>
            <w:tcBorders>
              <w:left w:val="single" w:sz="10" w:space="0" w:color="D2D2D2"/>
              <w:right w:val="single" w:sz="4" w:space="0" w:color="000000"/>
            </w:tcBorders>
          </w:tcPr>
          <w:p>
            <w:pPr/>
          </w:p>
        </w:tc>
        <w:tc>
          <w:tcPr>
            <w:tcW w:w="528" w:type="dxa"/>
            <w:vMerge/>
            <w:tcBorders>
              <w:left w:val="single" w:sz="4" w:space="0" w:color="000000"/>
              <w:right w:val="single" w:sz="4" w:space="0" w:color="000000"/>
            </w:tcBorders>
          </w:tcPr>
          <w:p>
            <w:pPr/>
          </w:p>
        </w:tc>
        <w:tc>
          <w:tcPr>
            <w:tcW w:w="533" w:type="dxa"/>
            <w:vMerge/>
            <w:tcBorders>
              <w:left w:val="single" w:sz="4" w:space="0" w:color="000000"/>
              <w:right w:val="single" w:sz="4" w:space="0" w:color="000000"/>
            </w:tcBorders>
          </w:tcPr>
          <w:p>
            <w:pPr/>
          </w:p>
        </w:tc>
        <w:tc>
          <w:tcPr>
            <w:tcW w:w="533"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r>
      <w:tr>
        <w:trPr>
          <w:trHeight w:val="316" w:hRule="exact"/>
        </w:trPr>
        <w:tc>
          <w:tcPr>
            <w:tcW w:w="1416"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10" w:space="0" w:color="D2D2D2"/>
              <w:bottom w:val="single" w:sz="4" w:space="0" w:color="000000"/>
              <w:right w:val="single" w:sz="4" w:space="0" w:color="000000"/>
            </w:tcBorders>
          </w:tcPr>
          <w:p>
            <w:pPr/>
          </w:p>
        </w:tc>
        <w:tc>
          <w:tcPr>
            <w:tcW w:w="528" w:type="dxa"/>
            <w:vMerge/>
            <w:tcBorders>
              <w:left w:val="single" w:sz="4" w:space="0" w:color="000000"/>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r>
      <w:tr>
        <w:trPr>
          <w:trHeight w:val="715" w:hRule="exact"/>
        </w:trPr>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1" w:right="5" w:firstLine="360"/>
              <w:jc w:val="left"/>
              <w:rPr>
                <w:rFonts w:ascii="宋体" w:hAnsi="宋体" w:cs="宋体" w:eastAsia="宋体" w:hint="default"/>
                <w:sz w:val="18"/>
                <w:szCs w:val="18"/>
              </w:rPr>
            </w:pPr>
            <w:r>
              <w:rPr>
                <w:rFonts w:ascii="宋体" w:hAnsi="宋体" w:cs="宋体" w:eastAsia="宋体" w:hint="default"/>
                <w:spacing w:val="-12"/>
                <w:sz w:val="18"/>
                <w:szCs w:val="18"/>
              </w:rPr>
              <w:t>加：会计政策</w:t>
            </w:r>
            <w:r>
              <w:rPr>
                <w:rFonts w:ascii="宋体" w:hAnsi="宋体" w:cs="宋体" w:eastAsia="宋体" w:hint="default"/>
                <w:w w:val="101"/>
                <w:sz w:val="18"/>
                <w:szCs w:val="18"/>
              </w:rPr>
              <w:t> </w:t>
            </w:r>
            <w:r>
              <w:rPr>
                <w:rFonts w:ascii="宋体" w:hAnsi="宋体" w:cs="宋体" w:eastAsia="宋体" w:hint="default"/>
                <w:sz w:val="18"/>
                <w:szCs w:val="18"/>
              </w:rPr>
              <w:t>变更</w:t>
            </w:r>
          </w:p>
        </w:tc>
        <w:tc>
          <w:tcPr>
            <w:tcW w:w="574" w:type="dxa"/>
            <w:tcBorders>
              <w:top w:val="single" w:sz="4" w:space="0" w:color="000000"/>
              <w:left w:val="single" w:sz="10" w:space="0" w:color="D2D2D2"/>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81"/>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574" w:type="dxa"/>
            <w:tcBorders>
              <w:top w:val="single" w:sz="4" w:space="0" w:color="000000"/>
              <w:left w:val="single" w:sz="10" w:space="0" w:color="D2D2D2"/>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130" w:firstLine="720"/>
              <w:jc w:val="left"/>
              <w:rPr>
                <w:rFonts w:ascii="宋体" w:hAnsi="宋体" w:cs="宋体" w:eastAsia="宋体" w:hint="default"/>
                <w:sz w:val="18"/>
                <w:szCs w:val="18"/>
              </w:rPr>
            </w:pPr>
            <w:r>
              <w:rPr>
                <w:rFonts w:ascii="宋体" w:hAnsi="宋体" w:cs="宋体" w:eastAsia="宋体" w:hint="default"/>
                <w:sz w:val="18"/>
                <w:szCs w:val="18"/>
              </w:rPr>
              <w:t>同一控</w:t>
            </w:r>
            <w:r>
              <w:rPr>
                <w:rFonts w:ascii="宋体" w:hAnsi="宋体" w:cs="宋体" w:eastAsia="宋体" w:hint="default"/>
                <w:w w:val="101"/>
                <w:sz w:val="18"/>
                <w:szCs w:val="18"/>
              </w:rPr>
              <w:t> </w:t>
            </w:r>
            <w:r>
              <w:rPr>
                <w:rFonts w:ascii="宋体" w:hAnsi="宋体" w:cs="宋体" w:eastAsia="宋体" w:hint="default"/>
                <w:sz w:val="18"/>
                <w:szCs w:val="18"/>
              </w:rPr>
              <w:t>制下企业合并</w:t>
            </w:r>
          </w:p>
        </w:tc>
        <w:tc>
          <w:tcPr>
            <w:tcW w:w="574" w:type="dxa"/>
            <w:tcBorders>
              <w:top w:val="single" w:sz="4" w:space="0" w:color="000000"/>
              <w:left w:val="single" w:sz="10" w:space="0" w:color="D2D2D2"/>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74" w:type="dxa"/>
            <w:tcBorders>
              <w:top w:val="single" w:sz="4" w:space="0" w:color="000000"/>
              <w:left w:val="single" w:sz="10" w:space="0" w:color="D2D2D2"/>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316" w:hRule="exact"/>
        </w:trPr>
        <w:tc>
          <w:tcPr>
            <w:tcW w:w="141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10" w:space="0" w:color="D2D2D2"/>
              <w:right w:val="single" w:sz="4" w:space="0" w:color="000000"/>
            </w:tcBorders>
          </w:tcPr>
          <w:p>
            <w:pPr>
              <w:pStyle w:val="TableParagraph"/>
              <w:spacing w:line="240" w:lineRule="auto" w:before="96"/>
              <w:ind w:left="33" w:right="0"/>
              <w:jc w:val="left"/>
              <w:rPr>
                <w:rFonts w:ascii="Times New Roman" w:hAnsi="Times New Roman" w:cs="Times New Roman" w:eastAsia="Times New Roman" w:hint="default"/>
                <w:sz w:val="18"/>
                <w:szCs w:val="18"/>
              </w:rPr>
            </w:pPr>
            <w:r>
              <w:rPr>
                <w:rFonts w:ascii="Times New Roman"/>
                <w:sz w:val="18"/>
              </w:rPr>
              <w:t>298,18</w:t>
            </w:r>
          </w:p>
          <w:p>
            <w:pPr>
              <w:pStyle w:val="TableParagraph"/>
              <w:spacing w:line="240" w:lineRule="auto" w:before="105"/>
              <w:ind w:left="76" w:right="0"/>
              <w:jc w:val="left"/>
              <w:rPr>
                <w:rFonts w:ascii="Times New Roman" w:hAnsi="Times New Roman" w:cs="Times New Roman" w:eastAsia="Times New Roman" w:hint="default"/>
                <w:sz w:val="18"/>
                <w:szCs w:val="18"/>
              </w:rPr>
            </w:pPr>
            <w:r>
              <w:rPr>
                <w:rFonts w:ascii="Times New Roman"/>
                <w:sz w:val="18"/>
              </w:rPr>
              <w:t>6,000.</w:t>
            </w:r>
          </w:p>
          <w:p>
            <w:pPr>
              <w:pStyle w:val="TableParagraph"/>
              <w:spacing w:line="240" w:lineRule="auto" w:before="110"/>
              <w:ind w:left="345" w:right="0"/>
              <w:jc w:val="left"/>
              <w:rPr>
                <w:rFonts w:ascii="Times New Roman" w:hAnsi="Times New Roman" w:cs="Times New Roman" w:eastAsia="Times New Roman" w:hint="default"/>
                <w:sz w:val="18"/>
                <w:szCs w:val="18"/>
              </w:rPr>
            </w:pPr>
            <w:r>
              <w:rPr>
                <w:rFonts w:ascii="Times New Roman"/>
                <w:sz w:val="18"/>
              </w:rPr>
              <w:t>00</w:t>
            </w:r>
          </w:p>
        </w:tc>
        <w:tc>
          <w:tcPr>
            <w:tcW w:w="528" w:type="dxa"/>
            <w:vMerge w:val="restart"/>
            <w:tcBorders>
              <w:top w:val="single" w:sz="4" w:space="0" w:color="000000"/>
              <w:left w:val="single" w:sz="4" w:space="0" w:color="000000"/>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334,340</w:t>
            </w:r>
          </w:p>
          <w:p>
            <w:pPr>
              <w:pStyle w:val="TableParagraph"/>
              <w:spacing w:line="240" w:lineRule="auto" w:before="110"/>
              <w:ind w:left="86" w:right="0"/>
              <w:jc w:val="left"/>
              <w:rPr>
                <w:rFonts w:ascii="Times New Roman" w:hAnsi="Times New Roman" w:cs="Times New Roman" w:eastAsia="Times New Roman" w:hint="default"/>
                <w:sz w:val="18"/>
                <w:szCs w:val="18"/>
              </w:rPr>
            </w:pPr>
            <w:r>
              <w:rPr>
                <w:rFonts w:ascii="Times New Roman"/>
                <w:sz w:val="18"/>
              </w:rPr>
              <w:t>,738.20</w:t>
            </w: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35,550,</w:t>
            </w:r>
          </w:p>
          <w:p>
            <w:pPr>
              <w:pStyle w:val="TableParagraph"/>
              <w:spacing w:line="240" w:lineRule="auto" w:before="110"/>
              <w:ind w:left="129" w:right="0"/>
              <w:jc w:val="left"/>
              <w:rPr>
                <w:rFonts w:ascii="Times New Roman" w:hAnsi="Times New Roman" w:cs="Times New Roman" w:eastAsia="Times New Roman" w:hint="default"/>
                <w:sz w:val="18"/>
                <w:szCs w:val="18"/>
              </w:rPr>
            </w:pPr>
            <w:r>
              <w:rPr>
                <w:rFonts w:ascii="Times New Roman"/>
                <w:sz w:val="18"/>
              </w:rPr>
              <w:t>913.34</w:t>
            </w: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193,805</w:t>
            </w:r>
          </w:p>
          <w:p>
            <w:pPr>
              <w:pStyle w:val="TableParagraph"/>
              <w:spacing w:line="240" w:lineRule="auto" w:before="110"/>
              <w:ind w:left="91" w:right="0"/>
              <w:jc w:val="left"/>
              <w:rPr>
                <w:rFonts w:ascii="Times New Roman" w:hAnsi="Times New Roman" w:cs="Times New Roman" w:eastAsia="Times New Roman" w:hint="default"/>
                <w:sz w:val="18"/>
                <w:szCs w:val="18"/>
              </w:rPr>
            </w:pPr>
            <w:r>
              <w:rPr>
                <w:rFonts w:ascii="Times New Roman"/>
                <w:sz w:val="18"/>
              </w:rPr>
              <w:t>,760.64</w:t>
            </w:r>
          </w:p>
        </w:tc>
        <w:tc>
          <w:tcPr>
            <w:tcW w:w="662"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95" w:right="0"/>
              <w:jc w:val="left"/>
              <w:rPr>
                <w:rFonts w:ascii="Times New Roman" w:hAnsi="Times New Roman" w:cs="Times New Roman" w:eastAsia="Times New Roman" w:hint="default"/>
                <w:sz w:val="18"/>
                <w:szCs w:val="18"/>
              </w:rPr>
            </w:pPr>
            <w:r>
              <w:rPr>
                <w:rFonts w:ascii="Times New Roman"/>
                <w:sz w:val="18"/>
              </w:rPr>
              <w:t>46,340,</w:t>
            </w:r>
          </w:p>
          <w:p>
            <w:pPr>
              <w:pStyle w:val="TableParagraph"/>
              <w:spacing w:line="240" w:lineRule="auto" w:before="110"/>
              <w:ind w:left="134" w:right="0"/>
              <w:jc w:val="left"/>
              <w:rPr>
                <w:rFonts w:ascii="Times New Roman" w:hAnsi="Times New Roman" w:cs="Times New Roman" w:eastAsia="Times New Roman" w:hint="default"/>
                <w:sz w:val="18"/>
                <w:szCs w:val="18"/>
              </w:rPr>
            </w:pPr>
            <w:r>
              <w:rPr>
                <w:rFonts w:ascii="Times New Roman"/>
                <w:sz w:val="18"/>
              </w:rPr>
              <w:t>566.59</w:t>
            </w:r>
          </w:p>
        </w:tc>
        <w:tc>
          <w:tcPr>
            <w:tcW w:w="662"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908,223</w:t>
            </w:r>
          </w:p>
          <w:p>
            <w:pPr>
              <w:pStyle w:val="TableParagraph"/>
              <w:spacing w:line="240" w:lineRule="auto" w:before="110"/>
              <w:ind w:left="86" w:right="0"/>
              <w:jc w:val="left"/>
              <w:rPr>
                <w:rFonts w:ascii="Times New Roman" w:hAnsi="Times New Roman" w:cs="Times New Roman" w:eastAsia="Times New Roman" w:hint="default"/>
                <w:sz w:val="18"/>
                <w:szCs w:val="18"/>
              </w:rPr>
            </w:pPr>
            <w:r>
              <w:rPr>
                <w:rFonts w:ascii="Times New Roman"/>
                <w:sz w:val="18"/>
              </w:rPr>
              <w:t>,978.77</w:t>
            </w:r>
          </w:p>
        </w:tc>
      </w:tr>
      <w:tr>
        <w:trPr>
          <w:trHeight w:val="394" w:hRule="exact"/>
        </w:trPr>
        <w:tc>
          <w:tcPr>
            <w:tcW w:w="14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4"/>
              <w:ind w:left="11" w:right="0"/>
              <w:jc w:val="left"/>
              <w:rPr>
                <w:rFonts w:ascii="宋体" w:hAnsi="宋体" w:cs="宋体" w:eastAsia="宋体" w:hint="default"/>
                <w:sz w:val="18"/>
                <w:szCs w:val="18"/>
              </w:rPr>
            </w:pPr>
            <w:r>
              <w:rPr>
                <w:rFonts w:ascii="宋体" w:hAnsi="宋体" w:cs="宋体" w:eastAsia="宋体" w:hint="default"/>
                <w:spacing w:val="-10"/>
                <w:sz w:val="18"/>
                <w:szCs w:val="18"/>
              </w:rPr>
              <w:t>二、本年期初余额</w:t>
            </w:r>
          </w:p>
        </w:tc>
        <w:tc>
          <w:tcPr>
            <w:tcW w:w="574" w:type="dxa"/>
            <w:vMerge/>
            <w:tcBorders>
              <w:left w:val="single" w:sz="10" w:space="0" w:color="D2D2D2"/>
              <w:right w:val="single" w:sz="4" w:space="0" w:color="000000"/>
            </w:tcBorders>
          </w:tcPr>
          <w:p>
            <w:pPr/>
          </w:p>
        </w:tc>
        <w:tc>
          <w:tcPr>
            <w:tcW w:w="528" w:type="dxa"/>
            <w:vMerge/>
            <w:tcBorders>
              <w:left w:val="single" w:sz="4" w:space="0" w:color="000000"/>
              <w:right w:val="single" w:sz="4" w:space="0" w:color="000000"/>
            </w:tcBorders>
          </w:tcPr>
          <w:p>
            <w:pPr/>
          </w:p>
        </w:tc>
        <w:tc>
          <w:tcPr>
            <w:tcW w:w="533" w:type="dxa"/>
            <w:vMerge/>
            <w:tcBorders>
              <w:left w:val="single" w:sz="4" w:space="0" w:color="000000"/>
              <w:right w:val="single" w:sz="4" w:space="0" w:color="000000"/>
            </w:tcBorders>
          </w:tcPr>
          <w:p>
            <w:pPr/>
          </w:p>
        </w:tc>
        <w:tc>
          <w:tcPr>
            <w:tcW w:w="533"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r>
      <w:tr>
        <w:trPr>
          <w:trHeight w:val="317" w:hRule="exact"/>
        </w:trPr>
        <w:tc>
          <w:tcPr>
            <w:tcW w:w="1416"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10" w:space="0" w:color="D2D2D2"/>
              <w:bottom w:val="single" w:sz="4" w:space="0" w:color="000000"/>
              <w:right w:val="single" w:sz="4" w:space="0" w:color="000000"/>
            </w:tcBorders>
          </w:tcPr>
          <w:p>
            <w:pPr/>
          </w:p>
        </w:tc>
        <w:tc>
          <w:tcPr>
            <w:tcW w:w="528" w:type="dxa"/>
            <w:vMerge/>
            <w:tcBorders>
              <w:left w:val="single" w:sz="4" w:space="0" w:color="000000"/>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r>
      <w:tr>
        <w:trPr>
          <w:trHeight w:val="1027" w:hRule="exact"/>
        </w:trPr>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1" w:right="5"/>
              <w:jc w:val="left"/>
              <w:rPr>
                <w:rFonts w:ascii="宋体" w:hAnsi="宋体" w:cs="宋体" w:eastAsia="宋体" w:hint="default"/>
                <w:sz w:val="18"/>
                <w:szCs w:val="18"/>
              </w:rPr>
            </w:pPr>
            <w:r>
              <w:rPr>
                <w:rFonts w:ascii="宋体" w:hAnsi="宋体" w:cs="宋体" w:eastAsia="宋体" w:hint="default"/>
                <w:spacing w:val="-10"/>
                <w:sz w:val="18"/>
                <w:szCs w:val="18"/>
              </w:rPr>
              <w:t>三、本期增减变动</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pacing w:val="-21"/>
                <w:w w:val="101"/>
                <w:sz w:val="18"/>
                <w:szCs w:val="18"/>
              </w:rPr>
              <w:t>金额（减少以“－</w:t>
            </w:r>
            <w:r>
              <w:rPr>
                <w:rFonts w:ascii="宋体" w:hAnsi="宋体" w:cs="宋体" w:eastAsia="宋体" w:hint="default"/>
                <w:spacing w:val="-88"/>
                <w:w w:val="101"/>
                <w:sz w:val="18"/>
                <w:szCs w:val="18"/>
              </w:rPr>
              <w:t> </w:t>
            </w:r>
            <w:r>
              <w:rPr>
                <w:rFonts w:ascii="宋体" w:hAnsi="宋体" w:cs="宋体" w:eastAsia="宋体" w:hint="default"/>
                <w:spacing w:val="-88"/>
                <w:w w:val="101"/>
                <w:sz w:val="18"/>
                <w:szCs w:val="18"/>
              </w:rPr>
            </w:r>
            <w:r>
              <w:rPr>
                <w:rFonts w:ascii="宋体" w:hAnsi="宋体" w:cs="宋体" w:eastAsia="宋体" w:hint="default"/>
                <w:sz w:val="18"/>
                <w:szCs w:val="18"/>
              </w:rPr>
              <w:t>号填列）</w:t>
            </w:r>
          </w:p>
        </w:tc>
        <w:tc>
          <w:tcPr>
            <w:tcW w:w="57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116" w:right="0"/>
              <w:jc w:val="left"/>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71" w:right="0"/>
              <w:jc w:val="center"/>
              <w:rPr>
                <w:rFonts w:ascii="Times New Roman" w:hAnsi="Times New Roman" w:cs="Times New Roman" w:eastAsia="Times New Roman" w:hint="default"/>
                <w:sz w:val="18"/>
                <w:szCs w:val="18"/>
              </w:rPr>
            </w:pPr>
            <w:r>
              <w:rPr>
                <w:rFonts w:ascii="Times New Roman"/>
                <w:sz w:val="18"/>
              </w:rPr>
              <w:t>3,776,8</w:t>
            </w:r>
          </w:p>
          <w:p>
            <w:pPr>
              <w:pStyle w:val="TableParagraph"/>
              <w:spacing w:line="240" w:lineRule="auto" w:before="110"/>
              <w:ind w:left="196" w:right="0"/>
              <w:jc w:val="center"/>
              <w:rPr>
                <w:rFonts w:ascii="Times New Roman" w:hAnsi="Times New Roman" w:cs="Times New Roman" w:eastAsia="Times New Roman" w:hint="default"/>
                <w:sz w:val="18"/>
                <w:szCs w:val="18"/>
              </w:rPr>
            </w:pPr>
            <w:r>
              <w:rPr>
                <w:rFonts w:ascii="Times New Roman"/>
                <w:sz w:val="18"/>
              </w:rPr>
              <w:t>23.31</w:t>
            </w: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76" w:right="0"/>
              <w:jc w:val="center"/>
              <w:rPr>
                <w:rFonts w:ascii="Times New Roman" w:hAnsi="Times New Roman" w:cs="Times New Roman" w:eastAsia="Times New Roman" w:hint="default"/>
                <w:sz w:val="18"/>
                <w:szCs w:val="18"/>
              </w:rPr>
            </w:pPr>
            <w:r>
              <w:rPr>
                <w:rFonts w:ascii="Times New Roman"/>
                <w:sz w:val="18"/>
              </w:rPr>
              <w:t>5,396,6</w:t>
            </w:r>
          </w:p>
          <w:p>
            <w:pPr>
              <w:pStyle w:val="TableParagraph"/>
              <w:spacing w:line="240" w:lineRule="auto" w:before="110"/>
              <w:ind w:left="206" w:right="0"/>
              <w:jc w:val="center"/>
              <w:rPr>
                <w:rFonts w:ascii="Times New Roman" w:hAnsi="Times New Roman" w:cs="Times New Roman" w:eastAsia="Times New Roman" w:hint="default"/>
                <w:sz w:val="18"/>
                <w:szCs w:val="18"/>
              </w:rPr>
            </w:pPr>
            <w:r>
              <w:rPr>
                <w:rFonts w:ascii="Times New Roman"/>
                <w:sz w:val="18"/>
              </w:rPr>
              <w:t>97.11</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129,312</w:t>
            </w:r>
          </w:p>
          <w:p>
            <w:pPr>
              <w:pStyle w:val="TableParagraph"/>
              <w:spacing w:line="240" w:lineRule="auto" w:before="110"/>
              <w:ind w:left="91" w:right="0"/>
              <w:jc w:val="left"/>
              <w:rPr>
                <w:rFonts w:ascii="Times New Roman" w:hAnsi="Times New Roman" w:cs="Times New Roman" w:eastAsia="Times New Roman" w:hint="default"/>
                <w:sz w:val="18"/>
                <w:szCs w:val="18"/>
              </w:rPr>
            </w:pPr>
            <w:r>
              <w:rPr>
                <w:rFonts w:ascii="Times New Roman"/>
                <w:sz w:val="18"/>
              </w:rPr>
              <w:t>,101.81</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138,485</w:t>
            </w:r>
          </w:p>
          <w:p>
            <w:pPr>
              <w:pStyle w:val="TableParagraph"/>
              <w:spacing w:line="240" w:lineRule="auto" w:before="110"/>
              <w:ind w:left="86" w:right="0"/>
              <w:jc w:val="left"/>
              <w:rPr>
                <w:rFonts w:ascii="Times New Roman" w:hAnsi="Times New Roman" w:cs="Times New Roman" w:eastAsia="Times New Roman" w:hint="default"/>
                <w:sz w:val="18"/>
                <w:szCs w:val="18"/>
              </w:rPr>
            </w:pPr>
            <w:r>
              <w:rPr>
                <w:rFonts w:ascii="Times New Roman"/>
                <w:sz w:val="18"/>
              </w:rPr>
              <w:t>,622.23</w:t>
            </w:r>
          </w:p>
        </w:tc>
      </w:tr>
      <w:tr>
        <w:trPr>
          <w:trHeight w:val="364" w:hRule="exact"/>
        </w:trPr>
        <w:tc>
          <w:tcPr>
            <w:tcW w:w="1416"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10"/>
                <w:sz w:val="18"/>
                <w:szCs w:val="18"/>
              </w:rPr>
              <w:t>（一）综合收益总</w:t>
            </w:r>
          </w:p>
        </w:tc>
        <w:tc>
          <w:tcPr>
            <w:tcW w:w="574" w:type="dxa"/>
            <w:vMerge w:val="restart"/>
            <w:tcBorders>
              <w:top w:val="single" w:sz="4" w:space="0" w:color="000000"/>
              <w:left w:val="single" w:sz="10" w:space="0" w:color="D2D2D2"/>
              <w:right w:val="single" w:sz="4" w:space="0" w:color="000000"/>
            </w:tcBorders>
          </w:tcPr>
          <w:p>
            <w:pPr/>
          </w:p>
        </w:tc>
        <w:tc>
          <w:tcPr>
            <w:tcW w:w="528" w:type="dxa"/>
            <w:vMerge w:val="restart"/>
            <w:tcBorders>
              <w:top w:val="single" w:sz="4" w:space="0" w:color="000000"/>
              <w:left w:val="single" w:sz="4" w:space="0" w:color="000000"/>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9,173,5</w:t>
            </w:r>
          </w:p>
        </w:tc>
        <w:tc>
          <w:tcPr>
            <w:tcW w:w="66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7,787,3</w:t>
            </w:r>
          </w:p>
        </w:tc>
        <w:tc>
          <w:tcPr>
            <w:tcW w:w="66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2"/>
                <w:sz w:val="18"/>
              </w:rPr>
              <w:t>16,960,</w:t>
            </w:r>
          </w:p>
        </w:tc>
      </w:tr>
      <w:tr>
        <w:trPr>
          <w:trHeight w:val="351" w:hRule="exact"/>
        </w:trPr>
        <w:tc>
          <w:tcPr>
            <w:tcW w:w="141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6"/>
              <w:ind w:left="11" w:right="0"/>
              <w:jc w:val="left"/>
              <w:rPr>
                <w:rFonts w:ascii="宋体" w:hAnsi="宋体" w:cs="宋体" w:eastAsia="宋体" w:hint="default"/>
                <w:sz w:val="18"/>
                <w:szCs w:val="18"/>
              </w:rPr>
            </w:pPr>
            <w:r>
              <w:rPr>
                <w:rFonts w:ascii="宋体" w:hAnsi="宋体" w:cs="宋体" w:eastAsia="宋体" w:hint="default"/>
                <w:w w:val="101"/>
                <w:sz w:val="18"/>
                <w:szCs w:val="18"/>
              </w:rPr>
              <w:t>额</w:t>
            </w:r>
            <w:r>
              <w:rPr>
                <w:rFonts w:ascii="宋体" w:hAnsi="宋体" w:cs="宋体" w:eastAsia="宋体" w:hint="default"/>
                <w:sz w:val="18"/>
                <w:szCs w:val="18"/>
              </w:rPr>
            </w:r>
          </w:p>
        </w:tc>
        <w:tc>
          <w:tcPr>
            <w:tcW w:w="574" w:type="dxa"/>
            <w:vMerge/>
            <w:tcBorders>
              <w:left w:val="single" w:sz="10" w:space="0" w:color="D2D2D2"/>
              <w:bottom w:val="single" w:sz="4" w:space="0" w:color="000000"/>
              <w:right w:val="single" w:sz="4" w:space="0" w:color="000000"/>
            </w:tcBorders>
          </w:tcPr>
          <w:p>
            <w:pPr/>
          </w:p>
        </w:tc>
        <w:tc>
          <w:tcPr>
            <w:tcW w:w="528" w:type="dxa"/>
            <w:vMerge/>
            <w:tcBorders>
              <w:left w:val="single" w:sz="4" w:space="0" w:color="000000"/>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20.42</w:t>
            </w:r>
          </w:p>
        </w:tc>
        <w:tc>
          <w:tcPr>
            <w:tcW w:w="6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53.94</w:t>
            </w:r>
          </w:p>
        </w:tc>
        <w:tc>
          <w:tcPr>
            <w:tcW w:w="6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874.36</w:t>
            </w:r>
          </w:p>
        </w:tc>
      </w:tr>
      <w:tr>
        <w:trPr>
          <w:trHeight w:val="364" w:hRule="exact"/>
        </w:trPr>
        <w:tc>
          <w:tcPr>
            <w:tcW w:w="1416"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10"/>
                <w:sz w:val="18"/>
                <w:szCs w:val="18"/>
              </w:rPr>
              <w:t>（二）所有者投入</w:t>
            </w:r>
          </w:p>
        </w:tc>
        <w:tc>
          <w:tcPr>
            <w:tcW w:w="574" w:type="dxa"/>
            <w:vMerge w:val="restart"/>
            <w:tcBorders>
              <w:top w:val="single" w:sz="4" w:space="0" w:color="000000"/>
              <w:left w:val="single" w:sz="10" w:space="0" w:color="D2D2D2"/>
              <w:right w:val="single" w:sz="4" w:space="0" w:color="000000"/>
            </w:tcBorders>
          </w:tcPr>
          <w:p>
            <w:pPr/>
          </w:p>
        </w:tc>
        <w:tc>
          <w:tcPr>
            <w:tcW w:w="528" w:type="dxa"/>
            <w:vMerge w:val="restart"/>
            <w:tcBorders>
              <w:top w:val="single" w:sz="4" w:space="0" w:color="000000"/>
              <w:left w:val="single" w:sz="4" w:space="0" w:color="000000"/>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128,773</w:t>
            </w:r>
          </w:p>
        </w:tc>
        <w:tc>
          <w:tcPr>
            <w:tcW w:w="66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128,773</w:t>
            </w:r>
          </w:p>
        </w:tc>
      </w:tr>
      <w:tr>
        <w:trPr>
          <w:trHeight w:val="346" w:hRule="exact"/>
        </w:trPr>
        <w:tc>
          <w:tcPr>
            <w:tcW w:w="141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6"/>
              <w:ind w:left="11" w:right="0"/>
              <w:jc w:val="left"/>
              <w:rPr>
                <w:rFonts w:ascii="宋体" w:hAnsi="宋体" w:cs="宋体" w:eastAsia="宋体" w:hint="default"/>
                <w:sz w:val="18"/>
                <w:szCs w:val="18"/>
              </w:rPr>
            </w:pPr>
            <w:r>
              <w:rPr>
                <w:rFonts w:ascii="宋体" w:hAnsi="宋体" w:cs="宋体" w:eastAsia="宋体" w:hint="default"/>
                <w:sz w:val="18"/>
                <w:szCs w:val="18"/>
              </w:rPr>
              <w:t>和减少资本</w:t>
            </w:r>
          </w:p>
        </w:tc>
        <w:tc>
          <w:tcPr>
            <w:tcW w:w="574" w:type="dxa"/>
            <w:vMerge/>
            <w:tcBorders>
              <w:left w:val="single" w:sz="10" w:space="0" w:color="D2D2D2"/>
              <w:bottom w:val="single" w:sz="4" w:space="0" w:color="000000"/>
              <w:right w:val="single" w:sz="4" w:space="0" w:color="000000"/>
            </w:tcBorders>
          </w:tcPr>
          <w:p>
            <w:pPr/>
          </w:p>
        </w:tc>
        <w:tc>
          <w:tcPr>
            <w:tcW w:w="528" w:type="dxa"/>
            <w:vMerge/>
            <w:tcBorders>
              <w:left w:val="single" w:sz="4" w:space="0" w:color="000000"/>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,718.16</w:t>
            </w:r>
          </w:p>
        </w:tc>
        <w:tc>
          <w:tcPr>
            <w:tcW w:w="6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,718.16</w:t>
            </w:r>
          </w:p>
        </w:tc>
      </w:tr>
      <w:tr>
        <w:trPr>
          <w:trHeight w:val="367" w:hRule="exact"/>
        </w:trPr>
        <w:tc>
          <w:tcPr>
            <w:tcW w:w="1416"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w:t>
            </w:r>
          </w:p>
        </w:tc>
        <w:tc>
          <w:tcPr>
            <w:tcW w:w="574" w:type="dxa"/>
            <w:vMerge w:val="restart"/>
            <w:tcBorders>
              <w:top w:val="single" w:sz="4" w:space="0" w:color="000000"/>
              <w:left w:val="single" w:sz="10" w:space="0" w:color="D2D2D2"/>
              <w:right w:val="single" w:sz="4" w:space="0" w:color="000000"/>
            </w:tcBorders>
          </w:tcPr>
          <w:p>
            <w:pPr/>
          </w:p>
        </w:tc>
        <w:tc>
          <w:tcPr>
            <w:tcW w:w="528" w:type="dxa"/>
            <w:vMerge w:val="restart"/>
            <w:tcBorders>
              <w:top w:val="single" w:sz="4" w:space="0" w:color="000000"/>
              <w:left w:val="single" w:sz="4" w:space="0" w:color="000000"/>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128,773</w:t>
            </w:r>
          </w:p>
        </w:tc>
        <w:tc>
          <w:tcPr>
            <w:tcW w:w="66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128,773</w:t>
            </w:r>
          </w:p>
        </w:tc>
      </w:tr>
      <w:tr>
        <w:trPr>
          <w:trHeight w:val="349" w:hRule="exact"/>
        </w:trPr>
        <w:tc>
          <w:tcPr>
            <w:tcW w:w="141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8"/>
              <w:ind w:left="11" w:right="0"/>
              <w:jc w:val="left"/>
              <w:rPr>
                <w:rFonts w:ascii="宋体" w:hAnsi="宋体" w:cs="宋体" w:eastAsia="宋体" w:hint="default"/>
                <w:sz w:val="18"/>
                <w:szCs w:val="18"/>
              </w:rPr>
            </w:pPr>
            <w:r>
              <w:rPr>
                <w:rFonts w:ascii="宋体" w:hAnsi="宋体" w:cs="宋体" w:eastAsia="宋体" w:hint="default"/>
                <w:sz w:val="18"/>
                <w:szCs w:val="18"/>
              </w:rPr>
              <w:t>通股</w:t>
            </w:r>
          </w:p>
        </w:tc>
        <w:tc>
          <w:tcPr>
            <w:tcW w:w="574" w:type="dxa"/>
            <w:vMerge/>
            <w:tcBorders>
              <w:left w:val="single" w:sz="10" w:space="0" w:color="D2D2D2"/>
              <w:bottom w:val="single" w:sz="4" w:space="0" w:color="000000"/>
              <w:right w:val="single" w:sz="4" w:space="0" w:color="000000"/>
            </w:tcBorders>
          </w:tcPr>
          <w:p>
            <w:pPr/>
          </w:p>
        </w:tc>
        <w:tc>
          <w:tcPr>
            <w:tcW w:w="528" w:type="dxa"/>
            <w:vMerge/>
            <w:tcBorders>
              <w:left w:val="single" w:sz="4" w:space="0" w:color="000000"/>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spacing w:val="-1"/>
                <w:sz w:val="18"/>
              </w:rPr>
              <w:t>,718.16</w:t>
            </w:r>
          </w:p>
        </w:tc>
        <w:tc>
          <w:tcPr>
            <w:tcW w:w="6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,718.16</w:t>
            </w:r>
          </w:p>
        </w:tc>
      </w:tr>
      <w:tr>
        <w:trPr>
          <w:trHeight w:val="715" w:hRule="exact"/>
        </w:trPr>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11" w:right="38"/>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．其他权益工具</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3"/>
                <w:sz w:val="18"/>
                <w:szCs w:val="18"/>
              </w:rPr>
              <w:t>持有者投入资本</w:t>
            </w:r>
          </w:p>
        </w:tc>
        <w:tc>
          <w:tcPr>
            <w:tcW w:w="574" w:type="dxa"/>
            <w:tcBorders>
              <w:top w:val="single" w:sz="4" w:space="0" w:color="000000"/>
              <w:left w:val="single" w:sz="10" w:space="0" w:color="D2D2D2"/>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1416"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w:t>
            </w:r>
          </w:p>
        </w:tc>
        <w:tc>
          <w:tcPr>
            <w:tcW w:w="574" w:type="dxa"/>
            <w:vMerge w:val="restart"/>
            <w:tcBorders>
              <w:top w:val="single" w:sz="4" w:space="0" w:color="000000"/>
              <w:left w:val="single" w:sz="10" w:space="0" w:color="D2D2D2"/>
              <w:right w:val="single" w:sz="4" w:space="0" w:color="000000"/>
            </w:tcBorders>
          </w:tcPr>
          <w:p>
            <w:pPr/>
          </w:p>
        </w:tc>
        <w:tc>
          <w:tcPr>
            <w:tcW w:w="528" w:type="dxa"/>
            <w:vMerge w:val="restart"/>
            <w:tcBorders>
              <w:top w:val="single" w:sz="4" w:space="0" w:color="000000"/>
              <w:left w:val="single" w:sz="4" w:space="0" w:color="000000"/>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r>
      <w:tr>
        <w:trPr>
          <w:trHeight w:val="307" w:hRule="exact"/>
        </w:trPr>
        <w:tc>
          <w:tcPr>
            <w:tcW w:w="14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
              <w:ind w:left="11" w:right="0"/>
              <w:jc w:val="left"/>
              <w:rPr>
                <w:rFonts w:ascii="宋体" w:hAnsi="宋体" w:cs="宋体" w:eastAsia="宋体" w:hint="default"/>
                <w:sz w:val="18"/>
                <w:szCs w:val="18"/>
              </w:rPr>
            </w:pPr>
            <w:r>
              <w:rPr>
                <w:rFonts w:ascii="宋体" w:hAnsi="宋体" w:cs="宋体" w:eastAsia="宋体" w:hint="default"/>
                <w:spacing w:val="-3"/>
                <w:sz w:val="18"/>
                <w:szCs w:val="18"/>
              </w:rPr>
              <w:t>所有者权益的金</w:t>
            </w:r>
          </w:p>
        </w:tc>
        <w:tc>
          <w:tcPr>
            <w:tcW w:w="574" w:type="dxa"/>
            <w:vMerge/>
            <w:tcBorders>
              <w:left w:val="single" w:sz="10" w:space="0" w:color="D2D2D2"/>
              <w:right w:val="single" w:sz="4" w:space="0" w:color="000000"/>
            </w:tcBorders>
          </w:tcPr>
          <w:p>
            <w:pPr/>
          </w:p>
        </w:tc>
        <w:tc>
          <w:tcPr>
            <w:tcW w:w="528" w:type="dxa"/>
            <w:vMerge/>
            <w:tcBorders>
              <w:left w:val="single" w:sz="4" w:space="0" w:color="000000"/>
              <w:right w:val="single" w:sz="4" w:space="0" w:color="000000"/>
            </w:tcBorders>
          </w:tcPr>
          <w:p>
            <w:pPr/>
          </w:p>
        </w:tc>
        <w:tc>
          <w:tcPr>
            <w:tcW w:w="533" w:type="dxa"/>
            <w:vMerge/>
            <w:tcBorders>
              <w:left w:val="single" w:sz="4" w:space="0" w:color="000000"/>
              <w:right w:val="single" w:sz="4" w:space="0" w:color="000000"/>
            </w:tcBorders>
          </w:tcPr>
          <w:p>
            <w:pPr/>
          </w:p>
        </w:tc>
        <w:tc>
          <w:tcPr>
            <w:tcW w:w="533"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r>
      <w:tr>
        <w:trPr>
          <w:trHeight w:val="358" w:hRule="exact"/>
        </w:trPr>
        <w:tc>
          <w:tcPr>
            <w:tcW w:w="141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3"/>
              <w:ind w:left="11" w:right="0"/>
              <w:jc w:val="left"/>
              <w:rPr>
                <w:rFonts w:ascii="宋体" w:hAnsi="宋体" w:cs="宋体" w:eastAsia="宋体" w:hint="default"/>
                <w:sz w:val="18"/>
                <w:szCs w:val="18"/>
              </w:rPr>
            </w:pPr>
            <w:r>
              <w:rPr>
                <w:rFonts w:ascii="宋体" w:hAnsi="宋体" w:cs="宋体" w:eastAsia="宋体" w:hint="default"/>
                <w:w w:val="101"/>
                <w:sz w:val="18"/>
                <w:szCs w:val="18"/>
              </w:rPr>
              <w:t>额</w:t>
            </w:r>
            <w:r>
              <w:rPr>
                <w:rFonts w:ascii="宋体" w:hAnsi="宋体" w:cs="宋体" w:eastAsia="宋体" w:hint="default"/>
                <w:sz w:val="18"/>
                <w:szCs w:val="18"/>
              </w:rPr>
            </w:r>
          </w:p>
        </w:tc>
        <w:tc>
          <w:tcPr>
            <w:tcW w:w="574" w:type="dxa"/>
            <w:vMerge/>
            <w:tcBorders>
              <w:left w:val="single" w:sz="10" w:space="0" w:color="D2D2D2"/>
              <w:bottom w:val="single" w:sz="4" w:space="0" w:color="000000"/>
              <w:right w:val="single" w:sz="4" w:space="0" w:color="000000"/>
            </w:tcBorders>
          </w:tcPr>
          <w:p>
            <w:pPr/>
          </w:p>
        </w:tc>
        <w:tc>
          <w:tcPr>
            <w:tcW w:w="528" w:type="dxa"/>
            <w:vMerge/>
            <w:tcBorders>
              <w:left w:val="single" w:sz="4" w:space="0" w:color="000000"/>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r>
      <w:tr>
        <w:trPr>
          <w:trHeight w:val="398" w:hRule="exact"/>
        </w:trPr>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74" w:type="dxa"/>
            <w:tcBorders>
              <w:top w:val="single" w:sz="4" w:space="0" w:color="000000"/>
              <w:left w:val="single" w:sz="10" w:space="0" w:color="D2D2D2"/>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158" w:hRule="exact"/>
        </w:trPr>
        <w:tc>
          <w:tcPr>
            <w:tcW w:w="141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10" w:space="0" w:color="D2D2D2"/>
              <w:right w:val="single" w:sz="4" w:space="0" w:color="000000"/>
            </w:tcBorders>
          </w:tcPr>
          <w:p>
            <w:pPr/>
          </w:p>
        </w:tc>
        <w:tc>
          <w:tcPr>
            <w:tcW w:w="528" w:type="dxa"/>
            <w:vMerge w:val="restart"/>
            <w:tcBorders>
              <w:top w:val="single" w:sz="4" w:space="0" w:color="000000"/>
              <w:left w:val="single" w:sz="4" w:space="0" w:color="000000"/>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Style w:val="TableParagraph"/>
              <w:spacing w:line="240" w:lineRule="auto" w:before="96"/>
              <w:ind w:left="91" w:right="0"/>
              <w:jc w:val="left"/>
              <w:rPr>
                <w:rFonts w:ascii="Times New Roman" w:hAnsi="Times New Roman" w:cs="Times New Roman" w:eastAsia="Times New Roman" w:hint="default"/>
                <w:sz w:val="18"/>
                <w:szCs w:val="18"/>
              </w:rPr>
            </w:pPr>
            <w:r>
              <w:rPr>
                <w:rFonts w:ascii="Times New Roman"/>
                <w:sz w:val="18"/>
              </w:rPr>
              <w:t>3,776,8</w:t>
            </w: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Style w:val="TableParagraph"/>
              <w:spacing w:line="240" w:lineRule="auto" w:before="96"/>
              <w:ind w:left="33" w:right="0"/>
              <w:jc w:val="left"/>
              <w:rPr>
                <w:rFonts w:ascii="Times New Roman" w:hAnsi="Times New Roman" w:cs="Times New Roman" w:eastAsia="Times New Roman" w:hint="default"/>
                <w:sz w:val="18"/>
                <w:szCs w:val="18"/>
              </w:rPr>
            </w:pPr>
            <w:r>
              <w:rPr>
                <w:rFonts w:ascii="Times New Roman"/>
                <w:sz w:val="18"/>
              </w:rPr>
              <w:t>-3,776,8</w:t>
            </w:r>
          </w:p>
        </w:tc>
        <w:tc>
          <w:tcPr>
            <w:tcW w:w="662" w:type="dxa"/>
            <w:vMerge w:val="restart"/>
            <w:tcBorders>
              <w:top w:val="single" w:sz="4" w:space="0" w:color="000000"/>
              <w:left w:val="single" w:sz="4" w:space="0" w:color="000000"/>
              <w:right w:val="single" w:sz="4" w:space="0" w:color="000000"/>
            </w:tcBorders>
          </w:tcPr>
          <w:p>
            <w:pPr>
              <w:pStyle w:val="TableParagraph"/>
              <w:spacing w:line="240" w:lineRule="auto" w:before="96"/>
              <w:ind w:left="33" w:right="0"/>
              <w:jc w:val="left"/>
              <w:rPr>
                <w:rFonts w:ascii="Times New Roman" w:hAnsi="Times New Roman" w:cs="Times New Roman" w:eastAsia="Times New Roman" w:hint="default"/>
                <w:sz w:val="18"/>
                <w:szCs w:val="18"/>
              </w:rPr>
            </w:pPr>
            <w:r>
              <w:rPr>
                <w:rFonts w:ascii="Times New Roman"/>
                <w:sz w:val="18"/>
              </w:rPr>
              <w:t>-7,248,9</w:t>
            </w:r>
          </w:p>
        </w:tc>
        <w:tc>
          <w:tcPr>
            <w:tcW w:w="662" w:type="dxa"/>
            <w:vMerge w:val="restart"/>
            <w:tcBorders>
              <w:top w:val="single" w:sz="4" w:space="0" w:color="000000"/>
              <w:left w:val="single" w:sz="4" w:space="0" w:color="000000"/>
              <w:right w:val="single" w:sz="4" w:space="0" w:color="000000"/>
            </w:tcBorders>
          </w:tcPr>
          <w:p>
            <w:pPr>
              <w:pStyle w:val="TableParagraph"/>
              <w:spacing w:line="240" w:lineRule="auto" w:before="96"/>
              <w:ind w:left="28" w:right="0"/>
              <w:jc w:val="left"/>
              <w:rPr>
                <w:rFonts w:ascii="Times New Roman" w:hAnsi="Times New Roman" w:cs="Times New Roman" w:eastAsia="Times New Roman" w:hint="default"/>
                <w:sz w:val="18"/>
                <w:szCs w:val="18"/>
              </w:rPr>
            </w:pPr>
            <w:r>
              <w:rPr>
                <w:rFonts w:ascii="Times New Roman"/>
                <w:sz w:val="18"/>
              </w:rPr>
              <w:t>-7,248,9</w:t>
            </w:r>
          </w:p>
        </w:tc>
      </w:tr>
      <w:tr>
        <w:trPr>
          <w:trHeight w:val="213" w:hRule="exact"/>
        </w:trPr>
        <w:tc>
          <w:tcPr>
            <w:tcW w:w="141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1" w:right="0"/>
              <w:jc w:val="left"/>
              <w:rPr>
                <w:rFonts w:ascii="宋体" w:hAnsi="宋体" w:cs="宋体" w:eastAsia="宋体" w:hint="default"/>
                <w:sz w:val="18"/>
                <w:szCs w:val="18"/>
              </w:rPr>
            </w:pPr>
            <w:r>
              <w:rPr>
                <w:rFonts w:ascii="宋体" w:hAnsi="宋体" w:cs="宋体" w:eastAsia="宋体" w:hint="default"/>
                <w:spacing w:val="-3"/>
                <w:sz w:val="18"/>
                <w:szCs w:val="18"/>
              </w:rPr>
              <w:t>（三）利润分配</w:t>
            </w:r>
          </w:p>
        </w:tc>
        <w:tc>
          <w:tcPr>
            <w:tcW w:w="574" w:type="dxa"/>
            <w:vMerge/>
            <w:tcBorders>
              <w:left w:val="single" w:sz="10" w:space="0" w:color="D2D2D2"/>
              <w:right w:val="single" w:sz="4" w:space="0" w:color="000000"/>
            </w:tcBorders>
          </w:tcPr>
          <w:p>
            <w:pPr/>
          </w:p>
        </w:tc>
        <w:tc>
          <w:tcPr>
            <w:tcW w:w="528" w:type="dxa"/>
            <w:vMerge/>
            <w:tcBorders>
              <w:left w:val="single" w:sz="4" w:space="0" w:color="000000"/>
              <w:right w:val="single" w:sz="4" w:space="0" w:color="000000"/>
            </w:tcBorders>
          </w:tcPr>
          <w:p>
            <w:pPr/>
          </w:p>
        </w:tc>
        <w:tc>
          <w:tcPr>
            <w:tcW w:w="533" w:type="dxa"/>
            <w:vMerge/>
            <w:tcBorders>
              <w:left w:val="single" w:sz="4" w:space="0" w:color="000000"/>
              <w:right w:val="single" w:sz="4" w:space="0" w:color="000000"/>
            </w:tcBorders>
          </w:tcPr>
          <w:p>
            <w:pPr/>
          </w:p>
        </w:tc>
        <w:tc>
          <w:tcPr>
            <w:tcW w:w="533"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2" w:type="dxa"/>
            <w:vMerge/>
            <w:tcBorders>
              <w:left w:val="single" w:sz="4" w:space="0" w:color="000000"/>
              <w:bottom w:val="nil" w:sz="6" w:space="0" w:color="auto"/>
              <w:right w:val="single" w:sz="4" w:space="0" w:color="000000"/>
            </w:tcBorders>
          </w:tcPr>
          <w:p>
            <w:pPr/>
          </w:p>
        </w:tc>
        <w:tc>
          <w:tcPr>
            <w:tcW w:w="662" w:type="dxa"/>
            <w:vMerge/>
            <w:tcBorders>
              <w:left w:val="single" w:sz="4" w:space="0" w:color="000000"/>
              <w:right w:val="single" w:sz="4" w:space="0" w:color="000000"/>
            </w:tcBorders>
          </w:tcPr>
          <w:p>
            <w:pPr/>
          </w:p>
        </w:tc>
        <w:tc>
          <w:tcPr>
            <w:tcW w:w="667" w:type="dxa"/>
            <w:vMerge/>
            <w:tcBorders>
              <w:left w:val="single" w:sz="4" w:space="0" w:color="000000"/>
              <w:bottom w:val="nil" w:sz="6" w:space="0" w:color="auto"/>
              <w:right w:val="single" w:sz="4" w:space="0" w:color="000000"/>
            </w:tcBorders>
          </w:tcPr>
          <w:p>
            <w:pPr/>
          </w:p>
        </w:tc>
        <w:tc>
          <w:tcPr>
            <w:tcW w:w="662" w:type="dxa"/>
            <w:vMerge/>
            <w:tcBorders>
              <w:left w:val="single" w:sz="4" w:space="0" w:color="000000"/>
              <w:bottom w:val="nil" w:sz="6" w:space="0" w:color="auto"/>
              <w:right w:val="single" w:sz="4" w:space="0" w:color="000000"/>
            </w:tcBorders>
          </w:tcPr>
          <w:p>
            <w:pPr/>
          </w:p>
        </w:tc>
        <w:tc>
          <w:tcPr>
            <w:tcW w:w="662" w:type="dxa"/>
            <w:vMerge/>
            <w:tcBorders>
              <w:left w:val="single" w:sz="4" w:space="0" w:color="000000"/>
              <w:bottom w:val="nil" w:sz="6" w:space="0" w:color="auto"/>
              <w:right w:val="single" w:sz="4" w:space="0" w:color="000000"/>
            </w:tcBorders>
          </w:tcPr>
          <w:p>
            <w:pPr/>
          </w:p>
        </w:tc>
      </w:tr>
      <w:tr>
        <w:trPr>
          <w:trHeight w:val="180" w:hRule="exact"/>
        </w:trPr>
        <w:tc>
          <w:tcPr>
            <w:tcW w:w="1416" w:type="dxa"/>
            <w:vMerge/>
            <w:tcBorders>
              <w:left w:val="single" w:sz="4" w:space="0" w:color="000000"/>
              <w:bottom w:val="nil" w:sz="6" w:space="0" w:color="auto"/>
              <w:right w:val="single" w:sz="4" w:space="0" w:color="000000"/>
            </w:tcBorders>
            <w:shd w:val="clear" w:color="auto" w:fill="D2D2D2"/>
          </w:tcPr>
          <w:p>
            <w:pPr/>
          </w:p>
        </w:tc>
        <w:tc>
          <w:tcPr>
            <w:tcW w:w="574" w:type="dxa"/>
            <w:vMerge/>
            <w:tcBorders>
              <w:left w:val="single" w:sz="10" w:space="0" w:color="D2D2D2"/>
              <w:right w:val="single" w:sz="4" w:space="0" w:color="000000"/>
            </w:tcBorders>
          </w:tcPr>
          <w:p>
            <w:pPr/>
          </w:p>
        </w:tc>
        <w:tc>
          <w:tcPr>
            <w:tcW w:w="528" w:type="dxa"/>
            <w:vMerge/>
            <w:tcBorders>
              <w:left w:val="single" w:sz="4" w:space="0" w:color="000000"/>
              <w:right w:val="single" w:sz="4" w:space="0" w:color="000000"/>
            </w:tcBorders>
          </w:tcPr>
          <w:p>
            <w:pPr/>
          </w:p>
        </w:tc>
        <w:tc>
          <w:tcPr>
            <w:tcW w:w="533" w:type="dxa"/>
            <w:vMerge/>
            <w:tcBorders>
              <w:left w:val="single" w:sz="4" w:space="0" w:color="000000"/>
              <w:right w:val="single" w:sz="4" w:space="0" w:color="000000"/>
            </w:tcBorders>
          </w:tcPr>
          <w:p>
            <w:pPr/>
          </w:p>
        </w:tc>
        <w:tc>
          <w:tcPr>
            <w:tcW w:w="533"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2" w:type="dxa"/>
            <w:vMerge w:val="restart"/>
            <w:tcBorders>
              <w:top w:val="nil" w:sz="6" w:space="0" w:color="auto"/>
              <w:left w:val="single" w:sz="4" w:space="0" w:color="000000"/>
              <w:right w:val="single" w:sz="4" w:space="0" w:color="000000"/>
            </w:tcBorders>
          </w:tcPr>
          <w:p>
            <w:pPr>
              <w:pStyle w:val="TableParagraph"/>
              <w:spacing w:line="240" w:lineRule="auto" w:before="46"/>
              <w:ind w:left="220" w:right="0"/>
              <w:jc w:val="left"/>
              <w:rPr>
                <w:rFonts w:ascii="Times New Roman" w:hAnsi="Times New Roman" w:cs="Times New Roman" w:eastAsia="Times New Roman" w:hint="default"/>
                <w:sz w:val="18"/>
                <w:szCs w:val="18"/>
              </w:rPr>
            </w:pPr>
            <w:r>
              <w:rPr>
                <w:rFonts w:ascii="Times New Roman"/>
                <w:sz w:val="18"/>
              </w:rPr>
              <w:t>23.31</w:t>
            </w:r>
          </w:p>
        </w:tc>
        <w:tc>
          <w:tcPr>
            <w:tcW w:w="662" w:type="dxa"/>
            <w:vMerge/>
            <w:tcBorders>
              <w:left w:val="single" w:sz="4" w:space="0" w:color="000000"/>
              <w:right w:val="single" w:sz="4" w:space="0" w:color="000000"/>
            </w:tcBorders>
          </w:tcPr>
          <w:p>
            <w:pPr/>
          </w:p>
        </w:tc>
        <w:tc>
          <w:tcPr>
            <w:tcW w:w="667" w:type="dxa"/>
            <w:vMerge w:val="restart"/>
            <w:tcBorders>
              <w:top w:val="nil" w:sz="6" w:space="0" w:color="auto"/>
              <w:left w:val="single" w:sz="4" w:space="0" w:color="000000"/>
              <w:right w:val="single" w:sz="4" w:space="0" w:color="000000"/>
            </w:tcBorders>
          </w:tcPr>
          <w:p>
            <w:pPr>
              <w:pStyle w:val="TableParagraph"/>
              <w:spacing w:line="240" w:lineRule="auto" w:before="46"/>
              <w:ind w:left="225" w:right="0"/>
              <w:jc w:val="left"/>
              <w:rPr>
                <w:rFonts w:ascii="Times New Roman" w:hAnsi="Times New Roman" w:cs="Times New Roman" w:eastAsia="Times New Roman" w:hint="default"/>
                <w:sz w:val="18"/>
                <w:szCs w:val="18"/>
              </w:rPr>
            </w:pPr>
            <w:r>
              <w:rPr>
                <w:rFonts w:ascii="Times New Roman"/>
                <w:sz w:val="18"/>
              </w:rPr>
              <w:t>23.31</w:t>
            </w:r>
          </w:p>
        </w:tc>
        <w:tc>
          <w:tcPr>
            <w:tcW w:w="662" w:type="dxa"/>
            <w:vMerge w:val="restart"/>
            <w:tcBorders>
              <w:top w:val="nil" w:sz="6" w:space="0" w:color="auto"/>
              <w:left w:val="single" w:sz="4" w:space="0" w:color="000000"/>
              <w:right w:val="single" w:sz="4" w:space="0" w:color="000000"/>
            </w:tcBorders>
          </w:tcPr>
          <w:p>
            <w:pPr>
              <w:pStyle w:val="TableParagraph"/>
              <w:spacing w:line="240" w:lineRule="auto" w:before="46"/>
              <w:ind w:left="225" w:right="0"/>
              <w:jc w:val="left"/>
              <w:rPr>
                <w:rFonts w:ascii="Times New Roman" w:hAnsi="Times New Roman" w:cs="Times New Roman" w:eastAsia="Times New Roman" w:hint="default"/>
                <w:sz w:val="18"/>
                <w:szCs w:val="18"/>
              </w:rPr>
            </w:pPr>
            <w:r>
              <w:rPr>
                <w:rFonts w:ascii="Times New Roman"/>
                <w:sz w:val="18"/>
              </w:rPr>
              <w:t>70.29</w:t>
            </w:r>
          </w:p>
        </w:tc>
        <w:tc>
          <w:tcPr>
            <w:tcW w:w="662" w:type="dxa"/>
            <w:vMerge w:val="restart"/>
            <w:tcBorders>
              <w:top w:val="nil" w:sz="6" w:space="0" w:color="auto"/>
              <w:left w:val="single" w:sz="4" w:space="0" w:color="000000"/>
              <w:right w:val="single" w:sz="4" w:space="0" w:color="000000"/>
            </w:tcBorders>
          </w:tcPr>
          <w:p>
            <w:pPr>
              <w:pStyle w:val="TableParagraph"/>
              <w:spacing w:line="240" w:lineRule="auto" w:before="46"/>
              <w:ind w:left="220" w:right="0"/>
              <w:jc w:val="left"/>
              <w:rPr>
                <w:rFonts w:ascii="Times New Roman" w:hAnsi="Times New Roman" w:cs="Times New Roman" w:eastAsia="Times New Roman" w:hint="default"/>
                <w:sz w:val="18"/>
                <w:szCs w:val="18"/>
              </w:rPr>
            </w:pPr>
            <w:r>
              <w:rPr>
                <w:rFonts w:ascii="Times New Roman"/>
                <w:sz w:val="18"/>
              </w:rPr>
              <w:t>70.29</w:t>
            </w:r>
          </w:p>
        </w:tc>
      </w:tr>
      <w:tr>
        <w:trPr>
          <w:trHeight w:val="163" w:hRule="exact"/>
        </w:trPr>
        <w:tc>
          <w:tcPr>
            <w:tcW w:w="1416"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10" w:space="0" w:color="D2D2D2"/>
              <w:bottom w:val="single" w:sz="4" w:space="0" w:color="000000"/>
              <w:right w:val="single" w:sz="4" w:space="0" w:color="000000"/>
            </w:tcBorders>
          </w:tcPr>
          <w:p>
            <w:pPr/>
          </w:p>
        </w:tc>
        <w:tc>
          <w:tcPr>
            <w:tcW w:w="528" w:type="dxa"/>
            <w:vMerge/>
            <w:tcBorders>
              <w:left w:val="single" w:sz="4" w:space="0" w:color="000000"/>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r>
      <w:tr>
        <w:trPr>
          <w:trHeight w:val="159" w:hRule="exact"/>
        </w:trPr>
        <w:tc>
          <w:tcPr>
            <w:tcW w:w="141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10" w:space="0" w:color="D2D2D2"/>
              <w:right w:val="single" w:sz="4" w:space="0" w:color="000000"/>
            </w:tcBorders>
          </w:tcPr>
          <w:p>
            <w:pPr/>
          </w:p>
        </w:tc>
        <w:tc>
          <w:tcPr>
            <w:tcW w:w="528" w:type="dxa"/>
            <w:vMerge w:val="restart"/>
            <w:tcBorders>
              <w:top w:val="single" w:sz="4" w:space="0" w:color="000000"/>
              <w:left w:val="single" w:sz="4" w:space="0" w:color="000000"/>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Style w:val="TableParagraph"/>
              <w:spacing w:line="240" w:lineRule="auto" w:before="96"/>
              <w:ind w:left="91" w:right="0"/>
              <w:jc w:val="left"/>
              <w:rPr>
                <w:rFonts w:ascii="Times New Roman" w:hAnsi="Times New Roman" w:cs="Times New Roman" w:eastAsia="Times New Roman" w:hint="default"/>
                <w:sz w:val="18"/>
                <w:szCs w:val="18"/>
              </w:rPr>
            </w:pPr>
            <w:r>
              <w:rPr>
                <w:rFonts w:ascii="Times New Roman"/>
                <w:sz w:val="18"/>
              </w:rPr>
              <w:t>3,776,8</w:t>
            </w: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Style w:val="TableParagraph"/>
              <w:spacing w:line="240" w:lineRule="auto" w:before="96"/>
              <w:ind w:left="33" w:right="0"/>
              <w:jc w:val="left"/>
              <w:rPr>
                <w:rFonts w:ascii="Times New Roman" w:hAnsi="Times New Roman" w:cs="Times New Roman" w:eastAsia="Times New Roman" w:hint="default"/>
                <w:sz w:val="18"/>
                <w:szCs w:val="18"/>
              </w:rPr>
            </w:pPr>
            <w:r>
              <w:rPr>
                <w:rFonts w:ascii="Times New Roman"/>
                <w:sz w:val="18"/>
              </w:rPr>
              <w:t>-3,776,8</w:t>
            </w:r>
          </w:p>
        </w:tc>
        <w:tc>
          <w:tcPr>
            <w:tcW w:w="662"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r>
      <w:tr>
        <w:trPr>
          <w:trHeight w:val="213" w:hRule="exact"/>
        </w:trPr>
        <w:tc>
          <w:tcPr>
            <w:tcW w:w="141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74" w:type="dxa"/>
            <w:vMerge/>
            <w:tcBorders>
              <w:left w:val="single" w:sz="10" w:space="0" w:color="D2D2D2"/>
              <w:right w:val="single" w:sz="4" w:space="0" w:color="000000"/>
            </w:tcBorders>
          </w:tcPr>
          <w:p>
            <w:pPr/>
          </w:p>
        </w:tc>
        <w:tc>
          <w:tcPr>
            <w:tcW w:w="528" w:type="dxa"/>
            <w:vMerge/>
            <w:tcBorders>
              <w:left w:val="single" w:sz="4" w:space="0" w:color="000000"/>
              <w:right w:val="single" w:sz="4" w:space="0" w:color="000000"/>
            </w:tcBorders>
          </w:tcPr>
          <w:p>
            <w:pPr/>
          </w:p>
        </w:tc>
        <w:tc>
          <w:tcPr>
            <w:tcW w:w="533" w:type="dxa"/>
            <w:vMerge/>
            <w:tcBorders>
              <w:left w:val="single" w:sz="4" w:space="0" w:color="000000"/>
              <w:right w:val="single" w:sz="4" w:space="0" w:color="000000"/>
            </w:tcBorders>
          </w:tcPr>
          <w:p>
            <w:pPr/>
          </w:p>
        </w:tc>
        <w:tc>
          <w:tcPr>
            <w:tcW w:w="533"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2" w:type="dxa"/>
            <w:vMerge/>
            <w:tcBorders>
              <w:left w:val="single" w:sz="4" w:space="0" w:color="000000"/>
              <w:bottom w:val="nil" w:sz="6" w:space="0" w:color="auto"/>
              <w:right w:val="single" w:sz="4" w:space="0" w:color="000000"/>
            </w:tcBorders>
          </w:tcPr>
          <w:p>
            <w:pPr/>
          </w:p>
        </w:tc>
        <w:tc>
          <w:tcPr>
            <w:tcW w:w="662" w:type="dxa"/>
            <w:vMerge/>
            <w:tcBorders>
              <w:left w:val="single" w:sz="4" w:space="0" w:color="000000"/>
              <w:right w:val="single" w:sz="4" w:space="0" w:color="000000"/>
            </w:tcBorders>
          </w:tcPr>
          <w:p>
            <w:pPr/>
          </w:p>
        </w:tc>
        <w:tc>
          <w:tcPr>
            <w:tcW w:w="667" w:type="dxa"/>
            <w:vMerge/>
            <w:tcBorders>
              <w:left w:val="single" w:sz="4" w:space="0" w:color="000000"/>
              <w:bottom w:val="nil" w:sz="6" w:space="0" w:color="auto"/>
              <w:right w:val="single" w:sz="4" w:space="0" w:color="000000"/>
            </w:tcBorders>
          </w:tcPr>
          <w:p>
            <w:pPr/>
          </w:p>
        </w:tc>
        <w:tc>
          <w:tcPr>
            <w:tcW w:w="662"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r>
      <w:tr>
        <w:trPr>
          <w:trHeight w:val="181" w:hRule="exact"/>
        </w:trPr>
        <w:tc>
          <w:tcPr>
            <w:tcW w:w="1416" w:type="dxa"/>
            <w:vMerge/>
            <w:tcBorders>
              <w:left w:val="single" w:sz="4" w:space="0" w:color="000000"/>
              <w:bottom w:val="nil" w:sz="6" w:space="0" w:color="auto"/>
              <w:right w:val="single" w:sz="4" w:space="0" w:color="000000"/>
            </w:tcBorders>
            <w:shd w:val="clear" w:color="auto" w:fill="D2D2D2"/>
          </w:tcPr>
          <w:p>
            <w:pPr/>
          </w:p>
        </w:tc>
        <w:tc>
          <w:tcPr>
            <w:tcW w:w="574" w:type="dxa"/>
            <w:vMerge/>
            <w:tcBorders>
              <w:left w:val="single" w:sz="10" w:space="0" w:color="D2D2D2"/>
              <w:right w:val="single" w:sz="4" w:space="0" w:color="000000"/>
            </w:tcBorders>
          </w:tcPr>
          <w:p>
            <w:pPr/>
          </w:p>
        </w:tc>
        <w:tc>
          <w:tcPr>
            <w:tcW w:w="528" w:type="dxa"/>
            <w:vMerge/>
            <w:tcBorders>
              <w:left w:val="single" w:sz="4" w:space="0" w:color="000000"/>
              <w:right w:val="single" w:sz="4" w:space="0" w:color="000000"/>
            </w:tcBorders>
          </w:tcPr>
          <w:p>
            <w:pPr/>
          </w:p>
        </w:tc>
        <w:tc>
          <w:tcPr>
            <w:tcW w:w="533" w:type="dxa"/>
            <w:vMerge/>
            <w:tcBorders>
              <w:left w:val="single" w:sz="4" w:space="0" w:color="000000"/>
              <w:right w:val="single" w:sz="4" w:space="0" w:color="000000"/>
            </w:tcBorders>
          </w:tcPr>
          <w:p>
            <w:pPr/>
          </w:p>
        </w:tc>
        <w:tc>
          <w:tcPr>
            <w:tcW w:w="533"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2" w:type="dxa"/>
            <w:vMerge w:val="restart"/>
            <w:tcBorders>
              <w:top w:val="nil" w:sz="6" w:space="0" w:color="auto"/>
              <w:left w:val="single" w:sz="4" w:space="0" w:color="000000"/>
              <w:right w:val="single" w:sz="4" w:space="0" w:color="000000"/>
            </w:tcBorders>
          </w:tcPr>
          <w:p>
            <w:pPr>
              <w:pStyle w:val="TableParagraph"/>
              <w:spacing w:line="240" w:lineRule="auto" w:before="46"/>
              <w:ind w:left="220" w:right="0"/>
              <w:jc w:val="left"/>
              <w:rPr>
                <w:rFonts w:ascii="Times New Roman" w:hAnsi="Times New Roman" w:cs="Times New Roman" w:eastAsia="Times New Roman" w:hint="default"/>
                <w:sz w:val="18"/>
                <w:szCs w:val="18"/>
              </w:rPr>
            </w:pPr>
            <w:r>
              <w:rPr>
                <w:rFonts w:ascii="Times New Roman"/>
                <w:sz w:val="18"/>
              </w:rPr>
              <w:t>23.31</w:t>
            </w:r>
          </w:p>
        </w:tc>
        <w:tc>
          <w:tcPr>
            <w:tcW w:w="662" w:type="dxa"/>
            <w:vMerge/>
            <w:tcBorders>
              <w:left w:val="single" w:sz="4" w:space="0" w:color="000000"/>
              <w:right w:val="single" w:sz="4" w:space="0" w:color="000000"/>
            </w:tcBorders>
          </w:tcPr>
          <w:p>
            <w:pPr/>
          </w:p>
        </w:tc>
        <w:tc>
          <w:tcPr>
            <w:tcW w:w="667" w:type="dxa"/>
            <w:vMerge w:val="restart"/>
            <w:tcBorders>
              <w:top w:val="nil" w:sz="6" w:space="0" w:color="auto"/>
              <w:left w:val="single" w:sz="4" w:space="0" w:color="000000"/>
              <w:right w:val="single" w:sz="4" w:space="0" w:color="000000"/>
            </w:tcBorders>
          </w:tcPr>
          <w:p>
            <w:pPr>
              <w:pStyle w:val="TableParagraph"/>
              <w:spacing w:line="240" w:lineRule="auto" w:before="46"/>
              <w:ind w:left="225" w:right="0"/>
              <w:jc w:val="left"/>
              <w:rPr>
                <w:rFonts w:ascii="Times New Roman" w:hAnsi="Times New Roman" w:cs="Times New Roman" w:eastAsia="Times New Roman" w:hint="default"/>
                <w:sz w:val="18"/>
                <w:szCs w:val="18"/>
              </w:rPr>
            </w:pPr>
            <w:r>
              <w:rPr>
                <w:rFonts w:ascii="Times New Roman"/>
                <w:sz w:val="18"/>
              </w:rPr>
              <w:t>23.31</w:t>
            </w:r>
          </w:p>
        </w:tc>
        <w:tc>
          <w:tcPr>
            <w:tcW w:w="662"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r>
      <w:tr>
        <w:trPr>
          <w:trHeight w:val="163" w:hRule="exact"/>
        </w:trPr>
        <w:tc>
          <w:tcPr>
            <w:tcW w:w="1416"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10" w:space="0" w:color="D2D2D2"/>
              <w:bottom w:val="single" w:sz="4" w:space="0" w:color="000000"/>
              <w:right w:val="single" w:sz="4" w:space="0" w:color="000000"/>
            </w:tcBorders>
          </w:tcPr>
          <w:p>
            <w:pPr/>
          </w:p>
        </w:tc>
        <w:tc>
          <w:tcPr>
            <w:tcW w:w="528" w:type="dxa"/>
            <w:vMerge/>
            <w:tcBorders>
              <w:left w:val="single" w:sz="4" w:space="0" w:color="000000"/>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r>
      <w:tr>
        <w:trPr>
          <w:trHeight w:val="715" w:hRule="exact"/>
        </w:trPr>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1" w:right="38"/>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．提取一般风险</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准备</w:t>
            </w:r>
          </w:p>
        </w:tc>
        <w:tc>
          <w:tcPr>
            <w:tcW w:w="574" w:type="dxa"/>
            <w:tcBorders>
              <w:top w:val="single" w:sz="4" w:space="0" w:color="000000"/>
              <w:left w:val="single" w:sz="10" w:space="0" w:color="D2D2D2"/>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364" w:hRule="exact"/>
        </w:trPr>
        <w:tc>
          <w:tcPr>
            <w:tcW w:w="1416"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w:t>
            </w:r>
          </w:p>
        </w:tc>
        <w:tc>
          <w:tcPr>
            <w:tcW w:w="574" w:type="dxa"/>
            <w:vMerge w:val="restart"/>
            <w:tcBorders>
              <w:top w:val="single" w:sz="4" w:space="0" w:color="000000"/>
              <w:left w:val="single" w:sz="10" w:space="0" w:color="D2D2D2"/>
              <w:right w:val="single" w:sz="4" w:space="0" w:color="000000"/>
            </w:tcBorders>
          </w:tcPr>
          <w:p>
            <w:pPr/>
          </w:p>
        </w:tc>
        <w:tc>
          <w:tcPr>
            <w:tcW w:w="528" w:type="dxa"/>
            <w:vMerge w:val="restart"/>
            <w:tcBorders>
              <w:top w:val="single" w:sz="4" w:space="0" w:color="000000"/>
              <w:left w:val="single" w:sz="4" w:space="0" w:color="000000"/>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pacing w:val="-1"/>
                <w:sz w:val="18"/>
              </w:rPr>
              <w:t>-7,248,9</w:t>
            </w:r>
          </w:p>
        </w:tc>
        <w:tc>
          <w:tcPr>
            <w:tcW w:w="66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-7,248,9</w:t>
            </w:r>
          </w:p>
        </w:tc>
      </w:tr>
      <w:tr>
        <w:trPr>
          <w:trHeight w:val="346" w:hRule="exact"/>
        </w:trPr>
        <w:tc>
          <w:tcPr>
            <w:tcW w:w="141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6"/>
              <w:ind w:left="11" w:right="0"/>
              <w:jc w:val="left"/>
              <w:rPr>
                <w:rFonts w:ascii="宋体" w:hAnsi="宋体" w:cs="宋体" w:eastAsia="宋体" w:hint="default"/>
                <w:sz w:val="18"/>
                <w:szCs w:val="18"/>
              </w:rPr>
            </w:pPr>
            <w:r>
              <w:rPr>
                <w:rFonts w:ascii="宋体" w:hAnsi="宋体" w:cs="宋体" w:eastAsia="宋体" w:hint="default"/>
                <w:sz w:val="18"/>
                <w:szCs w:val="18"/>
              </w:rPr>
              <w:t>股东）的分配</w:t>
            </w:r>
          </w:p>
        </w:tc>
        <w:tc>
          <w:tcPr>
            <w:tcW w:w="574" w:type="dxa"/>
            <w:vMerge/>
            <w:tcBorders>
              <w:left w:val="single" w:sz="10" w:space="0" w:color="D2D2D2"/>
              <w:bottom w:val="single" w:sz="4" w:space="0" w:color="000000"/>
              <w:right w:val="single" w:sz="4" w:space="0" w:color="000000"/>
            </w:tcBorders>
          </w:tcPr>
          <w:p>
            <w:pPr/>
          </w:p>
        </w:tc>
        <w:tc>
          <w:tcPr>
            <w:tcW w:w="528" w:type="dxa"/>
            <w:vMerge/>
            <w:tcBorders>
              <w:left w:val="single" w:sz="4" w:space="0" w:color="000000"/>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18"/>
                <w:szCs w:val="18"/>
              </w:rPr>
            </w:pPr>
            <w:r>
              <w:rPr>
                <w:rFonts w:ascii="Times New Roman"/>
                <w:spacing w:val="-1"/>
                <w:sz w:val="18"/>
              </w:rPr>
              <w:t>70.29</w:t>
            </w:r>
          </w:p>
        </w:tc>
        <w:tc>
          <w:tcPr>
            <w:tcW w:w="6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70.29</w:t>
            </w:r>
          </w:p>
        </w:tc>
      </w:tr>
      <w:tr>
        <w:trPr>
          <w:trHeight w:val="403" w:hRule="exact"/>
        </w:trPr>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74" w:type="dxa"/>
            <w:tcBorders>
              <w:top w:val="single" w:sz="4" w:space="0" w:color="000000"/>
              <w:left w:val="single" w:sz="10" w:space="0" w:color="D2D2D2"/>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r>
        <w:rPr/>
        <w:pict>
          <v:group style="position:absolute;margin-left:128.639999pt;margin-top:738.320007pt;width:27.6pt;height:27.6pt;mso-position-horizontal-relative:page;mso-position-vertical-relative:page;z-index:-1069504" coordorigin="2573,14766" coordsize="552,552">
            <v:group style="position:absolute;left:2573;top:15160;width:552;height:158" coordorigin="2573,15160" coordsize="552,158">
              <v:shape style="position:absolute;left:2573;top:15160;width:552;height:158" coordorigin="2573,15160" coordsize="552,158" path="m2573,15318l3125,15318,3125,15160,2573,15160,2573,15318xe" filled="true" fillcolor="#ffffff" stroked="false">
                <v:path arrowok="t"/>
                <v:fill type="solid"/>
              </v:shape>
            </v:group>
            <v:group style="position:absolute;left:2597;top:14766;width:509;height:394" coordorigin="2597,14766" coordsize="509,394">
              <v:shape style="position:absolute;left:2597;top:14766;width:509;height:394" coordorigin="2597,14766" coordsize="509,394" path="m2597,15160l3106,15160,3106,14766,2597,14766,2597,15160xe" filled="true" fillcolor="#ffffff" stroked="false">
                <v:path arrowok="t"/>
                <v:fill type="solid"/>
              </v:shape>
            </v:group>
            <w10:wrap type="none"/>
          </v:group>
        </w:pict>
      </w:r>
    </w:p>
    <w:p>
      <w:pPr>
        <w:spacing w:line="240" w:lineRule="auto" w:before="9"/>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440"/>
        <w:gridCol w:w="562"/>
        <w:gridCol w:w="528"/>
        <w:gridCol w:w="533"/>
        <w:gridCol w:w="533"/>
        <w:gridCol w:w="662"/>
        <w:gridCol w:w="662"/>
        <w:gridCol w:w="667"/>
        <w:gridCol w:w="667"/>
        <w:gridCol w:w="662"/>
        <w:gridCol w:w="662"/>
        <w:gridCol w:w="667"/>
        <w:gridCol w:w="662"/>
        <w:gridCol w:w="662"/>
      </w:tblGrid>
      <w:tr>
        <w:trPr>
          <w:trHeight w:val="715"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17"/>
              <w:jc w:val="left"/>
              <w:rPr>
                <w:rFonts w:ascii="宋体" w:hAnsi="宋体" w:cs="宋体" w:eastAsia="宋体" w:hint="default"/>
                <w:sz w:val="18"/>
                <w:szCs w:val="18"/>
              </w:rPr>
            </w:pPr>
            <w:r>
              <w:rPr>
                <w:rFonts w:ascii="宋体" w:hAnsi="宋体" w:cs="宋体" w:eastAsia="宋体" w:hint="default"/>
                <w:spacing w:val="-10"/>
                <w:sz w:val="18"/>
                <w:szCs w:val="18"/>
              </w:rPr>
              <w:t>（四）所有者权益</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内部结转</w:t>
            </w:r>
          </w:p>
        </w:tc>
        <w:tc>
          <w:tcPr>
            <w:tcW w:w="562"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24" w:right="5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．资本公积转增</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3"/>
                <w:sz w:val="18"/>
                <w:szCs w:val="18"/>
              </w:rPr>
              <w:t>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24" w:right="5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．盈余公积转增</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3"/>
                <w:sz w:val="18"/>
                <w:szCs w:val="18"/>
              </w:rPr>
              <w:t>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24" w:right="5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．盈余公积弥补</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亏损</w:t>
            </w:r>
          </w:p>
        </w:tc>
        <w:tc>
          <w:tcPr>
            <w:tcW w:w="562"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（五）专项储备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2"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2"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24" w:right="0"/>
              <w:jc w:val="left"/>
              <w:rPr>
                <w:rFonts w:ascii="宋体" w:hAnsi="宋体" w:cs="宋体" w:eastAsia="宋体" w:hint="default"/>
                <w:sz w:val="18"/>
                <w:szCs w:val="18"/>
              </w:rPr>
            </w:pPr>
            <w:r>
              <w:rPr>
                <w:rFonts w:ascii="宋体" w:hAnsi="宋体" w:cs="宋体" w:eastAsia="宋体" w:hint="default"/>
                <w:spacing w:val="-10"/>
                <w:sz w:val="18"/>
                <w:szCs w:val="18"/>
              </w:rPr>
              <w:t>四、本期期末余额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8" w:right="0"/>
              <w:jc w:val="left"/>
              <w:rPr>
                <w:rFonts w:ascii="Times New Roman" w:hAnsi="Times New Roman" w:cs="Times New Roman" w:eastAsia="Times New Roman" w:hint="default"/>
                <w:sz w:val="18"/>
                <w:szCs w:val="18"/>
              </w:rPr>
            </w:pPr>
            <w:r>
              <w:rPr>
                <w:rFonts w:ascii="Times New Roman"/>
                <w:sz w:val="18"/>
              </w:rPr>
              <w:t>298,18</w:t>
            </w:r>
          </w:p>
          <w:p>
            <w:pPr>
              <w:pStyle w:val="TableParagraph"/>
              <w:spacing w:line="240" w:lineRule="auto" w:before="100"/>
              <w:ind w:left="71" w:right="0"/>
              <w:jc w:val="left"/>
              <w:rPr>
                <w:rFonts w:ascii="Times New Roman" w:hAnsi="Times New Roman" w:cs="Times New Roman" w:eastAsia="Times New Roman" w:hint="default"/>
                <w:sz w:val="18"/>
                <w:szCs w:val="18"/>
              </w:rPr>
            </w:pPr>
            <w:r>
              <w:rPr>
                <w:rFonts w:ascii="Times New Roman"/>
                <w:sz w:val="18"/>
              </w:rPr>
              <w:t>6,000.</w:t>
            </w:r>
          </w:p>
          <w:p>
            <w:pPr>
              <w:pStyle w:val="TableParagraph"/>
              <w:spacing w:line="240" w:lineRule="auto" w:before="110"/>
              <w:ind w:left="340" w:right="0"/>
              <w:jc w:val="left"/>
              <w:rPr>
                <w:rFonts w:ascii="Times New Roman" w:hAnsi="Times New Roman" w:cs="Times New Roman" w:eastAsia="Times New Roman" w:hint="default"/>
                <w:sz w:val="18"/>
                <w:szCs w:val="18"/>
              </w:rPr>
            </w:pPr>
            <w:r>
              <w:rPr>
                <w:rFonts w:ascii="Times New Roman"/>
                <w:sz w:val="18"/>
              </w:rPr>
              <w:t>00</w:t>
            </w:r>
          </w:p>
        </w:tc>
        <w:tc>
          <w:tcPr>
            <w:tcW w:w="528"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334,340</w:t>
            </w:r>
          </w:p>
          <w:p>
            <w:pPr>
              <w:pStyle w:val="TableParagraph"/>
              <w:spacing w:line="240" w:lineRule="auto" w:before="105"/>
              <w:ind w:left="86" w:right="0"/>
              <w:jc w:val="left"/>
              <w:rPr>
                <w:rFonts w:ascii="Times New Roman" w:hAnsi="Times New Roman" w:cs="Times New Roman" w:eastAsia="Times New Roman" w:hint="default"/>
                <w:sz w:val="18"/>
                <w:szCs w:val="18"/>
              </w:rPr>
            </w:pPr>
            <w:r>
              <w:rPr>
                <w:rFonts w:ascii="Times New Roman"/>
                <w:sz w:val="18"/>
              </w:rPr>
              <w:t>,738.20</w:t>
            </w: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39,327,</w:t>
            </w:r>
          </w:p>
          <w:p>
            <w:pPr>
              <w:pStyle w:val="TableParagraph"/>
              <w:spacing w:line="240" w:lineRule="auto" w:before="105"/>
              <w:ind w:left="129" w:right="0"/>
              <w:jc w:val="left"/>
              <w:rPr>
                <w:rFonts w:ascii="Times New Roman" w:hAnsi="Times New Roman" w:cs="Times New Roman" w:eastAsia="Times New Roman" w:hint="default"/>
                <w:sz w:val="18"/>
                <w:szCs w:val="18"/>
              </w:rPr>
            </w:pPr>
            <w:r>
              <w:rPr>
                <w:rFonts w:ascii="Times New Roman"/>
                <w:sz w:val="18"/>
              </w:rPr>
              <w:t>736.65</w:t>
            </w: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199,202</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,457.75</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175,652</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,668.40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1,046,7</w:t>
            </w:r>
          </w:p>
          <w:p>
            <w:pPr>
              <w:pStyle w:val="TableParagraph"/>
              <w:spacing w:line="240" w:lineRule="auto" w:before="100"/>
              <w:ind w:right="19"/>
              <w:jc w:val="right"/>
              <w:rPr>
                <w:rFonts w:ascii="Times New Roman" w:hAnsi="Times New Roman" w:cs="Times New Roman" w:eastAsia="Times New Roman" w:hint="default"/>
                <w:sz w:val="18"/>
                <w:szCs w:val="18"/>
              </w:rPr>
            </w:pPr>
            <w:r>
              <w:rPr>
                <w:rFonts w:ascii="Times New Roman"/>
                <w:spacing w:val="-2"/>
                <w:sz w:val="18"/>
              </w:rPr>
              <w:t>09,601.</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sz w:val="18"/>
              </w:rPr>
              <w:t>00</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115"/>
        <w:ind w:left="0" w:right="146" w:firstLine="0"/>
        <w:jc w:val="right"/>
        <w:rPr>
          <w:rFonts w:ascii="宋体" w:hAnsi="宋体" w:cs="宋体" w:eastAsia="宋体" w:hint="default"/>
          <w:sz w:val="18"/>
          <w:szCs w:val="18"/>
        </w:rPr>
      </w:pPr>
      <w:r>
        <w:rPr>
          <w:rFonts w:ascii="宋体" w:hAnsi="宋体" w:cs="宋体" w:eastAsia="宋体" w:hint="default"/>
          <w:spacing w:val="-2"/>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426"/>
        <w:gridCol w:w="559"/>
        <w:gridCol w:w="533"/>
        <w:gridCol w:w="533"/>
        <w:gridCol w:w="528"/>
        <w:gridCol w:w="667"/>
        <w:gridCol w:w="662"/>
        <w:gridCol w:w="667"/>
        <w:gridCol w:w="662"/>
        <w:gridCol w:w="667"/>
        <w:gridCol w:w="662"/>
        <w:gridCol w:w="677"/>
        <w:gridCol w:w="653"/>
        <w:gridCol w:w="662"/>
      </w:tblGrid>
      <w:tr>
        <w:trPr>
          <w:trHeight w:val="398" w:hRule="exact"/>
        </w:trPr>
        <w:tc>
          <w:tcPr>
            <w:tcW w:w="1426" w:type="dxa"/>
            <w:vMerge w:val="restart"/>
            <w:tcBorders>
              <w:top w:val="single" w:sz="4" w:space="0" w:color="000000"/>
              <w:left w:val="single" w:sz="4" w:space="0" w:color="000000"/>
              <w:right w:val="single" w:sz="4" w:space="0" w:color="000000"/>
            </w:tcBorders>
            <w:shd w:val="clear" w:color="auto" w:fill="D2D2D2"/>
          </w:tcPr>
          <w:p>
            <w:pPr/>
          </w:p>
        </w:tc>
        <w:tc>
          <w:tcPr>
            <w:tcW w:w="8134"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5"/>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245" w:hRule="exact"/>
        </w:trPr>
        <w:tc>
          <w:tcPr>
            <w:tcW w:w="1426" w:type="dxa"/>
            <w:vMerge/>
            <w:tcBorders>
              <w:left w:val="single" w:sz="4" w:space="0" w:color="000000"/>
              <w:right w:val="single" w:sz="4" w:space="0" w:color="000000"/>
            </w:tcBorders>
            <w:shd w:val="clear" w:color="auto" w:fill="D2D2D2"/>
          </w:tcPr>
          <w:p>
            <w:pPr/>
          </w:p>
        </w:tc>
        <w:tc>
          <w:tcPr>
            <w:tcW w:w="6818" w:type="dxa"/>
            <w:gridSpan w:val="11"/>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归属于母公司所有者权益</w:t>
            </w:r>
          </w:p>
        </w:tc>
        <w:tc>
          <w:tcPr>
            <w:tcW w:w="653" w:type="dxa"/>
            <w:vMerge w:val="restart"/>
            <w:tcBorders>
              <w:top w:val="single" w:sz="4" w:space="0" w:color="000000"/>
              <w:left w:val="single" w:sz="4" w:space="0" w:color="000000"/>
              <w:right w:val="single" w:sz="4" w:space="0" w:color="000000"/>
            </w:tcBorders>
            <w:shd w:val="clear" w:color="auto" w:fill="D2D2D2"/>
          </w:tcPr>
          <w:p>
            <w:pPr/>
          </w:p>
        </w:tc>
        <w:tc>
          <w:tcPr>
            <w:tcW w:w="662"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8" w:hRule="exact"/>
        </w:trPr>
        <w:tc>
          <w:tcPr>
            <w:tcW w:w="1426" w:type="dxa"/>
            <w:vMerge/>
            <w:tcBorders>
              <w:left w:val="single" w:sz="4" w:space="0" w:color="000000"/>
              <w:bottom w:val="nil" w:sz="6" w:space="0" w:color="auto"/>
              <w:right w:val="single" w:sz="4" w:space="0" w:color="000000"/>
            </w:tcBorders>
            <w:shd w:val="clear" w:color="auto" w:fill="D2D2D2"/>
          </w:tcPr>
          <w:p>
            <w:pPr/>
          </w:p>
        </w:tc>
        <w:tc>
          <w:tcPr>
            <w:tcW w:w="6818" w:type="dxa"/>
            <w:gridSpan w:val="11"/>
            <w:vMerge/>
            <w:tcBorders>
              <w:left w:val="single" w:sz="4" w:space="0" w:color="000000"/>
              <w:bottom w:val="single" w:sz="4" w:space="0" w:color="000000"/>
              <w:right w:val="single" w:sz="4" w:space="0" w:color="000000"/>
            </w:tcBorders>
            <w:shd w:val="clear" w:color="auto" w:fill="D2D2D2"/>
          </w:tcPr>
          <w:p>
            <w:pPr/>
          </w:p>
        </w:tc>
        <w:tc>
          <w:tcPr>
            <w:tcW w:w="653" w:type="dxa"/>
            <w:vMerge/>
            <w:tcBorders>
              <w:left w:val="single" w:sz="4" w:space="0" w:color="000000"/>
              <w:bottom w:val="nil" w:sz="6" w:space="0" w:color="auto"/>
              <w:right w:val="single" w:sz="4" w:space="0" w:color="000000"/>
            </w:tcBorders>
            <w:shd w:val="clear" w:color="auto" w:fill="D2D2D2"/>
          </w:tcPr>
          <w:p>
            <w:pPr/>
          </w:p>
        </w:tc>
        <w:tc>
          <w:tcPr>
            <w:tcW w:w="662"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3"/>
              <w:ind w:left="57" w:right="50"/>
              <w:jc w:val="center"/>
              <w:rPr>
                <w:rFonts w:ascii="宋体" w:hAnsi="宋体" w:cs="宋体" w:eastAsia="宋体" w:hint="default"/>
                <w:sz w:val="18"/>
                <w:szCs w:val="18"/>
              </w:rPr>
            </w:pPr>
            <w:r>
              <w:rPr>
                <w:rFonts w:ascii="宋体" w:hAnsi="宋体" w:cs="宋体" w:eastAsia="宋体" w:hint="default"/>
                <w:spacing w:val="-2"/>
                <w:sz w:val="18"/>
                <w:szCs w:val="18"/>
              </w:rPr>
              <w:t>所有者</w:t>
            </w:r>
            <w:r>
              <w:rPr>
                <w:rFonts w:ascii="宋体" w:hAnsi="宋体" w:cs="宋体" w:eastAsia="宋体" w:hint="default"/>
                <w:w w:val="101"/>
                <w:sz w:val="18"/>
                <w:szCs w:val="18"/>
              </w:rPr>
              <w:t> </w:t>
            </w:r>
            <w:r>
              <w:rPr>
                <w:rFonts w:ascii="宋体" w:hAnsi="宋体" w:cs="宋体" w:eastAsia="宋体" w:hint="default"/>
                <w:spacing w:val="-2"/>
                <w:sz w:val="18"/>
                <w:szCs w:val="18"/>
              </w:rPr>
              <w:t>权益合</w:t>
            </w:r>
            <w:r>
              <w:rPr>
                <w:rFonts w:ascii="宋体" w:hAnsi="宋体" w:cs="宋体" w:eastAsia="宋体" w:hint="default"/>
                <w:w w:val="101"/>
                <w:sz w:val="18"/>
                <w:szCs w:val="18"/>
              </w:rPr>
              <w:t> </w:t>
            </w:r>
            <w:r>
              <w:rPr>
                <w:rFonts w:ascii="宋体" w:hAnsi="宋体" w:cs="宋体" w:eastAsia="宋体" w:hint="default"/>
                <w:sz w:val="18"/>
                <w:szCs w:val="18"/>
              </w:rPr>
              <w:t>计</w:t>
            </w:r>
          </w:p>
        </w:tc>
      </w:tr>
      <w:tr>
        <w:trPr>
          <w:trHeight w:val="196" w:hRule="exact"/>
        </w:trPr>
        <w:tc>
          <w:tcPr>
            <w:tcW w:w="142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right="7"/>
              <w:jc w:val="center"/>
              <w:rPr>
                <w:rFonts w:ascii="宋体" w:hAnsi="宋体" w:cs="宋体" w:eastAsia="宋体" w:hint="default"/>
                <w:sz w:val="18"/>
                <w:szCs w:val="18"/>
              </w:rPr>
            </w:pPr>
            <w:r>
              <w:rPr>
                <w:rFonts w:ascii="宋体" w:hAnsi="宋体" w:cs="宋体" w:eastAsia="宋体" w:hint="default"/>
                <w:sz w:val="18"/>
                <w:szCs w:val="18"/>
              </w:rPr>
              <w:t>项目</w:t>
            </w:r>
          </w:p>
        </w:tc>
        <w:tc>
          <w:tcPr>
            <w:tcW w:w="559" w:type="dxa"/>
            <w:vMerge w:val="restart"/>
            <w:tcBorders>
              <w:top w:val="single" w:sz="4" w:space="0" w:color="000000"/>
              <w:left w:val="single" w:sz="4" w:space="0" w:color="000000"/>
              <w:right w:val="single" w:sz="4" w:space="0" w:color="000000"/>
            </w:tcBorders>
            <w:shd w:val="clear" w:color="auto" w:fill="D2D2D2"/>
          </w:tcPr>
          <w:p>
            <w:pPr/>
          </w:p>
        </w:tc>
        <w:tc>
          <w:tcPr>
            <w:tcW w:w="1594"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249"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7" w:type="dxa"/>
            <w:tcBorders>
              <w:top w:val="single" w:sz="4" w:space="0" w:color="000000"/>
              <w:left w:val="single" w:sz="4" w:space="0" w:color="000000"/>
              <w:bottom w:val="nil" w:sz="6" w:space="0" w:color="auto"/>
              <w:right w:val="single" w:sz="4" w:space="0" w:color="000000"/>
            </w:tcBorders>
            <w:shd w:val="clear" w:color="auto" w:fill="D2D2D2"/>
          </w:tcPr>
          <w:p>
            <w:pPr/>
          </w:p>
        </w:tc>
        <w:tc>
          <w:tcPr>
            <w:tcW w:w="662" w:type="dxa"/>
            <w:tcBorders>
              <w:top w:val="single" w:sz="4" w:space="0" w:color="000000"/>
              <w:left w:val="single" w:sz="4" w:space="0" w:color="000000"/>
              <w:bottom w:val="nil" w:sz="6" w:space="0" w:color="auto"/>
              <w:right w:val="single" w:sz="4" w:space="0" w:color="000000"/>
            </w:tcBorders>
            <w:shd w:val="clear" w:color="auto" w:fill="D2D2D2"/>
          </w:tcPr>
          <w:p>
            <w:pPr/>
          </w:p>
        </w:tc>
        <w:tc>
          <w:tcPr>
            <w:tcW w:w="667" w:type="dxa"/>
            <w:tcBorders>
              <w:top w:val="single" w:sz="4" w:space="0" w:color="000000"/>
              <w:left w:val="single" w:sz="4" w:space="0" w:color="000000"/>
              <w:bottom w:val="nil" w:sz="6" w:space="0" w:color="auto"/>
              <w:right w:val="single" w:sz="4" w:space="0" w:color="000000"/>
            </w:tcBorders>
            <w:shd w:val="clear" w:color="auto" w:fill="D2D2D2"/>
          </w:tcPr>
          <w:p>
            <w:pPr/>
          </w:p>
        </w:tc>
        <w:tc>
          <w:tcPr>
            <w:tcW w:w="662" w:type="dxa"/>
            <w:tcBorders>
              <w:top w:val="single" w:sz="4" w:space="0" w:color="000000"/>
              <w:left w:val="single" w:sz="4" w:space="0" w:color="000000"/>
              <w:bottom w:val="nil" w:sz="6" w:space="0" w:color="auto"/>
              <w:right w:val="single" w:sz="4" w:space="0" w:color="000000"/>
            </w:tcBorders>
            <w:shd w:val="clear" w:color="auto" w:fill="D2D2D2"/>
          </w:tcPr>
          <w:p>
            <w:pPr/>
          </w:p>
        </w:tc>
        <w:tc>
          <w:tcPr>
            <w:tcW w:w="667" w:type="dxa"/>
            <w:tcBorders>
              <w:top w:val="single" w:sz="4" w:space="0" w:color="000000"/>
              <w:left w:val="single" w:sz="4" w:space="0" w:color="000000"/>
              <w:bottom w:val="nil" w:sz="6" w:space="0" w:color="auto"/>
              <w:right w:val="single" w:sz="4" w:space="0" w:color="000000"/>
            </w:tcBorders>
            <w:shd w:val="clear" w:color="auto" w:fill="D2D2D2"/>
          </w:tcPr>
          <w:p>
            <w:pPr/>
          </w:p>
        </w:tc>
        <w:tc>
          <w:tcPr>
            <w:tcW w:w="662" w:type="dxa"/>
            <w:tcBorders>
              <w:top w:val="single" w:sz="4" w:space="0" w:color="000000"/>
              <w:left w:val="single" w:sz="4" w:space="0" w:color="000000"/>
              <w:bottom w:val="nil" w:sz="6" w:space="0" w:color="auto"/>
              <w:right w:val="single" w:sz="4" w:space="0" w:color="000000"/>
            </w:tcBorders>
            <w:shd w:val="clear" w:color="auto" w:fill="D2D2D2"/>
          </w:tcPr>
          <w:p>
            <w:pPr/>
          </w:p>
        </w:tc>
        <w:tc>
          <w:tcPr>
            <w:tcW w:w="677" w:type="dxa"/>
            <w:tcBorders>
              <w:top w:val="single" w:sz="4" w:space="0" w:color="000000"/>
              <w:left w:val="single" w:sz="4" w:space="0" w:color="000000"/>
              <w:bottom w:val="nil" w:sz="6" w:space="0" w:color="auto"/>
              <w:right w:val="single" w:sz="4" w:space="0" w:color="000000"/>
            </w:tcBorders>
            <w:shd w:val="clear" w:color="auto" w:fill="D2D2D2"/>
          </w:tcPr>
          <w:p>
            <w:pPr/>
          </w:p>
        </w:tc>
        <w:tc>
          <w:tcPr>
            <w:tcW w:w="653" w:type="dxa"/>
            <w:vMerge w:val="restart"/>
            <w:tcBorders>
              <w:top w:val="nil" w:sz="6" w:space="0" w:color="auto"/>
              <w:left w:val="single" w:sz="4" w:space="0" w:color="000000"/>
              <w:right w:val="single" w:sz="4" w:space="0" w:color="000000"/>
            </w:tcBorders>
            <w:shd w:val="clear" w:color="auto" w:fill="D2D2D2"/>
          </w:tcPr>
          <w:p>
            <w:pPr>
              <w:pStyle w:val="TableParagraph"/>
              <w:spacing w:line="321" w:lineRule="auto" w:before="49"/>
              <w:ind w:left="47" w:right="46" w:firstLine="4"/>
              <w:jc w:val="left"/>
              <w:rPr>
                <w:rFonts w:ascii="宋体" w:hAnsi="宋体" w:cs="宋体" w:eastAsia="宋体" w:hint="default"/>
                <w:sz w:val="18"/>
                <w:szCs w:val="18"/>
              </w:rPr>
            </w:pPr>
            <w:r>
              <w:rPr>
                <w:rFonts w:ascii="宋体" w:hAnsi="宋体" w:cs="宋体" w:eastAsia="宋体" w:hint="default"/>
                <w:sz w:val="18"/>
                <w:szCs w:val="18"/>
              </w:rPr>
              <w:t>少数股</w:t>
            </w:r>
            <w:r>
              <w:rPr>
                <w:rFonts w:ascii="宋体" w:hAnsi="宋体" w:cs="宋体" w:eastAsia="宋体" w:hint="default"/>
                <w:w w:val="101"/>
                <w:sz w:val="18"/>
                <w:szCs w:val="18"/>
              </w:rPr>
              <w:t> </w:t>
            </w:r>
            <w:r>
              <w:rPr>
                <w:rFonts w:ascii="宋体" w:hAnsi="宋体" w:cs="宋体" w:eastAsia="宋体" w:hint="default"/>
                <w:sz w:val="18"/>
                <w:szCs w:val="18"/>
              </w:rPr>
              <w:t>东权益</w:t>
            </w:r>
          </w:p>
        </w:tc>
        <w:tc>
          <w:tcPr>
            <w:tcW w:w="662" w:type="dxa"/>
            <w:vMerge/>
            <w:tcBorders>
              <w:left w:val="single" w:sz="4" w:space="0" w:color="000000"/>
              <w:right w:val="single" w:sz="4" w:space="0" w:color="000000"/>
            </w:tcBorders>
            <w:shd w:val="clear" w:color="auto" w:fill="D2D2D2"/>
          </w:tcPr>
          <w:p>
            <w:pPr/>
          </w:p>
        </w:tc>
      </w:tr>
      <w:tr>
        <w:trPr>
          <w:trHeight w:val="176" w:hRule="exact"/>
        </w:trPr>
        <w:tc>
          <w:tcPr>
            <w:tcW w:w="1426" w:type="dxa"/>
            <w:vMerge/>
            <w:tcBorders>
              <w:left w:val="single" w:sz="4" w:space="0" w:color="000000"/>
              <w:bottom w:val="single" w:sz="21" w:space="0" w:color="FFFFFF"/>
              <w:right w:val="single" w:sz="4" w:space="0" w:color="000000"/>
            </w:tcBorders>
            <w:shd w:val="clear" w:color="auto" w:fill="D2D2D2"/>
          </w:tcPr>
          <w:p>
            <w:pPr/>
          </w:p>
        </w:tc>
        <w:tc>
          <w:tcPr>
            <w:tcW w:w="559" w:type="dxa"/>
            <w:vMerge/>
            <w:tcBorders>
              <w:left w:val="single" w:sz="4" w:space="0" w:color="000000"/>
              <w:bottom w:val="single" w:sz="21" w:space="0" w:color="FFFFFF"/>
              <w:right w:val="single" w:sz="4" w:space="0" w:color="000000"/>
            </w:tcBorders>
            <w:shd w:val="clear" w:color="auto" w:fill="D2D2D2"/>
          </w:tcPr>
          <w:p>
            <w:pPr/>
          </w:p>
        </w:tc>
        <w:tc>
          <w:tcPr>
            <w:tcW w:w="1594" w:type="dxa"/>
            <w:gridSpan w:val="3"/>
            <w:vMerge/>
            <w:tcBorders>
              <w:left w:val="single" w:sz="4" w:space="0" w:color="000000"/>
              <w:bottom w:val="single" w:sz="21" w:space="0" w:color="FFFFFF"/>
              <w:right w:val="single" w:sz="4" w:space="0" w:color="000000"/>
            </w:tcBorders>
            <w:shd w:val="clear" w:color="auto" w:fill="D2D2D2"/>
          </w:tcPr>
          <w:p>
            <w:pPr/>
          </w:p>
        </w:tc>
        <w:tc>
          <w:tcPr>
            <w:tcW w:w="667"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4"/>
              <w:ind w:left="235" w:right="55" w:hanging="178"/>
              <w:jc w:val="left"/>
              <w:rPr>
                <w:rFonts w:ascii="宋体" w:hAnsi="宋体" w:cs="宋体" w:eastAsia="宋体" w:hint="default"/>
                <w:sz w:val="18"/>
                <w:szCs w:val="18"/>
              </w:rPr>
            </w:pPr>
            <w:r>
              <w:rPr>
                <w:rFonts w:ascii="宋体" w:hAnsi="宋体" w:cs="宋体" w:eastAsia="宋体" w:hint="default"/>
                <w:sz w:val="18"/>
                <w:szCs w:val="18"/>
              </w:rPr>
              <w:t>资本公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积</w:t>
            </w:r>
          </w:p>
        </w:tc>
        <w:tc>
          <w:tcPr>
            <w:tcW w:w="662"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4"/>
              <w:ind w:left="143" w:right="50" w:hanging="87"/>
              <w:jc w:val="left"/>
              <w:rPr>
                <w:rFonts w:ascii="宋体" w:hAnsi="宋体" w:cs="宋体" w:eastAsia="宋体" w:hint="default"/>
                <w:sz w:val="18"/>
                <w:szCs w:val="18"/>
              </w:rPr>
            </w:pPr>
            <w:r>
              <w:rPr>
                <w:rFonts w:ascii="宋体" w:hAnsi="宋体" w:cs="宋体" w:eastAsia="宋体" w:hint="default"/>
                <w:sz w:val="18"/>
                <w:szCs w:val="18"/>
              </w:rPr>
              <w:t>减：库</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存股</w:t>
            </w:r>
          </w:p>
        </w:tc>
        <w:tc>
          <w:tcPr>
            <w:tcW w:w="667"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4"/>
              <w:ind w:left="57" w:right="55"/>
              <w:jc w:val="left"/>
              <w:rPr>
                <w:rFonts w:ascii="宋体" w:hAnsi="宋体" w:cs="宋体" w:eastAsia="宋体" w:hint="default"/>
                <w:sz w:val="18"/>
                <w:szCs w:val="18"/>
              </w:rPr>
            </w:pPr>
            <w:r>
              <w:rPr>
                <w:rFonts w:ascii="宋体" w:hAnsi="宋体" w:cs="宋体" w:eastAsia="宋体" w:hint="default"/>
                <w:sz w:val="18"/>
                <w:szCs w:val="18"/>
              </w:rPr>
              <w:t>其他综</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合收益</w:t>
            </w:r>
          </w:p>
        </w:tc>
        <w:tc>
          <w:tcPr>
            <w:tcW w:w="662"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4"/>
              <w:ind w:left="235" w:right="50" w:hanging="178"/>
              <w:jc w:val="left"/>
              <w:rPr>
                <w:rFonts w:ascii="宋体" w:hAnsi="宋体" w:cs="宋体" w:eastAsia="宋体" w:hint="default"/>
                <w:sz w:val="18"/>
                <w:szCs w:val="18"/>
              </w:rPr>
            </w:pPr>
            <w:r>
              <w:rPr>
                <w:rFonts w:ascii="宋体" w:hAnsi="宋体" w:cs="宋体" w:eastAsia="宋体" w:hint="default"/>
                <w:sz w:val="18"/>
                <w:szCs w:val="18"/>
              </w:rPr>
              <w:t>专项储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备</w:t>
            </w:r>
          </w:p>
        </w:tc>
        <w:tc>
          <w:tcPr>
            <w:tcW w:w="667"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4"/>
              <w:ind w:left="235" w:right="55" w:hanging="178"/>
              <w:jc w:val="left"/>
              <w:rPr>
                <w:rFonts w:ascii="宋体" w:hAnsi="宋体" w:cs="宋体" w:eastAsia="宋体" w:hint="default"/>
                <w:sz w:val="18"/>
                <w:szCs w:val="18"/>
              </w:rPr>
            </w:pPr>
            <w:r>
              <w:rPr>
                <w:rFonts w:ascii="宋体" w:hAnsi="宋体" w:cs="宋体" w:eastAsia="宋体" w:hint="default"/>
                <w:sz w:val="18"/>
                <w:szCs w:val="18"/>
              </w:rPr>
              <w:t>盈余公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积</w:t>
            </w:r>
          </w:p>
        </w:tc>
        <w:tc>
          <w:tcPr>
            <w:tcW w:w="662"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4"/>
              <w:ind w:left="52" w:right="55"/>
              <w:jc w:val="left"/>
              <w:rPr>
                <w:rFonts w:ascii="宋体" w:hAnsi="宋体" w:cs="宋体" w:eastAsia="宋体" w:hint="default"/>
                <w:sz w:val="18"/>
                <w:szCs w:val="18"/>
              </w:rPr>
            </w:pPr>
            <w:r>
              <w:rPr>
                <w:rFonts w:ascii="宋体" w:hAnsi="宋体" w:cs="宋体" w:eastAsia="宋体" w:hint="default"/>
                <w:sz w:val="18"/>
                <w:szCs w:val="18"/>
              </w:rPr>
              <w:t>一般风</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险准备</w:t>
            </w:r>
          </w:p>
        </w:tc>
        <w:tc>
          <w:tcPr>
            <w:tcW w:w="677"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4"/>
              <w:ind w:left="153" w:right="55" w:hanging="87"/>
              <w:jc w:val="left"/>
              <w:rPr>
                <w:rFonts w:ascii="宋体" w:hAnsi="宋体" w:cs="宋体" w:eastAsia="宋体" w:hint="default"/>
                <w:sz w:val="18"/>
                <w:szCs w:val="18"/>
              </w:rPr>
            </w:pPr>
            <w:r>
              <w:rPr>
                <w:rFonts w:ascii="宋体" w:hAnsi="宋体" w:cs="宋体" w:eastAsia="宋体" w:hint="default"/>
                <w:sz w:val="18"/>
                <w:szCs w:val="18"/>
              </w:rPr>
              <w:t>未分配</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利润</w:t>
            </w:r>
          </w:p>
        </w:tc>
        <w:tc>
          <w:tcPr>
            <w:tcW w:w="653" w:type="dxa"/>
            <w:vMerge/>
            <w:tcBorders>
              <w:left w:val="single" w:sz="4" w:space="0" w:color="000000"/>
              <w:right w:val="single" w:sz="4" w:space="0" w:color="000000"/>
            </w:tcBorders>
            <w:shd w:val="clear" w:color="auto" w:fill="D2D2D2"/>
          </w:tcPr>
          <w:p>
            <w:pPr/>
          </w:p>
        </w:tc>
        <w:tc>
          <w:tcPr>
            <w:tcW w:w="662" w:type="dxa"/>
            <w:vMerge/>
            <w:tcBorders>
              <w:left w:val="single" w:sz="4" w:space="0" w:color="000000"/>
              <w:right w:val="single" w:sz="4" w:space="0" w:color="000000"/>
            </w:tcBorders>
            <w:shd w:val="clear" w:color="auto" w:fill="D2D2D2"/>
          </w:tcPr>
          <w:p>
            <w:pPr/>
          </w:p>
        </w:tc>
      </w:tr>
      <w:tr>
        <w:trPr>
          <w:trHeight w:val="190" w:hRule="exact"/>
        </w:trPr>
        <w:tc>
          <w:tcPr>
            <w:tcW w:w="1426" w:type="dxa"/>
            <w:vMerge w:val="restart"/>
            <w:tcBorders>
              <w:top w:val="single" w:sz="21" w:space="0" w:color="FFFFFF"/>
              <w:left w:val="single" w:sz="4" w:space="0" w:color="000000"/>
              <w:right w:val="single" w:sz="4" w:space="0" w:color="000000"/>
            </w:tcBorders>
            <w:shd w:val="clear" w:color="auto" w:fill="D2D2D2"/>
          </w:tcPr>
          <w:p>
            <w:pPr/>
          </w:p>
        </w:tc>
        <w:tc>
          <w:tcPr>
            <w:tcW w:w="559" w:type="dxa"/>
            <w:vMerge w:val="restart"/>
            <w:tcBorders>
              <w:top w:val="single" w:sz="21" w:space="0" w:color="FFFFFF"/>
              <w:left w:val="single" w:sz="4" w:space="0" w:color="000000"/>
              <w:right w:val="single" w:sz="4" w:space="0" w:color="000000"/>
            </w:tcBorders>
            <w:shd w:val="clear" w:color="auto" w:fill="D2D2D2"/>
          </w:tcPr>
          <w:p>
            <w:pPr>
              <w:pStyle w:val="TableParagraph"/>
              <w:spacing w:line="240" w:lineRule="auto" w:before="10"/>
              <w:ind w:left="88"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33" w:type="dxa"/>
            <w:vMerge w:val="restart"/>
            <w:tcBorders>
              <w:top w:val="single" w:sz="21" w:space="0" w:color="FFFFFF"/>
              <w:left w:val="single" w:sz="4" w:space="0" w:color="000000"/>
              <w:right w:val="single" w:sz="4" w:space="0" w:color="000000"/>
            </w:tcBorders>
            <w:shd w:val="clear" w:color="auto" w:fill="D2D2D2"/>
          </w:tcPr>
          <w:p>
            <w:pPr>
              <w:pStyle w:val="TableParagraph"/>
              <w:spacing w:line="316" w:lineRule="auto" w:before="63"/>
              <w:ind w:left="167" w:right="74" w:hanging="87"/>
              <w:jc w:val="left"/>
              <w:rPr>
                <w:rFonts w:ascii="宋体" w:hAnsi="宋体" w:cs="宋体" w:eastAsia="宋体" w:hint="default"/>
                <w:sz w:val="18"/>
                <w:szCs w:val="18"/>
              </w:rPr>
            </w:pPr>
            <w:r>
              <w:rPr>
                <w:rFonts w:ascii="宋体" w:hAnsi="宋体" w:cs="宋体" w:eastAsia="宋体" w:hint="default"/>
                <w:sz w:val="18"/>
                <w:szCs w:val="18"/>
              </w:rPr>
              <w:t>优先</w:t>
            </w:r>
            <w:r>
              <w:rPr>
                <w:rFonts w:ascii="宋体" w:hAnsi="宋体" w:cs="宋体" w:eastAsia="宋体" w:hint="default"/>
                <w:spacing w:val="-86"/>
                <w:sz w:val="18"/>
                <w:szCs w:val="18"/>
              </w:rPr>
              <w:t> </w:t>
            </w:r>
            <w:r>
              <w:rPr>
                <w:rFonts w:ascii="宋体" w:hAnsi="宋体" w:cs="宋体" w:eastAsia="宋体" w:hint="default"/>
                <w:sz w:val="18"/>
                <w:szCs w:val="18"/>
              </w:rPr>
              <w:t>股</w:t>
            </w:r>
          </w:p>
        </w:tc>
        <w:tc>
          <w:tcPr>
            <w:tcW w:w="533" w:type="dxa"/>
            <w:vMerge w:val="restart"/>
            <w:tcBorders>
              <w:top w:val="single" w:sz="21" w:space="0" w:color="FFFFFF"/>
              <w:left w:val="single" w:sz="4" w:space="0" w:color="000000"/>
              <w:right w:val="single" w:sz="4" w:space="0" w:color="000000"/>
            </w:tcBorders>
            <w:shd w:val="clear" w:color="auto" w:fill="D2D2D2"/>
          </w:tcPr>
          <w:p>
            <w:pPr>
              <w:pStyle w:val="TableParagraph"/>
              <w:spacing w:line="316" w:lineRule="auto" w:before="63"/>
              <w:ind w:left="167" w:right="74" w:hanging="87"/>
              <w:jc w:val="left"/>
              <w:rPr>
                <w:rFonts w:ascii="宋体" w:hAnsi="宋体" w:cs="宋体" w:eastAsia="宋体" w:hint="default"/>
                <w:sz w:val="18"/>
                <w:szCs w:val="18"/>
              </w:rPr>
            </w:pPr>
            <w:r>
              <w:rPr>
                <w:rFonts w:ascii="宋体" w:hAnsi="宋体" w:cs="宋体" w:eastAsia="宋体" w:hint="default"/>
                <w:sz w:val="18"/>
                <w:szCs w:val="18"/>
              </w:rPr>
              <w:t>永续</w:t>
            </w:r>
            <w:r>
              <w:rPr>
                <w:rFonts w:ascii="宋体" w:hAnsi="宋体" w:cs="宋体" w:eastAsia="宋体" w:hint="default"/>
                <w:spacing w:val="-86"/>
                <w:sz w:val="18"/>
                <w:szCs w:val="18"/>
              </w:rPr>
              <w:t> </w:t>
            </w:r>
            <w:r>
              <w:rPr>
                <w:rFonts w:ascii="宋体" w:hAnsi="宋体" w:cs="宋体" w:eastAsia="宋体" w:hint="default"/>
                <w:sz w:val="18"/>
                <w:szCs w:val="18"/>
              </w:rPr>
              <w:t>债</w:t>
            </w:r>
          </w:p>
        </w:tc>
        <w:tc>
          <w:tcPr>
            <w:tcW w:w="528" w:type="dxa"/>
            <w:tcBorders>
              <w:top w:val="single" w:sz="21" w:space="0" w:color="FFFFFF"/>
              <w:left w:val="single" w:sz="4" w:space="0" w:color="000000"/>
              <w:bottom w:val="nil" w:sz="6" w:space="0" w:color="auto"/>
              <w:right w:val="single" w:sz="4" w:space="0" w:color="000000"/>
            </w:tcBorders>
            <w:shd w:val="clear" w:color="auto" w:fill="D2D2D2"/>
          </w:tcPr>
          <w:p>
            <w:pPr/>
          </w:p>
        </w:tc>
        <w:tc>
          <w:tcPr>
            <w:tcW w:w="667" w:type="dxa"/>
            <w:vMerge/>
            <w:tcBorders>
              <w:left w:val="single" w:sz="4" w:space="0" w:color="000000"/>
              <w:right w:val="single" w:sz="4" w:space="0" w:color="000000"/>
            </w:tcBorders>
            <w:shd w:val="clear" w:color="auto" w:fill="D2D2D2"/>
          </w:tcPr>
          <w:p>
            <w:pPr/>
          </w:p>
        </w:tc>
        <w:tc>
          <w:tcPr>
            <w:tcW w:w="662" w:type="dxa"/>
            <w:vMerge/>
            <w:tcBorders>
              <w:left w:val="single" w:sz="4" w:space="0" w:color="000000"/>
              <w:right w:val="single" w:sz="4" w:space="0" w:color="000000"/>
            </w:tcBorders>
            <w:shd w:val="clear" w:color="auto" w:fill="D2D2D2"/>
          </w:tcPr>
          <w:p>
            <w:pPr/>
          </w:p>
        </w:tc>
        <w:tc>
          <w:tcPr>
            <w:tcW w:w="667" w:type="dxa"/>
            <w:vMerge/>
            <w:tcBorders>
              <w:left w:val="single" w:sz="4" w:space="0" w:color="000000"/>
              <w:right w:val="single" w:sz="4" w:space="0" w:color="000000"/>
            </w:tcBorders>
            <w:shd w:val="clear" w:color="auto" w:fill="D2D2D2"/>
          </w:tcPr>
          <w:p>
            <w:pPr/>
          </w:p>
        </w:tc>
        <w:tc>
          <w:tcPr>
            <w:tcW w:w="662" w:type="dxa"/>
            <w:vMerge/>
            <w:tcBorders>
              <w:left w:val="single" w:sz="4" w:space="0" w:color="000000"/>
              <w:right w:val="single" w:sz="4" w:space="0" w:color="000000"/>
            </w:tcBorders>
            <w:shd w:val="clear" w:color="auto" w:fill="D2D2D2"/>
          </w:tcPr>
          <w:p>
            <w:pPr/>
          </w:p>
        </w:tc>
        <w:tc>
          <w:tcPr>
            <w:tcW w:w="667" w:type="dxa"/>
            <w:vMerge/>
            <w:tcBorders>
              <w:left w:val="single" w:sz="4" w:space="0" w:color="000000"/>
              <w:right w:val="single" w:sz="4" w:space="0" w:color="000000"/>
            </w:tcBorders>
            <w:shd w:val="clear" w:color="auto" w:fill="D2D2D2"/>
          </w:tcPr>
          <w:p>
            <w:pPr/>
          </w:p>
        </w:tc>
        <w:tc>
          <w:tcPr>
            <w:tcW w:w="662" w:type="dxa"/>
            <w:vMerge/>
            <w:tcBorders>
              <w:left w:val="single" w:sz="4" w:space="0" w:color="000000"/>
              <w:right w:val="single" w:sz="4" w:space="0" w:color="000000"/>
            </w:tcBorders>
            <w:shd w:val="clear" w:color="auto" w:fill="D2D2D2"/>
          </w:tcPr>
          <w:p>
            <w:pPr/>
          </w:p>
        </w:tc>
        <w:tc>
          <w:tcPr>
            <w:tcW w:w="677" w:type="dxa"/>
            <w:vMerge/>
            <w:tcBorders>
              <w:left w:val="single" w:sz="4" w:space="0" w:color="000000"/>
              <w:right w:val="single" w:sz="4" w:space="0" w:color="000000"/>
            </w:tcBorders>
            <w:shd w:val="clear" w:color="auto" w:fill="D2D2D2"/>
          </w:tcPr>
          <w:p>
            <w:pPr/>
          </w:p>
        </w:tc>
        <w:tc>
          <w:tcPr>
            <w:tcW w:w="653" w:type="dxa"/>
            <w:vMerge/>
            <w:tcBorders>
              <w:left w:val="single" w:sz="4" w:space="0" w:color="000000"/>
              <w:right w:val="single" w:sz="4" w:space="0" w:color="000000"/>
            </w:tcBorders>
            <w:shd w:val="clear" w:color="auto" w:fill="D2D2D2"/>
          </w:tcPr>
          <w:p>
            <w:pPr/>
          </w:p>
        </w:tc>
        <w:tc>
          <w:tcPr>
            <w:tcW w:w="662" w:type="dxa"/>
            <w:vMerge/>
            <w:tcBorders>
              <w:left w:val="single" w:sz="4" w:space="0" w:color="000000"/>
              <w:right w:val="single" w:sz="4" w:space="0" w:color="000000"/>
            </w:tcBorders>
            <w:shd w:val="clear" w:color="auto" w:fill="D2D2D2"/>
          </w:tcPr>
          <w:p>
            <w:pPr/>
          </w:p>
        </w:tc>
      </w:tr>
      <w:tr>
        <w:trPr>
          <w:trHeight w:val="163" w:hRule="exact"/>
        </w:trPr>
        <w:tc>
          <w:tcPr>
            <w:tcW w:w="1426" w:type="dxa"/>
            <w:vMerge/>
            <w:tcBorders>
              <w:left w:val="single" w:sz="4" w:space="0" w:color="000000"/>
              <w:right w:val="single" w:sz="4" w:space="0" w:color="000000"/>
            </w:tcBorders>
            <w:shd w:val="clear" w:color="auto" w:fill="D2D2D2"/>
          </w:tcPr>
          <w:p>
            <w:pPr/>
          </w:p>
        </w:tc>
        <w:tc>
          <w:tcPr>
            <w:tcW w:w="559" w:type="dxa"/>
            <w:vMerge/>
            <w:tcBorders>
              <w:left w:val="single" w:sz="4" w:space="0" w:color="000000"/>
              <w:bottom w:val="nil" w:sz="6" w:space="0" w:color="auto"/>
              <w:right w:val="single" w:sz="4" w:space="0" w:color="000000"/>
            </w:tcBorders>
            <w:shd w:val="clear" w:color="auto" w:fill="D2D2D2"/>
          </w:tcPr>
          <w:p>
            <w:pPr/>
          </w:p>
        </w:tc>
        <w:tc>
          <w:tcPr>
            <w:tcW w:w="533" w:type="dxa"/>
            <w:vMerge/>
            <w:tcBorders>
              <w:left w:val="single" w:sz="4" w:space="0" w:color="000000"/>
              <w:right w:val="single" w:sz="4" w:space="0" w:color="000000"/>
            </w:tcBorders>
            <w:shd w:val="clear" w:color="auto" w:fill="D2D2D2"/>
          </w:tcPr>
          <w:p>
            <w:pPr/>
          </w:p>
        </w:tc>
        <w:tc>
          <w:tcPr>
            <w:tcW w:w="533" w:type="dxa"/>
            <w:vMerge/>
            <w:tcBorders>
              <w:left w:val="single" w:sz="4" w:space="0" w:color="000000"/>
              <w:right w:val="single" w:sz="4" w:space="0" w:color="000000"/>
            </w:tcBorders>
            <w:shd w:val="clear" w:color="auto" w:fill="D2D2D2"/>
          </w:tcPr>
          <w:p>
            <w:pPr/>
          </w:p>
        </w:tc>
        <w:tc>
          <w:tcPr>
            <w:tcW w:w="52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7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67" w:type="dxa"/>
            <w:vMerge/>
            <w:tcBorders>
              <w:left w:val="single" w:sz="4" w:space="0" w:color="000000"/>
              <w:right w:val="single" w:sz="4" w:space="0" w:color="000000"/>
            </w:tcBorders>
            <w:shd w:val="clear" w:color="auto" w:fill="D2D2D2"/>
          </w:tcPr>
          <w:p>
            <w:pPr/>
          </w:p>
        </w:tc>
        <w:tc>
          <w:tcPr>
            <w:tcW w:w="662" w:type="dxa"/>
            <w:vMerge/>
            <w:tcBorders>
              <w:left w:val="single" w:sz="4" w:space="0" w:color="000000"/>
              <w:right w:val="single" w:sz="4" w:space="0" w:color="000000"/>
            </w:tcBorders>
            <w:shd w:val="clear" w:color="auto" w:fill="D2D2D2"/>
          </w:tcPr>
          <w:p>
            <w:pPr/>
          </w:p>
        </w:tc>
        <w:tc>
          <w:tcPr>
            <w:tcW w:w="667" w:type="dxa"/>
            <w:vMerge/>
            <w:tcBorders>
              <w:left w:val="single" w:sz="4" w:space="0" w:color="000000"/>
              <w:right w:val="single" w:sz="4" w:space="0" w:color="000000"/>
            </w:tcBorders>
            <w:shd w:val="clear" w:color="auto" w:fill="D2D2D2"/>
          </w:tcPr>
          <w:p>
            <w:pPr/>
          </w:p>
        </w:tc>
        <w:tc>
          <w:tcPr>
            <w:tcW w:w="662" w:type="dxa"/>
            <w:vMerge/>
            <w:tcBorders>
              <w:left w:val="single" w:sz="4" w:space="0" w:color="000000"/>
              <w:right w:val="single" w:sz="4" w:space="0" w:color="000000"/>
            </w:tcBorders>
            <w:shd w:val="clear" w:color="auto" w:fill="D2D2D2"/>
          </w:tcPr>
          <w:p>
            <w:pPr/>
          </w:p>
        </w:tc>
        <w:tc>
          <w:tcPr>
            <w:tcW w:w="667" w:type="dxa"/>
            <w:vMerge/>
            <w:tcBorders>
              <w:left w:val="single" w:sz="4" w:space="0" w:color="000000"/>
              <w:right w:val="single" w:sz="4" w:space="0" w:color="000000"/>
            </w:tcBorders>
            <w:shd w:val="clear" w:color="auto" w:fill="D2D2D2"/>
          </w:tcPr>
          <w:p>
            <w:pPr/>
          </w:p>
        </w:tc>
        <w:tc>
          <w:tcPr>
            <w:tcW w:w="662" w:type="dxa"/>
            <w:vMerge/>
            <w:tcBorders>
              <w:left w:val="single" w:sz="4" w:space="0" w:color="000000"/>
              <w:right w:val="single" w:sz="4" w:space="0" w:color="000000"/>
            </w:tcBorders>
            <w:shd w:val="clear" w:color="auto" w:fill="D2D2D2"/>
          </w:tcPr>
          <w:p>
            <w:pPr/>
          </w:p>
        </w:tc>
        <w:tc>
          <w:tcPr>
            <w:tcW w:w="677" w:type="dxa"/>
            <w:vMerge/>
            <w:tcBorders>
              <w:left w:val="single" w:sz="4" w:space="0" w:color="000000"/>
              <w:right w:val="single" w:sz="4" w:space="0" w:color="000000"/>
            </w:tcBorders>
            <w:shd w:val="clear" w:color="auto" w:fill="D2D2D2"/>
          </w:tcPr>
          <w:p>
            <w:pPr/>
          </w:p>
        </w:tc>
        <w:tc>
          <w:tcPr>
            <w:tcW w:w="653" w:type="dxa"/>
            <w:vMerge/>
            <w:tcBorders>
              <w:left w:val="single" w:sz="4" w:space="0" w:color="000000"/>
              <w:bottom w:val="nil" w:sz="6" w:space="0" w:color="auto"/>
              <w:right w:val="single" w:sz="4" w:space="0" w:color="000000"/>
            </w:tcBorders>
            <w:shd w:val="clear" w:color="auto" w:fill="D2D2D2"/>
          </w:tcPr>
          <w:p>
            <w:pPr/>
          </w:p>
        </w:tc>
        <w:tc>
          <w:tcPr>
            <w:tcW w:w="662" w:type="dxa"/>
            <w:vMerge/>
            <w:tcBorders>
              <w:left w:val="single" w:sz="4" w:space="0" w:color="000000"/>
              <w:right w:val="single" w:sz="4" w:space="0" w:color="000000"/>
            </w:tcBorders>
            <w:shd w:val="clear" w:color="auto" w:fill="D2D2D2"/>
          </w:tcPr>
          <w:p>
            <w:pPr/>
          </w:p>
        </w:tc>
      </w:tr>
      <w:tr>
        <w:trPr>
          <w:trHeight w:val="156" w:hRule="exact"/>
        </w:trPr>
        <w:tc>
          <w:tcPr>
            <w:tcW w:w="1426" w:type="dxa"/>
            <w:vMerge/>
            <w:tcBorders>
              <w:left w:val="single" w:sz="4" w:space="0" w:color="000000"/>
              <w:right w:val="single" w:sz="4" w:space="0" w:color="000000"/>
            </w:tcBorders>
            <w:shd w:val="clear" w:color="auto" w:fill="D2D2D2"/>
          </w:tcPr>
          <w:p>
            <w:pPr/>
          </w:p>
        </w:tc>
        <w:tc>
          <w:tcPr>
            <w:tcW w:w="559" w:type="dxa"/>
            <w:vMerge w:val="restart"/>
            <w:tcBorders>
              <w:top w:val="nil" w:sz="6" w:space="0" w:color="auto"/>
              <w:left w:val="single" w:sz="4" w:space="0" w:color="000000"/>
              <w:right w:val="single" w:sz="4" w:space="0" w:color="000000"/>
            </w:tcBorders>
            <w:shd w:val="clear" w:color="auto" w:fill="D2D2D2"/>
          </w:tcPr>
          <w:p>
            <w:pPr/>
          </w:p>
        </w:tc>
        <w:tc>
          <w:tcPr>
            <w:tcW w:w="533" w:type="dxa"/>
            <w:vMerge/>
            <w:tcBorders>
              <w:left w:val="single" w:sz="4" w:space="0" w:color="000000"/>
              <w:right w:val="single" w:sz="4" w:space="0" w:color="000000"/>
            </w:tcBorders>
            <w:shd w:val="clear" w:color="auto" w:fill="D2D2D2"/>
          </w:tcPr>
          <w:p>
            <w:pPr/>
          </w:p>
        </w:tc>
        <w:tc>
          <w:tcPr>
            <w:tcW w:w="533" w:type="dxa"/>
            <w:vMerge/>
            <w:tcBorders>
              <w:left w:val="single" w:sz="4" w:space="0" w:color="000000"/>
              <w:right w:val="single" w:sz="4" w:space="0" w:color="000000"/>
            </w:tcBorders>
            <w:shd w:val="clear" w:color="auto" w:fill="D2D2D2"/>
          </w:tcPr>
          <w:p>
            <w:pPr/>
          </w:p>
        </w:tc>
        <w:tc>
          <w:tcPr>
            <w:tcW w:w="528" w:type="dxa"/>
            <w:vMerge/>
            <w:tcBorders>
              <w:left w:val="single" w:sz="4" w:space="0" w:color="000000"/>
              <w:bottom w:val="nil" w:sz="6" w:space="0" w:color="auto"/>
              <w:right w:val="single" w:sz="4" w:space="0" w:color="000000"/>
            </w:tcBorders>
            <w:shd w:val="clear" w:color="auto" w:fill="D2D2D2"/>
          </w:tcPr>
          <w:p>
            <w:pPr/>
          </w:p>
        </w:tc>
        <w:tc>
          <w:tcPr>
            <w:tcW w:w="667" w:type="dxa"/>
            <w:vMerge/>
            <w:tcBorders>
              <w:left w:val="single" w:sz="4" w:space="0" w:color="000000"/>
              <w:bottom w:val="nil" w:sz="6" w:space="0" w:color="auto"/>
              <w:right w:val="single" w:sz="4" w:space="0" w:color="000000"/>
            </w:tcBorders>
            <w:shd w:val="clear" w:color="auto" w:fill="D2D2D2"/>
          </w:tcPr>
          <w:p>
            <w:pPr/>
          </w:p>
        </w:tc>
        <w:tc>
          <w:tcPr>
            <w:tcW w:w="662" w:type="dxa"/>
            <w:vMerge/>
            <w:tcBorders>
              <w:left w:val="single" w:sz="4" w:space="0" w:color="000000"/>
              <w:bottom w:val="nil" w:sz="6" w:space="0" w:color="auto"/>
              <w:right w:val="single" w:sz="4" w:space="0" w:color="000000"/>
            </w:tcBorders>
            <w:shd w:val="clear" w:color="auto" w:fill="D2D2D2"/>
          </w:tcPr>
          <w:p>
            <w:pPr/>
          </w:p>
        </w:tc>
        <w:tc>
          <w:tcPr>
            <w:tcW w:w="667" w:type="dxa"/>
            <w:vMerge/>
            <w:tcBorders>
              <w:left w:val="single" w:sz="4" w:space="0" w:color="000000"/>
              <w:bottom w:val="nil" w:sz="6" w:space="0" w:color="auto"/>
              <w:right w:val="single" w:sz="4" w:space="0" w:color="000000"/>
            </w:tcBorders>
            <w:shd w:val="clear" w:color="auto" w:fill="D2D2D2"/>
          </w:tcPr>
          <w:p>
            <w:pPr/>
          </w:p>
        </w:tc>
        <w:tc>
          <w:tcPr>
            <w:tcW w:w="662" w:type="dxa"/>
            <w:vMerge/>
            <w:tcBorders>
              <w:left w:val="single" w:sz="4" w:space="0" w:color="000000"/>
              <w:bottom w:val="nil" w:sz="6" w:space="0" w:color="auto"/>
              <w:right w:val="single" w:sz="4" w:space="0" w:color="000000"/>
            </w:tcBorders>
            <w:shd w:val="clear" w:color="auto" w:fill="D2D2D2"/>
          </w:tcPr>
          <w:p>
            <w:pPr/>
          </w:p>
        </w:tc>
        <w:tc>
          <w:tcPr>
            <w:tcW w:w="667" w:type="dxa"/>
            <w:vMerge/>
            <w:tcBorders>
              <w:left w:val="single" w:sz="4" w:space="0" w:color="000000"/>
              <w:bottom w:val="nil" w:sz="6" w:space="0" w:color="auto"/>
              <w:right w:val="single" w:sz="4" w:space="0" w:color="000000"/>
            </w:tcBorders>
            <w:shd w:val="clear" w:color="auto" w:fill="D2D2D2"/>
          </w:tcPr>
          <w:p>
            <w:pPr/>
          </w:p>
        </w:tc>
        <w:tc>
          <w:tcPr>
            <w:tcW w:w="662" w:type="dxa"/>
            <w:vMerge/>
            <w:tcBorders>
              <w:left w:val="single" w:sz="4" w:space="0" w:color="000000"/>
              <w:bottom w:val="nil" w:sz="6" w:space="0" w:color="auto"/>
              <w:right w:val="single" w:sz="4" w:space="0" w:color="000000"/>
            </w:tcBorders>
            <w:shd w:val="clear" w:color="auto" w:fill="D2D2D2"/>
          </w:tcPr>
          <w:p>
            <w:pPr/>
          </w:p>
        </w:tc>
        <w:tc>
          <w:tcPr>
            <w:tcW w:w="677" w:type="dxa"/>
            <w:vMerge/>
            <w:tcBorders>
              <w:left w:val="single" w:sz="4" w:space="0" w:color="000000"/>
              <w:bottom w:val="nil" w:sz="6" w:space="0" w:color="auto"/>
              <w:right w:val="single" w:sz="4" w:space="0" w:color="000000"/>
            </w:tcBorders>
            <w:shd w:val="clear" w:color="auto" w:fill="D2D2D2"/>
          </w:tcPr>
          <w:p>
            <w:pPr/>
          </w:p>
        </w:tc>
        <w:tc>
          <w:tcPr>
            <w:tcW w:w="653" w:type="dxa"/>
            <w:vMerge w:val="restart"/>
            <w:tcBorders>
              <w:top w:val="nil" w:sz="6" w:space="0" w:color="auto"/>
              <w:left w:val="single" w:sz="4" w:space="0" w:color="000000"/>
              <w:right w:val="single" w:sz="4" w:space="0" w:color="000000"/>
            </w:tcBorders>
            <w:shd w:val="clear" w:color="auto" w:fill="D2D2D2"/>
          </w:tcPr>
          <w:p>
            <w:pPr/>
          </w:p>
        </w:tc>
        <w:tc>
          <w:tcPr>
            <w:tcW w:w="662" w:type="dxa"/>
            <w:vMerge/>
            <w:tcBorders>
              <w:left w:val="single" w:sz="4" w:space="0" w:color="000000"/>
              <w:bottom w:val="nil" w:sz="6" w:space="0" w:color="auto"/>
              <w:right w:val="single" w:sz="4" w:space="0" w:color="000000"/>
            </w:tcBorders>
            <w:shd w:val="clear" w:color="auto" w:fill="D2D2D2"/>
          </w:tcPr>
          <w:p>
            <w:pPr/>
          </w:p>
        </w:tc>
      </w:tr>
      <w:tr>
        <w:trPr>
          <w:trHeight w:val="238" w:hRule="exact"/>
        </w:trPr>
        <w:tc>
          <w:tcPr>
            <w:tcW w:w="1426" w:type="dxa"/>
            <w:vMerge/>
            <w:tcBorders>
              <w:left w:val="single" w:sz="4" w:space="0" w:color="000000"/>
              <w:bottom w:val="single" w:sz="4" w:space="0" w:color="000000"/>
              <w:right w:val="single" w:sz="4" w:space="0" w:color="000000"/>
            </w:tcBorders>
            <w:shd w:val="clear" w:color="auto" w:fill="D2D2D2"/>
          </w:tcPr>
          <w:p>
            <w:pPr/>
          </w:p>
        </w:tc>
        <w:tc>
          <w:tcPr>
            <w:tcW w:w="559" w:type="dxa"/>
            <w:vMerge/>
            <w:tcBorders>
              <w:left w:val="single" w:sz="4" w:space="0" w:color="000000"/>
              <w:bottom w:val="single" w:sz="4" w:space="0" w:color="000000"/>
              <w:right w:val="single" w:sz="4" w:space="0" w:color="000000"/>
            </w:tcBorders>
            <w:shd w:val="clear" w:color="auto" w:fill="D2D2D2"/>
          </w:tcPr>
          <w:p>
            <w:pPr/>
          </w:p>
        </w:tc>
        <w:tc>
          <w:tcPr>
            <w:tcW w:w="533" w:type="dxa"/>
            <w:vMerge/>
            <w:tcBorders>
              <w:left w:val="single" w:sz="4" w:space="0" w:color="000000"/>
              <w:bottom w:val="single" w:sz="4" w:space="0" w:color="000000"/>
              <w:right w:val="single" w:sz="4" w:space="0" w:color="000000"/>
            </w:tcBorders>
            <w:shd w:val="clear" w:color="auto" w:fill="D2D2D2"/>
          </w:tcPr>
          <w:p>
            <w:pPr/>
          </w:p>
        </w:tc>
        <w:tc>
          <w:tcPr>
            <w:tcW w:w="533" w:type="dxa"/>
            <w:vMerge/>
            <w:tcBorders>
              <w:left w:val="single" w:sz="4" w:space="0" w:color="000000"/>
              <w:bottom w:val="single" w:sz="4" w:space="0" w:color="000000"/>
              <w:right w:val="single" w:sz="4" w:space="0" w:color="000000"/>
            </w:tcBorders>
            <w:shd w:val="clear" w:color="auto" w:fill="D2D2D2"/>
          </w:tcPr>
          <w:p>
            <w:pPr/>
          </w:p>
        </w:tc>
        <w:tc>
          <w:tcPr>
            <w:tcW w:w="528" w:type="dxa"/>
            <w:tcBorders>
              <w:top w:val="nil" w:sz="6" w:space="0" w:color="auto"/>
              <w:left w:val="single" w:sz="4" w:space="0" w:color="000000"/>
              <w:bottom w:val="single" w:sz="4" w:space="0" w:color="000000"/>
              <w:right w:val="single" w:sz="4" w:space="0" w:color="000000"/>
            </w:tcBorders>
            <w:shd w:val="clear" w:color="auto" w:fill="D2D2D2"/>
          </w:tcPr>
          <w:p>
            <w:pPr/>
          </w:p>
        </w:tc>
        <w:tc>
          <w:tcPr>
            <w:tcW w:w="667" w:type="dxa"/>
            <w:tcBorders>
              <w:top w:val="nil" w:sz="6" w:space="0" w:color="auto"/>
              <w:left w:val="single" w:sz="4" w:space="0" w:color="000000"/>
              <w:bottom w:val="single" w:sz="4" w:space="0" w:color="000000"/>
              <w:right w:val="single" w:sz="4" w:space="0" w:color="000000"/>
            </w:tcBorders>
            <w:shd w:val="clear" w:color="auto" w:fill="D2D2D2"/>
          </w:tcPr>
          <w:p>
            <w:pPr/>
          </w:p>
        </w:tc>
        <w:tc>
          <w:tcPr>
            <w:tcW w:w="662" w:type="dxa"/>
            <w:tcBorders>
              <w:top w:val="nil" w:sz="6" w:space="0" w:color="auto"/>
              <w:left w:val="single" w:sz="4" w:space="0" w:color="000000"/>
              <w:bottom w:val="single" w:sz="4" w:space="0" w:color="000000"/>
              <w:right w:val="single" w:sz="4" w:space="0" w:color="000000"/>
            </w:tcBorders>
            <w:shd w:val="clear" w:color="auto" w:fill="D2D2D2"/>
          </w:tcPr>
          <w:p>
            <w:pPr/>
          </w:p>
        </w:tc>
        <w:tc>
          <w:tcPr>
            <w:tcW w:w="667" w:type="dxa"/>
            <w:tcBorders>
              <w:top w:val="nil" w:sz="6" w:space="0" w:color="auto"/>
              <w:left w:val="single" w:sz="4" w:space="0" w:color="000000"/>
              <w:bottom w:val="single" w:sz="4" w:space="0" w:color="000000"/>
              <w:right w:val="single" w:sz="4" w:space="0" w:color="000000"/>
            </w:tcBorders>
            <w:shd w:val="clear" w:color="auto" w:fill="D2D2D2"/>
          </w:tcPr>
          <w:p>
            <w:pPr/>
          </w:p>
        </w:tc>
        <w:tc>
          <w:tcPr>
            <w:tcW w:w="662" w:type="dxa"/>
            <w:tcBorders>
              <w:top w:val="nil" w:sz="6" w:space="0" w:color="auto"/>
              <w:left w:val="single" w:sz="4" w:space="0" w:color="000000"/>
              <w:bottom w:val="single" w:sz="4" w:space="0" w:color="000000"/>
              <w:right w:val="single" w:sz="4" w:space="0" w:color="000000"/>
            </w:tcBorders>
            <w:shd w:val="clear" w:color="auto" w:fill="D2D2D2"/>
          </w:tcPr>
          <w:p>
            <w:pPr/>
          </w:p>
        </w:tc>
        <w:tc>
          <w:tcPr>
            <w:tcW w:w="667" w:type="dxa"/>
            <w:tcBorders>
              <w:top w:val="nil" w:sz="6" w:space="0" w:color="auto"/>
              <w:left w:val="single" w:sz="4" w:space="0" w:color="000000"/>
              <w:bottom w:val="single" w:sz="4" w:space="0" w:color="000000"/>
              <w:right w:val="single" w:sz="4" w:space="0" w:color="000000"/>
            </w:tcBorders>
            <w:shd w:val="clear" w:color="auto" w:fill="D2D2D2"/>
          </w:tcPr>
          <w:p>
            <w:pPr/>
          </w:p>
        </w:tc>
        <w:tc>
          <w:tcPr>
            <w:tcW w:w="662" w:type="dxa"/>
            <w:tcBorders>
              <w:top w:val="nil" w:sz="6" w:space="0" w:color="auto"/>
              <w:left w:val="single" w:sz="4" w:space="0" w:color="000000"/>
              <w:bottom w:val="single" w:sz="4" w:space="0" w:color="000000"/>
              <w:right w:val="single" w:sz="4" w:space="0" w:color="000000"/>
            </w:tcBorders>
            <w:shd w:val="clear" w:color="auto" w:fill="D2D2D2"/>
          </w:tcPr>
          <w:p>
            <w:pPr/>
          </w:p>
        </w:tc>
        <w:tc>
          <w:tcPr>
            <w:tcW w:w="677" w:type="dxa"/>
            <w:tcBorders>
              <w:top w:val="nil" w:sz="6" w:space="0" w:color="auto"/>
              <w:left w:val="single" w:sz="4" w:space="0" w:color="000000"/>
              <w:bottom w:val="single" w:sz="4" w:space="0" w:color="000000"/>
              <w:right w:val="single" w:sz="4" w:space="0" w:color="000000"/>
            </w:tcBorders>
            <w:shd w:val="clear" w:color="auto" w:fill="D2D2D2"/>
          </w:tcPr>
          <w:p>
            <w:pPr/>
          </w:p>
        </w:tc>
        <w:tc>
          <w:tcPr>
            <w:tcW w:w="653" w:type="dxa"/>
            <w:vMerge/>
            <w:tcBorders>
              <w:left w:val="single" w:sz="4" w:space="0" w:color="000000"/>
              <w:bottom w:val="single" w:sz="4" w:space="0" w:color="000000"/>
              <w:right w:val="single" w:sz="4" w:space="0" w:color="000000"/>
            </w:tcBorders>
            <w:shd w:val="clear" w:color="auto" w:fill="D2D2D2"/>
          </w:tcPr>
          <w:p>
            <w:pPr/>
          </w:p>
        </w:tc>
        <w:tc>
          <w:tcPr>
            <w:tcW w:w="662"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17" w:hRule="exact"/>
        </w:trPr>
        <w:tc>
          <w:tcPr>
            <w:tcW w:w="1426" w:type="dxa"/>
            <w:tcBorders>
              <w:top w:val="single" w:sz="4" w:space="0" w:color="000000"/>
              <w:left w:val="single" w:sz="4" w:space="0" w:color="000000"/>
              <w:bottom w:val="nil" w:sz="6" w:space="0" w:color="auto"/>
              <w:right w:val="single" w:sz="4" w:space="0" w:color="000000"/>
            </w:tcBorders>
            <w:shd w:val="clear" w:color="auto" w:fill="D2D2D2"/>
          </w:tcPr>
          <w:p>
            <w:pPr/>
          </w:p>
        </w:tc>
        <w:tc>
          <w:tcPr>
            <w:tcW w:w="559" w:type="dxa"/>
            <w:vMerge w:val="restart"/>
            <w:tcBorders>
              <w:top w:val="single" w:sz="4" w:space="0" w:color="000000"/>
              <w:left w:val="single" w:sz="8" w:space="0" w:color="D2D2D2"/>
              <w:right w:val="single" w:sz="4" w:space="0" w:color="000000"/>
            </w:tcBorders>
          </w:tcPr>
          <w:p>
            <w:pPr>
              <w:pStyle w:val="TableParagraph"/>
              <w:spacing w:line="240" w:lineRule="auto" w:before="96"/>
              <w:ind w:left="26" w:right="0"/>
              <w:jc w:val="left"/>
              <w:rPr>
                <w:rFonts w:ascii="Times New Roman" w:hAnsi="Times New Roman" w:cs="Times New Roman" w:eastAsia="Times New Roman" w:hint="default"/>
                <w:sz w:val="18"/>
                <w:szCs w:val="18"/>
              </w:rPr>
            </w:pPr>
            <w:r>
              <w:rPr>
                <w:rFonts w:ascii="Times New Roman"/>
                <w:sz w:val="18"/>
              </w:rPr>
              <w:t>298,18</w:t>
            </w:r>
          </w:p>
          <w:p>
            <w:pPr>
              <w:pStyle w:val="TableParagraph"/>
              <w:spacing w:line="240" w:lineRule="auto" w:before="100"/>
              <w:ind w:left="69" w:right="0"/>
              <w:jc w:val="left"/>
              <w:rPr>
                <w:rFonts w:ascii="Times New Roman" w:hAnsi="Times New Roman" w:cs="Times New Roman" w:eastAsia="Times New Roman" w:hint="default"/>
                <w:sz w:val="18"/>
                <w:szCs w:val="18"/>
              </w:rPr>
            </w:pPr>
            <w:r>
              <w:rPr>
                <w:rFonts w:ascii="Times New Roman"/>
                <w:sz w:val="18"/>
              </w:rPr>
              <w:t>6,000.</w:t>
            </w:r>
          </w:p>
          <w:p>
            <w:pPr>
              <w:pStyle w:val="TableParagraph"/>
              <w:spacing w:line="240" w:lineRule="auto" w:before="110"/>
              <w:ind w:left="338" w:right="0"/>
              <w:jc w:val="left"/>
              <w:rPr>
                <w:rFonts w:ascii="Times New Roman" w:hAnsi="Times New Roman" w:cs="Times New Roman" w:eastAsia="Times New Roman" w:hint="default"/>
                <w:sz w:val="18"/>
                <w:szCs w:val="18"/>
              </w:rPr>
            </w:pPr>
            <w:r>
              <w:rPr>
                <w:rFonts w:ascii="Times New Roman"/>
                <w:sz w:val="18"/>
              </w:rPr>
              <w:t>00</w:t>
            </w:r>
          </w:p>
        </w:tc>
        <w:tc>
          <w:tcPr>
            <w:tcW w:w="533" w:type="dxa"/>
            <w:vMerge w:val="restart"/>
            <w:tcBorders>
              <w:top w:val="single" w:sz="4" w:space="0" w:color="000000"/>
              <w:left w:val="single" w:sz="4" w:space="0" w:color="000000"/>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528"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334,340</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,738.20</w:t>
            </w: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6" w:right="0"/>
              <w:jc w:val="left"/>
              <w:rPr>
                <w:rFonts w:ascii="Times New Roman" w:hAnsi="Times New Roman" w:cs="Times New Roman" w:eastAsia="Times New Roman" w:hint="default"/>
                <w:sz w:val="18"/>
                <w:szCs w:val="18"/>
              </w:rPr>
            </w:pPr>
            <w:r>
              <w:rPr>
                <w:rFonts w:ascii="Times New Roman"/>
                <w:sz w:val="18"/>
              </w:rPr>
              <w:t>32,056,</w:t>
            </w:r>
          </w:p>
          <w:p>
            <w:pPr>
              <w:pStyle w:val="TableParagraph"/>
              <w:spacing w:line="240" w:lineRule="auto" w:before="105"/>
              <w:ind w:left="134" w:right="0"/>
              <w:jc w:val="left"/>
              <w:rPr>
                <w:rFonts w:ascii="Times New Roman" w:hAnsi="Times New Roman" w:cs="Times New Roman" w:eastAsia="Times New Roman" w:hint="default"/>
                <w:sz w:val="18"/>
                <w:szCs w:val="18"/>
              </w:rPr>
            </w:pPr>
            <w:r>
              <w:rPr>
                <w:rFonts w:ascii="Times New Roman"/>
                <w:sz w:val="18"/>
              </w:rPr>
              <w:t>486.47</w:t>
            </w:r>
          </w:p>
        </w:tc>
        <w:tc>
          <w:tcPr>
            <w:tcW w:w="662" w:type="dxa"/>
            <w:vMerge w:val="restart"/>
            <w:tcBorders>
              <w:top w:val="single" w:sz="4" w:space="0" w:color="000000"/>
              <w:left w:val="single" w:sz="4" w:space="0" w:color="000000"/>
              <w:right w:val="single" w:sz="4" w:space="0" w:color="000000"/>
            </w:tcBorders>
          </w:tcPr>
          <w:p>
            <w:pPr/>
          </w:p>
        </w:tc>
        <w:tc>
          <w:tcPr>
            <w:tcW w:w="677"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180,063</w:t>
            </w:r>
          </w:p>
          <w:p>
            <w:pPr>
              <w:pStyle w:val="TableParagraph"/>
              <w:spacing w:line="240" w:lineRule="auto" w:before="105"/>
              <w:ind w:left="110" w:right="0"/>
              <w:jc w:val="left"/>
              <w:rPr>
                <w:rFonts w:ascii="Times New Roman" w:hAnsi="Times New Roman" w:cs="Times New Roman" w:eastAsia="Times New Roman" w:hint="default"/>
                <w:sz w:val="18"/>
                <w:szCs w:val="18"/>
              </w:rPr>
            </w:pPr>
            <w:r>
              <w:rPr>
                <w:rFonts w:ascii="Times New Roman"/>
                <w:sz w:val="18"/>
              </w:rPr>
              <w:t>,672.11</w:t>
            </w:r>
          </w:p>
        </w:tc>
        <w:tc>
          <w:tcPr>
            <w:tcW w:w="65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45,192,</w:t>
            </w:r>
          </w:p>
          <w:p>
            <w:pPr>
              <w:pStyle w:val="TableParagraph"/>
              <w:spacing w:line="240" w:lineRule="auto" w:before="105"/>
              <w:ind w:left="120" w:right="0"/>
              <w:jc w:val="left"/>
              <w:rPr>
                <w:rFonts w:ascii="Times New Roman" w:hAnsi="Times New Roman" w:cs="Times New Roman" w:eastAsia="Times New Roman" w:hint="default"/>
                <w:sz w:val="18"/>
                <w:szCs w:val="18"/>
              </w:rPr>
            </w:pPr>
            <w:r>
              <w:rPr>
                <w:rFonts w:ascii="Times New Roman"/>
                <w:sz w:val="18"/>
              </w:rPr>
              <w:t>298.86</w:t>
            </w:r>
          </w:p>
        </w:tc>
        <w:tc>
          <w:tcPr>
            <w:tcW w:w="66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889,839</w:t>
            </w:r>
          </w:p>
          <w:p>
            <w:pPr>
              <w:pStyle w:val="TableParagraph"/>
              <w:spacing w:line="240" w:lineRule="auto" w:before="105"/>
              <w:ind w:left="86" w:right="0"/>
              <w:jc w:val="left"/>
              <w:rPr>
                <w:rFonts w:ascii="Times New Roman" w:hAnsi="Times New Roman" w:cs="Times New Roman" w:eastAsia="Times New Roman" w:hint="default"/>
                <w:sz w:val="18"/>
                <w:szCs w:val="18"/>
              </w:rPr>
            </w:pPr>
            <w:r>
              <w:rPr>
                <w:rFonts w:ascii="Times New Roman"/>
                <w:sz w:val="18"/>
              </w:rPr>
              <w:t>,195.64</w:t>
            </w:r>
          </w:p>
        </w:tc>
      </w:tr>
      <w:tr>
        <w:trPr>
          <w:trHeight w:val="388" w:hRule="exact"/>
        </w:trPr>
        <w:tc>
          <w:tcPr>
            <w:tcW w:w="142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14"/>
              <w:jc w:val="right"/>
              <w:rPr>
                <w:rFonts w:ascii="宋体" w:hAnsi="宋体" w:cs="宋体" w:eastAsia="宋体" w:hint="default"/>
                <w:sz w:val="18"/>
                <w:szCs w:val="18"/>
              </w:rPr>
            </w:pPr>
            <w:r>
              <w:rPr>
                <w:rFonts w:ascii="宋体" w:hAnsi="宋体" w:cs="宋体" w:eastAsia="宋体" w:hint="default"/>
                <w:spacing w:val="-10"/>
                <w:sz w:val="18"/>
                <w:szCs w:val="18"/>
              </w:rPr>
              <w:t>一、上年期末余额</w:t>
            </w:r>
          </w:p>
        </w:tc>
        <w:tc>
          <w:tcPr>
            <w:tcW w:w="559" w:type="dxa"/>
            <w:vMerge/>
            <w:tcBorders>
              <w:left w:val="single" w:sz="8" w:space="0" w:color="D2D2D2"/>
              <w:right w:val="single" w:sz="4" w:space="0" w:color="000000"/>
            </w:tcBorders>
          </w:tcPr>
          <w:p>
            <w:pPr/>
          </w:p>
        </w:tc>
        <w:tc>
          <w:tcPr>
            <w:tcW w:w="533" w:type="dxa"/>
            <w:vMerge/>
            <w:tcBorders>
              <w:left w:val="single" w:sz="4" w:space="0" w:color="000000"/>
              <w:right w:val="single" w:sz="4" w:space="0" w:color="000000"/>
            </w:tcBorders>
          </w:tcPr>
          <w:p>
            <w:pPr/>
          </w:p>
        </w:tc>
        <w:tc>
          <w:tcPr>
            <w:tcW w:w="533" w:type="dxa"/>
            <w:vMerge/>
            <w:tcBorders>
              <w:left w:val="single" w:sz="4" w:space="0" w:color="000000"/>
              <w:right w:val="single" w:sz="4" w:space="0" w:color="000000"/>
            </w:tcBorders>
          </w:tcPr>
          <w:p>
            <w:pPr/>
          </w:p>
        </w:tc>
        <w:tc>
          <w:tcPr>
            <w:tcW w:w="528"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77" w:type="dxa"/>
            <w:vMerge/>
            <w:tcBorders>
              <w:left w:val="single" w:sz="4" w:space="0" w:color="000000"/>
              <w:right w:val="single" w:sz="4" w:space="0" w:color="000000"/>
            </w:tcBorders>
          </w:tcPr>
          <w:p>
            <w:pPr/>
          </w:p>
        </w:tc>
        <w:tc>
          <w:tcPr>
            <w:tcW w:w="653"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r>
      <w:tr>
        <w:trPr>
          <w:trHeight w:val="317" w:hRule="exact"/>
        </w:trPr>
        <w:tc>
          <w:tcPr>
            <w:tcW w:w="1426" w:type="dxa"/>
            <w:tcBorders>
              <w:top w:val="nil" w:sz="6" w:space="0" w:color="auto"/>
              <w:left w:val="single" w:sz="4" w:space="0" w:color="000000"/>
              <w:bottom w:val="single" w:sz="4" w:space="0" w:color="000000"/>
              <w:right w:val="single" w:sz="4" w:space="0" w:color="000000"/>
            </w:tcBorders>
            <w:shd w:val="clear" w:color="auto" w:fill="D2D2D2"/>
          </w:tcPr>
          <w:p>
            <w:pPr/>
          </w:p>
        </w:tc>
        <w:tc>
          <w:tcPr>
            <w:tcW w:w="559" w:type="dxa"/>
            <w:vMerge/>
            <w:tcBorders>
              <w:left w:val="single" w:sz="8" w:space="0" w:color="D2D2D2"/>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28"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653"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r>
      <w:tr>
        <w:trPr>
          <w:trHeight w:val="715"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1" w:right="14" w:firstLine="360"/>
              <w:jc w:val="left"/>
              <w:rPr>
                <w:rFonts w:ascii="宋体" w:hAnsi="宋体" w:cs="宋体" w:eastAsia="宋体" w:hint="default"/>
                <w:sz w:val="18"/>
                <w:szCs w:val="18"/>
              </w:rPr>
            </w:pPr>
            <w:r>
              <w:rPr>
                <w:rFonts w:ascii="宋体" w:hAnsi="宋体" w:cs="宋体" w:eastAsia="宋体" w:hint="default"/>
                <w:spacing w:val="-12"/>
                <w:sz w:val="18"/>
                <w:szCs w:val="18"/>
              </w:rPr>
              <w:t>加：会计政策</w:t>
            </w:r>
            <w:r>
              <w:rPr>
                <w:rFonts w:ascii="宋体" w:hAnsi="宋体" w:cs="宋体" w:eastAsia="宋体" w:hint="default"/>
                <w:w w:val="101"/>
                <w:sz w:val="18"/>
                <w:szCs w:val="18"/>
              </w:rPr>
              <w:t> </w:t>
            </w:r>
            <w:r>
              <w:rPr>
                <w:rFonts w:ascii="宋体" w:hAnsi="宋体" w:cs="宋体" w:eastAsia="宋体" w:hint="default"/>
                <w:sz w:val="18"/>
                <w:szCs w:val="18"/>
              </w:rPr>
              <w:t>变更</w:t>
            </w:r>
          </w:p>
        </w:tc>
        <w:tc>
          <w:tcPr>
            <w:tcW w:w="559" w:type="dxa"/>
            <w:tcBorders>
              <w:top w:val="single" w:sz="4" w:space="0" w:color="000000"/>
              <w:left w:val="single" w:sz="8" w:space="0" w:color="D2D2D2"/>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559" w:type="dxa"/>
            <w:tcBorders>
              <w:top w:val="single" w:sz="4" w:space="0" w:color="000000"/>
              <w:left w:val="single" w:sz="8" w:space="0" w:color="D2D2D2"/>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139" w:firstLine="720"/>
              <w:jc w:val="left"/>
              <w:rPr>
                <w:rFonts w:ascii="宋体" w:hAnsi="宋体" w:cs="宋体" w:eastAsia="宋体" w:hint="default"/>
                <w:sz w:val="18"/>
                <w:szCs w:val="18"/>
              </w:rPr>
            </w:pPr>
            <w:r>
              <w:rPr>
                <w:rFonts w:ascii="宋体" w:hAnsi="宋体" w:cs="宋体" w:eastAsia="宋体" w:hint="default"/>
                <w:sz w:val="18"/>
                <w:szCs w:val="18"/>
              </w:rPr>
              <w:t>同一控</w:t>
            </w:r>
            <w:r>
              <w:rPr>
                <w:rFonts w:ascii="宋体" w:hAnsi="宋体" w:cs="宋体" w:eastAsia="宋体" w:hint="default"/>
                <w:w w:val="101"/>
                <w:sz w:val="18"/>
                <w:szCs w:val="18"/>
              </w:rPr>
              <w:t> </w:t>
            </w:r>
            <w:r>
              <w:rPr>
                <w:rFonts w:ascii="宋体" w:hAnsi="宋体" w:cs="宋体" w:eastAsia="宋体" w:hint="default"/>
                <w:sz w:val="18"/>
                <w:szCs w:val="18"/>
              </w:rPr>
              <w:t>制下企业合并</w:t>
            </w:r>
          </w:p>
        </w:tc>
        <w:tc>
          <w:tcPr>
            <w:tcW w:w="559" w:type="dxa"/>
            <w:tcBorders>
              <w:top w:val="single" w:sz="4" w:space="0" w:color="000000"/>
              <w:left w:val="single" w:sz="8" w:space="0" w:color="D2D2D2"/>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59" w:type="dxa"/>
            <w:tcBorders>
              <w:top w:val="single" w:sz="4" w:space="0" w:color="000000"/>
              <w:left w:val="single" w:sz="8" w:space="0" w:color="D2D2D2"/>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1426" w:type="dxa"/>
            <w:tcBorders>
              <w:top w:val="single" w:sz="4" w:space="0" w:color="000000"/>
              <w:left w:val="single" w:sz="4" w:space="0" w:color="000000"/>
              <w:bottom w:val="nil" w:sz="6" w:space="0" w:color="auto"/>
              <w:right w:val="single" w:sz="4" w:space="0" w:color="000000"/>
            </w:tcBorders>
            <w:shd w:val="clear" w:color="auto" w:fill="D2D2D2"/>
          </w:tcPr>
          <w:p>
            <w:pPr/>
          </w:p>
        </w:tc>
        <w:tc>
          <w:tcPr>
            <w:tcW w:w="559" w:type="dxa"/>
            <w:vMerge w:val="restart"/>
            <w:tcBorders>
              <w:top w:val="single" w:sz="4" w:space="0" w:color="000000"/>
              <w:left w:val="single" w:sz="8" w:space="0" w:color="D2D2D2"/>
              <w:right w:val="single" w:sz="4" w:space="0" w:color="000000"/>
            </w:tcBorders>
          </w:tcPr>
          <w:p>
            <w:pPr>
              <w:pStyle w:val="TableParagraph"/>
              <w:spacing w:line="240" w:lineRule="auto" w:before="96"/>
              <w:ind w:left="26" w:right="0"/>
              <w:jc w:val="left"/>
              <w:rPr>
                <w:rFonts w:ascii="Times New Roman" w:hAnsi="Times New Roman" w:cs="Times New Roman" w:eastAsia="Times New Roman" w:hint="default"/>
                <w:sz w:val="18"/>
                <w:szCs w:val="18"/>
              </w:rPr>
            </w:pPr>
            <w:r>
              <w:rPr>
                <w:rFonts w:ascii="Times New Roman"/>
                <w:sz w:val="18"/>
              </w:rPr>
              <w:t>298,18</w:t>
            </w:r>
          </w:p>
          <w:p>
            <w:pPr>
              <w:pStyle w:val="TableParagraph"/>
              <w:spacing w:line="240" w:lineRule="auto" w:before="105"/>
              <w:ind w:left="69" w:right="0"/>
              <w:jc w:val="left"/>
              <w:rPr>
                <w:rFonts w:ascii="Times New Roman" w:hAnsi="Times New Roman" w:cs="Times New Roman" w:eastAsia="Times New Roman" w:hint="default"/>
                <w:sz w:val="18"/>
                <w:szCs w:val="18"/>
              </w:rPr>
            </w:pPr>
            <w:r>
              <w:rPr>
                <w:rFonts w:ascii="Times New Roman"/>
                <w:sz w:val="18"/>
              </w:rPr>
              <w:t>6,000.</w:t>
            </w:r>
          </w:p>
          <w:p>
            <w:pPr>
              <w:pStyle w:val="TableParagraph"/>
              <w:spacing w:line="240" w:lineRule="auto" w:before="110"/>
              <w:ind w:left="338" w:right="0"/>
              <w:jc w:val="left"/>
              <w:rPr>
                <w:rFonts w:ascii="Times New Roman" w:hAnsi="Times New Roman" w:cs="Times New Roman" w:eastAsia="Times New Roman" w:hint="default"/>
                <w:sz w:val="18"/>
                <w:szCs w:val="18"/>
              </w:rPr>
            </w:pPr>
            <w:r>
              <w:rPr>
                <w:rFonts w:ascii="Times New Roman"/>
                <w:sz w:val="18"/>
              </w:rPr>
              <w:t>00</w:t>
            </w:r>
          </w:p>
        </w:tc>
        <w:tc>
          <w:tcPr>
            <w:tcW w:w="533" w:type="dxa"/>
            <w:vMerge w:val="restart"/>
            <w:tcBorders>
              <w:top w:val="single" w:sz="4" w:space="0" w:color="000000"/>
              <w:left w:val="single" w:sz="4" w:space="0" w:color="000000"/>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528"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334,340</w:t>
            </w:r>
          </w:p>
          <w:p>
            <w:pPr>
              <w:pStyle w:val="TableParagraph"/>
              <w:spacing w:line="240" w:lineRule="auto" w:before="110"/>
              <w:ind w:left="91" w:right="0"/>
              <w:jc w:val="left"/>
              <w:rPr>
                <w:rFonts w:ascii="Times New Roman" w:hAnsi="Times New Roman" w:cs="Times New Roman" w:eastAsia="Times New Roman" w:hint="default"/>
                <w:sz w:val="18"/>
                <w:szCs w:val="18"/>
              </w:rPr>
            </w:pPr>
            <w:r>
              <w:rPr>
                <w:rFonts w:ascii="Times New Roman"/>
                <w:sz w:val="18"/>
              </w:rPr>
              <w:t>,738.20</w:t>
            </w: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6" w:right="0"/>
              <w:jc w:val="left"/>
              <w:rPr>
                <w:rFonts w:ascii="Times New Roman" w:hAnsi="Times New Roman" w:cs="Times New Roman" w:eastAsia="Times New Roman" w:hint="default"/>
                <w:sz w:val="18"/>
                <w:szCs w:val="18"/>
              </w:rPr>
            </w:pPr>
            <w:r>
              <w:rPr>
                <w:rFonts w:ascii="Times New Roman"/>
                <w:sz w:val="18"/>
              </w:rPr>
              <w:t>32,056,</w:t>
            </w:r>
          </w:p>
          <w:p>
            <w:pPr>
              <w:pStyle w:val="TableParagraph"/>
              <w:spacing w:line="240" w:lineRule="auto" w:before="110"/>
              <w:ind w:left="134" w:right="0"/>
              <w:jc w:val="left"/>
              <w:rPr>
                <w:rFonts w:ascii="Times New Roman" w:hAnsi="Times New Roman" w:cs="Times New Roman" w:eastAsia="Times New Roman" w:hint="default"/>
                <w:sz w:val="18"/>
                <w:szCs w:val="18"/>
              </w:rPr>
            </w:pPr>
            <w:r>
              <w:rPr>
                <w:rFonts w:ascii="Times New Roman"/>
                <w:sz w:val="18"/>
              </w:rPr>
              <w:t>486.47</w:t>
            </w:r>
          </w:p>
        </w:tc>
        <w:tc>
          <w:tcPr>
            <w:tcW w:w="662" w:type="dxa"/>
            <w:vMerge w:val="restart"/>
            <w:tcBorders>
              <w:top w:val="single" w:sz="4" w:space="0" w:color="000000"/>
              <w:left w:val="single" w:sz="4" w:space="0" w:color="000000"/>
              <w:right w:val="single" w:sz="4" w:space="0" w:color="000000"/>
            </w:tcBorders>
          </w:tcPr>
          <w:p>
            <w:pPr/>
          </w:p>
        </w:tc>
        <w:tc>
          <w:tcPr>
            <w:tcW w:w="677"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180,063</w:t>
            </w:r>
          </w:p>
          <w:p>
            <w:pPr>
              <w:pStyle w:val="TableParagraph"/>
              <w:spacing w:line="240" w:lineRule="auto" w:before="110"/>
              <w:ind w:left="110" w:right="0"/>
              <w:jc w:val="left"/>
              <w:rPr>
                <w:rFonts w:ascii="Times New Roman" w:hAnsi="Times New Roman" w:cs="Times New Roman" w:eastAsia="Times New Roman" w:hint="default"/>
                <w:sz w:val="18"/>
                <w:szCs w:val="18"/>
              </w:rPr>
            </w:pPr>
            <w:r>
              <w:rPr>
                <w:rFonts w:ascii="Times New Roman"/>
                <w:sz w:val="18"/>
              </w:rPr>
              <w:t>,672.11</w:t>
            </w:r>
          </w:p>
        </w:tc>
        <w:tc>
          <w:tcPr>
            <w:tcW w:w="65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45,192,</w:t>
            </w:r>
          </w:p>
          <w:p>
            <w:pPr>
              <w:pStyle w:val="TableParagraph"/>
              <w:spacing w:line="240" w:lineRule="auto" w:before="110"/>
              <w:ind w:left="120" w:right="0"/>
              <w:jc w:val="left"/>
              <w:rPr>
                <w:rFonts w:ascii="Times New Roman" w:hAnsi="Times New Roman" w:cs="Times New Roman" w:eastAsia="Times New Roman" w:hint="default"/>
                <w:sz w:val="18"/>
                <w:szCs w:val="18"/>
              </w:rPr>
            </w:pPr>
            <w:r>
              <w:rPr>
                <w:rFonts w:ascii="Times New Roman"/>
                <w:sz w:val="18"/>
              </w:rPr>
              <w:t>298.86</w:t>
            </w:r>
          </w:p>
        </w:tc>
        <w:tc>
          <w:tcPr>
            <w:tcW w:w="66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889,839</w:t>
            </w:r>
          </w:p>
          <w:p>
            <w:pPr>
              <w:pStyle w:val="TableParagraph"/>
              <w:spacing w:line="240" w:lineRule="auto" w:before="110"/>
              <w:ind w:left="86" w:right="0"/>
              <w:jc w:val="left"/>
              <w:rPr>
                <w:rFonts w:ascii="Times New Roman" w:hAnsi="Times New Roman" w:cs="Times New Roman" w:eastAsia="Times New Roman" w:hint="default"/>
                <w:sz w:val="18"/>
                <w:szCs w:val="18"/>
              </w:rPr>
            </w:pPr>
            <w:r>
              <w:rPr>
                <w:rFonts w:ascii="Times New Roman"/>
                <w:sz w:val="18"/>
              </w:rPr>
              <w:t>,195.64</w:t>
            </w:r>
          </w:p>
        </w:tc>
      </w:tr>
      <w:tr>
        <w:trPr>
          <w:trHeight w:val="394" w:hRule="exact"/>
        </w:trPr>
        <w:tc>
          <w:tcPr>
            <w:tcW w:w="142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14"/>
              <w:jc w:val="right"/>
              <w:rPr>
                <w:rFonts w:ascii="宋体" w:hAnsi="宋体" w:cs="宋体" w:eastAsia="宋体" w:hint="default"/>
                <w:sz w:val="18"/>
                <w:szCs w:val="18"/>
              </w:rPr>
            </w:pPr>
            <w:r>
              <w:rPr>
                <w:rFonts w:ascii="宋体" w:hAnsi="宋体" w:cs="宋体" w:eastAsia="宋体" w:hint="default"/>
                <w:spacing w:val="-10"/>
                <w:sz w:val="18"/>
                <w:szCs w:val="18"/>
              </w:rPr>
              <w:t>二、本年期初余额</w:t>
            </w:r>
          </w:p>
        </w:tc>
        <w:tc>
          <w:tcPr>
            <w:tcW w:w="559" w:type="dxa"/>
            <w:vMerge/>
            <w:tcBorders>
              <w:left w:val="single" w:sz="8" w:space="0" w:color="D2D2D2"/>
              <w:right w:val="single" w:sz="4" w:space="0" w:color="000000"/>
            </w:tcBorders>
          </w:tcPr>
          <w:p>
            <w:pPr/>
          </w:p>
        </w:tc>
        <w:tc>
          <w:tcPr>
            <w:tcW w:w="533" w:type="dxa"/>
            <w:vMerge/>
            <w:tcBorders>
              <w:left w:val="single" w:sz="4" w:space="0" w:color="000000"/>
              <w:right w:val="single" w:sz="4" w:space="0" w:color="000000"/>
            </w:tcBorders>
          </w:tcPr>
          <w:p>
            <w:pPr/>
          </w:p>
        </w:tc>
        <w:tc>
          <w:tcPr>
            <w:tcW w:w="533" w:type="dxa"/>
            <w:vMerge/>
            <w:tcBorders>
              <w:left w:val="single" w:sz="4" w:space="0" w:color="000000"/>
              <w:right w:val="single" w:sz="4" w:space="0" w:color="000000"/>
            </w:tcBorders>
          </w:tcPr>
          <w:p>
            <w:pPr/>
          </w:p>
        </w:tc>
        <w:tc>
          <w:tcPr>
            <w:tcW w:w="528"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77" w:type="dxa"/>
            <w:vMerge/>
            <w:tcBorders>
              <w:left w:val="single" w:sz="4" w:space="0" w:color="000000"/>
              <w:right w:val="single" w:sz="4" w:space="0" w:color="000000"/>
            </w:tcBorders>
          </w:tcPr>
          <w:p>
            <w:pPr/>
          </w:p>
        </w:tc>
        <w:tc>
          <w:tcPr>
            <w:tcW w:w="653"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r>
      <w:tr>
        <w:trPr>
          <w:trHeight w:val="316" w:hRule="exact"/>
        </w:trPr>
        <w:tc>
          <w:tcPr>
            <w:tcW w:w="1426" w:type="dxa"/>
            <w:tcBorders>
              <w:top w:val="nil" w:sz="6" w:space="0" w:color="auto"/>
              <w:left w:val="single" w:sz="4" w:space="0" w:color="000000"/>
              <w:bottom w:val="single" w:sz="4" w:space="0" w:color="000000"/>
              <w:right w:val="single" w:sz="4" w:space="0" w:color="000000"/>
            </w:tcBorders>
            <w:shd w:val="clear" w:color="auto" w:fill="D2D2D2"/>
          </w:tcPr>
          <w:p>
            <w:pPr/>
          </w:p>
        </w:tc>
        <w:tc>
          <w:tcPr>
            <w:tcW w:w="559" w:type="dxa"/>
            <w:vMerge/>
            <w:tcBorders>
              <w:left w:val="single" w:sz="8" w:space="0" w:color="D2D2D2"/>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28"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653"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r>
      <w:tr>
        <w:trPr>
          <w:trHeight w:val="715"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73"/>
              <w:ind w:left="11" w:right="14"/>
              <w:jc w:val="left"/>
              <w:rPr>
                <w:rFonts w:ascii="宋体" w:hAnsi="宋体" w:cs="宋体" w:eastAsia="宋体" w:hint="default"/>
                <w:sz w:val="18"/>
                <w:szCs w:val="18"/>
              </w:rPr>
            </w:pPr>
            <w:r>
              <w:rPr>
                <w:rFonts w:ascii="宋体" w:hAnsi="宋体" w:cs="宋体" w:eastAsia="宋体" w:hint="default"/>
                <w:spacing w:val="-10"/>
                <w:sz w:val="18"/>
                <w:szCs w:val="18"/>
              </w:rPr>
              <w:t>三、本期增减变动</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pacing w:val="-21"/>
                <w:w w:val="101"/>
                <w:sz w:val="18"/>
                <w:szCs w:val="18"/>
              </w:rPr>
              <w:t>金额（减少以“－</w:t>
            </w:r>
            <w:r>
              <w:rPr>
                <w:rFonts w:ascii="宋体" w:hAnsi="宋体" w:cs="宋体" w:eastAsia="宋体" w:hint="default"/>
                <w:spacing w:val="-21"/>
                <w:sz w:val="18"/>
                <w:szCs w:val="18"/>
              </w:rPr>
            </w:r>
          </w:p>
        </w:tc>
        <w:tc>
          <w:tcPr>
            <w:tcW w:w="559"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4"/>
              <w:ind w:left="-123" w:right="0"/>
              <w:jc w:val="left"/>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6" w:right="0"/>
              <w:jc w:val="center"/>
              <w:rPr>
                <w:rFonts w:ascii="Times New Roman" w:hAnsi="Times New Roman" w:cs="Times New Roman" w:eastAsia="Times New Roman" w:hint="default"/>
                <w:sz w:val="18"/>
                <w:szCs w:val="18"/>
              </w:rPr>
            </w:pPr>
            <w:r>
              <w:rPr>
                <w:rFonts w:ascii="Times New Roman"/>
                <w:sz w:val="18"/>
              </w:rPr>
              <w:t>3,494,4</w:t>
            </w:r>
          </w:p>
          <w:p>
            <w:pPr>
              <w:pStyle w:val="TableParagraph"/>
              <w:spacing w:line="240" w:lineRule="auto" w:before="105"/>
              <w:ind w:left="201" w:right="0"/>
              <w:jc w:val="center"/>
              <w:rPr>
                <w:rFonts w:ascii="Times New Roman" w:hAnsi="Times New Roman" w:cs="Times New Roman" w:eastAsia="Times New Roman" w:hint="default"/>
                <w:sz w:val="18"/>
                <w:szCs w:val="18"/>
              </w:rPr>
            </w:pPr>
            <w:r>
              <w:rPr>
                <w:rFonts w:ascii="Times New Roman"/>
                <w:sz w:val="18"/>
              </w:rPr>
              <w:t>26.87</w:t>
            </w: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10" w:right="0"/>
              <w:jc w:val="left"/>
              <w:rPr>
                <w:rFonts w:ascii="Times New Roman" w:hAnsi="Times New Roman" w:cs="Times New Roman" w:eastAsia="Times New Roman" w:hint="default"/>
                <w:sz w:val="18"/>
                <w:szCs w:val="18"/>
              </w:rPr>
            </w:pPr>
            <w:r>
              <w:rPr>
                <w:rFonts w:ascii="Times New Roman"/>
                <w:sz w:val="18"/>
              </w:rPr>
              <w:t>13,742,</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088.53</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62" w:right="0"/>
              <w:jc w:val="center"/>
              <w:rPr>
                <w:rFonts w:ascii="Times New Roman" w:hAnsi="Times New Roman" w:cs="Times New Roman" w:eastAsia="Times New Roman" w:hint="default"/>
                <w:sz w:val="18"/>
                <w:szCs w:val="18"/>
              </w:rPr>
            </w:pPr>
            <w:r>
              <w:rPr>
                <w:rFonts w:ascii="Times New Roman"/>
                <w:sz w:val="18"/>
              </w:rPr>
              <w:t>1,148,2</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67.73</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1" w:right="0"/>
              <w:jc w:val="left"/>
              <w:rPr>
                <w:rFonts w:ascii="Times New Roman" w:hAnsi="Times New Roman" w:cs="Times New Roman" w:eastAsia="Times New Roman" w:hint="default"/>
                <w:sz w:val="18"/>
                <w:szCs w:val="18"/>
              </w:rPr>
            </w:pPr>
            <w:r>
              <w:rPr>
                <w:rFonts w:ascii="Times New Roman"/>
                <w:sz w:val="18"/>
              </w:rPr>
              <w:t>18,384,</w:t>
            </w:r>
          </w:p>
          <w:p>
            <w:pPr>
              <w:pStyle w:val="TableParagraph"/>
              <w:spacing w:line="240" w:lineRule="auto" w:before="105"/>
              <w:ind w:left="129" w:right="0"/>
              <w:jc w:val="left"/>
              <w:rPr>
                <w:rFonts w:ascii="Times New Roman" w:hAnsi="Times New Roman" w:cs="Times New Roman" w:eastAsia="Times New Roman" w:hint="default"/>
                <w:sz w:val="18"/>
                <w:szCs w:val="18"/>
              </w:rPr>
            </w:pPr>
            <w:r>
              <w:rPr>
                <w:rFonts w:ascii="Times New Roman"/>
                <w:sz w:val="18"/>
              </w:rPr>
              <w:t>783.13</w:t>
            </w:r>
          </w:p>
        </w:tc>
      </w:tr>
    </w:tbl>
    <w:p>
      <w:pPr>
        <w:spacing w:after="0" w:line="240" w:lineRule="auto"/>
        <w:jc w:val="left"/>
        <w:rPr>
          <w:rFonts w:ascii="Times New Roman" w:hAnsi="Times New Roman" w:cs="Times New Roman" w:eastAsia="Times New Roman" w:hint="default"/>
          <w:sz w:val="18"/>
          <w:szCs w:val="18"/>
        </w:rPr>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435"/>
        <w:gridCol w:w="562"/>
        <w:gridCol w:w="533"/>
        <w:gridCol w:w="533"/>
        <w:gridCol w:w="528"/>
        <w:gridCol w:w="667"/>
        <w:gridCol w:w="662"/>
        <w:gridCol w:w="667"/>
        <w:gridCol w:w="662"/>
        <w:gridCol w:w="667"/>
        <w:gridCol w:w="662"/>
        <w:gridCol w:w="677"/>
        <w:gridCol w:w="653"/>
        <w:gridCol w:w="662"/>
      </w:tblGrid>
      <w:tr>
        <w:trPr>
          <w:trHeight w:val="360" w:hRule="exact"/>
        </w:trPr>
        <w:tc>
          <w:tcPr>
            <w:tcW w:w="1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4" w:right="12"/>
              <w:jc w:val="left"/>
              <w:rPr>
                <w:rFonts w:ascii="宋体" w:hAnsi="宋体" w:cs="宋体" w:eastAsia="宋体" w:hint="default"/>
                <w:sz w:val="18"/>
                <w:szCs w:val="18"/>
              </w:rPr>
            </w:pPr>
            <w:r>
              <w:rPr>
                <w:rFonts w:ascii="宋体" w:hAnsi="宋体" w:cs="宋体" w:eastAsia="宋体" w:hint="default"/>
                <w:spacing w:val="-10"/>
                <w:sz w:val="18"/>
                <w:szCs w:val="18"/>
              </w:rPr>
              <w:t>（一）综合收益总</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10" w:right="0"/>
              <w:jc w:val="left"/>
              <w:rPr>
                <w:rFonts w:ascii="Times New Roman" w:hAnsi="Times New Roman" w:cs="Times New Roman" w:eastAsia="Times New Roman" w:hint="default"/>
                <w:sz w:val="18"/>
                <w:szCs w:val="18"/>
              </w:rPr>
            </w:pPr>
            <w:r>
              <w:rPr>
                <w:rFonts w:ascii="Times New Roman"/>
                <w:sz w:val="18"/>
              </w:rPr>
              <w:t>27,673,</w:t>
            </w:r>
          </w:p>
          <w:p>
            <w:pPr>
              <w:pStyle w:val="TableParagraph"/>
              <w:spacing w:line="240" w:lineRule="auto" w:before="110"/>
              <w:ind w:left="148" w:right="0"/>
              <w:jc w:val="left"/>
              <w:rPr>
                <w:rFonts w:ascii="Times New Roman" w:hAnsi="Times New Roman" w:cs="Times New Roman" w:eastAsia="Times New Roman" w:hint="default"/>
                <w:sz w:val="18"/>
                <w:szCs w:val="18"/>
              </w:rPr>
            </w:pPr>
            <w:r>
              <w:rPr>
                <w:rFonts w:ascii="Times New Roman"/>
                <w:sz w:val="18"/>
              </w:rPr>
              <w:t>025.40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62" w:right="0"/>
              <w:jc w:val="center"/>
              <w:rPr>
                <w:rFonts w:ascii="Times New Roman" w:hAnsi="Times New Roman" w:cs="Times New Roman" w:eastAsia="Times New Roman" w:hint="default"/>
                <w:sz w:val="18"/>
                <w:szCs w:val="18"/>
              </w:rPr>
            </w:pPr>
            <w:r>
              <w:rPr>
                <w:rFonts w:ascii="Times New Roman"/>
                <w:sz w:val="18"/>
              </w:rPr>
              <w:t>8,770,0</w:t>
            </w:r>
          </w:p>
          <w:p>
            <w:pPr>
              <w:pStyle w:val="TableParagraph"/>
              <w:spacing w:line="240" w:lineRule="auto" w:before="110"/>
              <w:ind w:left="187" w:right="0"/>
              <w:jc w:val="center"/>
              <w:rPr>
                <w:rFonts w:ascii="Times New Roman" w:hAnsi="Times New Roman" w:cs="Times New Roman" w:eastAsia="Times New Roman" w:hint="default"/>
                <w:sz w:val="18"/>
                <w:szCs w:val="18"/>
              </w:rPr>
            </w:pPr>
            <w:r>
              <w:rPr>
                <w:rFonts w:ascii="Times New Roman"/>
                <w:sz w:val="18"/>
              </w:rPr>
              <w:t>85.83</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91" w:right="0"/>
              <w:jc w:val="left"/>
              <w:rPr>
                <w:rFonts w:ascii="Times New Roman" w:hAnsi="Times New Roman" w:cs="Times New Roman" w:eastAsia="Times New Roman" w:hint="default"/>
                <w:sz w:val="18"/>
                <w:szCs w:val="18"/>
              </w:rPr>
            </w:pPr>
            <w:r>
              <w:rPr>
                <w:rFonts w:ascii="Times New Roman"/>
                <w:sz w:val="18"/>
              </w:rPr>
              <w:t>36,443,</w:t>
            </w:r>
          </w:p>
          <w:p>
            <w:pPr>
              <w:pStyle w:val="TableParagraph"/>
              <w:spacing w:line="240" w:lineRule="auto" w:before="110"/>
              <w:ind w:left="143" w:right="0"/>
              <w:jc w:val="left"/>
              <w:rPr>
                <w:rFonts w:ascii="Times New Roman" w:hAnsi="Times New Roman" w:cs="Times New Roman" w:eastAsia="Times New Roman" w:hint="default"/>
                <w:sz w:val="18"/>
                <w:szCs w:val="18"/>
              </w:rPr>
            </w:pPr>
            <w:r>
              <w:rPr>
                <w:rFonts w:ascii="Times New Roman"/>
                <w:spacing w:val="-4"/>
                <w:sz w:val="18"/>
              </w:rPr>
              <w:t>111.23</w:t>
            </w:r>
          </w:p>
        </w:tc>
      </w:tr>
      <w:tr>
        <w:trPr>
          <w:trHeight w:val="715" w:hRule="exact"/>
        </w:trPr>
        <w:tc>
          <w:tcPr>
            <w:tcW w:w="1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12"/>
              <w:jc w:val="left"/>
              <w:rPr>
                <w:rFonts w:ascii="宋体" w:hAnsi="宋体" w:cs="宋体" w:eastAsia="宋体" w:hint="default"/>
                <w:sz w:val="18"/>
                <w:szCs w:val="18"/>
              </w:rPr>
            </w:pPr>
            <w:r>
              <w:rPr>
                <w:rFonts w:ascii="宋体" w:hAnsi="宋体" w:cs="宋体" w:eastAsia="宋体" w:hint="default"/>
                <w:spacing w:val="-10"/>
                <w:sz w:val="18"/>
                <w:szCs w:val="18"/>
              </w:rPr>
              <w:t>（二）所有者投入</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和减少资本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24" w:right="46"/>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．股东投入的普</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通股</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24" w:right="46"/>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．其他权益工具</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3"/>
                <w:sz w:val="18"/>
                <w:szCs w:val="18"/>
              </w:rPr>
              <w:t>持有者投入资本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53"/>
              <w:ind w:left="24" w:right="46"/>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．股份支付计入</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3"/>
                <w:sz w:val="18"/>
                <w:szCs w:val="18"/>
              </w:rPr>
              <w:t>所有者权益的金</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（三）利润分配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6" w:right="0"/>
              <w:jc w:val="center"/>
              <w:rPr>
                <w:rFonts w:ascii="Times New Roman" w:hAnsi="Times New Roman" w:cs="Times New Roman" w:eastAsia="Times New Roman" w:hint="default"/>
                <w:sz w:val="18"/>
                <w:szCs w:val="18"/>
              </w:rPr>
            </w:pPr>
            <w:r>
              <w:rPr>
                <w:rFonts w:ascii="Times New Roman"/>
                <w:sz w:val="18"/>
              </w:rPr>
              <w:t>3,494,4</w:t>
            </w:r>
          </w:p>
          <w:p>
            <w:pPr>
              <w:pStyle w:val="TableParagraph"/>
              <w:spacing w:line="240" w:lineRule="auto" w:before="105"/>
              <w:ind w:left="201" w:right="0"/>
              <w:jc w:val="center"/>
              <w:rPr>
                <w:rFonts w:ascii="Times New Roman" w:hAnsi="Times New Roman" w:cs="Times New Roman" w:eastAsia="Times New Roman" w:hint="default"/>
                <w:sz w:val="18"/>
                <w:szCs w:val="18"/>
              </w:rPr>
            </w:pPr>
            <w:r>
              <w:rPr>
                <w:rFonts w:ascii="Times New Roman"/>
                <w:sz w:val="18"/>
              </w:rPr>
              <w:t>26.87</w:t>
            </w: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1" w:right="0"/>
              <w:jc w:val="center"/>
              <w:rPr>
                <w:rFonts w:ascii="Times New Roman" w:hAnsi="Times New Roman" w:cs="Times New Roman" w:eastAsia="Times New Roman" w:hint="default"/>
                <w:sz w:val="18"/>
                <w:szCs w:val="18"/>
              </w:rPr>
            </w:pPr>
            <w:r>
              <w:rPr>
                <w:rFonts w:ascii="Times New Roman"/>
                <w:sz w:val="18"/>
              </w:rPr>
              <w:t>-13,930,</w:t>
            </w:r>
          </w:p>
          <w:p>
            <w:pPr>
              <w:pStyle w:val="TableParagraph"/>
              <w:spacing w:line="240" w:lineRule="auto" w:before="105"/>
              <w:ind w:left="129" w:right="0"/>
              <w:jc w:val="center"/>
              <w:rPr>
                <w:rFonts w:ascii="Times New Roman" w:hAnsi="Times New Roman" w:cs="Times New Roman" w:eastAsia="Times New Roman" w:hint="default"/>
                <w:sz w:val="18"/>
                <w:szCs w:val="18"/>
              </w:rPr>
            </w:pPr>
            <w:r>
              <w:rPr>
                <w:rFonts w:ascii="Times New Roman"/>
                <w:sz w:val="18"/>
              </w:rPr>
              <w:t>936.87</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10" w:right="0"/>
              <w:jc w:val="left"/>
              <w:rPr>
                <w:rFonts w:ascii="Times New Roman" w:hAnsi="Times New Roman" w:cs="Times New Roman" w:eastAsia="Times New Roman" w:hint="default"/>
                <w:sz w:val="18"/>
                <w:szCs w:val="18"/>
              </w:rPr>
            </w:pPr>
            <w:r>
              <w:rPr>
                <w:rFonts w:ascii="Times New Roman"/>
                <w:sz w:val="18"/>
              </w:rPr>
              <w:t>-7,621,</w:t>
            </w:r>
          </w:p>
          <w:p>
            <w:pPr>
              <w:pStyle w:val="TableParagraph"/>
              <w:spacing w:line="240" w:lineRule="auto" w:before="105"/>
              <w:ind w:left="120" w:right="0"/>
              <w:jc w:val="left"/>
              <w:rPr>
                <w:rFonts w:ascii="Times New Roman" w:hAnsi="Times New Roman" w:cs="Times New Roman" w:eastAsia="Times New Roman" w:hint="default"/>
                <w:sz w:val="18"/>
                <w:szCs w:val="18"/>
              </w:rPr>
            </w:pPr>
            <w:r>
              <w:rPr>
                <w:rFonts w:ascii="Times New Roman"/>
                <w:sz w:val="18"/>
              </w:rPr>
              <w:t>818.10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 w:right="0"/>
              <w:jc w:val="center"/>
              <w:rPr>
                <w:rFonts w:ascii="Times New Roman" w:hAnsi="Times New Roman" w:cs="Times New Roman" w:eastAsia="Times New Roman" w:hint="default"/>
                <w:sz w:val="18"/>
                <w:szCs w:val="18"/>
              </w:rPr>
            </w:pPr>
            <w:r>
              <w:rPr>
                <w:rFonts w:ascii="Times New Roman"/>
                <w:sz w:val="18"/>
              </w:rPr>
              <w:t>-18,058,</w:t>
            </w:r>
          </w:p>
          <w:p>
            <w:pPr>
              <w:pStyle w:val="TableParagraph"/>
              <w:spacing w:line="240" w:lineRule="auto" w:before="105"/>
              <w:ind w:left="105" w:right="0"/>
              <w:jc w:val="center"/>
              <w:rPr>
                <w:rFonts w:ascii="Times New Roman" w:hAnsi="Times New Roman" w:cs="Times New Roman" w:eastAsia="Times New Roman" w:hint="default"/>
                <w:sz w:val="18"/>
                <w:szCs w:val="18"/>
              </w:rPr>
            </w:pPr>
            <w:r>
              <w:rPr>
                <w:rFonts w:ascii="Times New Roman"/>
                <w:sz w:val="18"/>
              </w:rPr>
              <w:t>328.10</w:t>
            </w:r>
          </w:p>
        </w:tc>
      </w:tr>
      <w:tr>
        <w:trPr>
          <w:trHeight w:val="710" w:hRule="exact"/>
        </w:trPr>
        <w:tc>
          <w:tcPr>
            <w:tcW w:w="1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6" w:right="0"/>
              <w:jc w:val="center"/>
              <w:rPr>
                <w:rFonts w:ascii="Times New Roman" w:hAnsi="Times New Roman" w:cs="Times New Roman" w:eastAsia="Times New Roman" w:hint="default"/>
                <w:sz w:val="18"/>
                <w:szCs w:val="18"/>
              </w:rPr>
            </w:pPr>
            <w:r>
              <w:rPr>
                <w:rFonts w:ascii="Times New Roman"/>
                <w:sz w:val="18"/>
              </w:rPr>
              <w:t>3,494,4</w:t>
            </w:r>
          </w:p>
          <w:p>
            <w:pPr>
              <w:pStyle w:val="TableParagraph"/>
              <w:spacing w:line="240" w:lineRule="auto" w:before="105"/>
              <w:ind w:left="201" w:right="0"/>
              <w:jc w:val="center"/>
              <w:rPr>
                <w:rFonts w:ascii="Times New Roman" w:hAnsi="Times New Roman" w:cs="Times New Roman" w:eastAsia="Times New Roman" w:hint="default"/>
                <w:sz w:val="18"/>
                <w:szCs w:val="18"/>
              </w:rPr>
            </w:pPr>
            <w:r>
              <w:rPr>
                <w:rFonts w:ascii="Times New Roman"/>
                <w:sz w:val="18"/>
              </w:rPr>
              <w:t>26.87</w:t>
            </w: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3" w:right="0"/>
              <w:jc w:val="center"/>
              <w:rPr>
                <w:rFonts w:ascii="Times New Roman" w:hAnsi="Times New Roman" w:cs="Times New Roman" w:eastAsia="Times New Roman" w:hint="default"/>
                <w:sz w:val="18"/>
                <w:szCs w:val="18"/>
              </w:rPr>
            </w:pPr>
            <w:r>
              <w:rPr>
                <w:rFonts w:ascii="Times New Roman"/>
                <w:sz w:val="18"/>
              </w:rPr>
              <w:t>-3,494,4</w:t>
            </w:r>
          </w:p>
          <w:p>
            <w:pPr>
              <w:pStyle w:val="TableParagraph"/>
              <w:spacing w:line="240" w:lineRule="auto" w:before="105"/>
              <w:ind w:left="220" w:right="0"/>
              <w:jc w:val="center"/>
              <w:rPr>
                <w:rFonts w:ascii="Times New Roman" w:hAnsi="Times New Roman" w:cs="Times New Roman" w:eastAsia="Times New Roman" w:hint="default"/>
                <w:sz w:val="18"/>
                <w:szCs w:val="18"/>
              </w:rPr>
            </w:pPr>
            <w:r>
              <w:rPr>
                <w:rFonts w:ascii="Times New Roman"/>
                <w:sz w:val="18"/>
              </w:rPr>
              <w:t>26.87</w:t>
            </w:r>
          </w:p>
        </w:tc>
        <w:tc>
          <w:tcPr>
            <w:tcW w:w="65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24" w:right="46"/>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．提取一般风险</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准备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24" w:right="46"/>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．对所有者（或</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股东）的分配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1" w:right="0"/>
              <w:jc w:val="center"/>
              <w:rPr>
                <w:rFonts w:ascii="Times New Roman" w:hAnsi="Times New Roman" w:cs="Times New Roman" w:eastAsia="Times New Roman" w:hint="default"/>
                <w:sz w:val="18"/>
                <w:szCs w:val="18"/>
              </w:rPr>
            </w:pPr>
            <w:r>
              <w:rPr>
                <w:rFonts w:ascii="Times New Roman"/>
                <w:sz w:val="18"/>
              </w:rPr>
              <w:t>-10,436,</w:t>
            </w:r>
          </w:p>
          <w:p>
            <w:pPr>
              <w:pStyle w:val="TableParagraph"/>
              <w:spacing w:line="240" w:lineRule="auto" w:before="105"/>
              <w:ind w:left="129" w:right="0"/>
              <w:jc w:val="center"/>
              <w:rPr>
                <w:rFonts w:ascii="Times New Roman" w:hAnsi="Times New Roman" w:cs="Times New Roman" w:eastAsia="Times New Roman" w:hint="default"/>
                <w:sz w:val="18"/>
                <w:szCs w:val="18"/>
              </w:rPr>
            </w:pPr>
            <w:r>
              <w:rPr>
                <w:rFonts w:ascii="Times New Roman"/>
                <w:sz w:val="18"/>
              </w:rPr>
              <w:t>510.00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10" w:right="0"/>
              <w:jc w:val="left"/>
              <w:rPr>
                <w:rFonts w:ascii="Times New Roman" w:hAnsi="Times New Roman" w:cs="Times New Roman" w:eastAsia="Times New Roman" w:hint="default"/>
                <w:sz w:val="18"/>
                <w:szCs w:val="18"/>
              </w:rPr>
            </w:pPr>
            <w:r>
              <w:rPr>
                <w:rFonts w:ascii="Times New Roman"/>
                <w:sz w:val="18"/>
              </w:rPr>
              <w:t>-7,621,</w:t>
            </w:r>
          </w:p>
          <w:p>
            <w:pPr>
              <w:pStyle w:val="TableParagraph"/>
              <w:spacing w:line="240" w:lineRule="auto" w:before="105"/>
              <w:ind w:left="120" w:right="0"/>
              <w:jc w:val="left"/>
              <w:rPr>
                <w:rFonts w:ascii="Times New Roman" w:hAnsi="Times New Roman" w:cs="Times New Roman" w:eastAsia="Times New Roman" w:hint="default"/>
                <w:sz w:val="18"/>
                <w:szCs w:val="18"/>
              </w:rPr>
            </w:pPr>
            <w:r>
              <w:rPr>
                <w:rFonts w:ascii="Times New Roman"/>
                <w:sz w:val="18"/>
              </w:rPr>
              <w:t>818.10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 w:right="0"/>
              <w:jc w:val="center"/>
              <w:rPr>
                <w:rFonts w:ascii="Times New Roman" w:hAnsi="Times New Roman" w:cs="Times New Roman" w:eastAsia="Times New Roman" w:hint="default"/>
                <w:sz w:val="18"/>
                <w:szCs w:val="18"/>
              </w:rPr>
            </w:pPr>
            <w:r>
              <w:rPr>
                <w:rFonts w:ascii="Times New Roman"/>
                <w:sz w:val="18"/>
              </w:rPr>
              <w:t>-18,058,</w:t>
            </w:r>
          </w:p>
          <w:p>
            <w:pPr>
              <w:pStyle w:val="TableParagraph"/>
              <w:spacing w:line="240" w:lineRule="auto" w:before="105"/>
              <w:ind w:left="105" w:right="0"/>
              <w:jc w:val="center"/>
              <w:rPr>
                <w:rFonts w:ascii="Times New Roman" w:hAnsi="Times New Roman" w:cs="Times New Roman" w:eastAsia="Times New Roman" w:hint="default"/>
                <w:sz w:val="18"/>
                <w:szCs w:val="18"/>
              </w:rPr>
            </w:pPr>
            <w:r>
              <w:rPr>
                <w:rFonts w:ascii="Times New Roman"/>
                <w:sz w:val="18"/>
              </w:rPr>
              <w:t>328.10</w:t>
            </w:r>
          </w:p>
        </w:tc>
      </w:tr>
      <w:tr>
        <w:trPr>
          <w:trHeight w:val="403" w:hRule="exact"/>
        </w:trPr>
        <w:tc>
          <w:tcPr>
            <w:tcW w:w="1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12"/>
              <w:jc w:val="left"/>
              <w:rPr>
                <w:rFonts w:ascii="宋体" w:hAnsi="宋体" w:cs="宋体" w:eastAsia="宋体" w:hint="default"/>
                <w:sz w:val="18"/>
                <w:szCs w:val="18"/>
              </w:rPr>
            </w:pPr>
            <w:r>
              <w:rPr>
                <w:rFonts w:ascii="宋体" w:hAnsi="宋体" w:cs="宋体" w:eastAsia="宋体" w:hint="default"/>
                <w:spacing w:val="-10"/>
                <w:sz w:val="18"/>
                <w:szCs w:val="18"/>
              </w:rPr>
              <w:t>（四）所有者权益</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内部结转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24" w:right="46"/>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．资本公积转增</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3"/>
                <w:sz w:val="18"/>
                <w:szCs w:val="18"/>
              </w:rPr>
              <w:t>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24" w:right="46"/>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．盈余公积转增</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3"/>
                <w:sz w:val="18"/>
                <w:szCs w:val="18"/>
              </w:rPr>
              <w:t>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24" w:right="46"/>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．盈余公积弥补</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亏损</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（五）专项储备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24" w:right="0"/>
              <w:jc w:val="left"/>
              <w:rPr>
                <w:rFonts w:ascii="宋体" w:hAnsi="宋体" w:cs="宋体" w:eastAsia="宋体" w:hint="default"/>
                <w:sz w:val="18"/>
                <w:szCs w:val="18"/>
              </w:rPr>
            </w:pPr>
            <w:r>
              <w:rPr>
                <w:rFonts w:ascii="宋体" w:hAnsi="宋体" w:cs="宋体" w:eastAsia="宋体" w:hint="default"/>
                <w:spacing w:val="-10"/>
                <w:sz w:val="18"/>
                <w:szCs w:val="18"/>
              </w:rPr>
              <w:t>四、本期期末余额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3" w:right="0"/>
              <w:jc w:val="left"/>
              <w:rPr>
                <w:rFonts w:ascii="Times New Roman" w:hAnsi="Times New Roman" w:cs="Times New Roman" w:eastAsia="Times New Roman" w:hint="default"/>
                <w:sz w:val="18"/>
                <w:szCs w:val="18"/>
              </w:rPr>
            </w:pPr>
            <w:r>
              <w:rPr>
                <w:rFonts w:ascii="Times New Roman"/>
                <w:sz w:val="18"/>
              </w:rPr>
              <w:t>298,18</w:t>
            </w:r>
          </w:p>
          <w:p>
            <w:pPr>
              <w:pStyle w:val="TableParagraph"/>
              <w:spacing w:line="240" w:lineRule="auto" w:before="105"/>
              <w:ind w:left="76" w:right="0"/>
              <w:jc w:val="left"/>
              <w:rPr>
                <w:rFonts w:ascii="Times New Roman" w:hAnsi="Times New Roman" w:cs="Times New Roman" w:eastAsia="Times New Roman" w:hint="default"/>
                <w:sz w:val="18"/>
                <w:szCs w:val="18"/>
              </w:rPr>
            </w:pPr>
            <w:r>
              <w:rPr>
                <w:rFonts w:ascii="Times New Roman"/>
                <w:sz w:val="18"/>
              </w:rPr>
              <w:t>6,000.</w:t>
            </w:r>
          </w:p>
          <w:p>
            <w:pPr>
              <w:pStyle w:val="TableParagraph"/>
              <w:spacing w:line="240" w:lineRule="auto" w:before="110"/>
              <w:ind w:left="345" w:right="0"/>
              <w:jc w:val="left"/>
              <w:rPr>
                <w:rFonts w:ascii="Times New Roman" w:hAnsi="Times New Roman" w:cs="Times New Roman" w:eastAsia="Times New Roman" w:hint="default"/>
                <w:sz w:val="18"/>
                <w:szCs w:val="18"/>
              </w:rPr>
            </w:pPr>
            <w:r>
              <w:rPr>
                <w:rFonts w:ascii="Times New Roman"/>
                <w:sz w:val="18"/>
              </w:rPr>
              <w:t>00</w:t>
            </w:r>
          </w:p>
        </w:tc>
        <w:tc>
          <w:tcPr>
            <w:tcW w:w="533"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28"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334,340</w:t>
            </w:r>
          </w:p>
          <w:p>
            <w:pPr>
              <w:pStyle w:val="TableParagraph"/>
              <w:spacing w:line="240" w:lineRule="auto" w:before="110"/>
              <w:ind w:left="91" w:right="0"/>
              <w:jc w:val="left"/>
              <w:rPr>
                <w:rFonts w:ascii="Times New Roman" w:hAnsi="Times New Roman" w:cs="Times New Roman" w:eastAsia="Times New Roman" w:hint="default"/>
                <w:sz w:val="18"/>
                <w:szCs w:val="18"/>
              </w:rPr>
            </w:pPr>
            <w:r>
              <w:rPr>
                <w:rFonts w:ascii="Times New Roman"/>
                <w:sz w:val="18"/>
              </w:rPr>
              <w:t>,738.20</w:t>
            </w: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96" w:right="0"/>
              <w:jc w:val="left"/>
              <w:rPr>
                <w:rFonts w:ascii="Times New Roman" w:hAnsi="Times New Roman" w:cs="Times New Roman" w:eastAsia="Times New Roman" w:hint="default"/>
                <w:sz w:val="18"/>
                <w:szCs w:val="18"/>
              </w:rPr>
            </w:pPr>
            <w:r>
              <w:rPr>
                <w:rFonts w:ascii="Times New Roman"/>
                <w:sz w:val="18"/>
              </w:rPr>
              <w:t>35,550,</w:t>
            </w:r>
          </w:p>
          <w:p>
            <w:pPr>
              <w:pStyle w:val="TableParagraph"/>
              <w:spacing w:line="240" w:lineRule="auto" w:before="110"/>
              <w:ind w:left="134" w:right="0"/>
              <w:jc w:val="left"/>
              <w:rPr>
                <w:rFonts w:ascii="Times New Roman" w:hAnsi="Times New Roman" w:cs="Times New Roman" w:eastAsia="Times New Roman" w:hint="default"/>
                <w:sz w:val="18"/>
                <w:szCs w:val="18"/>
              </w:rPr>
            </w:pPr>
            <w:r>
              <w:rPr>
                <w:rFonts w:ascii="Times New Roman"/>
                <w:sz w:val="18"/>
              </w:rPr>
              <w:t>913.34</w:t>
            </w:r>
          </w:p>
        </w:tc>
        <w:tc>
          <w:tcPr>
            <w:tcW w:w="662"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193,805</w:t>
            </w:r>
          </w:p>
          <w:p>
            <w:pPr>
              <w:pStyle w:val="TableParagraph"/>
              <w:spacing w:line="240" w:lineRule="auto" w:before="110"/>
              <w:ind w:left="105" w:right="0"/>
              <w:jc w:val="left"/>
              <w:rPr>
                <w:rFonts w:ascii="Times New Roman" w:hAnsi="Times New Roman" w:cs="Times New Roman" w:eastAsia="Times New Roman" w:hint="default"/>
                <w:sz w:val="18"/>
                <w:szCs w:val="18"/>
              </w:rPr>
            </w:pPr>
            <w:r>
              <w:rPr>
                <w:rFonts w:ascii="Times New Roman"/>
                <w:sz w:val="18"/>
              </w:rPr>
              <w:t>,760.64</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46,340,</w:t>
            </w:r>
          </w:p>
          <w:p>
            <w:pPr>
              <w:pStyle w:val="TableParagraph"/>
              <w:spacing w:line="240" w:lineRule="auto" w:before="110"/>
              <w:ind w:left="120" w:right="0"/>
              <w:jc w:val="left"/>
              <w:rPr>
                <w:rFonts w:ascii="Times New Roman" w:hAnsi="Times New Roman" w:cs="Times New Roman" w:eastAsia="Times New Roman" w:hint="default"/>
                <w:sz w:val="18"/>
                <w:szCs w:val="18"/>
              </w:rPr>
            </w:pPr>
            <w:r>
              <w:rPr>
                <w:rFonts w:ascii="Times New Roman"/>
                <w:sz w:val="18"/>
              </w:rPr>
              <w:t>566.59</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908,223</w:t>
            </w:r>
          </w:p>
          <w:p>
            <w:pPr>
              <w:pStyle w:val="TableParagraph"/>
              <w:spacing w:line="240" w:lineRule="auto" w:before="110"/>
              <w:ind w:left="86" w:right="0"/>
              <w:jc w:val="left"/>
              <w:rPr>
                <w:rFonts w:ascii="Times New Roman" w:hAnsi="Times New Roman" w:cs="Times New Roman" w:eastAsia="Times New Roman" w:hint="default"/>
                <w:sz w:val="18"/>
                <w:szCs w:val="18"/>
              </w:rPr>
            </w:pPr>
            <w:r>
              <w:rPr>
                <w:rFonts w:ascii="Times New Roman"/>
                <w:sz w:val="18"/>
              </w:rPr>
              <w:t>,978.77</w:t>
            </w:r>
          </w:p>
        </w:tc>
      </w:tr>
    </w:tbl>
    <w:p>
      <w:pPr>
        <w:spacing w:after="0" w:line="240" w:lineRule="auto"/>
        <w:jc w:val="left"/>
        <w:rPr>
          <w:rFonts w:ascii="Times New Roman" w:hAnsi="Times New Roman" w:cs="Times New Roman" w:eastAsia="Times New Roman" w:hint="default"/>
          <w:sz w:val="18"/>
          <w:szCs w:val="18"/>
        </w:rPr>
        <w:sectPr>
          <w:pgSz w:w="11900" w:h="16840"/>
          <w:pgMar w:header="872" w:footer="984" w:top="1060" w:bottom="1180" w:left="980" w:right="980"/>
        </w:sectPr>
      </w:pPr>
    </w:p>
    <w:p>
      <w:pPr>
        <w:spacing w:line="240" w:lineRule="auto" w:before="9"/>
        <w:rPr>
          <w:rFonts w:ascii="Times New Roman" w:hAnsi="Times New Roman" w:cs="Times New Roman" w:eastAsia="Times New Roman" w:hint="default"/>
          <w:sz w:val="28"/>
          <w:szCs w:val="28"/>
        </w:rPr>
      </w:pPr>
      <w:r>
        <w:rPr/>
        <w:pict>
          <v:group style="position:absolute;margin-left:130.080002pt;margin-top:377.119995pt;width:31.95pt;height:19.7pt;mso-position-horizontal-relative:page;mso-position-vertical-relative:page;z-index:-1069480" coordorigin="2602,7542" coordsize="639,394">
            <v:shape style="position:absolute;left:2602;top:7542;width:639;height:394" coordorigin="2602,7542" coordsize="639,394" path="m2602,7936l3240,7936,3240,7542,2602,7542,2602,7936xe" filled="true" fillcolor="#ffffff" stroked="false">
              <v:path arrowok="t"/>
              <v:fill type="solid"/>
            </v:shape>
            <w10:wrap type="none"/>
          </v:group>
        </w:pict>
      </w:r>
    </w:p>
    <w:p>
      <w:pPr>
        <w:pStyle w:val="Heading4"/>
        <w:spacing w:line="335" w:lineRule="exact"/>
        <w:ind w:right="0"/>
        <w:jc w:val="left"/>
        <w:rPr>
          <w:b w:val="0"/>
          <w:bCs w:val="0"/>
        </w:rPr>
      </w:pPr>
      <w:r>
        <w:rPr>
          <w:rFonts w:ascii="Times New Roman" w:hAnsi="Times New Roman" w:cs="Times New Roman" w:eastAsia="Times New Roman" w:hint="default"/>
        </w:rPr>
        <w:t>8</w:t>
      </w:r>
      <w:r>
        <w:rPr/>
        <w:t>、母公司所有者权益变动表</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152"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115"/>
        <w:ind w:left="0" w:right="146" w:firstLine="0"/>
        <w:jc w:val="right"/>
        <w:rPr>
          <w:rFonts w:ascii="宋体" w:hAnsi="宋体" w:cs="宋体" w:eastAsia="宋体" w:hint="default"/>
          <w:sz w:val="18"/>
          <w:szCs w:val="18"/>
        </w:rPr>
      </w:pPr>
      <w:r>
        <w:rPr>
          <w:rFonts w:ascii="宋体" w:hAnsi="宋体" w:cs="宋体" w:eastAsia="宋体" w:hint="default"/>
          <w:spacing w:val="-2"/>
          <w:sz w:val="18"/>
          <w:szCs w:val="18"/>
        </w:rPr>
        <w:t>单位：元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428"/>
        <w:gridCol w:w="691"/>
        <w:gridCol w:w="667"/>
        <w:gridCol w:w="662"/>
        <w:gridCol w:w="667"/>
        <w:gridCol w:w="797"/>
        <w:gridCol w:w="797"/>
        <w:gridCol w:w="797"/>
        <w:gridCol w:w="797"/>
        <w:gridCol w:w="797"/>
        <w:gridCol w:w="677"/>
        <w:gridCol w:w="782"/>
      </w:tblGrid>
      <w:tr>
        <w:trPr>
          <w:trHeight w:val="403" w:hRule="exact"/>
        </w:trPr>
        <w:tc>
          <w:tcPr>
            <w:tcW w:w="1428"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1"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197" w:hRule="exact"/>
        </w:trPr>
        <w:tc>
          <w:tcPr>
            <w:tcW w:w="142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691" w:type="dxa"/>
            <w:tcBorders>
              <w:top w:val="single" w:sz="4" w:space="0" w:color="000000"/>
              <w:left w:val="single" w:sz="4" w:space="0" w:color="000000"/>
              <w:bottom w:val="nil" w:sz="6" w:space="0" w:color="auto"/>
              <w:right w:val="single" w:sz="4" w:space="0" w:color="000000"/>
            </w:tcBorders>
            <w:shd w:val="clear" w:color="auto" w:fill="D2D2D2"/>
          </w:tcPr>
          <w:p>
            <w:pPr/>
          </w:p>
        </w:tc>
        <w:tc>
          <w:tcPr>
            <w:tcW w:w="199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5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321" w:lineRule="auto" w:before="92"/>
              <w:ind w:left="302" w:right="26" w:hanging="269"/>
              <w:jc w:val="left"/>
              <w:rPr>
                <w:rFonts w:ascii="宋体" w:hAnsi="宋体" w:cs="宋体" w:eastAsia="宋体" w:hint="default"/>
                <w:sz w:val="18"/>
                <w:szCs w:val="18"/>
              </w:rPr>
            </w:pPr>
            <w:r>
              <w:rPr>
                <w:rFonts w:ascii="宋体" w:hAnsi="宋体" w:cs="宋体" w:eastAsia="宋体" w:hint="default"/>
                <w:sz w:val="18"/>
                <w:szCs w:val="18"/>
              </w:rPr>
              <w:t>减：库存</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股</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321" w:lineRule="auto" w:before="92"/>
              <w:ind w:left="211" w:right="26" w:hanging="178"/>
              <w:jc w:val="left"/>
              <w:rPr>
                <w:rFonts w:ascii="宋体" w:hAnsi="宋体" w:cs="宋体" w:eastAsia="宋体" w:hint="default"/>
                <w:sz w:val="18"/>
                <w:szCs w:val="18"/>
              </w:rPr>
            </w:pPr>
            <w:r>
              <w:rPr>
                <w:rFonts w:ascii="宋体" w:hAnsi="宋体" w:cs="宋体" w:eastAsia="宋体" w:hint="default"/>
                <w:sz w:val="18"/>
                <w:szCs w:val="18"/>
              </w:rPr>
              <w:t>其他综合</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收益</w:t>
            </w: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677" w:type="dxa"/>
            <w:vMerge w:val="restart"/>
            <w:tcBorders>
              <w:top w:val="single" w:sz="4" w:space="0" w:color="000000"/>
              <w:left w:val="single" w:sz="4" w:space="0" w:color="000000"/>
              <w:right w:val="single" w:sz="4" w:space="0" w:color="000000"/>
            </w:tcBorders>
            <w:shd w:val="clear" w:color="auto" w:fill="D2D2D2"/>
          </w:tcPr>
          <w:p>
            <w:pPr>
              <w:pStyle w:val="TableParagraph"/>
              <w:spacing w:line="321" w:lineRule="auto" w:before="92"/>
              <w:ind w:left="148" w:right="60" w:hanging="87"/>
              <w:jc w:val="left"/>
              <w:rPr>
                <w:rFonts w:ascii="宋体" w:hAnsi="宋体" w:cs="宋体" w:eastAsia="宋体" w:hint="default"/>
                <w:sz w:val="18"/>
                <w:szCs w:val="18"/>
              </w:rPr>
            </w:pPr>
            <w:r>
              <w:rPr>
                <w:rFonts w:ascii="宋体" w:hAnsi="宋体" w:cs="宋体" w:eastAsia="宋体" w:hint="default"/>
                <w:sz w:val="18"/>
                <w:szCs w:val="18"/>
              </w:rPr>
              <w:t>未分配</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利润</w:t>
            </w:r>
          </w:p>
        </w:tc>
        <w:tc>
          <w:tcPr>
            <w:tcW w:w="782" w:type="dxa"/>
            <w:vMerge w:val="restart"/>
            <w:tcBorders>
              <w:top w:val="single" w:sz="4" w:space="0" w:color="000000"/>
              <w:left w:val="single" w:sz="4" w:space="0" w:color="000000"/>
              <w:right w:val="single" w:sz="4" w:space="0" w:color="000000"/>
            </w:tcBorders>
            <w:shd w:val="clear" w:color="auto" w:fill="D2D2D2"/>
          </w:tcPr>
          <w:p>
            <w:pPr>
              <w:pStyle w:val="TableParagraph"/>
              <w:spacing w:line="321" w:lineRule="auto" w:before="92"/>
              <w:ind w:left="115" w:right="22" w:hanging="92"/>
              <w:jc w:val="left"/>
              <w:rPr>
                <w:rFonts w:ascii="宋体" w:hAnsi="宋体" w:cs="宋体" w:eastAsia="宋体" w:hint="default"/>
                <w:sz w:val="18"/>
                <w:szCs w:val="18"/>
              </w:rPr>
            </w:pPr>
            <w:r>
              <w:rPr>
                <w:rFonts w:ascii="宋体" w:hAnsi="宋体" w:cs="宋体" w:eastAsia="宋体" w:hint="default"/>
                <w:sz w:val="18"/>
                <w:szCs w:val="18"/>
              </w:rPr>
              <w:t>所有者权</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益合计</w:t>
            </w:r>
          </w:p>
        </w:tc>
      </w:tr>
      <w:tr>
        <w:trPr>
          <w:trHeight w:val="196" w:hRule="exact"/>
        </w:trPr>
        <w:tc>
          <w:tcPr>
            <w:tcW w:w="1428" w:type="dxa"/>
            <w:vMerge/>
            <w:tcBorders>
              <w:left w:val="single" w:sz="4" w:space="0" w:color="000000"/>
              <w:bottom w:val="nil" w:sz="6" w:space="0" w:color="auto"/>
              <w:right w:val="single" w:sz="4" w:space="0" w:color="000000"/>
            </w:tcBorders>
            <w:shd w:val="clear" w:color="auto" w:fill="D2D2D2"/>
          </w:tcPr>
          <w:p>
            <w:pPr/>
          </w:p>
        </w:tc>
        <w:tc>
          <w:tcPr>
            <w:tcW w:w="69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58"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7" w:type="dxa"/>
            <w:gridSpan w:val="3"/>
            <w:vMerge/>
            <w:tcBorders>
              <w:left w:val="single" w:sz="4" w:space="0" w:color="000000"/>
              <w:bottom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8"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7"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8"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7" w:type="dxa"/>
            <w:vMerge/>
            <w:tcBorders>
              <w:left w:val="single" w:sz="4" w:space="0" w:color="000000"/>
              <w:right w:val="single" w:sz="4" w:space="0" w:color="000000"/>
            </w:tcBorders>
            <w:shd w:val="clear" w:color="auto" w:fill="D2D2D2"/>
          </w:tcPr>
          <w:p>
            <w:pPr/>
          </w:p>
        </w:tc>
        <w:tc>
          <w:tcPr>
            <w:tcW w:w="782" w:type="dxa"/>
            <w:vMerge/>
            <w:tcBorders>
              <w:left w:val="single" w:sz="4" w:space="0" w:color="000000"/>
              <w:right w:val="single" w:sz="4" w:space="0" w:color="000000"/>
            </w:tcBorders>
            <w:shd w:val="clear" w:color="auto" w:fill="D2D2D2"/>
          </w:tcPr>
          <w:p>
            <w:pPr/>
          </w:p>
        </w:tc>
      </w:tr>
      <w:tr>
        <w:trPr>
          <w:trHeight w:val="197" w:hRule="exact"/>
        </w:trPr>
        <w:tc>
          <w:tcPr>
            <w:tcW w:w="1428" w:type="dxa"/>
            <w:vMerge w:val="restart"/>
            <w:tcBorders>
              <w:top w:val="nil" w:sz="6" w:space="0" w:color="auto"/>
              <w:left w:val="single" w:sz="4" w:space="0" w:color="000000"/>
              <w:right w:val="single" w:sz="4" w:space="0" w:color="000000"/>
            </w:tcBorders>
            <w:shd w:val="clear" w:color="auto" w:fill="D2D2D2"/>
          </w:tcPr>
          <w:p>
            <w:pPr/>
          </w:p>
        </w:tc>
        <w:tc>
          <w:tcPr>
            <w:tcW w:w="691" w:type="dxa"/>
            <w:vMerge/>
            <w:tcBorders>
              <w:left w:val="single" w:sz="4" w:space="0" w:color="000000"/>
              <w:bottom w:val="nil" w:sz="6" w:space="0" w:color="auto"/>
              <w:right w:val="single" w:sz="4" w:space="0" w:color="000000"/>
            </w:tcBorders>
            <w:shd w:val="clear" w:color="auto" w:fill="D2D2D2"/>
          </w:tcPr>
          <w:p>
            <w:pPr/>
          </w:p>
        </w:tc>
        <w:tc>
          <w:tcPr>
            <w:tcW w:w="6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3"/>
              <w:ind w:left="57"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3"/>
              <w:ind w:left="57"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3"/>
              <w:ind w:left="1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677" w:type="dxa"/>
            <w:vMerge/>
            <w:tcBorders>
              <w:left w:val="single" w:sz="4" w:space="0" w:color="000000"/>
              <w:right w:val="single" w:sz="4" w:space="0" w:color="000000"/>
            </w:tcBorders>
            <w:shd w:val="clear" w:color="auto" w:fill="D2D2D2"/>
          </w:tcPr>
          <w:p>
            <w:pPr/>
          </w:p>
        </w:tc>
        <w:tc>
          <w:tcPr>
            <w:tcW w:w="782" w:type="dxa"/>
            <w:vMerge/>
            <w:tcBorders>
              <w:left w:val="single" w:sz="4" w:space="0" w:color="000000"/>
              <w:right w:val="single" w:sz="4" w:space="0" w:color="000000"/>
            </w:tcBorders>
            <w:shd w:val="clear" w:color="auto" w:fill="D2D2D2"/>
          </w:tcPr>
          <w:p>
            <w:pPr/>
          </w:p>
        </w:tc>
      </w:tr>
      <w:tr>
        <w:trPr>
          <w:trHeight w:val="216" w:hRule="exact"/>
        </w:trPr>
        <w:tc>
          <w:tcPr>
            <w:tcW w:w="1428" w:type="dxa"/>
            <w:vMerge/>
            <w:tcBorders>
              <w:left w:val="single" w:sz="4" w:space="0" w:color="000000"/>
              <w:bottom w:val="single" w:sz="4" w:space="0" w:color="000000"/>
              <w:right w:val="single" w:sz="4" w:space="0" w:color="000000"/>
            </w:tcBorders>
            <w:shd w:val="clear" w:color="auto" w:fill="D2D2D2"/>
          </w:tcPr>
          <w:p>
            <w:pPr/>
          </w:p>
        </w:tc>
        <w:tc>
          <w:tcPr>
            <w:tcW w:w="691" w:type="dxa"/>
            <w:tcBorders>
              <w:top w:val="nil" w:sz="6" w:space="0" w:color="auto"/>
              <w:left w:val="single" w:sz="4" w:space="0" w:color="000000"/>
              <w:bottom w:val="single" w:sz="4" w:space="0" w:color="000000"/>
              <w:right w:val="single" w:sz="4" w:space="0" w:color="000000"/>
            </w:tcBorders>
            <w:shd w:val="clear" w:color="auto" w:fill="D2D2D2"/>
          </w:tcPr>
          <w:p>
            <w:pPr/>
          </w:p>
        </w:tc>
        <w:tc>
          <w:tcPr>
            <w:tcW w:w="667" w:type="dxa"/>
            <w:vMerge/>
            <w:tcBorders>
              <w:left w:val="single" w:sz="4" w:space="0" w:color="000000"/>
              <w:bottom w:val="single" w:sz="4" w:space="0" w:color="000000"/>
              <w:right w:val="single" w:sz="4" w:space="0" w:color="000000"/>
            </w:tcBorders>
            <w:shd w:val="clear" w:color="auto" w:fill="D2D2D2"/>
          </w:tcPr>
          <w:p>
            <w:pPr/>
          </w:p>
        </w:tc>
        <w:tc>
          <w:tcPr>
            <w:tcW w:w="662" w:type="dxa"/>
            <w:vMerge/>
            <w:tcBorders>
              <w:left w:val="single" w:sz="4" w:space="0" w:color="000000"/>
              <w:bottom w:val="single" w:sz="4" w:space="0" w:color="000000"/>
              <w:right w:val="single" w:sz="4" w:space="0" w:color="000000"/>
            </w:tcBorders>
            <w:shd w:val="clear" w:color="auto" w:fill="D2D2D2"/>
          </w:tcPr>
          <w:p>
            <w:pPr/>
          </w:p>
        </w:tc>
        <w:tc>
          <w:tcPr>
            <w:tcW w:w="667"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677" w:type="dxa"/>
            <w:vMerge/>
            <w:tcBorders>
              <w:left w:val="single" w:sz="4" w:space="0" w:color="000000"/>
              <w:bottom w:val="single" w:sz="4" w:space="0" w:color="000000"/>
              <w:right w:val="single" w:sz="4" w:space="0" w:color="000000"/>
            </w:tcBorders>
            <w:shd w:val="clear" w:color="auto" w:fill="D2D2D2"/>
          </w:tcPr>
          <w:p>
            <w:pPr/>
          </w:p>
        </w:tc>
        <w:tc>
          <w:tcPr>
            <w:tcW w:w="782" w:type="dxa"/>
            <w:vMerge/>
            <w:tcBorders>
              <w:left w:val="single" w:sz="4" w:space="0" w:color="000000"/>
              <w:bottom w:val="single" w:sz="4" w:space="0" w:color="000000"/>
              <w:right w:val="single" w:sz="4" w:space="0" w:color="000000"/>
            </w:tcBorders>
            <w:shd w:val="clear" w:color="auto" w:fill="D2D2D2"/>
          </w:tcPr>
          <w:p>
            <w:pPr/>
          </w:p>
        </w:tc>
      </w:tr>
      <w:tr>
        <w:trPr>
          <w:trHeight w:val="159" w:hRule="exact"/>
        </w:trPr>
        <w:tc>
          <w:tcPr>
            <w:tcW w:w="1428"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8" w:space="0" w:color="D2D2D2"/>
              <w:right w:val="single" w:sz="4" w:space="0" w:color="000000"/>
            </w:tcBorders>
          </w:tcPr>
          <w:p>
            <w:pPr>
              <w:pStyle w:val="TableParagraph"/>
              <w:spacing w:line="240" w:lineRule="auto" w:before="96"/>
              <w:ind w:left="2" w:right="0"/>
              <w:jc w:val="center"/>
              <w:rPr>
                <w:rFonts w:ascii="Times New Roman" w:hAnsi="Times New Roman" w:cs="Times New Roman" w:eastAsia="Times New Roman" w:hint="default"/>
                <w:sz w:val="18"/>
                <w:szCs w:val="18"/>
              </w:rPr>
            </w:pPr>
            <w:r>
              <w:rPr>
                <w:rFonts w:ascii="Times New Roman"/>
                <w:sz w:val="18"/>
              </w:rPr>
              <w:t>298,186,</w:t>
            </w:r>
          </w:p>
          <w:p>
            <w:pPr>
              <w:pStyle w:val="TableParagraph"/>
              <w:spacing w:line="240" w:lineRule="auto" w:before="105"/>
              <w:ind w:left="129" w:right="0"/>
              <w:jc w:val="center"/>
              <w:rPr>
                <w:rFonts w:ascii="Times New Roman" w:hAnsi="Times New Roman" w:cs="Times New Roman" w:eastAsia="Times New Roman" w:hint="default"/>
                <w:sz w:val="18"/>
                <w:szCs w:val="18"/>
              </w:rPr>
            </w:pPr>
            <w:r>
              <w:rPr>
                <w:rFonts w:ascii="Times New Roman"/>
                <w:sz w:val="18"/>
              </w:rPr>
              <w:t>000.00</w:t>
            </w:r>
          </w:p>
        </w:tc>
        <w:tc>
          <w:tcPr>
            <w:tcW w:w="667"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6"/>
              <w:ind w:left="43" w:right="0"/>
              <w:jc w:val="left"/>
              <w:rPr>
                <w:rFonts w:ascii="Times New Roman" w:hAnsi="Times New Roman" w:cs="Times New Roman" w:eastAsia="Times New Roman" w:hint="default"/>
                <w:sz w:val="18"/>
                <w:szCs w:val="18"/>
              </w:rPr>
            </w:pPr>
            <w:r>
              <w:rPr>
                <w:rFonts w:ascii="Times New Roman"/>
                <w:sz w:val="18"/>
              </w:rPr>
              <w:t>335,816,6</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46.98</w:t>
            </w:r>
          </w:p>
        </w:tc>
        <w:tc>
          <w:tcPr>
            <w:tcW w:w="797" w:type="dxa"/>
            <w:vMerge w:val="restart"/>
            <w:tcBorders>
              <w:top w:val="single" w:sz="25" w:space="0" w:color="D2D2D2"/>
              <w:left w:val="single" w:sz="4" w:space="0" w:color="000000"/>
              <w:right w:val="single" w:sz="4" w:space="0" w:color="000000"/>
            </w:tcBorders>
          </w:tcPr>
          <w:p>
            <w:pPr/>
          </w:p>
        </w:tc>
        <w:tc>
          <w:tcPr>
            <w:tcW w:w="797" w:type="dxa"/>
            <w:vMerge w:val="restart"/>
            <w:tcBorders>
              <w:top w:val="single" w:sz="25" w:space="0" w:color="D2D2D2"/>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6"/>
              <w:ind w:left="43" w:right="0"/>
              <w:jc w:val="left"/>
              <w:rPr>
                <w:rFonts w:ascii="Times New Roman" w:hAnsi="Times New Roman" w:cs="Times New Roman" w:eastAsia="Times New Roman" w:hint="default"/>
                <w:sz w:val="18"/>
                <w:szCs w:val="18"/>
              </w:rPr>
            </w:pPr>
            <w:r>
              <w:rPr>
                <w:rFonts w:ascii="Times New Roman"/>
                <w:sz w:val="18"/>
              </w:rPr>
              <w:t>34,322,09</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4.94</w:t>
            </w:r>
          </w:p>
        </w:tc>
        <w:tc>
          <w:tcPr>
            <w:tcW w:w="677" w:type="dxa"/>
            <w:vMerge w:val="restart"/>
            <w:tcBorders>
              <w:top w:val="single" w:sz="25" w:space="0" w:color="D2D2D2"/>
              <w:left w:val="single" w:sz="4" w:space="0" w:color="000000"/>
              <w:right w:val="single" w:sz="4" w:space="0" w:color="000000"/>
            </w:tcBorders>
          </w:tcPr>
          <w:p>
            <w:pPr>
              <w:pStyle w:val="TableParagraph"/>
              <w:spacing w:line="240" w:lineRule="auto" w:before="69"/>
              <w:ind w:left="57" w:right="0"/>
              <w:jc w:val="left"/>
              <w:rPr>
                <w:rFonts w:ascii="Times New Roman" w:hAnsi="Times New Roman" w:cs="Times New Roman" w:eastAsia="Times New Roman" w:hint="default"/>
                <w:sz w:val="18"/>
                <w:szCs w:val="18"/>
              </w:rPr>
            </w:pPr>
            <w:r>
              <w:rPr>
                <w:rFonts w:ascii="Times New Roman"/>
                <w:sz w:val="18"/>
              </w:rPr>
              <w:t>165,247</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,753.98</w:t>
            </w:r>
          </w:p>
        </w:tc>
        <w:tc>
          <w:tcPr>
            <w:tcW w:w="782" w:type="dxa"/>
            <w:vMerge w:val="restart"/>
            <w:tcBorders>
              <w:top w:val="single" w:sz="25" w:space="0" w:color="D2D2D2"/>
              <w:left w:val="single" w:sz="4" w:space="0" w:color="000000"/>
              <w:right w:val="single" w:sz="4" w:space="0" w:color="000000"/>
            </w:tcBorders>
          </w:tcPr>
          <w:p>
            <w:pPr>
              <w:pStyle w:val="TableParagraph"/>
              <w:spacing w:line="240" w:lineRule="auto" w:before="69"/>
              <w:ind w:left="28" w:right="0"/>
              <w:jc w:val="left"/>
              <w:rPr>
                <w:rFonts w:ascii="Times New Roman" w:hAnsi="Times New Roman" w:cs="Times New Roman" w:eastAsia="Times New Roman" w:hint="default"/>
                <w:sz w:val="18"/>
                <w:szCs w:val="18"/>
              </w:rPr>
            </w:pPr>
            <w:r>
              <w:rPr>
                <w:rFonts w:ascii="Times New Roman"/>
                <w:sz w:val="18"/>
              </w:rPr>
              <w:t>833,572,4</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95.90</w:t>
            </w:r>
          </w:p>
        </w:tc>
      </w:tr>
      <w:tr>
        <w:trPr>
          <w:trHeight w:val="389" w:hRule="exact"/>
        </w:trPr>
        <w:tc>
          <w:tcPr>
            <w:tcW w:w="142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10"/>
                <w:sz w:val="18"/>
                <w:szCs w:val="18"/>
              </w:rPr>
              <w:t>一、上年期末余额</w:t>
            </w:r>
          </w:p>
        </w:tc>
        <w:tc>
          <w:tcPr>
            <w:tcW w:w="691" w:type="dxa"/>
            <w:vMerge/>
            <w:tcBorders>
              <w:left w:val="single" w:sz="8" w:space="0" w:color="D2D2D2"/>
              <w:right w:val="single" w:sz="4" w:space="0" w:color="000000"/>
            </w:tcBorders>
          </w:tcPr>
          <w:p>
            <w:pPr/>
          </w:p>
        </w:tc>
        <w:tc>
          <w:tcPr>
            <w:tcW w:w="667"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7" w:type="dxa"/>
            <w:vMerge/>
            <w:tcBorders>
              <w:left w:val="single" w:sz="4" w:space="0" w:color="000000"/>
              <w:right w:val="single" w:sz="4" w:space="0" w:color="000000"/>
            </w:tcBorders>
          </w:tcPr>
          <w:p>
            <w:pPr/>
          </w:p>
        </w:tc>
        <w:tc>
          <w:tcPr>
            <w:tcW w:w="782" w:type="dxa"/>
            <w:vMerge/>
            <w:tcBorders>
              <w:left w:val="single" w:sz="4" w:space="0" w:color="000000"/>
              <w:right w:val="single" w:sz="4" w:space="0" w:color="000000"/>
            </w:tcBorders>
          </w:tcPr>
          <w:p>
            <w:pPr/>
          </w:p>
        </w:tc>
      </w:tr>
      <w:tr>
        <w:trPr>
          <w:trHeight w:val="163" w:hRule="exact"/>
        </w:trPr>
        <w:tc>
          <w:tcPr>
            <w:tcW w:w="1428"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8" w:space="0" w:color="D2D2D2"/>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82" w:type="dxa"/>
            <w:vMerge/>
            <w:tcBorders>
              <w:left w:val="single" w:sz="4" w:space="0" w:color="000000"/>
              <w:bottom w:val="single" w:sz="4" w:space="0" w:color="000000"/>
              <w:right w:val="single" w:sz="4" w:space="0" w:color="000000"/>
            </w:tcBorders>
          </w:tcPr>
          <w:p>
            <w:pPr/>
          </w:p>
        </w:tc>
      </w:tr>
      <w:tr>
        <w:trPr>
          <w:trHeight w:val="715"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1" w:right="17" w:firstLine="360"/>
              <w:jc w:val="left"/>
              <w:rPr>
                <w:rFonts w:ascii="宋体" w:hAnsi="宋体" w:cs="宋体" w:eastAsia="宋体" w:hint="default"/>
                <w:sz w:val="18"/>
                <w:szCs w:val="18"/>
              </w:rPr>
            </w:pPr>
            <w:r>
              <w:rPr>
                <w:rFonts w:ascii="宋体" w:hAnsi="宋体" w:cs="宋体" w:eastAsia="宋体" w:hint="default"/>
                <w:spacing w:val="-12"/>
                <w:sz w:val="18"/>
                <w:szCs w:val="18"/>
              </w:rPr>
              <w:t>加：会计政策</w:t>
            </w:r>
            <w:r>
              <w:rPr>
                <w:rFonts w:ascii="宋体" w:hAnsi="宋体" w:cs="宋体" w:eastAsia="宋体" w:hint="default"/>
                <w:w w:val="101"/>
                <w:sz w:val="18"/>
                <w:szCs w:val="18"/>
              </w:rPr>
              <w:t> </w:t>
            </w:r>
            <w:r>
              <w:rPr>
                <w:rFonts w:ascii="宋体" w:hAnsi="宋体" w:cs="宋体" w:eastAsia="宋体" w:hint="default"/>
                <w:sz w:val="18"/>
                <w:szCs w:val="18"/>
              </w:rPr>
              <w:t>变更</w:t>
            </w:r>
          </w:p>
        </w:tc>
        <w:tc>
          <w:tcPr>
            <w:tcW w:w="691" w:type="dxa"/>
            <w:tcBorders>
              <w:top w:val="single" w:sz="4" w:space="0" w:color="000000"/>
              <w:left w:val="single" w:sz="8" w:space="0" w:color="D2D2D2"/>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81"/>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691" w:type="dxa"/>
            <w:tcBorders>
              <w:top w:val="single" w:sz="4" w:space="0" w:color="000000"/>
              <w:left w:val="single" w:sz="8" w:space="0" w:color="D2D2D2"/>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91" w:type="dxa"/>
            <w:tcBorders>
              <w:top w:val="single" w:sz="4" w:space="0" w:color="000000"/>
              <w:left w:val="single" w:sz="8" w:space="0" w:color="D2D2D2"/>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159" w:hRule="exact"/>
        </w:trPr>
        <w:tc>
          <w:tcPr>
            <w:tcW w:w="1428"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8" w:space="0" w:color="D2D2D2"/>
              <w:right w:val="single" w:sz="4" w:space="0" w:color="000000"/>
            </w:tcBorders>
          </w:tcPr>
          <w:p>
            <w:pPr>
              <w:pStyle w:val="TableParagraph"/>
              <w:spacing w:line="240" w:lineRule="auto" w:before="96"/>
              <w:ind w:left="2" w:right="0"/>
              <w:jc w:val="center"/>
              <w:rPr>
                <w:rFonts w:ascii="Times New Roman" w:hAnsi="Times New Roman" w:cs="Times New Roman" w:eastAsia="Times New Roman" w:hint="default"/>
                <w:sz w:val="18"/>
                <w:szCs w:val="18"/>
              </w:rPr>
            </w:pPr>
            <w:r>
              <w:rPr>
                <w:rFonts w:ascii="Times New Roman"/>
                <w:sz w:val="18"/>
              </w:rPr>
              <w:t>298,186,</w:t>
            </w:r>
          </w:p>
          <w:p>
            <w:pPr>
              <w:pStyle w:val="TableParagraph"/>
              <w:spacing w:line="240" w:lineRule="auto" w:before="105"/>
              <w:ind w:left="129" w:right="0"/>
              <w:jc w:val="center"/>
              <w:rPr>
                <w:rFonts w:ascii="Times New Roman" w:hAnsi="Times New Roman" w:cs="Times New Roman" w:eastAsia="Times New Roman" w:hint="default"/>
                <w:sz w:val="18"/>
                <w:szCs w:val="18"/>
              </w:rPr>
            </w:pPr>
            <w:r>
              <w:rPr>
                <w:rFonts w:ascii="Times New Roman"/>
                <w:sz w:val="18"/>
              </w:rPr>
              <w:t>000.00</w:t>
            </w:r>
          </w:p>
        </w:tc>
        <w:tc>
          <w:tcPr>
            <w:tcW w:w="667"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6"/>
              <w:ind w:left="43" w:right="0"/>
              <w:jc w:val="left"/>
              <w:rPr>
                <w:rFonts w:ascii="Times New Roman" w:hAnsi="Times New Roman" w:cs="Times New Roman" w:eastAsia="Times New Roman" w:hint="default"/>
                <w:sz w:val="18"/>
                <w:szCs w:val="18"/>
              </w:rPr>
            </w:pPr>
            <w:r>
              <w:rPr>
                <w:rFonts w:ascii="Times New Roman"/>
                <w:sz w:val="18"/>
              </w:rPr>
              <w:t>335,816,6</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46.98</w:t>
            </w: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6"/>
              <w:ind w:left="43" w:right="0"/>
              <w:jc w:val="left"/>
              <w:rPr>
                <w:rFonts w:ascii="Times New Roman" w:hAnsi="Times New Roman" w:cs="Times New Roman" w:eastAsia="Times New Roman" w:hint="default"/>
                <w:sz w:val="18"/>
                <w:szCs w:val="18"/>
              </w:rPr>
            </w:pPr>
            <w:r>
              <w:rPr>
                <w:rFonts w:ascii="Times New Roman"/>
                <w:sz w:val="18"/>
              </w:rPr>
              <w:t>34,322,09</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4.94</w:t>
            </w:r>
          </w:p>
        </w:tc>
        <w:tc>
          <w:tcPr>
            <w:tcW w:w="677" w:type="dxa"/>
            <w:vMerge w:val="restart"/>
            <w:tcBorders>
              <w:top w:val="single" w:sz="4" w:space="0" w:color="000000"/>
              <w:left w:val="single" w:sz="4" w:space="0" w:color="000000"/>
              <w:right w:val="single" w:sz="4" w:space="0" w:color="000000"/>
            </w:tcBorders>
          </w:tcPr>
          <w:p>
            <w:pPr>
              <w:pStyle w:val="TableParagraph"/>
              <w:spacing w:line="240" w:lineRule="auto" w:before="96"/>
              <w:ind w:left="57" w:right="0"/>
              <w:jc w:val="left"/>
              <w:rPr>
                <w:rFonts w:ascii="Times New Roman" w:hAnsi="Times New Roman" w:cs="Times New Roman" w:eastAsia="Times New Roman" w:hint="default"/>
                <w:sz w:val="18"/>
                <w:szCs w:val="18"/>
              </w:rPr>
            </w:pPr>
            <w:r>
              <w:rPr>
                <w:rFonts w:ascii="Times New Roman"/>
                <w:sz w:val="18"/>
              </w:rPr>
              <w:t>165,247</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,753.98</w:t>
            </w:r>
          </w:p>
        </w:tc>
        <w:tc>
          <w:tcPr>
            <w:tcW w:w="782" w:type="dxa"/>
            <w:vMerge w:val="restart"/>
            <w:tcBorders>
              <w:top w:val="single" w:sz="4" w:space="0" w:color="000000"/>
              <w:left w:val="single" w:sz="4" w:space="0" w:color="000000"/>
              <w:right w:val="single" w:sz="4" w:space="0" w:color="000000"/>
            </w:tcBorders>
          </w:tcPr>
          <w:p>
            <w:pPr>
              <w:pStyle w:val="TableParagraph"/>
              <w:spacing w:line="240" w:lineRule="auto" w:before="96"/>
              <w:ind w:left="28" w:right="0"/>
              <w:jc w:val="left"/>
              <w:rPr>
                <w:rFonts w:ascii="Times New Roman" w:hAnsi="Times New Roman" w:cs="Times New Roman" w:eastAsia="Times New Roman" w:hint="default"/>
                <w:sz w:val="18"/>
                <w:szCs w:val="18"/>
              </w:rPr>
            </w:pPr>
            <w:r>
              <w:rPr>
                <w:rFonts w:ascii="Times New Roman"/>
                <w:sz w:val="18"/>
              </w:rPr>
              <w:t>833,572,4</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95.90</w:t>
            </w:r>
          </w:p>
        </w:tc>
      </w:tr>
      <w:tr>
        <w:trPr>
          <w:trHeight w:val="388" w:hRule="exact"/>
        </w:trPr>
        <w:tc>
          <w:tcPr>
            <w:tcW w:w="142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10"/>
                <w:sz w:val="18"/>
                <w:szCs w:val="18"/>
              </w:rPr>
              <w:t>二、本年期初余额</w:t>
            </w:r>
          </w:p>
        </w:tc>
        <w:tc>
          <w:tcPr>
            <w:tcW w:w="691" w:type="dxa"/>
            <w:vMerge/>
            <w:tcBorders>
              <w:left w:val="single" w:sz="8" w:space="0" w:color="D2D2D2"/>
              <w:right w:val="single" w:sz="4" w:space="0" w:color="000000"/>
            </w:tcBorders>
          </w:tcPr>
          <w:p>
            <w:pPr/>
          </w:p>
        </w:tc>
        <w:tc>
          <w:tcPr>
            <w:tcW w:w="667"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7" w:type="dxa"/>
            <w:vMerge/>
            <w:tcBorders>
              <w:left w:val="single" w:sz="4" w:space="0" w:color="000000"/>
              <w:right w:val="single" w:sz="4" w:space="0" w:color="000000"/>
            </w:tcBorders>
          </w:tcPr>
          <w:p>
            <w:pPr/>
          </w:p>
        </w:tc>
        <w:tc>
          <w:tcPr>
            <w:tcW w:w="782" w:type="dxa"/>
            <w:vMerge/>
            <w:tcBorders>
              <w:left w:val="single" w:sz="4" w:space="0" w:color="000000"/>
              <w:right w:val="single" w:sz="4" w:space="0" w:color="000000"/>
            </w:tcBorders>
          </w:tcPr>
          <w:p>
            <w:pPr/>
          </w:p>
        </w:tc>
      </w:tr>
      <w:tr>
        <w:trPr>
          <w:trHeight w:val="163" w:hRule="exact"/>
        </w:trPr>
        <w:tc>
          <w:tcPr>
            <w:tcW w:w="1428"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8" w:space="0" w:color="D2D2D2"/>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82" w:type="dxa"/>
            <w:vMerge/>
            <w:tcBorders>
              <w:left w:val="single" w:sz="4" w:space="0" w:color="000000"/>
              <w:bottom w:val="single" w:sz="4" w:space="0" w:color="000000"/>
              <w:right w:val="single" w:sz="4" w:space="0" w:color="000000"/>
            </w:tcBorders>
          </w:tcPr>
          <w:p>
            <w:pPr/>
          </w:p>
        </w:tc>
      </w:tr>
      <w:tr>
        <w:trPr>
          <w:trHeight w:val="1027" w:hRule="exact"/>
        </w:trPr>
        <w:tc>
          <w:tcPr>
            <w:tcW w:w="1428"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319" w:lineRule="auto" w:before="53"/>
              <w:ind w:left="11" w:right="5"/>
              <w:jc w:val="left"/>
              <w:rPr>
                <w:rFonts w:ascii="宋体" w:hAnsi="宋体" w:cs="宋体" w:eastAsia="宋体" w:hint="default"/>
                <w:sz w:val="18"/>
                <w:szCs w:val="18"/>
              </w:rPr>
            </w:pPr>
            <w:r>
              <w:rPr>
                <w:rFonts w:ascii="宋体" w:hAnsi="宋体" w:cs="宋体" w:eastAsia="宋体" w:hint="default"/>
                <w:spacing w:val="-10"/>
                <w:sz w:val="18"/>
                <w:szCs w:val="18"/>
              </w:rPr>
              <w:t>三、本期增减变动</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pacing w:val="-20"/>
                <w:w w:val="101"/>
                <w:sz w:val="18"/>
                <w:szCs w:val="18"/>
              </w:rPr>
              <w:t>金额（减少以“－</w:t>
            </w:r>
            <w:r>
              <w:rPr>
                <w:rFonts w:ascii="宋体" w:hAnsi="宋体" w:cs="宋体" w:eastAsia="宋体" w:hint="default"/>
                <w:w w:val="101"/>
                <w:sz w:val="18"/>
                <w:szCs w:val="18"/>
              </w:rPr>
              <w:t> </w:t>
            </w:r>
            <w:r>
              <w:rPr>
                <w:rFonts w:ascii="宋体" w:hAnsi="宋体" w:cs="宋体" w:eastAsia="宋体" w:hint="default"/>
                <w:sz w:val="18"/>
                <w:szCs w:val="18"/>
              </w:rPr>
              <w:t>号填列）</w:t>
            </w:r>
          </w:p>
        </w:tc>
        <w:tc>
          <w:tcPr>
            <w:tcW w:w="691" w:type="dxa"/>
            <w:tcBorders>
              <w:top w:val="single" w:sz="4" w:space="0" w:color="000000"/>
              <w:left w:val="single" w:sz="21" w:space="0" w:color="FFFFFF"/>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42" w:right="0"/>
              <w:jc w:val="left"/>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3,776,823</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sz w:val="18"/>
              </w:rPr>
              <w:t>.31</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33,991,</w:t>
            </w:r>
          </w:p>
          <w:p>
            <w:pPr>
              <w:pStyle w:val="TableParagraph"/>
              <w:spacing w:line="240" w:lineRule="auto" w:before="110"/>
              <w:ind w:left="143" w:right="0"/>
              <w:jc w:val="left"/>
              <w:rPr>
                <w:rFonts w:ascii="Times New Roman" w:hAnsi="Times New Roman" w:cs="Times New Roman" w:eastAsia="Times New Roman" w:hint="default"/>
                <w:sz w:val="18"/>
                <w:szCs w:val="18"/>
              </w:rPr>
            </w:pPr>
            <w:r>
              <w:rPr>
                <w:rFonts w:ascii="Times New Roman"/>
                <w:sz w:val="18"/>
              </w:rPr>
              <w:t>409.79</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37,768,23</w:t>
            </w:r>
          </w:p>
          <w:p>
            <w:pPr>
              <w:pStyle w:val="TableParagraph"/>
              <w:spacing w:line="240" w:lineRule="auto" w:before="110"/>
              <w:ind w:left="427" w:right="0"/>
              <w:jc w:val="left"/>
              <w:rPr>
                <w:rFonts w:ascii="Times New Roman" w:hAnsi="Times New Roman" w:cs="Times New Roman" w:eastAsia="Times New Roman" w:hint="default"/>
                <w:sz w:val="18"/>
                <w:szCs w:val="18"/>
              </w:rPr>
            </w:pPr>
            <w:r>
              <w:rPr>
                <w:rFonts w:ascii="Times New Roman"/>
                <w:sz w:val="18"/>
              </w:rPr>
              <w:t>3.10</w:t>
            </w:r>
          </w:p>
        </w:tc>
      </w:tr>
      <w:tr>
        <w:trPr>
          <w:trHeight w:val="715"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1" w:right="17"/>
              <w:jc w:val="left"/>
              <w:rPr>
                <w:rFonts w:ascii="宋体" w:hAnsi="宋体" w:cs="宋体" w:eastAsia="宋体" w:hint="default"/>
                <w:sz w:val="18"/>
                <w:szCs w:val="18"/>
              </w:rPr>
            </w:pPr>
            <w:r>
              <w:rPr>
                <w:rFonts w:ascii="宋体" w:hAnsi="宋体" w:cs="宋体" w:eastAsia="宋体" w:hint="default"/>
                <w:spacing w:val="-10"/>
                <w:sz w:val="18"/>
                <w:szCs w:val="18"/>
              </w:rPr>
              <w:t>（一）综合收益总</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额</w:t>
            </w:r>
          </w:p>
        </w:tc>
        <w:tc>
          <w:tcPr>
            <w:tcW w:w="691" w:type="dxa"/>
            <w:tcBorders>
              <w:top w:val="single" w:sz="4" w:space="0" w:color="000000"/>
              <w:left w:val="single" w:sz="8" w:space="0" w:color="D2D2D2"/>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37,768,</w:t>
            </w:r>
          </w:p>
          <w:p>
            <w:pPr>
              <w:pStyle w:val="TableParagraph"/>
              <w:spacing w:line="240" w:lineRule="auto" w:before="110"/>
              <w:ind w:left="143" w:right="0"/>
              <w:jc w:val="left"/>
              <w:rPr>
                <w:rFonts w:ascii="Times New Roman" w:hAnsi="Times New Roman" w:cs="Times New Roman" w:eastAsia="Times New Roman" w:hint="default"/>
                <w:sz w:val="18"/>
                <w:szCs w:val="18"/>
              </w:rPr>
            </w:pPr>
            <w:r>
              <w:rPr>
                <w:rFonts w:ascii="Times New Roman"/>
                <w:sz w:val="18"/>
              </w:rPr>
              <w:t>233.10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8" w:right="0"/>
              <w:jc w:val="left"/>
              <w:rPr>
                <w:rFonts w:ascii="Times New Roman" w:hAnsi="Times New Roman" w:cs="Times New Roman" w:eastAsia="Times New Roman" w:hint="default"/>
                <w:sz w:val="18"/>
                <w:szCs w:val="18"/>
              </w:rPr>
            </w:pPr>
            <w:r>
              <w:rPr>
                <w:rFonts w:ascii="Times New Roman"/>
                <w:sz w:val="18"/>
              </w:rPr>
              <w:t>37,768,23</w:t>
            </w:r>
          </w:p>
          <w:p>
            <w:pPr>
              <w:pStyle w:val="TableParagraph"/>
              <w:spacing w:line="240" w:lineRule="auto" w:before="110"/>
              <w:ind w:left="427" w:right="0"/>
              <w:jc w:val="left"/>
              <w:rPr>
                <w:rFonts w:ascii="Times New Roman" w:hAnsi="Times New Roman" w:cs="Times New Roman" w:eastAsia="Times New Roman" w:hint="default"/>
                <w:sz w:val="18"/>
                <w:szCs w:val="18"/>
              </w:rPr>
            </w:pPr>
            <w:r>
              <w:rPr>
                <w:rFonts w:ascii="Times New Roman"/>
                <w:sz w:val="18"/>
              </w:rPr>
              <w:t>3.10</w:t>
            </w:r>
          </w:p>
        </w:tc>
      </w:tr>
      <w:tr>
        <w:trPr>
          <w:trHeight w:val="715"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17"/>
              <w:jc w:val="left"/>
              <w:rPr>
                <w:rFonts w:ascii="宋体" w:hAnsi="宋体" w:cs="宋体" w:eastAsia="宋体" w:hint="default"/>
                <w:sz w:val="18"/>
                <w:szCs w:val="18"/>
              </w:rPr>
            </w:pPr>
            <w:r>
              <w:rPr>
                <w:rFonts w:ascii="宋体" w:hAnsi="宋体" w:cs="宋体" w:eastAsia="宋体" w:hint="default"/>
                <w:spacing w:val="-10"/>
                <w:sz w:val="18"/>
                <w:szCs w:val="18"/>
              </w:rPr>
              <w:t>（二）所有者投入</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和减少资本</w:t>
            </w:r>
          </w:p>
        </w:tc>
        <w:tc>
          <w:tcPr>
            <w:tcW w:w="691" w:type="dxa"/>
            <w:tcBorders>
              <w:top w:val="single" w:sz="4" w:space="0" w:color="000000"/>
              <w:left w:val="single" w:sz="8" w:space="0" w:color="D2D2D2"/>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1" w:right="5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．股东投入的普</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通股</w:t>
            </w:r>
          </w:p>
        </w:tc>
        <w:tc>
          <w:tcPr>
            <w:tcW w:w="691" w:type="dxa"/>
            <w:tcBorders>
              <w:top w:val="single" w:sz="4" w:space="0" w:color="000000"/>
              <w:left w:val="single" w:sz="8" w:space="0" w:color="D2D2D2"/>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11" w:right="5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．其他权益工具</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3"/>
                <w:sz w:val="18"/>
                <w:szCs w:val="18"/>
              </w:rPr>
              <w:t>持有者投入资本</w:t>
            </w:r>
          </w:p>
        </w:tc>
        <w:tc>
          <w:tcPr>
            <w:tcW w:w="691" w:type="dxa"/>
            <w:tcBorders>
              <w:top w:val="single" w:sz="4" w:space="0" w:color="000000"/>
              <w:left w:val="single" w:sz="8" w:space="0" w:color="D2D2D2"/>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53"/>
              <w:ind w:left="11" w:right="5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．股份支付计入</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3"/>
                <w:sz w:val="18"/>
                <w:szCs w:val="18"/>
              </w:rPr>
              <w:t>所有者权益的金</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额</w:t>
            </w:r>
          </w:p>
        </w:tc>
        <w:tc>
          <w:tcPr>
            <w:tcW w:w="691" w:type="dxa"/>
            <w:tcBorders>
              <w:top w:val="single" w:sz="4" w:space="0" w:color="000000"/>
              <w:left w:val="single" w:sz="8" w:space="0" w:color="D2D2D2"/>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8" w:space="0" w:color="D2D2D2"/>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159" w:hRule="exact"/>
        </w:trPr>
        <w:tc>
          <w:tcPr>
            <w:tcW w:w="1428"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8" w:space="0" w:color="D2D2D2"/>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3,776,823</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.31</w:t>
            </w:r>
          </w:p>
        </w:tc>
        <w:tc>
          <w:tcPr>
            <w:tcW w:w="677" w:type="dxa"/>
            <w:vMerge w:val="restart"/>
            <w:tcBorders>
              <w:top w:val="single" w:sz="4" w:space="0" w:color="000000"/>
              <w:left w:val="single" w:sz="4" w:space="0" w:color="000000"/>
              <w:right w:val="single" w:sz="4" w:space="0" w:color="000000"/>
            </w:tcBorders>
          </w:tcPr>
          <w:p>
            <w:pPr>
              <w:pStyle w:val="TableParagraph"/>
              <w:spacing w:line="240" w:lineRule="auto" w:before="96"/>
              <w:ind w:left="23" w:right="0"/>
              <w:jc w:val="center"/>
              <w:rPr>
                <w:rFonts w:ascii="Times New Roman" w:hAnsi="Times New Roman" w:cs="Times New Roman" w:eastAsia="Times New Roman" w:hint="default"/>
                <w:sz w:val="18"/>
                <w:szCs w:val="18"/>
              </w:rPr>
            </w:pPr>
            <w:r>
              <w:rPr>
                <w:rFonts w:ascii="Times New Roman"/>
                <w:sz w:val="18"/>
              </w:rPr>
              <w:t>-3,776,8</w:t>
            </w:r>
          </w:p>
          <w:p>
            <w:pPr>
              <w:pStyle w:val="TableParagraph"/>
              <w:spacing w:line="240" w:lineRule="auto" w:before="105"/>
              <w:ind w:left="211" w:right="0"/>
              <w:jc w:val="center"/>
              <w:rPr>
                <w:rFonts w:ascii="Times New Roman" w:hAnsi="Times New Roman" w:cs="Times New Roman" w:eastAsia="Times New Roman" w:hint="default"/>
                <w:sz w:val="18"/>
                <w:szCs w:val="18"/>
              </w:rPr>
            </w:pPr>
            <w:r>
              <w:rPr>
                <w:rFonts w:ascii="Times New Roman"/>
                <w:sz w:val="18"/>
              </w:rPr>
              <w:t>23.31</w:t>
            </w:r>
          </w:p>
        </w:tc>
        <w:tc>
          <w:tcPr>
            <w:tcW w:w="782" w:type="dxa"/>
            <w:vMerge w:val="restart"/>
            <w:tcBorders>
              <w:top w:val="single" w:sz="4" w:space="0" w:color="000000"/>
              <w:left w:val="single" w:sz="4" w:space="0" w:color="000000"/>
              <w:right w:val="single" w:sz="4" w:space="0" w:color="000000"/>
            </w:tcBorders>
          </w:tcPr>
          <w:p>
            <w:pPr/>
          </w:p>
        </w:tc>
      </w:tr>
      <w:tr>
        <w:trPr>
          <w:trHeight w:val="389" w:hRule="exact"/>
        </w:trPr>
        <w:tc>
          <w:tcPr>
            <w:tcW w:w="142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（三）利润分配</w:t>
            </w:r>
          </w:p>
        </w:tc>
        <w:tc>
          <w:tcPr>
            <w:tcW w:w="691" w:type="dxa"/>
            <w:vMerge/>
            <w:tcBorders>
              <w:left w:val="single" w:sz="8" w:space="0" w:color="D2D2D2"/>
              <w:right w:val="single" w:sz="4" w:space="0" w:color="000000"/>
            </w:tcBorders>
          </w:tcPr>
          <w:p>
            <w:pPr/>
          </w:p>
        </w:tc>
        <w:tc>
          <w:tcPr>
            <w:tcW w:w="667"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7" w:type="dxa"/>
            <w:vMerge/>
            <w:tcBorders>
              <w:left w:val="single" w:sz="4" w:space="0" w:color="000000"/>
              <w:right w:val="single" w:sz="4" w:space="0" w:color="000000"/>
            </w:tcBorders>
          </w:tcPr>
          <w:p>
            <w:pPr/>
          </w:p>
        </w:tc>
        <w:tc>
          <w:tcPr>
            <w:tcW w:w="782" w:type="dxa"/>
            <w:vMerge/>
            <w:tcBorders>
              <w:left w:val="single" w:sz="4" w:space="0" w:color="000000"/>
              <w:right w:val="single" w:sz="4" w:space="0" w:color="000000"/>
            </w:tcBorders>
          </w:tcPr>
          <w:p>
            <w:pPr/>
          </w:p>
        </w:tc>
      </w:tr>
      <w:tr>
        <w:trPr>
          <w:trHeight w:val="163" w:hRule="exact"/>
        </w:trPr>
        <w:tc>
          <w:tcPr>
            <w:tcW w:w="1428"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8" w:space="0" w:color="D2D2D2"/>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82" w:type="dxa"/>
            <w:vMerge/>
            <w:tcBorders>
              <w:left w:val="single" w:sz="4" w:space="0" w:color="000000"/>
              <w:bottom w:val="single" w:sz="4" w:space="0" w:color="000000"/>
              <w:right w:val="single" w:sz="4" w:space="0" w:color="000000"/>
            </w:tcBorders>
          </w:tcPr>
          <w:p>
            <w:pPr/>
          </w:p>
        </w:tc>
      </w:tr>
      <w:tr>
        <w:trPr>
          <w:trHeight w:val="158" w:hRule="exact"/>
        </w:trPr>
        <w:tc>
          <w:tcPr>
            <w:tcW w:w="1428"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8" w:space="0" w:color="D2D2D2"/>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3,776,823</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sz w:val="18"/>
              </w:rPr>
              <w:t>.31</w:t>
            </w:r>
          </w:p>
        </w:tc>
        <w:tc>
          <w:tcPr>
            <w:tcW w:w="677" w:type="dxa"/>
            <w:vMerge w:val="restart"/>
            <w:tcBorders>
              <w:top w:val="single" w:sz="4" w:space="0" w:color="000000"/>
              <w:left w:val="single" w:sz="4" w:space="0" w:color="000000"/>
              <w:right w:val="single" w:sz="4" w:space="0" w:color="000000"/>
            </w:tcBorders>
          </w:tcPr>
          <w:p>
            <w:pPr>
              <w:pStyle w:val="TableParagraph"/>
              <w:spacing w:line="240" w:lineRule="auto" w:before="96"/>
              <w:ind w:left="23" w:right="0"/>
              <w:jc w:val="center"/>
              <w:rPr>
                <w:rFonts w:ascii="Times New Roman" w:hAnsi="Times New Roman" w:cs="Times New Roman" w:eastAsia="Times New Roman" w:hint="default"/>
                <w:sz w:val="18"/>
                <w:szCs w:val="18"/>
              </w:rPr>
            </w:pPr>
            <w:r>
              <w:rPr>
                <w:rFonts w:ascii="Times New Roman"/>
                <w:sz w:val="18"/>
              </w:rPr>
              <w:t>-3,776,8</w:t>
            </w:r>
          </w:p>
          <w:p>
            <w:pPr>
              <w:pStyle w:val="TableParagraph"/>
              <w:spacing w:line="240" w:lineRule="auto" w:before="110"/>
              <w:ind w:left="211" w:right="0"/>
              <w:jc w:val="center"/>
              <w:rPr>
                <w:rFonts w:ascii="Times New Roman" w:hAnsi="Times New Roman" w:cs="Times New Roman" w:eastAsia="Times New Roman" w:hint="default"/>
                <w:sz w:val="18"/>
                <w:szCs w:val="18"/>
              </w:rPr>
            </w:pPr>
            <w:r>
              <w:rPr>
                <w:rFonts w:ascii="Times New Roman"/>
                <w:sz w:val="18"/>
              </w:rPr>
              <w:t>23.31</w:t>
            </w:r>
          </w:p>
        </w:tc>
        <w:tc>
          <w:tcPr>
            <w:tcW w:w="782" w:type="dxa"/>
            <w:vMerge w:val="restart"/>
            <w:tcBorders>
              <w:top w:val="single" w:sz="4" w:space="0" w:color="000000"/>
              <w:left w:val="single" w:sz="4" w:space="0" w:color="000000"/>
              <w:right w:val="single" w:sz="4" w:space="0" w:color="000000"/>
            </w:tcBorders>
          </w:tcPr>
          <w:p>
            <w:pPr/>
          </w:p>
        </w:tc>
      </w:tr>
      <w:tr>
        <w:trPr>
          <w:trHeight w:val="394" w:hRule="exact"/>
        </w:trPr>
        <w:tc>
          <w:tcPr>
            <w:tcW w:w="142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vMerge/>
            <w:tcBorders>
              <w:left w:val="single" w:sz="8" w:space="0" w:color="D2D2D2"/>
              <w:right w:val="single" w:sz="4" w:space="0" w:color="000000"/>
            </w:tcBorders>
          </w:tcPr>
          <w:p>
            <w:pPr/>
          </w:p>
        </w:tc>
        <w:tc>
          <w:tcPr>
            <w:tcW w:w="667"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7" w:type="dxa"/>
            <w:vMerge/>
            <w:tcBorders>
              <w:left w:val="single" w:sz="4" w:space="0" w:color="000000"/>
              <w:right w:val="single" w:sz="4" w:space="0" w:color="000000"/>
            </w:tcBorders>
          </w:tcPr>
          <w:p>
            <w:pPr/>
          </w:p>
        </w:tc>
        <w:tc>
          <w:tcPr>
            <w:tcW w:w="782" w:type="dxa"/>
            <w:vMerge/>
            <w:tcBorders>
              <w:left w:val="single" w:sz="4" w:space="0" w:color="000000"/>
              <w:right w:val="single" w:sz="4" w:space="0" w:color="000000"/>
            </w:tcBorders>
          </w:tcPr>
          <w:p>
            <w:pPr/>
          </w:p>
        </w:tc>
      </w:tr>
      <w:tr>
        <w:trPr>
          <w:trHeight w:val="163" w:hRule="exact"/>
        </w:trPr>
        <w:tc>
          <w:tcPr>
            <w:tcW w:w="1428"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8" w:space="0" w:color="D2D2D2"/>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82" w:type="dxa"/>
            <w:vMerge/>
            <w:tcBorders>
              <w:left w:val="single" w:sz="4" w:space="0" w:color="000000"/>
              <w:bottom w:val="single" w:sz="4" w:space="0" w:color="000000"/>
              <w:right w:val="single" w:sz="4" w:space="0" w:color="000000"/>
            </w:tcBorders>
          </w:tcPr>
          <w:p>
            <w:pPr/>
          </w:p>
        </w:tc>
      </w:tr>
      <w:tr>
        <w:trPr>
          <w:trHeight w:val="715"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1" w:right="5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．对所有者（或</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股东）的分配</w:t>
            </w:r>
          </w:p>
        </w:tc>
        <w:tc>
          <w:tcPr>
            <w:tcW w:w="691" w:type="dxa"/>
            <w:tcBorders>
              <w:top w:val="single" w:sz="4" w:space="0" w:color="000000"/>
              <w:left w:val="single" w:sz="8" w:space="0" w:color="D2D2D2"/>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8" w:space="0" w:color="D2D2D2"/>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line="240" w:lineRule="auto" w:before="11"/>
        <w:rPr>
          <w:rFonts w:ascii="宋体" w:hAnsi="宋体" w:cs="宋体" w:eastAsia="宋体" w:hint="default"/>
          <w:sz w:val="28"/>
          <w:szCs w:val="28"/>
        </w:rPr>
      </w:pPr>
      <w:r>
        <w:rPr/>
        <w:pict>
          <v:group style="position:absolute;margin-left:130.080002pt;margin-top:628.159973pt;width:31.95pt;height:19.45pt;mso-position-horizontal-relative:page;mso-position-vertical-relative:page;z-index:-1069456" coordorigin="2602,12563" coordsize="639,389">
            <v:shape style="position:absolute;left:2602;top:12563;width:639;height:389" coordorigin="2602,12563" coordsize="639,389" path="m2602,12952l3240,12952,3240,12563,2602,12563,2602,12952xe" filled="true" fillcolor="#ffffff" stroked="false">
              <v:path arrowok="t"/>
              <v:fill type="solid"/>
            </v:shape>
            <w10:wrap type="none"/>
          </v:group>
        </w:pict>
      </w:r>
    </w:p>
    <w:tbl>
      <w:tblPr>
        <w:tblW w:w="0" w:type="auto"/>
        <w:jc w:val="left"/>
        <w:tblInd w:w="148" w:type="dxa"/>
        <w:tblLayout w:type="fixed"/>
        <w:tblCellMar>
          <w:top w:w="0" w:type="dxa"/>
          <w:left w:w="0" w:type="dxa"/>
          <w:bottom w:w="0" w:type="dxa"/>
          <w:right w:w="0" w:type="dxa"/>
        </w:tblCellMar>
        <w:tblLook w:val="01E0"/>
      </w:tblPr>
      <w:tblGrid>
        <w:gridCol w:w="1440"/>
        <w:gridCol w:w="691"/>
        <w:gridCol w:w="667"/>
        <w:gridCol w:w="662"/>
        <w:gridCol w:w="667"/>
        <w:gridCol w:w="797"/>
        <w:gridCol w:w="797"/>
        <w:gridCol w:w="797"/>
        <w:gridCol w:w="797"/>
        <w:gridCol w:w="797"/>
        <w:gridCol w:w="677"/>
        <w:gridCol w:w="782"/>
      </w:tblGrid>
      <w:tr>
        <w:trPr>
          <w:trHeight w:val="715"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17"/>
              <w:jc w:val="left"/>
              <w:rPr>
                <w:rFonts w:ascii="宋体" w:hAnsi="宋体" w:cs="宋体" w:eastAsia="宋体" w:hint="default"/>
                <w:sz w:val="18"/>
                <w:szCs w:val="18"/>
              </w:rPr>
            </w:pPr>
            <w:r>
              <w:rPr>
                <w:rFonts w:ascii="宋体" w:hAnsi="宋体" w:cs="宋体" w:eastAsia="宋体" w:hint="default"/>
                <w:spacing w:val="-10"/>
                <w:sz w:val="18"/>
                <w:szCs w:val="18"/>
              </w:rPr>
              <w:t>（四）所有者权益</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内部结转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24" w:right="5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．资本公积转增</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3"/>
                <w:sz w:val="18"/>
                <w:szCs w:val="18"/>
              </w:rPr>
              <w:t>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24" w:right="5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．盈余公积转增</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3"/>
                <w:sz w:val="18"/>
                <w:szCs w:val="18"/>
              </w:rPr>
              <w:t>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24" w:right="5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．盈余公积弥补</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10"/>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 w:right="0"/>
              <w:jc w:val="center"/>
              <w:rPr>
                <w:rFonts w:ascii="Times New Roman" w:hAnsi="Times New Roman" w:cs="Times New Roman" w:eastAsia="Times New Roman" w:hint="default"/>
                <w:sz w:val="18"/>
                <w:szCs w:val="18"/>
              </w:rPr>
            </w:pPr>
            <w:r>
              <w:rPr>
                <w:rFonts w:ascii="Times New Roman"/>
                <w:sz w:val="18"/>
              </w:rPr>
              <w:t>298,186,</w:t>
            </w:r>
          </w:p>
          <w:p>
            <w:pPr>
              <w:pStyle w:val="TableParagraph"/>
              <w:spacing w:line="240" w:lineRule="auto" w:before="105"/>
              <w:ind w:left="134" w:right="0"/>
              <w:jc w:val="center"/>
              <w:rPr>
                <w:rFonts w:ascii="Times New Roman" w:hAnsi="Times New Roman" w:cs="Times New Roman" w:eastAsia="Times New Roman" w:hint="default"/>
                <w:sz w:val="18"/>
                <w:szCs w:val="18"/>
              </w:rPr>
            </w:pPr>
            <w:r>
              <w:rPr>
                <w:rFonts w:ascii="Times New Roman"/>
                <w:sz w:val="18"/>
              </w:rPr>
              <w:t>000.00</w:t>
            </w: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3" w:right="0"/>
              <w:jc w:val="left"/>
              <w:rPr>
                <w:rFonts w:ascii="Times New Roman" w:hAnsi="Times New Roman" w:cs="Times New Roman" w:eastAsia="Times New Roman" w:hint="default"/>
                <w:sz w:val="18"/>
                <w:szCs w:val="18"/>
              </w:rPr>
            </w:pPr>
            <w:r>
              <w:rPr>
                <w:rFonts w:ascii="Times New Roman"/>
                <w:sz w:val="18"/>
              </w:rPr>
              <w:t>335,816,6</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46.98</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3" w:right="0"/>
              <w:jc w:val="left"/>
              <w:rPr>
                <w:rFonts w:ascii="Times New Roman" w:hAnsi="Times New Roman" w:cs="Times New Roman" w:eastAsia="Times New Roman" w:hint="default"/>
                <w:sz w:val="18"/>
                <w:szCs w:val="18"/>
              </w:rPr>
            </w:pPr>
            <w:r>
              <w:rPr>
                <w:rFonts w:ascii="Times New Roman"/>
                <w:sz w:val="18"/>
              </w:rPr>
              <w:t>38,098,91</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8.25</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7" w:right="0"/>
              <w:jc w:val="left"/>
              <w:rPr>
                <w:rFonts w:ascii="Times New Roman" w:hAnsi="Times New Roman" w:cs="Times New Roman" w:eastAsia="Times New Roman" w:hint="default"/>
                <w:sz w:val="18"/>
                <w:szCs w:val="18"/>
              </w:rPr>
            </w:pPr>
            <w:r>
              <w:rPr>
                <w:rFonts w:ascii="Times New Roman"/>
                <w:sz w:val="18"/>
              </w:rPr>
              <w:t>199,239</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,163.77</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8" w:right="0"/>
              <w:jc w:val="left"/>
              <w:rPr>
                <w:rFonts w:ascii="Times New Roman" w:hAnsi="Times New Roman" w:cs="Times New Roman" w:eastAsia="Times New Roman" w:hint="default"/>
                <w:sz w:val="18"/>
                <w:szCs w:val="18"/>
              </w:rPr>
            </w:pPr>
            <w:r>
              <w:rPr>
                <w:rFonts w:ascii="Times New Roman"/>
                <w:sz w:val="18"/>
              </w:rPr>
              <w:t>871,340,7</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29.00</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115"/>
        <w:ind w:left="0" w:right="146" w:firstLine="0"/>
        <w:jc w:val="right"/>
        <w:rPr>
          <w:rFonts w:ascii="宋体" w:hAnsi="宋体" w:cs="宋体" w:eastAsia="宋体" w:hint="default"/>
          <w:sz w:val="18"/>
          <w:szCs w:val="18"/>
        </w:rPr>
      </w:pPr>
      <w:r>
        <w:rPr>
          <w:rFonts w:ascii="宋体" w:hAnsi="宋体" w:cs="宋体" w:eastAsia="宋体" w:hint="default"/>
          <w:spacing w:val="-2"/>
          <w:sz w:val="18"/>
          <w:szCs w:val="18"/>
        </w:rPr>
        <w:t>单位：元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442"/>
        <w:gridCol w:w="689"/>
        <w:gridCol w:w="667"/>
        <w:gridCol w:w="662"/>
        <w:gridCol w:w="667"/>
        <w:gridCol w:w="797"/>
        <w:gridCol w:w="797"/>
        <w:gridCol w:w="797"/>
        <w:gridCol w:w="797"/>
        <w:gridCol w:w="797"/>
        <w:gridCol w:w="677"/>
        <w:gridCol w:w="782"/>
      </w:tblGrid>
      <w:tr>
        <w:trPr>
          <w:trHeight w:val="398" w:hRule="exact"/>
        </w:trPr>
        <w:tc>
          <w:tcPr>
            <w:tcW w:w="144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29"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197" w:hRule="exact"/>
        </w:trPr>
        <w:tc>
          <w:tcPr>
            <w:tcW w:w="144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689" w:type="dxa"/>
            <w:tcBorders>
              <w:top w:val="single" w:sz="4" w:space="0" w:color="000000"/>
              <w:left w:val="single" w:sz="4" w:space="0" w:color="000000"/>
              <w:bottom w:val="nil" w:sz="6" w:space="0" w:color="auto"/>
              <w:right w:val="single" w:sz="4" w:space="0" w:color="000000"/>
            </w:tcBorders>
            <w:shd w:val="clear" w:color="auto" w:fill="D2D2D2"/>
          </w:tcPr>
          <w:p>
            <w:pPr/>
          </w:p>
        </w:tc>
        <w:tc>
          <w:tcPr>
            <w:tcW w:w="199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5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321" w:lineRule="auto" w:before="92"/>
              <w:ind w:left="302" w:right="26" w:hanging="269"/>
              <w:jc w:val="left"/>
              <w:rPr>
                <w:rFonts w:ascii="宋体" w:hAnsi="宋体" w:cs="宋体" w:eastAsia="宋体" w:hint="default"/>
                <w:sz w:val="18"/>
                <w:szCs w:val="18"/>
              </w:rPr>
            </w:pPr>
            <w:r>
              <w:rPr>
                <w:rFonts w:ascii="宋体" w:hAnsi="宋体" w:cs="宋体" w:eastAsia="宋体" w:hint="default"/>
                <w:sz w:val="18"/>
                <w:szCs w:val="18"/>
              </w:rPr>
              <w:t>减：库存</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股</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321" w:lineRule="auto" w:before="92"/>
              <w:ind w:left="211" w:right="26" w:hanging="178"/>
              <w:jc w:val="left"/>
              <w:rPr>
                <w:rFonts w:ascii="宋体" w:hAnsi="宋体" w:cs="宋体" w:eastAsia="宋体" w:hint="default"/>
                <w:sz w:val="18"/>
                <w:szCs w:val="18"/>
              </w:rPr>
            </w:pPr>
            <w:r>
              <w:rPr>
                <w:rFonts w:ascii="宋体" w:hAnsi="宋体" w:cs="宋体" w:eastAsia="宋体" w:hint="default"/>
                <w:sz w:val="18"/>
                <w:szCs w:val="18"/>
              </w:rPr>
              <w:t>其他综合</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收益</w:t>
            </w: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677" w:type="dxa"/>
            <w:vMerge w:val="restart"/>
            <w:tcBorders>
              <w:top w:val="single" w:sz="4" w:space="0" w:color="000000"/>
              <w:left w:val="single" w:sz="4" w:space="0" w:color="000000"/>
              <w:right w:val="single" w:sz="4" w:space="0" w:color="000000"/>
            </w:tcBorders>
            <w:shd w:val="clear" w:color="auto" w:fill="D2D2D2"/>
          </w:tcPr>
          <w:p>
            <w:pPr>
              <w:pStyle w:val="TableParagraph"/>
              <w:spacing w:line="321" w:lineRule="auto" w:before="92"/>
              <w:ind w:left="148" w:right="60" w:hanging="87"/>
              <w:jc w:val="left"/>
              <w:rPr>
                <w:rFonts w:ascii="宋体" w:hAnsi="宋体" w:cs="宋体" w:eastAsia="宋体" w:hint="default"/>
                <w:sz w:val="18"/>
                <w:szCs w:val="18"/>
              </w:rPr>
            </w:pPr>
            <w:r>
              <w:rPr>
                <w:rFonts w:ascii="宋体" w:hAnsi="宋体" w:cs="宋体" w:eastAsia="宋体" w:hint="default"/>
                <w:sz w:val="18"/>
                <w:szCs w:val="18"/>
              </w:rPr>
              <w:t>未分配</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利润</w:t>
            </w:r>
          </w:p>
        </w:tc>
        <w:tc>
          <w:tcPr>
            <w:tcW w:w="782" w:type="dxa"/>
            <w:vMerge w:val="restart"/>
            <w:tcBorders>
              <w:top w:val="single" w:sz="4" w:space="0" w:color="000000"/>
              <w:left w:val="single" w:sz="4" w:space="0" w:color="000000"/>
              <w:right w:val="single" w:sz="4" w:space="0" w:color="000000"/>
            </w:tcBorders>
            <w:shd w:val="clear" w:color="auto" w:fill="D2D2D2"/>
          </w:tcPr>
          <w:p>
            <w:pPr>
              <w:pStyle w:val="TableParagraph"/>
              <w:spacing w:line="321" w:lineRule="auto" w:before="92"/>
              <w:ind w:left="115" w:right="22" w:hanging="92"/>
              <w:jc w:val="left"/>
              <w:rPr>
                <w:rFonts w:ascii="宋体" w:hAnsi="宋体" w:cs="宋体" w:eastAsia="宋体" w:hint="default"/>
                <w:sz w:val="18"/>
                <w:szCs w:val="18"/>
              </w:rPr>
            </w:pPr>
            <w:r>
              <w:rPr>
                <w:rFonts w:ascii="宋体" w:hAnsi="宋体" w:cs="宋体" w:eastAsia="宋体" w:hint="default"/>
                <w:sz w:val="18"/>
                <w:szCs w:val="18"/>
              </w:rPr>
              <w:t>所有者权</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益合计</w:t>
            </w:r>
          </w:p>
        </w:tc>
      </w:tr>
      <w:tr>
        <w:trPr>
          <w:trHeight w:val="197" w:hRule="exact"/>
        </w:trPr>
        <w:tc>
          <w:tcPr>
            <w:tcW w:w="1442" w:type="dxa"/>
            <w:vMerge/>
            <w:tcBorders>
              <w:left w:val="single" w:sz="4" w:space="0" w:color="000000"/>
              <w:bottom w:val="nil" w:sz="6" w:space="0" w:color="auto"/>
              <w:right w:val="single" w:sz="4" w:space="0" w:color="000000"/>
            </w:tcBorders>
            <w:shd w:val="clear" w:color="auto" w:fill="D2D2D2"/>
          </w:tcPr>
          <w:p>
            <w:pPr/>
          </w:p>
        </w:tc>
        <w:tc>
          <w:tcPr>
            <w:tcW w:w="6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56"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7" w:type="dxa"/>
            <w:gridSpan w:val="3"/>
            <w:vMerge/>
            <w:tcBorders>
              <w:left w:val="single" w:sz="4" w:space="0" w:color="000000"/>
              <w:bottom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8"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7"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8"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7" w:type="dxa"/>
            <w:vMerge/>
            <w:tcBorders>
              <w:left w:val="single" w:sz="4" w:space="0" w:color="000000"/>
              <w:right w:val="single" w:sz="4" w:space="0" w:color="000000"/>
            </w:tcBorders>
            <w:shd w:val="clear" w:color="auto" w:fill="D2D2D2"/>
          </w:tcPr>
          <w:p>
            <w:pPr/>
          </w:p>
        </w:tc>
        <w:tc>
          <w:tcPr>
            <w:tcW w:w="782" w:type="dxa"/>
            <w:vMerge/>
            <w:tcBorders>
              <w:left w:val="single" w:sz="4" w:space="0" w:color="000000"/>
              <w:right w:val="single" w:sz="4" w:space="0" w:color="000000"/>
            </w:tcBorders>
            <w:shd w:val="clear" w:color="auto" w:fill="D2D2D2"/>
          </w:tcPr>
          <w:p>
            <w:pPr/>
          </w:p>
        </w:tc>
      </w:tr>
      <w:tr>
        <w:trPr>
          <w:trHeight w:val="197" w:hRule="exact"/>
        </w:trPr>
        <w:tc>
          <w:tcPr>
            <w:tcW w:w="1442" w:type="dxa"/>
            <w:vMerge w:val="restart"/>
            <w:tcBorders>
              <w:top w:val="nil" w:sz="6" w:space="0" w:color="auto"/>
              <w:left w:val="single" w:sz="4" w:space="0" w:color="000000"/>
              <w:right w:val="single" w:sz="4" w:space="0" w:color="000000"/>
            </w:tcBorders>
            <w:shd w:val="clear" w:color="auto" w:fill="D2D2D2"/>
          </w:tcPr>
          <w:p>
            <w:pPr/>
          </w:p>
        </w:tc>
        <w:tc>
          <w:tcPr>
            <w:tcW w:w="689" w:type="dxa"/>
            <w:vMerge/>
            <w:tcBorders>
              <w:left w:val="single" w:sz="4" w:space="0" w:color="000000"/>
              <w:bottom w:val="nil" w:sz="6" w:space="0" w:color="auto"/>
              <w:right w:val="single" w:sz="4" w:space="0" w:color="000000"/>
            </w:tcBorders>
            <w:shd w:val="clear" w:color="auto" w:fill="D2D2D2"/>
          </w:tcPr>
          <w:p>
            <w:pPr/>
          </w:p>
        </w:tc>
        <w:tc>
          <w:tcPr>
            <w:tcW w:w="6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3"/>
              <w:ind w:left="57"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3"/>
              <w:ind w:left="57"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3"/>
              <w:ind w:left="1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677" w:type="dxa"/>
            <w:vMerge/>
            <w:tcBorders>
              <w:left w:val="single" w:sz="4" w:space="0" w:color="000000"/>
              <w:right w:val="single" w:sz="4" w:space="0" w:color="000000"/>
            </w:tcBorders>
            <w:shd w:val="clear" w:color="auto" w:fill="D2D2D2"/>
          </w:tcPr>
          <w:p>
            <w:pPr/>
          </w:p>
        </w:tc>
        <w:tc>
          <w:tcPr>
            <w:tcW w:w="782" w:type="dxa"/>
            <w:vMerge/>
            <w:tcBorders>
              <w:left w:val="single" w:sz="4" w:space="0" w:color="000000"/>
              <w:right w:val="single" w:sz="4" w:space="0" w:color="000000"/>
            </w:tcBorders>
            <w:shd w:val="clear" w:color="auto" w:fill="D2D2D2"/>
          </w:tcPr>
          <w:p>
            <w:pPr/>
          </w:p>
        </w:tc>
      </w:tr>
      <w:tr>
        <w:trPr>
          <w:trHeight w:val="215" w:hRule="exact"/>
        </w:trPr>
        <w:tc>
          <w:tcPr>
            <w:tcW w:w="1442" w:type="dxa"/>
            <w:vMerge/>
            <w:tcBorders>
              <w:left w:val="single" w:sz="4" w:space="0" w:color="000000"/>
              <w:bottom w:val="single" w:sz="4" w:space="0" w:color="000000"/>
              <w:right w:val="single" w:sz="4" w:space="0" w:color="000000"/>
            </w:tcBorders>
            <w:shd w:val="clear" w:color="auto" w:fill="D2D2D2"/>
          </w:tcPr>
          <w:p>
            <w:pPr/>
          </w:p>
        </w:tc>
        <w:tc>
          <w:tcPr>
            <w:tcW w:w="689" w:type="dxa"/>
            <w:tcBorders>
              <w:top w:val="nil" w:sz="6" w:space="0" w:color="auto"/>
              <w:left w:val="single" w:sz="4" w:space="0" w:color="000000"/>
              <w:bottom w:val="single" w:sz="4" w:space="0" w:color="000000"/>
              <w:right w:val="single" w:sz="4" w:space="0" w:color="000000"/>
            </w:tcBorders>
            <w:shd w:val="clear" w:color="auto" w:fill="D2D2D2"/>
          </w:tcPr>
          <w:p>
            <w:pPr/>
          </w:p>
        </w:tc>
        <w:tc>
          <w:tcPr>
            <w:tcW w:w="667" w:type="dxa"/>
            <w:vMerge/>
            <w:tcBorders>
              <w:left w:val="single" w:sz="4" w:space="0" w:color="000000"/>
              <w:bottom w:val="single" w:sz="4" w:space="0" w:color="000000"/>
              <w:right w:val="single" w:sz="4" w:space="0" w:color="000000"/>
            </w:tcBorders>
            <w:shd w:val="clear" w:color="auto" w:fill="D2D2D2"/>
          </w:tcPr>
          <w:p>
            <w:pPr/>
          </w:p>
        </w:tc>
        <w:tc>
          <w:tcPr>
            <w:tcW w:w="662" w:type="dxa"/>
            <w:vMerge/>
            <w:tcBorders>
              <w:left w:val="single" w:sz="4" w:space="0" w:color="000000"/>
              <w:bottom w:val="single" w:sz="4" w:space="0" w:color="000000"/>
              <w:right w:val="single" w:sz="4" w:space="0" w:color="000000"/>
            </w:tcBorders>
            <w:shd w:val="clear" w:color="auto" w:fill="D2D2D2"/>
          </w:tcPr>
          <w:p>
            <w:pPr/>
          </w:p>
        </w:tc>
        <w:tc>
          <w:tcPr>
            <w:tcW w:w="667"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677" w:type="dxa"/>
            <w:vMerge/>
            <w:tcBorders>
              <w:left w:val="single" w:sz="4" w:space="0" w:color="000000"/>
              <w:bottom w:val="single" w:sz="4" w:space="0" w:color="000000"/>
              <w:right w:val="single" w:sz="4" w:space="0" w:color="000000"/>
            </w:tcBorders>
            <w:shd w:val="clear" w:color="auto" w:fill="D2D2D2"/>
          </w:tcPr>
          <w:p>
            <w:pPr/>
          </w:p>
        </w:tc>
        <w:tc>
          <w:tcPr>
            <w:tcW w:w="782" w:type="dxa"/>
            <w:vMerge/>
            <w:tcBorders>
              <w:left w:val="single" w:sz="4" w:space="0" w:color="000000"/>
              <w:bottom w:val="single" w:sz="4" w:space="0" w:color="000000"/>
              <w:right w:val="single" w:sz="4" w:space="0" w:color="000000"/>
            </w:tcBorders>
            <w:shd w:val="clear" w:color="auto" w:fill="D2D2D2"/>
          </w:tcPr>
          <w:p>
            <w:pPr/>
          </w:p>
        </w:tc>
      </w:tr>
      <w:tr>
        <w:trPr>
          <w:trHeight w:val="158" w:hRule="exact"/>
        </w:trPr>
        <w:tc>
          <w:tcPr>
            <w:tcW w:w="1442" w:type="dxa"/>
            <w:tcBorders>
              <w:top w:val="single" w:sz="4" w:space="0" w:color="000000"/>
              <w:left w:val="single" w:sz="4" w:space="0" w:color="000000"/>
              <w:bottom w:val="nil" w:sz="6" w:space="0" w:color="auto"/>
              <w:right w:val="single" w:sz="4" w:space="0" w:color="000000"/>
            </w:tcBorders>
            <w:shd w:val="clear" w:color="auto" w:fill="D2D2D2"/>
          </w:tcPr>
          <w:p>
            <w:pPr/>
          </w:p>
        </w:tc>
        <w:tc>
          <w:tcPr>
            <w:tcW w:w="689" w:type="dxa"/>
            <w:vMerge w:val="restart"/>
            <w:tcBorders>
              <w:top w:val="single" w:sz="4" w:space="0" w:color="000000"/>
              <w:left w:val="single" w:sz="8" w:space="0" w:color="D2D2D2"/>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298,186,</w:t>
            </w:r>
          </w:p>
          <w:p>
            <w:pPr>
              <w:pStyle w:val="TableParagraph"/>
              <w:spacing w:line="240" w:lineRule="auto" w:before="105"/>
              <w:ind w:left="127" w:right="0"/>
              <w:jc w:val="center"/>
              <w:rPr>
                <w:rFonts w:ascii="Times New Roman" w:hAnsi="Times New Roman" w:cs="Times New Roman" w:eastAsia="Times New Roman" w:hint="default"/>
                <w:sz w:val="18"/>
                <w:szCs w:val="18"/>
              </w:rPr>
            </w:pPr>
            <w:r>
              <w:rPr>
                <w:rFonts w:ascii="Times New Roman"/>
                <w:sz w:val="18"/>
              </w:rPr>
              <w:t>000.00</w:t>
            </w:r>
          </w:p>
        </w:tc>
        <w:tc>
          <w:tcPr>
            <w:tcW w:w="667"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6"/>
              <w:ind w:left="43" w:right="0"/>
              <w:jc w:val="left"/>
              <w:rPr>
                <w:rFonts w:ascii="Times New Roman" w:hAnsi="Times New Roman" w:cs="Times New Roman" w:eastAsia="Times New Roman" w:hint="default"/>
                <w:sz w:val="18"/>
                <w:szCs w:val="18"/>
              </w:rPr>
            </w:pPr>
            <w:r>
              <w:rPr>
                <w:rFonts w:ascii="Times New Roman"/>
                <w:sz w:val="18"/>
              </w:rPr>
              <w:t>335,816,6</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46.98</w:t>
            </w:r>
          </w:p>
        </w:tc>
        <w:tc>
          <w:tcPr>
            <w:tcW w:w="797" w:type="dxa"/>
            <w:vMerge w:val="restart"/>
            <w:tcBorders>
              <w:top w:val="single" w:sz="25" w:space="0" w:color="D2D2D2"/>
              <w:left w:val="single" w:sz="4" w:space="0" w:color="000000"/>
              <w:right w:val="single" w:sz="4" w:space="0" w:color="000000"/>
            </w:tcBorders>
          </w:tcPr>
          <w:p>
            <w:pPr/>
          </w:p>
        </w:tc>
        <w:tc>
          <w:tcPr>
            <w:tcW w:w="797" w:type="dxa"/>
            <w:vMerge w:val="restart"/>
            <w:tcBorders>
              <w:top w:val="single" w:sz="25" w:space="0" w:color="D2D2D2"/>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6"/>
              <w:ind w:left="43" w:right="0"/>
              <w:jc w:val="left"/>
              <w:rPr>
                <w:rFonts w:ascii="Times New Roman" w:hAnsi="Times New Roman" w:cs="Times New Roman" w:eastAsia="Times New Roman" w:hint="default"/>
                <w:sz w:val="18"/>
                <w:szCs w:val="18"/>
              </w:rPr>
            </w:pPr>
            <w:r>
              <w:rPr>
                <w:rFonts w:ascii="Times New Roman"/>
                <w:sz w:val="18"/>
              </w:rPr>
              <w:t>30,827,66</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8.07</w:t>
            </w:r>
          </w:p>
        </w:tc>
        <w:tc>
          <w:tcPr>
            <w:tcW w:w="677" w:type="dxa"/>
            <w:vMerge w:val="restart"/>
            <w:tcBorders>
              <w:top w:val="single" w:sz="25" w:space="0" w:color="D2D2D2"/>
              <w:left w:val="single" w:sz="4" w:space="0" w:color="000000"/>
              <w:right w:val="single" w:sz="4" w:space="0" w:color="000000"/>
            </w:tcBorders>
          </w:tcPr>
          <w:p>
            <w:pPr>
              <w:pStyle w:val="TableParagraph"/>
              <w:spacing w:line="240" w:lineRule="auto" w:before="69"/>
              <w:ind w:left="57" w:right="0"/>
              <w:jc w:val="left"/>
              <w:rPr>
                <w:rFonts w:ascii="Times New Roman" w:hAnsi="Times New Roman" w:cs="Times New Roman" w:eastAsia="Times New Roman" w:hint="default"/>
                <w:sz w:val="18"/>
                <w:szCs w:val="18"/>
              </w:rPr>
            </w:pPr>
            <w:r>
              <w:rPr>
                <w:rFonts w:ascii="Times New Roman"/>
                <w:sz w:val="18"/>
              </w:rPr>
              <w:t>144,234</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,422.15</w:t>
            </w:r>
          </w:p>
        </w:tc>
        <w:tc>
          <w:tcPr>
            <w:tcW w:w="782" w:type="dxa"/>
            <w:vMerge w:val="restart"/>
            <w:tcBorders>
              <w:top w:val="single" w:sz="25" w:space="0" w:color="D2D2D2"/>
              <w:left w:val="single" w:sz="4" w:space="0" w:color="000000"/>
              <w:right w:val="single" w:sz="4" w:space="0" w:color="000000"/>
            </w:tcBorders>
          </w:tcPr>
          <w:p>
            <w:pPr>
              <w:pStyle w:val="TableParagraph"/>
              <w:spacing w:line="240" w:lineRule="auto" w:before="69"/>
              <w:ind w:left="28" w:right="0"/>
              <w:jc w:val="left"/>
              <w:rPr>
                <w:rFonts w:ascii="Times New Roman" w:hAnsi="Times New Roman" w:cs="Times New Roman" w:eastAsia="Times New Roman" w:hint="default"/>
                <w:sz w:val="18"/>
                <w:szCs w:val="18"/>
              </w:rPr>
            </w:pPr>
            <w:r>
              <w:rPr>
                <w:rFonts w:ascii="Times New Roman"/>
                <w:sz w:val="18"/>
              </w:rPr>
              <w:t>809,064,7</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37.20</w:t>
            </w:r>
          </w:p>
        </w:tc>
      </w:tr>
      <w:tr>
        <w:trPr>
          <w:trHeight w:val="389" w:hRule="exact"/>
        </w:trPr>
        <w:tc>
          <w:tcPr>
            <w:tcW w:w="14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10"/>
                <w:sz w:val="18"/>
                <w:szCs w:val="18"/>
              </w:rPr>
              <w:t>一、上年期末余额</w:t>
            </w:r>
          </w:p>
        </w:tc>
        <w:tc>
          <w:tcPr>
            <w:tcW w:w="689" w:type="dxa"/>
            <w:vMerge/>
            <w:tcBorders>
              <w:left w:val="single" w:sz="8" w:space="0" w:color="D2D2D2"/>
              <w:right w:val="single" w:sz="4" w:space="0" w:color="000000"/>
            </w:tcBorders>
          </w:tcPr>
          <w:p>
            <w:pPr/>
          </w:p>
        </w:tc>
        <w:tc>
          <w:tcPr>
            <w:tcW w:w="667"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7" w:type="dxa"/>
            <w:vMerge/>
            <w:tcBorders>
              <w:left w:val="single" w:sz="4" w:space="0" w:color="000000"/>
              <w:right w:val="single" w:sz="4" w:space="0" w:color="000000"/>
            </w:tcBorders>
          </w:tcPr>
          <w:p>
            <w:pPr/>
          </w:p>
        </w:tc>
        <w:tc>
          <w:tcPr>
            <w:tcW w:w="782" w:type="dxa"/>
            <w:vMerge/>
            <w:tcBorders>
              <w:left w:val="single" w:sz="4" w:space="0" w:color="000000"/>
              <w:right w:val="single" w:sz="4" w:space="0" w:color="000000"/>
            </w:tcBorders>
          </w:tcPr>
          <w:p>
            <w:pPr/>
          </w:p>
        </w:tc>
      </w:tr>
      <w:tr>
        <w:trPr>
          <w:trHeight w:val="168" w:hRule="exact"/>
        </w:trPr>
        <w:tc>
          <w:tcPr>
            <w:tcW w:w="1442" w:type="dxa"/>
            <w:tcBorders>
              <w:top w:val="nil" w:sz="6" w:space="0" w:color="auto"/>
              <w:left w:val="single" w:sz="4" w:space="0" w:color="000000"/>
              <w:bottom w:val="single" w:sz="4" w:space="0" w:color="000000"/>
              <w:right w:val="single" w:sz="4" w:space="0" w:color="000000"/>
            </w:tcBorders>
            <w:shd w:val="clear" w:color="auto" w:fill="D2D2D2"/>
          </w:tcPr>
          <w:p>
            <w:pPr/>
          </w:p>
        </w:tc>
        <w:tc>
          <w:tcPr>
            <w:tcW w:w="689" w:type="dxa"/>
            <w:vMerge/>
            <w:tcBorders>
              <w:left w:val="single" w:sz="8" w:space="0" w:color="D2D2D2"/>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82" w:type="dxa"/>
            <w:vMerge/>
            <w:tcBorders>
              <w:left w:val="single" w:sz="4" w:space="0" w:color="000000"/>
              <w:bottom w:val="single" w:sz="4" w:space="0" w:color="000000"/>
              <w:right w:val="single" w:sz="4" w:space="0" w:color="000000"/>
            </w:tcBorders>
          </w:tcPr>
          <w:p>
            <w:pPr/>
          </w:p>
        </w:tc>
      </w:tr>
      <w:tr>
        <w:trPr>
          <w:trHeight w:val="710"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19" w:firstLine="360"/>
              <w:jc w:val="left"/>
              <w:rPr>
                <w:rFonts w:ascii="宋体" w:hAnsi="宋体" w:cs="宋体" w:eastAsia="宋体" w:hint="default"/>
                <w:sz w:val="18"/>
                <w:szCs w:val="18"/>
              </w:rPr>
            </w:pPr>
            <w:r>
              <w:rPr>
                <w:rFonts w:ascii="宋体" w:hAnsi="宋体" w:cs="宋体" w:eastAsia="宋体" w:hint="default"/>
                <w:spacing w:val="-12"/>
                <w:sz w:val="18"/>
                <w:szCs w:val="18"/>
              </w:rPr>
              <w:t>加：会计政策</w:t>
            </w:r>
            <w:r>
              <w:rPr>
                <w:rFonts w:ascii="宋体" w:hAnsi="宋体" w:cs="宋体" w:eastAsia="宋体" w:hint="default"/>
                <w:w w:val="101"/>
                <w:sz w:val="18"/>
                <w:szCs w:val="18"/>
              </w:rPr>
              <w:t> </w:t>
            </w:r>
            <w:r>
              <w:rPr>
                <w:rFonts w:ascii="宋体" w:hAnsi="宋体" w:cs="宋体" w:eastAsia="宋体" w:hint="default"/>
                <w:sz w:val="18"/>
                <w:szCs w:val="18"/>
              </w:rPr>
              <w:t>变更</w:t>
            </w:r>
          </w:p>
        </w:tc>
        <w:tc>
          <w:tcPr>
            <w:tcW w:w="689" w:type="dxa"/>
            <w:tcBorders>
              <w:top w:val="single" w:sz="4" w:space="0" w:color="000000"/>
              <w:left w:val="single" w:sz="8" w:space="0" w:color="D2D2D2"/>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44"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81"/>
              <w:ind w:left="24"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689" w:type="dxa"/>
            <w:tcBorders>
              <w:top w:val="single" w:sz="4" w:space="0" w:color="000000"/>
              <w:left w:val="single" w:sz="8" w:space="0" w:color="D2D2D2"/>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4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89" w:type="dxa"/>
            <w:tcBorders>
              <w:top w:val="single" w:sz="4" w:space="0" w:color="000000"/>
              <w:left w:val="single" w:sz="8" w:space="0" w:color="D2D2D2"/>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159" w:hRule="exact"/>
        </w:trPr>
        <w:tc>
          <w:tcPr>
            <w:tcW w:w="1442" w:type="dxa"/>
            <w:tcBorders>
              <w:top w:val="single" w:sz="4" w:space="0" w:color="000000"/>
              <w:left w:val="single" w:sz="4" w:space="0" w:color="000000"/>
              <w:bottom w:val="nil" w:sz="6" w:space="0" w:color="auto"/>
              <w:right w:val="single" w:sz="4" w:space="0" w:color="000000"/>
            </w:tcBorders>
            <w:shd w:val="clear" w:color="auto" w:fill="D2D2D2"/>
          </w:tcPr>
          <w:p>
            <w:pPr/>
          </w:p>
        </w:tc>
        <w:tc>
          <w:tcPr>
            <w:tcW w:w="689" w:type="dxa"/>
            <w:vMerge w:val="restart"/>
            <w:tcBorders>
              <w:top w:val="single" w:sz="4" w:space="0" w:color="000000"/>
              <w:left w:val="single" w:sz="8" w:space="0" w:color="D2D2D2"/>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298,186,</w:t>
            </w:r>
          </w:p>
          <w:p>
            <w:pPr>
              <w:pStyle w:val="TableParagraph"/>
              <w:spacing w:line="240" w:lineRule="auto" w:before="105"/>
              <w:ind w:left="127" w:right="0"/>
              <w:jc w:val="center"/>
              <w:rPr>
                <w:rFonts w:ascii="Times New Roman" w:hAnsi="Times New Roman" w:cs="Times New Roman" w:eastAsia="Times New Roman" w:hint="default"/>
                <w:sz w:val="18"/>
                <w:szCs w:val="18"/>
              </w:rPr>
            </w:pPr>
            <w:r>
              <w:rPr>
                <w:rFonts w:ascii="Times New Roman"/>
                <w:sz w:val="18"/>
              </w:rPr>
              <w:t>000.00</w:t>
            </w:r>
          </w:p>
        </w:tc>
        <w:tc>
          <w:tcPr>
            <w:tcW w:w="667"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6"/>
              <w:ind w:left="43" w:right="0"/>
              <w:jc w:val="left"/>
              <w:rPr>
                <w:rFonts w:ascii="Times New Roman" w:hAnsi="Times New Roman" w:cs="Times New Roman" w:eastAsia="Times New Roman" w:hint="default"/>
                <w:sz w:val="18"/>
                <w:szCs w:val="18"/>
              </w:rPr>
            </w:pPr>
            <w:r>
              <w:rPr>
                <w:rFonts w:ascii="Times New Roman"/>
                <w:sz w:val="18"/>
              </w:rPr>
              <w:t>335,816,6</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46.98</w:t>
            </w: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6"/>
              <w:ind w:left="43" w:right="0"/>
              <w:jc w:val="left"/>
              <w:rPr>
                <w:rFonts w:ascii="Times New Roman" w:hAnsi="Times New Roman" w:cs="Times New Roman" w:eastAsia="Times New Roman" w:hint="default"/>
                <w:sz w:val="18"/>
                <w:szCs w:val="18"/>
              </w:rPr>
            </w:pPr>
            <w:r>
              <w:rPr>
                <w:rFonts w:ascii="Times New Roman"/>
                <w:sz w:val="18"/>
              </w:rPr>
              <w:t>30,827,66</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8.07</w:t>
            </w:r>
          </w:p>
        </w:tc>
        <w:tc>
          <w:tcPr>
            <w:tcW w:w="677" w:type="dxa"/>
            <w:vMerge w:val="restart"/>
            <w:tcBorders>
              <w:top w:val="single" w:sz="4" w:space="0" w:color="000000"/>
              <w:left w:val="single" w:sz="4" w:space="0" w:color="000000"/>
              <w:right w:val="single" w:sz="4" w:space="0" w:color="000000"/>
            </w:tcBorders>
          </w:tcPr>
          <w:p>
            <w:pPr>
              <w:pStyle w:val="TableParagraph"/>
              <w:spacing w:line="240" w:lineRule="auto" w:before="96"/>
              <w:ind w:left="57" w:right="0"/>
              <w:jc w:val="left"/>
              <w:rPr>
                <w:rFonts w:ascii="Times New Roman" w:hAnsi="Times New Roman" w:cs="Times New Roman" w:eastAsia="Times New Roman" w:hint="default"/>
                <w:sz w:val="18"/>
                <w:szCs w:val="18"/>
              </w:rPr>
            </w:pPr>
            <w:r>
              <w:rPr>
                <w:rFonts w:ascii="Times New Roman"/>
                <w:sz w:val="18"/>
              </w:rPr>
              <w:t>144,234</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,422.15</w:t>
            </w:r>
          </w:p>
        </w:tc>
        <w:tc>
          <w:tcPr>
            <w:tcW w:w="782" w:type="dxa"/>
            <w:vMerge w:val="restart"/>
            <w:tcBorders>
              <w:top w:val="single" w:sz="4" w:space="0" w:color="000000"/>
              <w:left w:val="single" w:sz="4" w:space="0" w:color="000000"/>
              <w:right w:val="single" w:sz="4" w:space="0" w:color="000000"/>
            </w:tcBorders>
          </w:tcPr>
          <w:p>
            <w:pPr>
              <w:pStyle w:val="TableParagraph"/>
              <w:spacing w:line="240" w:lineRule="auto" w:before="96"/>
              <w:ind w:left="28" w:right="0"/>
              <w:jc w:val="left"/>
              <w:rPr>
                <w:rFonts w:ascii="Times New Roman" w:hAnsi="Times New Roman" w:cs="Times New Roman" w:eastAsia="Times New Roman" w:hint="default"/>
                <w:sz w:val="18"/>
                <w:szCs w:val="18"/>
              </w:rPr>
            </w:pPr>
            <w:r>
              <w:rPr>
                <w:rFonts w:ascii="Times New Roman"/>
                <w:sz w:val="18"/>
              </w:rPr>
              <w:t>809,064,7</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37.20</w:t>
            </w:r>
          </w:p>
        </w:tc>
      </w:tr>
      <w:tr>
        <w:trPr>
          <w:trHeight w:val="389" w:hRule="exact"/>
        </w:trPr>
        <w:tc>
          <w:tcPr>
            <w:tcW w:w="14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10"/>
                <w:sz w:val="18"/>
                <w:szCs w:val="18"/>
              </w:rPr>
              <w:t>二、本年期初余额</w:t>
            </w:r>
          </w:p>
        </w:tc>
        <w:tc>
          <w:tcPr>
            <w:tcW w:w="689" w:type="dxa"/>
            <w:vMerge/>
            <w:tcBorders>
              <w:left w:val="single" w:sz="8" w:space="0" w:color="D2D2D2"/>
              <w:right w:val="single" w:sz="4" w:space="0" w:color="000000"/>
            </w:tcBorders>
          </w:tcPr>
          <w:p>
            <w:pPr/>
          </w:p>
        </w:tc>
        <w:tc>
          <w:tcPr>
            <w:tcW w:w="667"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7" w:type="dxa"/>
            <w:vMerge/>
            <w:tcBorders>
              <w:left w:val="single" w:sz="4" w:space="0" w:color="000000"/>
              <w:right w:val="single" w:sz="4" w:space="0" w:color="000000"/>
            </w:tcBorders>
          </w:tcPr>
          <w:p>
            <w:pPr/>
          </w:p>
        </w:tc>
        <w:tc>
          <w:tcPr>
            <w:tcW w:w="782" w:type="dxa"/>
            <w:vMerge/>
            <w:tcBorders>
              <w:left w:val="single" w:sz="4" w:space="0" w:color="000000"/>
              <w:right w:val="single" w:sz="4" w:space="0" w:color="000000"/>
            </w:tcBorders>
          </w:tcPr>
          <w:p>
            <w:pPr/>
          </w:p>
        </w:tc>
      </w:tr>
      <w:tr>
        <w:trPr>
          <w:trHeight w:val="168" w:hRule="exact"/>
        </w:trPr>
        <w:tc>
          <w:tcPr>
            <w:tcW w:w="1442" w:type="dxa"/>
            <w:tcBorders>
              <w:top w:val="nil" w:sz="6" w:space="0" w:color="auto"/>
              <w:left w:val="single" w:sz="4" w:space="0" w:color="000000"/>
              <w:bottom w:val="single" w:sz="4" w:space="0" w:color="000000"/>
              <w:right w:val="single" w:sz="4" w:space="0" w:color="000000"/>
            </w:tcBorders>
            <w:shd w:val="clear" w:color="auto" w:fill="D2D2D2"/>
          </w:tcPr>
          <w:p>
            <w:pPr/>
          </w:p>
        </w:tc>
        <w:tc>
          <w:tcPr>
            <w:tcW w:w="689" w:type="dxa"/>
            <w:vMerge/>
            <w:tcBorders>
              <w:left w:val="single" w:sz="8" w:space="0" w:color="D2D2D2"/>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82" w:type="dxa"/>
            <w:vMerge/>
            <w:tcBorders>
              <w:left w:val="single" w:sz="4" w:space="0" w:color="000000"/>
              <w:bottom w:val="single" w:sz="4" w:space="0" w:color="000000"/>
              <w:right w:val="single" w:sz="4" w:space="0" w:color="000000"/>
            </w:tcBorders>
          </w:tcPr>
          <w:p>
            <w:pPr/>
          </w:p>
        </w:tc>
      </w:tr>
      <w:tr>
        <w:trPr>
          <w:trHeight w:val="1022" w:hRule="exact"/>
        </w:trPr>
        <w:tc>
          <w:tcPr>
            <w:tcW w:w="1442"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316" w:lineRule="auto" w:before="53"/>
              <w:ind w:left="24" w:right="7"/>
              <w:jc w:val="left"/>
              <w:rPr>
                <w:rFonts w:ascii="宋体" w:hAnsi="宋体" w:cs="宋体" w:eastAsia="宋体" w:hint="default"/>
                <w:sz w:val="18"/>
                <w:szCs w:val="18"/>
              </w:rPr>
            </w:pPr>
            <w:r>
              <w:rPr>
                <w:rFonts w:ascii="宋体" w:hAnsi="宋体" w:cs="宋体" w:eastAsia="宋体" w:hint="default"/>
                <w:spacing w:val="-10"/>
                <w:sz w:val="18"/>
                <w:szCs w:val="18"/>
              </w:rPr>
              <w:t>三、本期增减变动</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pacing w:val="-20"/>
                <w:w w:val="101"/>
                <w:sz w:val="18"/>
                <w:szCs w:val="18"/>
              </w:rPr>
              <w:t>金额（减少以“－</w:t>
            </w:r>
            <w:r>
              <w:rPr>
                <w:rFonts w:ascii="宋体" w:hAnsi="宋体" w:cs="宋体" w:eastAsia="宋体" w:hint="default"/>
                <w:w w:val="101"/>
                <w:sz w:val="18"/>
                <w:szCs w:val="18"/>
              </w:rPr>
              <w:t> </w:t>
            </w:r>
            <w:r>
              <w:rPr>
                <w:rFonts w:ascii="宋体" w:hAnsi="宋体" w:cs="宋体" w:eastAsia="宋体" w:hint="default"/>
                <w:sz w:val="18"/>
                <w:szCs w:val="18"/>
              </w:rPr>
              <w:t>号填列）</w:t>
            </w:r>
          </w:p>
        </w:tc>
        <w:tc>
          <w:tcPr>
            <w:tcW w:w="689" w:type="dxa"/>
            <w:tcBorders>
              <w:top w:val="single" w:sz="4" w:space="0" w:color="000000"/>
              <w:left w:val="single" w:sz="21" w:space="0" w:color="FFFFFF"/>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44" w:right="0"/>
              <w:jc w:val="left"/>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3,494,426</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.87</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21,013,</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331.83</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24,507,75</w:t>
            </w:r>
          </w:p>
          <w:p>
            <w:pPr>
              <w:pStyle w:val="TableParagraph"/>
              <w:spacing w:line="240" w:lineRule="auto" w:before="105"/>
              <w:ind w:left="427" w:right="0"/>
              <w:jc w:val="left"/>
              <w:rPr>
                <w:rFonts w:ascii="Times New Roman" w:hAnsi="Times New Roman" w:cs="Times New Roman" w:eastAsia="Times New Roman" w:hint="default"/>
                <w:sz w:val="18"/>
                <w:szCs w:val="18"/>
              </w:rPr>
            </w:pPr>
            <w:r>
              <w:rPr>
                <w:rFonts w:ascii="Times New Roman"/>
                <w:sz w:val="18"/>
              </w:rPr>
              <w:t>8.70</w:t>
            </w:r>
          </w:p>
        </w:tc>
      </w:tr>
      <w:tr>
        <w:trPr>
          <w:trHeight w:val="715"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4" w:right="19"/>
              <w:jc w:val="left"/>
              <w:rPr>
                <w:rFonts w:ascii="宋体" w:hAnsi="宋体" w:cs="宋体" w:eastAsia="宋体" w:hint="default"/>
                <w:sz w:val="18"/>
                <w:szCs w:val="18"/>
              </w:rPr>
            </w:pPr>
            <w:r>
              <w:rPr>
                <w:rFonts w:ascii="宋体" w:hAnsi="宋体" w:cs="宋体" w:eastAsia="宋体" w:hint="default"/>
                <w:spacing w:val="-10"/>
                <w:sz w:val="18"/>
                <w:szCs w:val="18"/>
              </w:rPr>
              <w:t>（一）综合收益总</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额</w:t>
            </w:r>
          </w:p>
        </w:tc>
        <w:tc>
          <w:tcPr>
            <w:tcW w:w="689" w:type="dxa"/>
            <w:tcBorders>
              <w:top w:val="single" w:sz="4" w:space="0" w:color="000000"/>
              <w:left w:val="single" w:sz="8" w:space="0" w:color="D2D2D2"/>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34,944,</w:t>
            </w:r>
          </w:p>
          <w:p>
            <w:pPr>
              <w:pStyle w:val="TableParagraph"/>
              <w:spacing w:line="240" w:lineRule="auto" w:before="110"/>
              <w:ind w:left="143" w:right="0"/>
              <w:jc w:val="left"/>
              <w:rPr>
                <w:rFonts w:ascii="Times New Roman" w:hAnsi="Times New Roman" w:cs="Times New Roman" w:eastAsia="Times New Roman" w:hint="default"/>
                <w:sz w:val="18"/>
                <w:szCs w:val="18"/>
              </w:rPr>
            </w:pPr>
            <w:r>
              <w:rPr>
                <w:rFonts w:ascii="Times New Roman"/>
                <w:sz w:val="18"/>
              </w:rPr>
              <w:t>268.70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8" w:right="0"/>
              <w:jc w:val="left"/>
              <w:rPr>
                <w:rFonts w:ascii="Times New Roman" w:hAnsi="Times New Roman" w:cs="Times New Roman" w:eastAsia="Times New Roman" w:hint="default"/>
                <w:sz w:val="18"/>
                <w:szCs w:val="18"/>
              </w:rPr>
            </w:pPr>
            <w:r>
              <w:rPr>
                <w:rFonts w:ascii="Times New Roman"/>
                <w:sz w:val="18"/>
              </w:rPr>
              <w:t>34,944,26</w:t>
            </w:r>
          </w:p>
          <w:p>
            <w:pPr>
              <w:pStyle w:val="TableParagraph"/>
              <w:spacing w:line="240" w:lineRule="auto" w:before="110"/>
              <w:ind w:left="427" w:right="0"/>
              <w:jc w:val="left"/>
              <w:rPr>
                <w:rFonts w:ascii="Times New Roman" w:hAnsi="Times New Roman" w:cs="Times New Roman" w:eastAsia="Times New Roman" w:hint="default"/>
                <w:sz w:val="18"/>
                <w:szCs w:val="18"/>
              </w:rPr>
            </w:pPr>
            <w:r>
              <w:rPr>
                <w:rFonts w:ascii="Times New Roman"/>
                <w:sz w:val="18"/>
              </w:rPr>
              <w:t>8.70</w:t>
            </w:r>
          </w:p>
        </w:tc>
      </w:tr>
      <w:tr>
        <w:trPr>
          <w:trHeight w:val="715"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19"/>
              <w:jc w:val="left"/>
              <w:rPr>
                <w:rFonts w:ascii="宋体" w:hAnsi="宋体" w:cs="宋体" w:eastAsia="宋体" w:hint="default"/>
                <w:sz w:val="18"/>
                <w:szCs w:val="18"/>
              </w:rPr>
            </w:pPr>
            <w:r>
              <w:rPr>
                <w:rFonts w:ascii="宋体" w:hAnsi="宋体" w:cs="宋体" w:eastAsia="宋体" w:hint="default"/>
                <w:spacing w:val="-10"/>
                <w:sz w:val="18"/>
                <w:szCs w:val="18"/>
              </w:rPr>
              <w:t>（二）所有者投入</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和减少资本</w:t>
            </w:r>
          </w:p>
        </w:tc>
        <w:tc>
          <w:tcPr>
            <w:tcW w:w="689" w:type="dxa"/>
            <w:tcBorders>
              <w:top w:val="single" w:sz="4" w:space="0" w:color="000000"/>
              <w:left w:val="single" w:sz="8" w:space="0" w:color="D2D2D2"/>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w:t>
            </w:r>
          </w:p>
        </w:tc>
        <w:tc>
          <w:tcPr>
            <w:tcW w:w="689" w:type="dxa"/>
            <w:tcBorders>
              <w:top w:val="single" w:sz="4" w:space="0" w:color="000000"/>
              <w:left w:val="single" w:sz="8" w:space="0" w:color="D2D2D2"/>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440"/>
        <w:gridCol w:w="691"/>
        <w:gridCol w:w="667"/>
        <w:gridCol w:w="662"/>
        <w:gridCol w:w="667"/>
        <w:gridCol w:w="797"/>
        <w:gridCol w:w="797"/>
        <w:gridCol w:w="797"/>
        <w:gridCol w:w="797"/>
        <w:gridCol w:w="797"/>
        <w:gridCol w:w="677"/>
        <w:gridCol w:w="782"/>
      </w:tblGrid>
      <w:tr>
        <w:trPr>
          <w:trHeight w:val="360"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通股</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24" w:right="5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．其他权益工具</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3"/>
                <w:sz w:val="18"/>
                <w:szCs w:val="18"/>
              </w:rPr>
              <w:t>持有者投入资本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3"/>
              <w:ind w:left="24" w:right="5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．股份支付计入</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3"/>
                <w:sz w:val="18"/>
                <w:szCs w:val="18"/>
              </w:rPr>
              <w:t>所有者权益的金</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3,494,426</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.87</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1" w:right="0"/>
              <w:jc w:val="center"/>
              <w:rPr>
                <w:rFonts w:ascii="Times New Roman" w:hAnsi="Times New Roman" w:cs="Times New Roman" w:eastAsia="Times New Roman" w:hint="default"/>
                <w:sz w:val="18"/>
                <w:szCs w:val="18"/>
              </w:rPr>
            </w:pPr>
            <w:r>
              <w:rPr>
                <w:rFonts w:ascii="Times New Roman"/>
                <w:sz w:val="18"/>
              </w:rPr>
              <w:t>-13,930,</w:t>
            </w:r>
          </w:p>
          <w:p>
            <w:pPr>
              <w:pStyle w:val="TableParagraph"/>
              <w:spacing w:line="240" w:lineRule="auto" w:before="105"/>
              <w:ind w:left="119" w:right="0"/>
              <w:jc w:val="center"/>
              <w:rPr>
                <w:rFonts w:ascii="Times New Roman" w:hAnsi="Times New Roman" w:cs="Times New Roman" w:eastAsia="Times New Roman" w:hint="default"/>
                <w:sz w:val="18"/>
                <w:szCs w:val="18"/>
              </w:rPr>
            </w:pPr>
            <w:r>
              <w:rPr>
                <w:rFonts w:ascii="Times New Roman"/>
                <w:sz w:val="18"/>
              </w:rPr>
              <w:t>936.87</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7" w:right="0"/>
              <w:jc w:val="left"/>
              <w:rPr>
                <w:rFonts w:ascii="Times New Roman" w:hAnsi="Times New Roman" w:cs="Times New Roman" w:eastAsia="Times New Roman" w:hint="default"/>
                <w:sz w:val="18"/>
                <w:szCs w:val="18"/>
              </w:rPr>
            </w:pPr>
            <w:r>
              <w:rPr>
                <w:rFonts w:ascii="Times New Roman"/>
                <w:sz w:val="18"/>
              </w:rPr>
              <w:t>-10,436,5</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10.00</w:t>
            </w:r>
          </w:p>
        </w:tc>
      </w:tr>
      <w:tr>
        <w:trPr>
          <w:trHeight w:val="715"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3,494,426</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sz w:val="18"/>
              </w:rPr>
              <w:t>.87</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center"/>
              <w:rPr>
                <w:rFonts w:ascii="Times New Roman" w:hAnsi="Times New Roman" w:cs="Times New Roman" w:eastAsia="Times New Roman" w:hint="default"/>
                <w:sz w:val="18"/>
                <w:szCs w:val="18"/>
              </w:rPr>
            </w:pPr>
            <w:r>
              <w:rPr>
                <w:rFonts w:ascii="Times New Roman"/>
                <w:sz w:val="18"/>
              </w:rPr>
              <w:t>-3,494,4</w:t>
            </w:r>
          </w:p>
          <w:p>
            <w:pPr>
              <w:pStyle w:val="TableParagraph"/>
              <w:spacing w:line="240" w:lineRule="auto" w:before="110"/>
              <w:ind w:left="211" w:right="0"/>
              <w:jc w:val="center"/>
              <w:rPr>
                <w:rFonts w:ascii="Times New Roman" w:hAnsi="Times New Roman" w:cs="Times New Roman" w:eastAsia="Times New Roman" w:hint="default"/>
                <w:sz w:val="18"/>
                <w:szCs w:val="18"/>
              </w:rPr>
            </w:pPr>
            <w:r>
              <w:rPr>
                <w:rFonts w:ascii="Times New Roman"/>
                <w:sz w:val="18"/>
              </w:rPr>
              <w:t>26.87</w:t>
            </w: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24" w:right="5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．对所有者（或</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股东）的分配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1" w:right="0"/>
              <w:jc w:val="center"/>
              <w:rPr>
                <w:rFonts w:ascii="Times New Roman" w:hAnsi="Times New Roman" w:cs="Times New Roman" w:eastAsia="Times New Roman" w:hint="default"/>
                <w:sz w:val="18"/>
                <w:szCs w:val="18"/>
              </w:rPr>
            </w:pPr>
            <w:r>
              <w:rPr>
                <w:rFonts w:ascii="Times New Roman"/>
                <w:sz w:val="18"/>
              </w:rPr>
              <w:t>-10,436,</w:t>
            </w:r>
          </w:p>
          <w:p>
            <w:pPr>
              <w:pStyle w:val="TableParagraph"/>
              <w:spacing w:line="240" w:lineRule="auto" w:before="105"/>
              <w:ind w:left="119" w:right="0"/>
              <w:jc w:val="center"/>
              <w:rPr>
                <w:rFonts w:ascii="Times New Roman" w:hAnsi="Times New Roman" w:cs="Times New Roman" w:eastAsia="Times New Roman" w:hint="default"/>
                <w:sz w:val="18"/>
                <w:szCs w:val="18"/>
              </w:rPr>
            </w:pPr>
            <w:r>
              <w:rPr>
                <w:rFonts w:ascii="Times New Roman"/>
                <w:sz w:val="18"/>
              </w:rPr>
              <w:t>510.00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7" w:right="0"/>
              <w:jc w:val="left"/>
              <w:rPr>
                <w:rFonts w:ascii="Times New Roman" w:hAnsi="Times New Roman" w:cs="Times New Roman" w:eastAsia="Times New Roman" w:hint="default"/>
                <w:sz w:val="18"/>
                <w:szCs w:val="18"/>
              </w:rPr>
            </w:pPr>
            <w:r>
              <w:rPr>
                <w:rFonts w:ascii="Times New Roman"/>
                <w:sz w:val="18"/>
              </w:rPr>
              <w:t>-10,436,5</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10.00</w:t>
            </w:r>
          </w:p>
        </w:tc>
      </w:tr>
      <w:tr>
        <w:trPr>
          <w:trHeight w:val="403"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17"/>
              <w:jc w:val="left"/>
              <w:rPr>
                <w:rFonts w:ascii="宋体" w:hAnsi="宋体" w:cs="宋体" w:eastAsia="宋体" w:hint="default"/>
                <w:sz w:val="18"/>
                <w:szCs w:val="18"/>
              </w:rPr>
            </w:pPr>
            <w:r>
              <w:rPr>
                <w:rFonts w:ascii="宋体" w:hAnsi="宋体" w:cs="宋体" w:eastAsia="宋体" w:hint="default"/>
                <w:spacing w:val="-10"/>
                <w:sz w:val="18"/>
                <w:szCs w:val="18"/>
              </w:rPr>
              <w:t>（四）所有者权益</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内部结转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24" w:right="5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．资本公积转增</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3"/>
                <w:sz w:val="18"/>
                <w:szCs w:val="18"/>
              </w:rPr>
              <w:t>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24" w:right="5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．盈余公积转增</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3"/>
                <w:sz w:val="18"/>
                <w:szCs w:val="18"/>
              </w:rPr>
              <w:t>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24" w:right="5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．盈余公积弥补</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10"/>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 w:right="0"/>
              <w:jc w:val="center"/>
              <w:rPr>
                <w:rFonts w:ascii="Times New Roman" w:hAnsi="Times New Roman" w:cs="Times New Roman" w:eastAsia="Times New Roman" w:hint="default"/>
                <w:sz w:val="18"/>
                <w:szCs w:val="18"/>
              </w:rPr>
            </w:pPr>
            <w:r>
              <w:rPr>
                <w:rFonts w:ascii="Times New Roman"/>
                <w:sz w:val="18"/>
              </w:rPr>
              <w:t>298,186,</w:t>
            </w:r>
          </w:p>
          <w:p>
            <w:pPr>
              <w:pStyle w:val="TableParagraph"/>
              <w:spacing w:line="240" w:lineRule="auto" w:before="110"/>
              <w:ind w:left="134" w:right="0"/>
              <w:jc w:val="center"/>
              <w:rPr>
                <w:rFonts w:ascii="Times New Roman" w:hAnsi="Times New Roman" w:cs="Times New Roman" w:eastAsia="Times New Roman" w:hint="default"/>
                <w:sz w:val="18"/>
                <w:szCs w:val="18"/>
              </w:rPr>
            </w:pPr>
            <w:r>
              <w:rPr>
                <w:rFonts w:ascii="Times New Roman"/>
                <w:sz w:val="18"/>
              </w:rPr>
              <w:t>000.00</w:t>
            </w:r>
          </w:p>
        </w:tc>
        <w:tc>
          <w:tcPr>
            <w:tcW w:w="667"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3" w:right="0"/>
              <w:jc w:val="left"/>
              <w:rPr>
                <w:rFonts w:ascii="Times New Roman" w:hAnsi="Times New Roman" w:cs="Times New Roman" w:eastAsia="Times New Roman" w:hint="default"/>
                <w:sz w:val="18"/>
                <w:szCs w:val="18"/>
              </w:rPr>
            </w:pPr>
            <w:r>
              <w:rPr>
                <w:rFonts w:ascii="Times New Roman"/>
                <w:sz w:val="18"/>
              </w:rPr>
              <w:t>335,816,6</w:t>
            </w:r>
          </w:p>
          <w:p>
            <w:pPr>
              <w:pStyle w:val="TableParagraph"/>
              <w:spacing w:line="240" w:lineRule="auto" w:before="110"/>
              <w:ind w:left="355" w:right="0"/>
              <w:jc w:val="left"/>
              <w:rPr>
                <w:rFonts w:ascii="Times New Roman" w:hAnsi="Times New Roman" w:cs="Times New Roman" w:eastAsia="Times New Roman" w:hint="default"/>
                <w:sz w:val="18"/>
                <w:szCs w:val="18"/>
              </w:rPr>
            </w:pPr>
            <w:r>
              <w:rPr>
                <w:rFonts w:ascii="Times New Roman"/>
                <w:sz w:val="18"/>
              </w:rPr>
              <w:t>46.98</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43" w:right="0"/>
              <w:jc w:val="left"/>
              <w:rPr>
                <w:rFonts w:ascii="Times New Roman" w:hAnsi="Times New Roman" w:cs="Times New Roman" w:eastAsia="Times New Roman" w:hint="default"/>
                <w:sz w:val="18"/>
                <w:szCs w:val="18"/>
              </w:rPr>
            </w:pPr>
            <w:r>
              <w:rPr>
                <w:rFonts w:ascii="Times New Roman"/>
                <w:sz w:val="18"/>
              </w:rPr>
              <w:t>34,322,09</w:t>
            </w:r>
          </w:p>
          <w:p>
            <w:pPr>
              <w:pStyle w:val="TableParagraph"/>
              <w:spacing w:line="240" w:lineRule="auto" w:before="110"/>
              <w:ind w:left="441" w:right="0"/>
              <w:jc w:val="left"/>
              <w:rPr>
                <w:rFonts w:ascii="Times New Roman" w:hAnsi="Times New Roman" w:cs="Times New Roman" w:eastAsia="Times New Roman" w:hint="default"/>
                <w:sz w:val="18"/>
                <w:szCs w:val="18"/>
              </w:rPr>
            </w:pPr>
            <w:r>
              <w:rPr>
                <w:rFonts w:ascii="Times New Roman"/>
                <w:sz w:val="18"/>
              </w:rPr>
              <w:t>4.94</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7" w:right="0"/>
              <w:jc w:val="left"/>
              <w:rPr>
                <w:rFonts w:ascii="Times New Roman" w:hAnsi="Times New Roman" w:cs="Times New Roman" w:eastAsia="Times New Roman" w:hint="default"/>
                <w:sz w:val="18"/>
                <w:szCs w:val="18"/>
              </w:rPr>
            </w:pPr>
            <w:r>
              <w:rPr>
                <w:rFonts w:ascii="Times New Roman"/>
                <w:sz w:val="18"/>
              </w:rPr>
              <w:t>165,247</w:t>
            </w:r>
          </w:p>
          <w:p>
            <w:pPr>
              <w:pStyle w:val="TableParagraph"/>
              <w:spacing w:line="240" w:lineRule="auto" w:before="110"/>
              <w:ind w:left="100" w:right="0"/>
              <w:jc w:val="left"/>
              <w:rPr>
                <w:rFonts w:ascii="Times New Roman" w:hAnsi="Times New Roman" w:cs="Times New Roman" w:eastAsia="Times New Roman" w:hint="default"/>
                <w:sz w:val="18"/>
                <w:szCs w:val="18"/>
              </w:rPr>
            </w:pPr>
            <w:r>
              <w:rPr>
                <w:rFonts w:ascii="Times New Roman"/>
                <w:sz w:val="18"/>
              </w:rPr>
              <w:t>,753.98</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8" w:right="0"/>
              <w:jc w:val="left"/>
              <w:rPr>
                <w:rFonts w:ascii="Times New Roman" w:hAnsi="Times New Roman" w:cs="Times New Roman" w:eastAsia="Times New Roman" w:hint="default"/>
                <w:sz w:val="18"/>
                <w:szCs w:val="18"/>
              </w:rPr>
            </w:pPr>
            <w:r>
              <w:rPr>
                <w:rFonts w:ascii="Times New Roman"/>
                <w:sz w:val="18"/>
              </w:rPr>
              <w:t>833,572,4</w:t>
            </w:r>
          </w:p>
          <w:p>
            <w:pPr>
              <w:pStyle w:val="TableParagraph"/>
              <w:spacing w:line="240" w:lineRule="auto" w:before="110"/>
              <w:ind w:left="340" w:right="0"/>
              <w:jc w:val="left"/>
              <w:rPr>
                <w:rFonts w:ascii="Times New Roman" w:hAnsi="Times New Roman" w:cs="Times New Roman" w:eastAsia="Times New Roman" w:hint="default"/>
                <w:sz w:val="18"/>
                <w:szCs w:val="18"/>
              </w:rPr>
            </w:pPr>
            <w:r>
              <w:rPr>
                <w:rFonts w:ascii="Times New Roman"/>
                <w:sz w:val="18"/>
              </w:rPr>
              <w:t>95.90</w:t>
            </w:r>
          </w:p>
        </w:tc>
      </w:tr>
    </w:tbl>
    <w:p>
      <w:pPr>
        <w:spacing w:line="240" w:lineRule="auto" w:before="9"/>
        <w:rPr>
          <w:rFonts w:ascii="宋体" w:hAnsi="宋体" w:cs="宋体" w:eastAsia="宋体" w:hint="default"/>
          <w:sz w:val="17"/>
          <w:szCs w:val="17"/>
        </w:rPr>
      </w:pPr>
    </w:p>
    <w:p>
      <w:pPr>
        <w:pStyle w:val="Heading2"/>
        <w:spacing w:line="367" w:lineRule="exact"/>
        <w:ind w:right="0"/>
        <w:jc w:val="left"/>
        <w:rPr>
          <w:b w:val="0"/>
          <w:bCs w:val="0"/>
        </w:rPr>
      </w:pPr>
      <w:r>
        <w:rPr/>
        <w:t>三、公司基本情况</w:t>
      </w:r>
      <w:r>
        <w:rPr>
          <w:b w:val="0"/>
          <w:bCs w:val="0"/>
        </w:rPr>
      </w:r>
    </w:p>
    <w:p>
      <w:pPr>
        <w:spacing w:line="240" w:lineRule="auto" w:before="7"/>
        <w:rPr>
          <w:rFonts w:ascii="Microsoft JhengHei" w:hAnsi="Microsoft JhengHei" w:cs="Microsoft JhengHei" w:eastAsia="Microsoft JhengHei" w:hint="default"/>
          <w:b/>
          <w:bCs/>
          <w:sz w:val="17"/>
          <w:szCs w:val="17"/>
        </w:rPr>
      </w:pPr>
    </w:p>
    <w:p>
      <w:pPr>
        <w:pStyle w:val="BodyText"/>
        <w:spacing w:line="256" w:lineRule="auto"/>
        <w:ind w:right="146" w:firstLine="422"/>
        <w:jc w:val="both"/>
      </w:pPr>
      <w:r>
        <w:rPr>
          <w:spacing w:val="-2"/>
        </w:rPr>
        <w:t>鸿博股份有限公司（以下简称</w:t>
      </w:r>
      <w:r>
        <w:rPr>
          <w:rFonts w:ascii="Times New Roman" w:hAnsi="Times New Roman" w:cs="Times New Roman" w:eastAsia="Times New Roman" w:hint="default"/>
          <w:spacing w:val="-2"/>
        </w:rPr>
        <w:t>“</w:t>
      </w:r>
      <w:r>
        <w:rPr>
          <w:spacing w:val="-2"/>
        </w:rPr>
        <w:t>本公司</w:t>
      </w:r>
      <w:r>
        <w:rPr>
          <w:rFonts w:ascii="Times New Roman" w:hAnsi="Times New Roman" w:cs="Times New Roman" w:eastAsia="Times New Roman" w:hint="default"/>
          <w:spacing w:val="-2"/>
        </w:rPr>
        <w:t>”</w:t>
      </w:r>
      <w:r>
        <w:rPr>
          <w:spacing w:val="-2"/>
        </w:rPr>
        <w:t>或</w:t>
      </w:r>
      <w:r>
        <w:rPr>
          <w:rFonts w:ascii="Times New Roman" w:hAnsi="Times New Roman" w:cs="Times New Roman" w:eastAsia="Times New Roman" w:hint="default"/>
          <w:spacing w:val="-2"/>
        </w:rPr>
        <w:t>“</w:t>
      </w:r>
      <w:r>
        <w:rPr>
          <w:spacing w:val="-2"/>
        </w:rPr>
        <w:t>公司</w:t>
      </w:r>
      <w:r>
        <w:rPr>
          <w:rFonts w:ascii="Times New Roman" w:hAnsi="Times New Roman" w:cs="Times New Roman" w:eastAsia="Times New Roman" w:hint="default"/>
          <w:spacing w:val="-2"/>
        </w:rPr>
        <w:t>”</w:t>
      </w:r>
      <w:r>
        <w:rPr>
          <w:spacing w:val="-2"/>
        </w:rPr>
        <w:t>）系由福建鸿博印刷有限公司整体变更设立的股份有</w:t>
      </w:r>
      <w:r>
        <w:rPr>
          <w:w w:val="100"/>
        </w:rPr>
        <w:t> </w:t>
      </w:r>
      <w:r>
        <w:rPr>
          <w:spacing w:val="-2"/>
        </w:rPr>
        <w:t>限公司，于</w:t>
      </w:r>
      <w:r>
        <w:rPr>
          <w:rFonts w:ascii="Times New Roman" w:hAnsi="Times New Roman" w:cs="Times New Roman" w:eastAsia="Times New Roman" w:hint="default"/>
          <w:spacing w:val="-2"/>
        </w:rPr>
        <w:t>2014</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17</w:t>
      </w:r>
      <w:r>
        <w:rPr>
          <w:spacing w:val="-2"/>
        </w:rPr>
        <w:t>日取得福建省工商行政管理局换发的注册号为</w:t>
      </w:r>
      <w:r>
        <w:rPr>
          <w:rFonts w:ascii="Times New Roman" w:hAnsi="Times New Roman" w:cs="Times New Roman" w:eastAsia="Times New Roman" w:hint="default"/>
          <w:spacing w:val="-2"/>
        </w:rPr>
        <w:t>350000100013868</w:t>
      </w:r>
      <w:r>
        <w:rPr>
          <w:spacing w:val="-2"/>
        </w:rPr>
        <w:t>的《企业法人营业</w:t>
      </w:r>
      <w:r>
        <w:rPr>
          <w:spacing w:val="-18"/>
        </w:rPr>
        <w:t> </w:t>
      </w:r>
      <w:r>
        <w:rPr>
          <w:spacing w:val="-18"/>
        </w:rPr>
      </w:r>
      <w:r>
        <w:rPr>
          <w:spacing w:val="-2"/>
        </w:rPr>
        <w:t>执照》。公司由有限公司变更为股份有限公司时总股本为</w:t>
      </w:r>
      <w:r>
        <w:rPr>
          <w:rFonts w:ascii="Times New Roman" w:hAnsi="Times New Roman" w:cs="Times New Roman" w:eastAsia="Times New Roman" w:hint="default"/>
          <w:spacing w:val="-2"/>
        </w:rPr>
        <w:t>6,000</w:t>
      </w:r>
      <w:r>
        <w:rPr>
          <w:spacing w:val="-2"/>
        </w:rPr>
        <w:t>万股，每股面值为人民币</w:t>
      </w:r>
      <w:r>
        <w:rPr>
          <w:rFonts w:ascii="Times New Roman" w:hAnsi="Times New Roman" w:cs="Times New Roman" w:eastAsia="Times New Roman" w:hint="default"/>
          <w:spacing w:val="-2"/>
        </w:rPr>
        <w:t>1</w:t>
      </w:r>
      <w:r>
        <w:rPr>
          <w:spacing w:val="-2"/>
        </w:rPr>
        <w:t>元，注册资本为</w:t>
      </w:r>
      <w:r>
        <w:rPr>
          <w:spacing w:val="-12"/>
        </w:rPr>
        <w:t> </w:t>
      </w:r>
      <w:r>
        <w:rPr>
          <w:spacing w:val="-12"/>
        </w:rPr>
      </w:r>
      <w:r>
        <w:rPr/>
        <w:t>人民币</w:t>
      </w:r>
      <w:r>
        <w:rPr>
          <w:rFonts w:ascii="Times New Roman" w:hAnsi="Times New Roman" w:cs="Times New Roman" w:eastAsia="Times New Roman" w:hint="default"/>
        </w:rPr>
        <w:t>6,000</w:t>
      </w:r>
      <w:r>
        <w:rPr/>
        <w:t>万元。</w:t>
      </w:r>
    </w:p>
    <w:p>
      <w:pPr>
        <w:pStyle w:val="BodyText"/>
        <w:spacing w:line="240" w:lineRule="auto"/>
        <w:ind w:left="575" w:right="0"/>
        <w:jc w:val="left"/>
      </w:pPr>
      <w:r>
        <w:rPr/>
        <w:t>根据公司</w:t>
      </w:r>
      <w:r>
        <w:rPr>
          <w:rFonts w:ascii="Times New Roman" w:hAnsi="Times New Roman" w:cs="Times New Roman" w:eastAsia="Times New Roman" w:hint="default"/>
        </w:rPr>
        <w:t>2007</w:t>
      </w:r>
      <w:r>
        <w:rPr/>
        <w:t>年第二次临时股东大会决议，并经中国证券监督管理委员会以证监许可字</w:t>
      </w:r>
      <w:r>
        <w:rPr>
          <w:rFonts w:ascii="Times New Roman" w:hAnsi="Times New Roman" w:cs="Times New Roman" w:eastAsia="Times New Roman" w:hint="default"/>
        </w:rPr>
        <w:t>[2008]522</w:t>
      </w:r>
      <w:r>
        <w:rPr/>
        <w:t>号</w:t>
      </w:r>
    </w:p>
    <w:p>
      <w:pPr>
        <w:pStyle w:val="BodyText"/>
        <w:spacing w:line="256" w:lineRule="auto" w:before="21"/>
        <w:ind w:right="0"/>
        <w:jc w:val="left"/>
      </w:pPr>
      <w:r>
        <w:rPr>
          <w:spacing w:val="-2"/>
        </w:rPr>
        <w:t>《关于核准福建鸿博印刷股份有限公司首次公开发行股票的批复》文核准，</w:t>
      </w:r>
      <w:r>
        <w:rPr>
          <w:rFonts w:ascii="Times New Roman" w:hAnsi="Times New Roman" w:cs="Times New Roman" w:eastAsia="Times New Roman" w:hint="default"/>
          <w:spacing w:val="-2"/>
        </w:rPr>
        <w:t>2008</w:t>
      </w:r>
      <w:r>
        <w:rPr>
          <w:spacing w:val="-2"/>
        </w:rPr>
        <w:t>年本公司采用网下向询价</w:t>
      </w:r>
      <w:r>
        <w:rPr>
          <w:spacing w:val="-33"/>
        </w:rPr>
        <w:t> </w:t>
      </w:r>
      <w:r>
        <w:rPr>
          <w:spacing w:val="-33"/>
        </w:rPr>
      </w:r>
      <w:r>
        <w:rPr>
          <w:spacing w:val="-2"/>
        </w:rPr>
        <w:t>对象配售与网上资金申购定价发行相结合的方式公开发行人民币普通股股票（</w:t>
      </w:r>
      <w:r>
        <w:rPr>
          <w:rFonts w:ascii="Times New Roman" w:hAnsi="Times New Roman" w:cs="Times New Roman" w:eastAsia="Times New Roman" w:hint="default"/>
          <w:spacing w:val="-2"/>
        </w:rPr>
        <w:t>A</w:t>
      </w:r>
      <w:r>
        <w:rPr>
          <w:spacing w:val="-2"/>
        </w:rPr>
        <w:t>股）</w:t>
      </w:r>
      <w:r>
        <w:rPr>
          <w:rFonts w:ascii="Times New Roman" w:hAnsi="Times New Roman" w:cs="Times New Roman" w:eastAsia="Times New Roman" w:hint="default"/>
          <w:spacing w:val="-2"/>
        </w:rPr>
        <w:t>2,000</w:t>
      </w:r>
      <w:r>
        <w:rPr>
          <w:spacing w:val="-2"/>
        </w:rPr>
        <w:t>万股，其中，网</w:t>
      </w:r>
    </w:p>
    <w:p>
      <w:pPr>
        <w:spacing w:after="0" w:line="256" w:lineRule="auto"/>
        <w:jc w:val="left"/>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BodyText"/>
        <w:spacing w:line="256" w:lineRule="auto" w:before="36"/>
        <w:ind w:right="109"/>
        <w:jc w:val="left"/>
      </w:pPr>
      <w:r>
        <w:rPr>
          <w:spacing w:val="-2"/>
        </w:rPr>
        <w:t>下配售</w:t>
      </w:r>
      <w:r>
        <w:rPr>
          <w:rFonts w:ascii="Times New Roman" w:hAnsi="Times New Roman" w:cs="Times New Roman" w:eastAsia="Times New Roman" w:hint="default"/>
          <w:spacing w:val="-2"/>
        </w:rPr>
        <w:t>400</w:t>
      </w:r>
      <w:r>
        <w:rPr>
          <w:spacing w:val="-2"/>
        </w:rPr>
        <w:t>万股，网上定价发行</w:t>
      </w:r>
      <w:r>
        <w:rPr>
          <w:rFonts w:ascii="Times New Roman" w:hAnsi="Times New Roman" w:cs="Times New Roman" w:eastAsia="Times New Roman" w:hint="default"/>
          <w:spacing w:val="-2"/>
        </w:rPr>
        <w:t>1,600</w:t>
      </w:r>
      <w:r>
        <w:rPr>
          <w:spacing w:val="-2"/>
        </w:rPr>
        <w:t>万股，发行价格为</w:t>
      </w:r>
      <w:r>
        <w:rPr>
          <w:rFonts w:ascii="Times New Roman" w:hAnsi="Times New Roman" w:cs="Times New Roman" w:eastAsia="Times New Roman" w:hint="default"/>
          <w:spacing w:val="-2"/>
        </w:rPr>
        <w:t>13.88</w:t>
      </w:r>
      <w:r>
        <w:rPr>
          <w:spacing w:val="-2"/>
        </w:rPr>
        <w:t>元</w:t>
      </w:r>
      <w:r>
        <w:rPr>
          <w:rFonts w:ascii="Times New Roman" w:hAnsi="Times New Roman" w:cs="Times New Roman" w:eastAsia="Times New Roman" w:hint="default"/>
          <w:spacing w:val="-2"/>
        </w:rPr>
        <w:t>/</w:t>
      </w:r>
      <w:r>
        <w:rPr>
          <w:spacing w:val="-2"/>
        </w:rPr>
        <w:t>股。本次发行后公司总股本变更为</w:t>
      </w:r>
      <w:r>
        <w:rPr>
          <w:rFonts w:ascii="Times New Roman" w:hAnsi="Times New Roman" w:cs="Times New Roman" w:eastAsia="Times New Roman" w:hint="default"/>
          <w:spacing w:val="-2"/>
        </w:rPr>
        <w:t>8,000</w:t>
      </w:r>
      <w:r>
        <w:rPr>
          <w:spacing w:val="-2"/>
        </w:rPr>
        <w:t>万</w:t>
      </w:r>
      <w:r>
        <w:rPr>
          <w:spacing w:val="-1"/>
        </w:rPr>
        <w:t> </w:t>
      </w:r>
      <w:r>
        <w:rPr/>
        <w:t>股，每股面值</w:t>
      </w:r>
      <w:r>
        <w:rPr>
          <w:rFonts w:ascii="Times New Roman" w:hAnsi="Times New Roman" w:cs="Times New Roman" w:eastAsia="Times New Roman" w:hint="default"/>
        </w:rPr>
        <w:t>1</w:t>
      </w:r>
      <w:r>
        <w:rPr/>
        <w:t>元，公司注册资本变更为人民币</w:t>
      </w:r>
      <w:r>
        <w:rPr>
          <w:rFonts w:ascii="Times New Roman" w:hAnsi="Times New Roman" w:cs="Times New Roman" w:eastAsia="Times New Roman" w:hint="default"/>
        </w:rPr>
        <w:t>8,000</w:t>
      </w:r>
      <w:r>
        <w:rPr/>
        <w:t>万元。</w:t>
      </w:r>
    </w:p>
    <w:p>
      <w:pPr>
        <w:pStyle w:val="BodyText"/>
        <w:spacing w:line="256" w:lineRule="auto" w:before="5"/>
        <w:ind w:right="255" w:firstLine="422"/>
        <w:jc w:val="both"/>
      </w:pPr>
      <w:r>
        <w:rPr>
          <w:spacing w:val="-1"/>
        </w:rPr>
        <w:t>根据</w:t>
      </w:r>
      <w:r>
        <w:rPr>
          <w:rFonts w:ascii="Times New Roman" w:hAnsi="Times New Roman" w:cs="Times New Roman" w:eastAsia="Times New Roman" w:hint="default"/>
          <w:spacing w:val="-1"/>
        </w:rPr>
        <w:t>2009</w:t>
      </w:r>
      <w:r>
        <w:rPr>
          <w:spacing w:val="-1"/>
        </w:rPr>
        <w:t>年第一次临时股东大会决议，公司以总股本</w:t>
      </w:r>
      <w:r>
        <w:rPr>
          <w:rFonts w:ascii="Times New Roman" w:hAnsi="Times New Roman" w:cs="Times New Roman" w:eastAsia="Times New Roman" w:hint="default"/>
          <w:spacing w:val="-1"/>
        </w:rPr>
        <w:t>8,000.00</w:t>
      </w:r>
      <w:r>
        <w:rPr>
          <w:spacing w:val="-1"/>
        </w:rPr>
        <w:t>万股为基数，以资本公积转增股本，每</w:t>
      </w:r>
      <w:r>
        <w:rPr>
          <w:w w:val="100"/>
        </w:rPr>
        <w:t> </w:t>
      </w:r>
      <w:r>
        <w:rPr>
          <w:rFonts w:ascii="Times New Roman" w:hAnsi="Times New Roman" w:cs="Times New Roman" w:eastAsia="Times New Roman" w:hint="default"/>
          <w:spacing w:val="-1"/>
        </w:rPr>
        <w:t>10</w:t>
      </w:r>
      <w:r>
        <w:rPr>
          <w:spacing w:val="-1"/>
        </w:rPr>
        <w:t>股转增</w:t>
      </w:r>
      <w:r>
        <w:rPr>
          <w:rFonts w:ascii="Times New Roman" w:hAnsi="Times New Roman" w:cs="Times New Roman" w:eastAsia="Times New Roman" w:hint="default"/>
          <w:spacing w:val="-1"/>
        </w:rPr>
        <w:t>7</w:t>
      </w:r>
      <w:r>
        <w:rPr>
          <w:spacing w:val="-1"/>
        </w:rPr>
        <w:t>股，每股面值为人民币</w:t>
      </w:r>
      <w:r>
        <w:rPr>
          <w:rFonts w:ascii="Times New Roman" w:hAnsi="Times New Roman" w:cs="Times New Roman" w:eastAsia="Times New Roman" w:hint="default"/>
          <w:spacing w:val="-1"/>
        </w:rPr>
        <w:t>1.00</w:t>
      </w:r>
      <w:r>
        <w:rPr>
          <w:spacing w:val="-1"/>
        </w:rPr>
        <w:t>元，增加注册资本人民币</w:t>
      </w:r>
      <w:r>
        <w:rPr>
          <w:rFonts w:ascii="Times New Roman" w:hAnsi="Times New Roman" w:cs="Times New Roman" w:eastAsia="Times New Roman" w:hint="default"/>
          <w:spacing w:val="-1"/>
        </w:rPr>
        <w:t>5,600.00</w:t>
      </w:r>
      <w:r>
        <w:rPr>
          <w:spacing w:val="-1"/>
        </w:rPr>
        <w:t>万元，变更后本公司注册资本（股</w:t>
      </w:r>
      <w:r>
        <w:rPr>
          <w:spacing w:val="-54"/>
        </w:rPr>
        <w:t> </w:t>
      </w:r>
      <w:r>
        <w:rPr>
          <w:spacing w:val="-54"/>
        </w:rPr>
      </w:r>
      <w:r>
        <w:rPr/>
        <w:t>本）为人民币</w:t>
      </w:r>
      <w:r>
        <w:rPr>
          <w:rFonts w:ascii="Times New Roman" w:hAnsi="Times New Roman" w:cs="Times New Roman" w:eastAsia="Times New Roman" w:hint="default"/>
        </w:rPr>
        <w:t>13,600.00</w:t>
      </w:r>
      <w:r>
        <w:rPr/>
        <w:t>万元。</w:t>
      </w:r>
    </w:p>
    <w:p>
      <w:pPr>
        <w:pStyle w:val="BodyText"/>
        <w:spacing w:line="256" w:lineRule="auto" w:before="5"/>
        <w:ind w:right="109" w:firstLine="422"/>
        <w:jc w:val="left"/>
      </w:pPr>
      <w:r>
        <w:rPr>
          <w:spacing w:val="-1"/>
        </w:rPr>
        <w:t>根据</w:t>
      </w:r>
      <w:r>
        <w:rPr>
          <w:rFonts w:ascii="Times New Roman" w:hAnsi="Times New Roman" w:cs="Times New Roman" w:eastAsia="Times New Roman" w:hint="default"/>
          <w:spacing w:val="-1"/>
        </w:rPr>
        <w:t>2010</w:t>
      </w:r>
      <w:r>
        <w:rPr>
          <w:spacing w:val="-1"/>
        </w:rPr>
        <w:t>年第二次临时股东大会决议，并经中国证券监督管理委员会以证监许可</w:t>
      </w:r>
      <w:r>
        <w:rPr>
          <w:rFonts w:ascii="Times New Roman" w:hAnsi="Times New Roman" w:cs="Times New Roman" w:eastAsia="Times New Roman" w:hint="default"/>
          <w:spacing w:val="-1"/>
        </w:rPr>
        <w:t>[2011]671</w:t>
      </w:r>
      <w:r>
        <w:rPr>
          <w:spacing w:val="-1"/>
        </w:rPr>
        <w:t>号文批复，</w:t>
      </w:r>
      <w:r>
        <w:rPr>
          <w:w w:val="100"/>
        </w:rPr>
        <w:t> </w:t>
      </w:r>
      <w:r>
        <w:rPr>
          <w:rFonts w:ascii="Times New Roman" w:hAnsi="Times New Roman" w:cs="Times New Roman" w:eastAsia="Times New Roman" w:hint="default"/>
        </w:rPr>
        <w:t>2011</w:t>
      </w:r>
      <w:r>
        <w:rPr/>
        <w:t>年本公司采用网下配售方式向询价对象非公开发行人民币普通股（</w:t>
      </w:r>
      <w:r>
        <w:rPr>
          <w:rFonts w:ascii="Times New Roman" w:hAnsi="Times New Roman" w:cs="Times New Roman" w:eastAsia="Times New Roman" w:hint="default"/>
        </w:rPr>
        <w:t>A</w:t>
      </w:r>
      <w:r>
        <w:rPr/>
        <w:t>股）</w:t>
      </w:r>
      <w:r>
        <w:rPr>
          <w:rFonts w:ascii="Times New Roman" w:hAnsi="Times New Roman" w:cs="Times New Roman" w:eastAsia="Times New Roman" w:hint="default"/>
        </w:rPr>
        <w:t>2,094</w:t>
      </w:r>
      <w:r>
        <w:rPr/>
        <w:t>万股，每股面值</w:t>
      </w:r>
      <w:r>
        <w:rPr>
          <w:rFonts w:ascii="Times New Roman" w:hAnsi="Times New Roman" w:cs="Times New Roman" w:eastAsia="Times New Roman" w:hint="default"/>
        </w:rPr>
        <w:t>1</w:t>
      </w:r>
      <w:r>
        <w:rPr/>
        <w:t>元，</w:t>
      </w:r>
      <w:r>
        <w:rPr>
          <w:w w:val="100"/>
        </w:rPr>
        <w:t> </w:t>
      </w:r>
      <w:r>
        <w:rPr/>
        <w:t>发行后公司注册资本变更为人民币</w:t>
      </w:r>
      <w:r>
        <w:rPr>
          <w:rFonts w:ascii="Times New Roman" w:hAnsi="Times New Roman" w:cs="Times New Roman" w:eastAsia="Times New Roman" w:hint="default"/>
        </w:rPr>
        <w:t>15,694.00</w:t>
      </w:r>
      <w:r>
        <w:rPr/>
        <w:t>万元。</w:t>
      </w:r>
    </w:p>
    <w:p>
      <w:pPr>
        <w:pStyle w:val="BodyText"/>
        <w:spacing w:line="256" w:lineRule="auto" w:before="5"/>
        <w:ind w:right="217" w:firstLine="422"/>
        <w:jc w:val="both"/>
      </w:pPr>
      <w:r>
        <w:rPr>
          <w:spacing w:val="-2"/>
        </w:rPr>
        <w:t>根据</w:t>
      </w:r>
      <w:r>
        <w:rPr>
          <w:rFonts w:ascii="Times New Roman" w:hAnsi="Times New Roman" w:cs="Times New Roman" w:eastAsia="Times New Roman" w:hint="default"/>
          <w:spacing w:val="-2"/>
        </w:rPr>
        <w:t>2011</w:t>
      </w:r>
      <w:r>
        <w:rPr>
          <w:spacing w:val="-2"/>
        </w:rPr>
        <w:t>年度股东大会决议，公司以总股本</w:t>
      </w:r>
      <w:r>
        <w:rPr>
          <w:rFonts w:ascii="Times New Roman" w:hAnsi="Times New Roman" w:cs="Times New Roman" w:eastAsia="Times New Roman" w:hint="default"/>
          <w:spacing w:val="-2"/>
        </w:rPr>
        <w:t>15,694.00</w:t>
      </w:r>
      <w:r>
        <w:rPr>
          <w:spacing w:val="-2"/>
        </w:rPr>
        <w:t>万股为基数，以资本公积转增股本，每</w:t>
      </w:r>
      <w:r>
        <w:rPr>
          <w:rFonts w:ascii="Times New Roman" w:hAnsi="Times New Roman" w:cs="Times New Roman" w:eastAsia="Times New Roman" w:hint="default"/>
          <w:spacing w:val="-2"/>
        </w:rPr>
        <w:t>10</w:t>
      </w:r>
      <w:r>
        <w:rPr>
          <w:spacing w:val="-2"/>
        </w:rPr>
        <w:t>股转增</w:t>
      </w:r>
      <w:r>
        <w:rPr>
          <w:w w:val="100"/>
        </w:rPr>
        <w:t> </w:t>
      </w:r>
      <w:r>
        <w:rPr>
          <w:rFonts w:ascii="Times New Roman" w:hAnsi="Times New Roman" w:cs="Times New Roman" w:eastAsia="Times New Roman" w:hint="default"/>
          <w:spacing w:val="-3"/>
        </w:rPr>
        <w:t>9</w:t>
      </w:r>
      <w:r>
        <w:rPr>
          <w:spacing w:val="-3"/>
        </w:rPr>
        <w:t>股，每股面值为人民币</w:t>
      </w:r>
      <w:r>
        <w:rPr>
          <w:rFonts w:ascii="Times New Roman" w:hAnsi="Times New Roman" w:cs="Times New Roman" w:eastAsia="Times New Roman" w:hint="default"/>
          <w:spacing w:val="-3"/>
        </w:rPr>
        <w:t>1.00</w:t>
      </w:r>
      <w:r>
        <w:rPr>
          <w:spacing w:val="-3"/>
        </w:rPr>
        <w:t>元，增加注册资本人民币</w:t>
      </w:r>
      <w:r>
        <w:rPr>
          <w:rFonts w:ascii="Times New Roman" w:hAnsi="Times New Roman" w:cs="Times New Roman" w:eastAsia="Times New Roman" w:hint="default"/>
          <w:spacing w:val="-3"/>
        </w:rPr>
        <w:t>14,124.60</w:t>
      </w:r>
      <w:r>
        <w:rPr>
          <w:spacing w:val="-3"/>
        </w:rPr>
        <w:t>万元，变更后注册资本增至人民币</w:t>
      </w:r>
      <w:r>
        <w:rPr>
          <w:rFonts w:ascii="Times New Roman" w:hAnsi="Times New Roman" w:cs="Times New Roman" w:eastAsia="Times New Roman" w:hint="default"/>
          <w:spacing w:val="-3"/>
        </w:rPr>
        <w:t>29,818.60</w:t>
      </w:r>
      <w:r>
        <w:rPr>
          <w:rFonts w:ascii="Times New Roman" w:hAnsi="Times New Roman" w:cs="Times New Roman" w:eastAsia="Times New Roman" w:hint="default"/>
        </w:rPr>
        <w:t> </w:t>
      </w:r>
      <w:r>
        <w:rPr>
          <w:rFonts w:ascii="Times New Roman" w:hAnsi="Times New Roman" w:cs="Times New Roman" w:eastAsia="Times New Roman" w:hint="default"/>
        </w:rPr>
      </w:r>
      <w:r>
        <w:rPr/>
        <w:t>万元。</w:t>
      </w:r>
    </w:p>
    <w:p>
      <w:pPr>
        <w:pStyle w:val="BodyText"/>
        <w:spacing w:line="256" w:lineRule="auto" w:before="22"/>
        <w:ind w:left="575" w:right="109"/>
        <w:jc w:val="left"/>
      </w:pPr>
      <w:r>
        <w:rPr/>
        <w:t>公司法定代表人为：尤丽娟。本公司目前住所为：福州市金山开发区金达路</w:t>
      </w:r>
      <w:r>
        <w:rPr>
          <w:rFonts w:ascii="Times New Roman" w:hAnsi="Times New Roman" w:cs="Times New Roman" w:eastAsia="Times New Roman" w:hint="default"/>
        </w:rPr>
        <w:t>136</w:t>
      </w:r>
      <w:r>
        <w:rPr/>
        <w:t>号。</w:t>
      </w:r>
      <w:r>
        <w:rPr>
          <w:spacing w:val="-103"/>
        </w:rPr>
        <w:t> </w:t>
      </w:r>
      <w:r>
        <w:rPr>
          <w:spacing w:val="-2"/>
        </w:rPr>
        <w:t>本公司及其子公司（以下简称</w:t>
      </w:r>
      <w:r>
        <w:rPr>
          <w:rFonts w:ascii="Times New Roman" w:hAnsi="Times New Roman" w:cs="Times New Roman" w:eastAsia="Times New Roman" w:hint="default"/>
          <w:spacing w:val="-2"/>
        </w:rPr>
        <w:t>“</w:t>
      </w:r>
      <w:r>
        <w:rPr>
          <w:spacing w:val="-2"/>
        </w:rPr>
        <w:t>本集团</w:t>
      </w:r>
      <w:r>
        <w:rPr>
          <w:rFonts w:ascii="Times New Roman" w:hAnsi="Times New Roman" w:cs="Times New Roman" w:eastAsia="Times New Roman" w:hint="default"/>
          <w:spacing w:val="-2"/>
        </w:rPr>
        <w:t>”</w:t>
      </w:r>
      <w:r>
        <w:rPr>
          <w:spacing w:val="-2"/>
        </w:rPr>
        <w:t>）属于印刷企业，本公司于</w:t>
      </w:r>
      <w:r>
        <w:rPr>
          <w:rFonts w:ascii="Times New Roman" w:hAnsi="Times New Roman" w:cs="Times New Roman" w:eastAsia="Times New Roman" w:hint="default"/>
          <w:spacing w:val="-2"/>
        </w:rPr>
        <w:t>2002</w:t>
      </w:r>
      <w:r>
        <w:rPr>
          <w:spacing w:val="-2"/>
        </w:rPr>
        <w:t>年经福建省民政厅认定为福利</w:t>
      </w:r>
    </w:p>
    <w:p>
      <w:pPr>
        <w:pStyle w:val="BodyText"/>
        <w:spacing w:line="261" w:lineRule="auto" w:before="5"/>
        <w:ind w:right="109"/>
        <w:jc w:val="left"/>
      </w:pPr>
      <w:r>
        <w:rPr>
          <w:spacing w:val="-3"/>
        </w:rPr>
        <w:t>企业。本集团的许可经营范围为：出版物</w:t>
      </w:r>
      <w:r>
        <w:rPr>
          <w:rFonts w:ascii="Times New Roman" w:hAnsi="Times New Roman" w:cs="Times New Roman" w:eastAsia="Times New Roman" w:hint="default"/>
          <w:spacing w:val="-3"/>
        </w:rPr>
        <w:t>(</w:t>
      </w:r>
      <w:r>
        <w:rPr>
          <w:spacing w:val="-3"/>
        </w:rPr>
        <w:t>含内部书刊印刷</w:t>
      </w:r>
      <w:r>
        <w:rPr>
          <w:rFonts w:ascii="Times New Roman" w:hAnsi="Times New Roman" w:cs="Times New Roman" w:eastAsia="Times New Roman" w:hint="default"/>
          <w:spacing w:val="-3"/>
        </w:rPr>
        <w:t>)</w:t>
      </w:r>
      <w:r>
        <w:rPr>
          <w:spacing w:val="-3"/>
        </w:rPr>
        <w:t>、包装装潢印刷品、其他印刷品印刷（含票证、</w:t>
      </w:r>
      <w:r>
        <w:rPr>
          <w:spacing w:val="-20"/>
        </w:rPr>
        <w:t> </w:t>
      </w:r>
      <w:r>
        <w:rPr>
          <w:spacing w:val="-20"/>
        </w:rPr>
      </w:r>
      <w:r>
        <w:rPr/>
        <w:t>票据印刷）；磁卡、智能卡的研制与加工；热敏纸、</w:t>
      </w:r>
      <w:r>
        <w:rPr>
          <w:rFonts w:ascii="Times New Roman" w:hAnsi="Times New Roman" w:cs="Times New Roman" w:eastAsia="Times New Roman" w:hint="default"/>
        </w:rPr>
        <w:t>UV</w:t>
      </w:r>
      <w:r>
        <w:rPr/>
        <w:t>油墨、印刷设备、电子产品的销售；皮革证件、</w:t>
      </w:r>
      <w:r>
        <w:rPr>
          <w:w w:val="100"/>
        </w:rPr>
        <w:t> </w:t>
      </w:r>
      <w:r>
        <w:rPr/>
        <w:t>铜铝牌匾和不干胶的印刷；对外贸易；对金融业、文化、体育和娱乐业的投资；网络技术开发与服务；文</w:t>
      </w:r>
      <w:r>
        <w:rPr>
          <w:w w:val="100"/>
        </w:rPr>
        <w:t> </w:t>
      </w:r>
      <w:r>
        <w:rPr/>
        <w:t>化创意设计与服务；物联网技术开发与服务；网上贸易代理；互联网游戏出版服务、网络（手机）游戏服</w:t>
      </w:r>
      <w:r>
        <w:rPr>
          <w:w w:val="100"/>
        </w:rPr>
        <w:t> </w:t>
      </w:r>
      <w:r>
        <w:rPr/>
        <w:t>务；动漫游戏软件开发、游戏电子出版物服务。报告期内本集团的主要经营活动为：</w:t>
      </w:r>
      <w:r>
        <w:rPr>
          <w:rFonts w:ascii="Times New Roman" w:hAnsi="Times New Roman" w:cs="Times New Roman" w:eastAsia="Times New Roman" w:hint="default"/>
        </w:rPr>
        <w:t>1</w:t>
      </w:r>
      <w:r>
        <w:rPr/>
        <w:t>、彩票热敏纸票证</w:t>
      </w:r>
      <w:r>
        <w:rPr>
          <w:w w:val="100"/>
        </w:rPr>
        <w:t> </w:t>
      </w:r>
      <w:r>
        <w:rPr/>
        <w:t>产品、普通税务发票、证书证件等票证产品的生产销售；</w:t>
      </w:r>
      <w:r>
        <w:rPr>
          <w:rFonts w:ascii="Times New Roman" w:hAnsi="Times New Roman" w:cs="Times New Roman" w:eastAsia="Times New Roman" w:hint="default"/>
        </w:rPr>
        <w:t>2</w:t>
      </w:r>
      <w:r>
        <w:rPr/>
        <w:t>、包装装潢品、办公用纸等产品生产销售、</w:t>
      </w:r>
      <w:r>
        <w:rPr>
          <w:rFonts w:ascii="Times New Roman" w:hAnsi="Times New Roman" w:cs="Times New Roman" w:eastAsia="Times New Roman" w:hint="default"/>
        </w:rPr>
        <w:t>3</w:t>
      </w:r>
      <w:r>
        <w:rPr/>
        <w:t>、</w:t>
      </w:r>
      <w:r>
        <w:rPr>
          <w:w w:val="100"/>
        </w:rPr>
        <w:t> </w:t>
      </w:r>
      <w:r>
        <w:rPr/>
        <w:t>彩票代购、新彩种开发及技术维护；</w:t>
      </w:r>
      <w:r>
        <w:rPr>
          <w:rFonts w:ascii="Times New Roman" w:hAnsi="Times New Roman" w:cs="Times New Roman" w:eastAsia="Times New Roman" w:hint="default"/>
        </w:rPr>
        <w:t>4</w:t>
      </w:r>
      <w:r>
        <w:rPr/>
        <w:t>、智能标签、金融</w:t>
      </w:r>
      <w:r>
        <w:rPr>
          <w:rFonts w:ascii="Times New Roman" w:hAnsi="Times New Roman" w:cs="Times New Roman" w:eastAsia="Times New Roman" w:hint="default"/>
        </w:rPr>
        <w:t>IC</w:t>
      </w:r>
      <w:r>
        <w:rPr/>
        <w:t>卡、社保卡等</w:t>
      </w:r>
      <w:r>
        <w:rPr>
          <w:rFonts w:ascii="Times New Roman" w:hAnsi="Times New Roman" w:cs="Times New Roman" w:eastAsia="Times New Roman" w:hint="default"/>
        </w:rPr>
        <w:t>RFID</w:t>
      </w:r>
      <w:r>
        <w:rPr/>
        <w:t>智能标签制作和物联网技术</w:t>
      </w:r>
      <w:r>
        <w:rPr>
          <w:w w:val="100"/>
        </w:rPr>
        <w:t> </w:t>
      </w:r>
      <w:r>
        <w:rPr/>
        <w:t>服务。</w:t>
      </w:r>
    </w:p>
    <w:p>
      <w:pPr>
        <w:pStyle w:val="BodyText"/>
        <w:spacing w:line="273" w:lineRule="auto" w:before="18"/>
        <w:ind w:right="109" w:firstLine="422"/>
        <w:jc w:val="left"/>
      </w:pPr>
      <w:r>
        <w:rPr>
          <w:spacing w:val="-2"/>
        </w:rPr>
        <w:t>本公司设立了相应的组织机构：除股东大会、董事会、监事会外，还设置了审计监察部、人力资源中</w:t>
      </w:r>
      <w:r>
        <w:rPr>
          <w:w w:val="100"/>
        </w:rPr>
        <w:t> </w:t>
      </w:r>
      <w:r>
        <w:rPr/>
        <w:t>心、总裁办、财务中心、生产中心、技术中心、票证事业部及智能卡事业部等职能部门。</w:t>
      </w:r>
    </w:p>
    <w:p>
      <w:pPr>
        <w:spacing w:line="240" w:lineRule="auto" w:before="6"/>
        <w:rPr>
          <w:rFonts w:ascii="宋体" w:hAnsi="宋体" w:cs="宋体" w:eastAsia="宋体" w:hint="default"/>
          <w:sz w:val="24"/>
          <w:szCs w:val="24"/>
        </w:rPr>
      </w:pPr>
    </w:p>
    <w:p>
      <w:pPr>
        <w:pStyle w:val="BodyText"/>
        <w:spacing w:line="256" w:lineRule="auto"/>
        <w:ind w:right="222"/>
        <w:jc w:val="both"/>
      </w:pPr>
      <w:r>
        <w:rPr>
          <w:spacing w:val="-2"/>
        </w:rPr>
        <w:t>本集团</w:t>
      </w:r>
      <w:r>
        <w:rPr>
          <w:rFonts w:ascii="Times New Roman" w:hAnsi="Times New Roman" w:cs="Times New Roman" w:eastAsia="Times New Roman" w:hint="default"/>
          <w:spacing w:val="-2"/>
        </w:rPr>
        <w:t>2015</w:t>
      </w:r>
      <w:r>
        <w:rPr>
          <w:spacing w:val="-2"/>
        </w:rPr>
        <w:t>年度纳入合并财务报表范围的子公司</w:t>
      </w:r>
      <w:r>
        <w:rPr>
          <w:rFonts w:ascii="Times New Roman" w:hAnsi="Times New Roman" w:cs="Times New Roman" w:eastAsia="Times New Roman" w:hint="default"/>
          <w:spacing w:val="-2"/>
        </w:rPr>
        <w:t>9</w:t>
      </w:r>
      <w:r>
        <w:rPr>
          <w:spacing w:val="-2"/>
        </w:rPr>
        <w:t>家，孙公司</w:t>
      </w:r>
      <w:r>
        <w:rPr>
          <w:rFonts w:ascii="Times New Roman" w:hAnsi="Times New Roman" w:cs="Times New Roman" w:eastAsia="Times New Roman" w:hint="default"/>
          <w:spacing w:val="-2"/>
        </w:rPr>
        <w:t>3</w:t>
      </w:r>
      <w:r>
        <w:rPr>
          <w:spacing w:val="-2"/>
        </w:rPr>
        <w:t>家。各家子公司、孙公司情况详见第四节第</w:t>
      </w:r>
      <w:r>
        <w:rPr>
          <w:spacing w:val="-34"/>
        </w:rPr>
        <w:t> </w:t>
      </w:r>
      <w:r>
        <w:rPr>
          <w:spacing w:val="-34"/>
        </w:rPr>
      </w:r>
      <w:r>
        <w:rPr>
          <w:spacing w:val="-2"/>
        </w:rPr>
        <w:t>七点、主要控股参股公司分析。本集团</w:t>
      </w:r>
      <w:r>
        <w:rPr>
          <w:rFonts w:ascii="Times New Roman" w:hAnsi="Times New Roman" w:cs="Times New Roman" w:eastAsia="Times New Roman" w:hint="default"/>
          <w:spacing w:val="-2"/>
        </w:rPr>
        <w:t>2015</w:t>
      </w:r>
      <w:r>
        <w:rPr>
          <w:spacing w:val="-2"/>
        </w:rPr>
        <w:t>年度合并财务报表范围较上年度相比增加</w:t>
      </w:r>
      <w:r>
        <w:rPr>
          <w:rFonts w:ascii="Times New Roman" w:hAnsi="Times New Roman" w:cs="Times New Roman" w:eastAsia="Times New Roman" w:hint="default"/>
          <w:spacing w:val="-2"/>
        </w:rPr>
        <w:t>3</w:t>
      </w:r>
      <w:r>
        <w:rPr>
          <w:spacing w:val="-2"/>
        </w:rPr>
        <w:t>家，减少</w:t>
      </w:r>
      <w:r>
        <w:rPr>
          <w:rFonts w:ascii="Times New Roman" w:hAnsi="Times New Roman" w:cs="Times New Roman" w:eastAsia="Times New Roman" w:hint="default"/>
          <w:spacing w:val="-2"/>
        </w:rPr>
        <w:t>2</w:t>
      </w:r>
      <w:r>
        <w:rPr>
          <w:spacing w:val="-2"/>
        </w:rPr>
        <w:t>家，变更</w:t>
      </w:r>
      <w:r>
        <w:rPr>
          <w:spacing w:val="-31"/>
        </w:rPr>
        <w:t> </w:t>
      </w:r>
      <w:r>
        <w:rPr>
          <w:spacing w:val="-31"/>
        </w:rPr>
      </w:r>
      <w:r>
        <w:rPr/>
        <w:t>情况详见本节第八点、合并范围的变更。</w:t>
      </w:r>
    </w:p>
    <w:p>
      <w:pPr>
        <w:spacing w:line="240" w:lineRule="auto" w:before="9"/>
        <w:rPr>
          <w:rFonts w:ascii="宋体" w:hAnsi="宋体" w:cs="宋体" w:eastAsia="宋体" w:hint="default"/>
          <w:sz w:val="16"/>
          <w:szCs w:val="16"/>
        </w:rPr>
      </w:pPr>
    </w:p>
    <w:p>
      <w:pPr>
        <w:pStyle w:val="Heading2"/>
        <w:spacing w:line="240" w:lineRule="auto"/>
        <w:ind w:right="109"/>
        <w:jc w:val="left"/>
        <w:rPr>
          <w:b w:val="0"/>
          <w:bCs w:val="0"/>
        </w:rPr>
      </w:pPr>
      <w:r>
        <w:rPr/>
        <w:t>四、财务报表的编制基础</w:t>
      </w:r>
      <w:r>
        <w:rPr>
          <w:b w:val="0"/>
          <w:bCs w:val="0"/>
        </w:rPr>
      </w:r>
    </w:p>
    <w:p>
      <w:pPr>
        <w:spacing w:line="240" w:lineRule="auto" w:before="5"/>
        <w:rPr>
          <w:rFonts w:ascii="Microsoft JhengHei" w:hAnsi="Microsoft JhengHei" w:cs="Microsoft JhengHei" w:eastAsia="Microsoft JhengHei" w:hint="default"/>
          <w:b/>
          <w:bCs/>
          <w:sz w:val="13"/>
          <w:szCs w:val="13"/>
        </w:rPr>
      </w:pPr>
    </w:p>
    <w:p>
      <w:pPr>
        <w:pStyle w:val="Heading4"/>
        <w:spacing w:line="240" w:lineRule="auto"/>
        <w:ind w:right="109"/>
        <w:jc w:val="left"/>
        <w:rPr>
          <w:b w:val="0"/>
          <w:bCs w:val="0"/>
        </w:rPr>
      </w:pPr>
      <w:r>
        <w:rPr>
          <w:rFonts w:ascii="Times New Roman" w:hAnsi="Times New Roman" w:cs="Times New Roman" w:eastAsia="Times New Roman" w:hint="default"/>
        </w:rPr>
        <w:t>1</w:t>
      </w:r>
      <w:r>
        <w:rPr/>
        <w:t>、编制基础</w:t>
      </w:r>
      <w:r>
        <w:rPr>
          <w:b w:val="0"/>
          <w:bCs w:val="0"/>
        </w:rPr>
      </w:r>
    </w:p>
    <w:p>
      <w:pPr>
        <w:spacing w:line="240" w:lineRule="auto" w:before="2"/>
        <w:rPr>
          <w:rFonts w:ascii="Microsoft JhengHei" w:hAnsi="Microsoft JhengHei" w:cs="Microsoft JhengHei" w:eastAsia="Microsoft JhengHei" w:hint="default"/>
          <w:b/>
          <w:bCs/>
          <w:sz w:val="18"/>
          <w:szCs w:val="18"/>
        </w:rPr>
      </w:pPr>
    </w:p>
    <w:p>
      <w:pPr>
        <w:pStyle w:val="BodyText"/>
        <w:spacing w:line="256" w:lineRule="auto"/>
        <w:ind w:right="109" w:firstLine="422"/>
        <w:jc w:val="left"/>
      </w:pPr>
      <w:r>
        <w:rPr>
          <w:spacing w:val="-4"/>
        </w:rPr>
        <w:t>财务报表按照财政部颁布的企业会计准则及其应用指南、解释及其他有关规定（统称</w:t>
      </w:r>
      <w:r>
        <w:rPr>
          <w:rFonts w:ascii="Times New Roman" w:hAnsi="Times New Roman" w:cs="Times New Roman" w:eastAsia="Times New Roman" w:hint="default"/>
          <w:spacing w:val="-4"/>
        </w:rPr>
        <w:t>“</w:t>
      </w:r>
      <w:r>
        <w:rPr>
          <w:spacing w:val="-4"/>
        </w:rPr>
        <w:t>企业会计准则</w:t>
      </w:r>
      <w:r>
        <w:rPr>
          <w:rFonts w:ascii="Times New Roman" w:hAnsi="Times New Roman" w:cs="Times New Roman" w:eastAsia="Times New Roman" w:hint="default"/>
          <w:spacing w:val="-4"/>
        </w:rPr>
        <w:t>”</w:t>
      </w:r>
      <w:r>
        <w:rPr>
          <w:spacing w:val="-4"/>
        </w:rPr>
        <w:t>）</w:t>
      </w:r>
      <w:r>
        <w:rPr>
          <w:w w:val="100"/>
        </w:rPr>
        <w:t> </w:t>
      </w:r>
      <w:r>
        <w:rPr/>
        <w:t>编制。此外，本公司还按照中国证监会《公开发行证券的公司信息披露编报规则第</w:t>
      </w:r>
      <w:r>
        <w:rPr>
          <w:rFonts w:ascii="Times New Roman" w:hAnsi="Times New Roman" w:cs="Times New Roman" w:eastAsia="Times New Roman" w:hint="default"/>
        </w:rPr>
        <w:t>15</w:t>
      </w:r>
      <w:r>
        <w:rPr/>
        <w:t>号</w:t>
      </w:r>
      <w:r>
        <w:rPr>
          <w:rFonts w:ascii="Times New Roman" w:hAnsi="Times New Roman" w:cs="Times New Roman" w:eastAsia="Times New Roman" w:hint="default"/>
        </w:rPr>
        <w:t>—</w:t>
      </w:r>
      <w:r>
        <w:rPr/>
        <w:t>财务报告的一般</w:t>
      </w:r>
      <w:r>
        <w:rPr>
          <w:w w:val="100"/>
        </w:rPr>
        <w:t> </w:t>
      </w:r>
      <w:r>
        <w:rPr/>
        <w:t>规定》（</w:t>
      </w:r>
      <w:r>
        <w:rPr>
          <w:rFonts w:ascii="Times New Roman" w:hAnsi="Times New Roman" w:cs="Times New Roman" w:eastAsia="Times New Roman" w:hint="default"/>
        </w:rPr>
        <w:t>2014</w:t>
      </w:r>
      <w:r>
        <w:rPr/>
        <w:t>年修订）披露有关财务信息。</w:t>
      </w:r>
    </w:p>
    <w:p>
      <w:pPr>
        <w:spacing w:line="240" w:lineRule="auto" w:before="5"/>
        <w:rPr>
          <w:rFonts w:ascii="宋体" w:hAnsi="宋体" w:cs="宋体" w:eastAsia="宋体" w:hint="default"/>
          <w:sz w:val="18"/>
          <w:szCs w:val="18"/>
        </w:rPr>
      </w:pPr>
    </w:p>
    <w:p>
      <w:pPr>
        <w:pStyle w:val="Heading4"/>
        <w:spacing w:line="240" w:lineRule="auto"/>
        <w:ind w:right="109"/>
        <w:jc w:val="left"/>
        <w:rPr>
          <w:b w:val="0"/>
          <w:bCs w:val="0"/>
        </w:rPr>
      </w:pPr>
      <w:r>
        <w:rPr>
          <w:rFonts w:ascii="Times New Roman" w:hAnsi="Times New Roman" w:cs="Times New Roman" w:eastAsia="Times New Roman" w:hint="default"/>
        </w:rPr>
        <w:t>2</w:t>
      </w:r>
      <w:r>
        <w:rPr/>
        <w:t>、持续经营</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40" w:lineRule="auto"/>
        <w:ind w:right="109"/>
        <w:jc w:val="left"/>
      </w:pPr>
      <w:r>
        <w:rPr/>
        <w:t>本财务报表以持续经营为基础列报。</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1"/>
          <w:szCs w:val="21"/>
        </w:rPr>
      </w:pPr>
    </w:p>
    <w:p>
      <w:pPr>
        <w:pStyle w:val="Heading2"/>
        <w:spacing w:line="240" w:lineRule="auto"/>
        <w:ind w:right="109"/>
        <w:jc w:val="left"/>
        <w:rPr>
          <w:b w:val="0"/>
          <w:bCs w:val="0"/>
        </w:rPr>
      </w:pPr>
      <w:r>
        <w:rPr/>
        <w:t>五、重要会计政策及会计估计</w:t>
      </w:r>
      <w:r>
        <w:rPr>
          <w:b w:val="0"/>
          <w:bCs w:val="0"/>
        </w:rPr>
      </w:r>
    </w:p>
    <w:p>
      <w:pPr>
        <w:spacing w:line="240" w:lineRule="auto" w:before="3"/>
        <w:rPr>
          <w:rFonts w:ascii="Microsoft JhengHei" w:hAnsi="Microsoft JhengHei" w:cs="Microsoft JhengHei" w:eastAsia="Microsoft JhengHei" w:hint="default"/>
          <w:b/>
          <w:bCs/>
          <w:sz w:val="19"/>
          <w:szCs w:val="19"/>
        </w:rPr>
      </w:pPr>
    </w:p>
    <w:p>
      <w:pPr>
        <w:spacing w:before="0"/>
        <w:ind w:left="152" w:right="109" w:firstLine="0"/>
        <w:jc w:val="left"/>
        <w:rPr>
          <w:rFonts w:ascii="宋体" w:hAnsi="宋体" w:cs="宋体" w:eastAsia="宋体" w:hint="default"/>
          <w:sz w:val="18"/>
          <w:szCs w:val="18"/>
        </w:rPr>
      </w:pPr>
      <w:r>
        <w:rPr>
          <w:rFonts w:ascii="宋体" w:hAnsi="宋体" w:cs="宋体" w:eastAsia="宋体" w:hint="default"/>
          <w:spacing w:val="-3"/>
          <w:sz w:val="18"/>
          <w:szCs w:val="18"/>
        </w:rPr>
        <w:t>具体会计政策和会计估计提示：</w:t>
      </w:r>
    </w:p>
    <w:p>
      <w:pPr>
        <w:spacing w:after="0"/>
        <w:jc w:val="left"/>
        <w:rPr>
          <w:rFonts w:ascii="宋体" w:hAnsi="宋体" w:cs="宋体" w:eastAsia="宋体" w:hint="default"/>
          <w:sz w:val="18"/>
          <w:szCs w:val="18"/>
        </w:rPr>
        <w:sectPr>
          <w:pgSz w:w="11900" w:h="16840"/>
          <w:pgMar w:header="872" w:footer="984" w:top="1060" w:bottom="1180" w:left="980" w:right="900"/>
        </w:sectPr>
      </w:pPr>
    </w:p>
    <w:p>
      <w:pPr>
        <w:spacing w:line="240" w:lineRule="auto" w:before="12"/>
        <w:rPr>
          <w:rFonts w:ascii="宋体" w:hAnsi="宋体" w:cs="宋体" w:eastAsia="宋体" w:hint="default"/>
          <w:sz w:val="24"/>
          <w:szCs w:val="24"/>
        </w:rPr>
      </w:pPr>
    </w:p>
    <w:p>
      <w:pPr>
        <w:pStyle w:val="BodyText"/>
        <w:spacing w:line="273" w:lineRule="auto" w:before="36"/>
        <w:ind w:right="182" w:firstLine="422"/>
        <w:jc w:val="both"/>
      </w:pPr>
      <w:r>
        <w:rPr>
          <w:spacing w:val="-2"/>
        </w:rPr>
        <w:t>本集团根据自身生产经营特点，确定固定资产折旧、无形资产摊销、研发费用资本化条件以及收入确</w:t>
      </w:r>
      <w:r>
        <w:rPr>
          <w:w w:val="100"/>
        </w:rPr>
        <w:t> </w:t>
      </w:r>
      <w:r>
        <w:rPr/>
        <w:t>认政策，</w:t>
      </w:r>
    </w:p>
    <w:p>
      <w:pPr>
        <w:spacing w:line="240" w:lineRule="auto" w:before="8"/>
        <w:rPr>
          <w:rFonts w:ascii="宋体" w:hAnsi="宋体" w:cs="宋体" w:eastAsia="宋体" w:hint="default"/>
          <w:sz w:val="18"/>
          <w:szCs w:val="18"/>
        </w:rPr>
      </w:pPr>
    </w:p>
    <w:p>
      <w:pPr>
        <w:pStyle w:val="Heading4"/>
        <w:spacing w:line="240" w:lineRule="auto"/>
        <w:ind w:right="0"/>
        <w:jc w:val="both"/>
        <w:rPr>
          <w:b w:val="0"/>
          <w:bCs w:val="0"/>
        </w:rPr>
      </w:pPr>
      <w:r>
        <w:rPr>
          <w:rFonts w:ascii="Times New Roman" w:hAnsi="Times New Roman" w:cs="Times New Roman" w:eastAsia="Times New Roman" w:hint="default"/>
        </w:rPr>
        <w:t>1</w:t>
      </w:r>
      <w:r>
        <w:rPr/>
        <w:t>、遵循企业会计准则的声明</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56" w:lineRule="auto"/>
        <w:ind w:right="177" w:firstLine="422"/>
        <w:jc w:val="both"/>
      </w:pPr>
      <w:r>
        <w:rPr>
          <w:spacing w:val="-2"/>
        </w:rPr>
        <w:t>本财务报表符合企业会计准则的要求，真实、完整地反映了本公司</w:t>
      </w: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日的合并及公司财务</w:t>
      </w:r>
      <w:r>
        <w:rPr>
          <w:w w:val="100"/>
        </w:rPr>
        <w:t> </w:t>
      </w:r>
      <w:r>
        <w:rPr/>
        <w:t>状况以及</w:t>
      </w:r>
      <w:r>
        <w:rPr>
          <w:rFonts w:ascii="Times New Roman" w:hAnsi="Times New Roman" w:cs="Times New Roman" w:eastAsia="Times New Roman" w:hint="default"/>
        </w:rPr>
        <w:t>2015</w:t>
      </w:r>
      <w:r>
        <w:rPr/>
        <w:t>年度合并及公司经营成果和合并及公司现金流量等有关信息。</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Heading4"/>
        <w:spacing w:line="240" w:lineRule="auto" w:before="193"/>
        <w:ind w:right="0"/>
        <w:jc w:val="both"/>
        <w:rPr>
          <w:b w:val="0"/>
          <w:bCs w:val="0"/>
        </w:rPr>
      </w:pPr>
      <w:r>
        <w:rPr>
          <w:rFonts w:ascii="Times New Roman" w:hAnsi="Times New Roman" w:cs="Times New Roman" w:eastAsia="Times New Roman" w:hint="default"/>
        </w:rPr>
        <w:t>2</w:t>
      </w:r>
      <w:r>
        <w:rPr/>
        <w:t>、会计期间</w:t>
      </w:r>
      <w:r>
        <w:rPr>
          <w:b w:val="0"/>
          <w:bCs w:val="0"/>
        </w:rPr>
      </w:r>
    </w:p>
    <w:p>
      <w:pPr>
        <w:spacing w:line="240" w:lineRule="auto" w:before="2"/>
        <w:rPr>
          <w:rFonts w:ascii="Microsoft JhengHei" w:hAnsi="Microsoft JhengHei" w:cs="Microsoft JhengHei" w:eastAsia="Microsoft JhengHei" w:hint="default"/>
          <w:b/>
          <w:bCs/>
          <w:sz w:val="18"/>
          <w:szCs w:val="18"/>
        </w:rPr>
      </w:pPr>
    </w:p>
    <w:p>
      <w:pPr>
        <w:pStyle w:val="BodyText"/>
        <w:spacing w:line="240" w:lineRule="auto"/>
        <w:ind w:right="0"/>
        <w:jc w:val="both"/>
      </w:pPr>
      <w:r>
        <w:rPr/>
        <w:t>本公司会计期间采用公历年度，即每年自</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日起至</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w:t>
      </w: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21"/>
          <w:szCs w:val="21"/>
        </w:rPr>
      </w:pPr>
    </w:p>
    <w:p>
      <w:pPr>
        <w:pStyle w:val="Heading4"/>
        <w:spacing w:line="240" w:lineRule="auto"/>
        <w:ind w:right="0"/>
        <w:jc w:val="both"/>
        <w:rPr>
          <w:b w:val="0"/>
          <w:bCs w:val="0"/>
        </w:rPr>
      </w:pPr>
      <w:r>
        <w:rPr>
          <w:rFonts w:ascii="Times New Roman" w:hAnsi="Times New Roman" w:cs="Times New Roman" w:eastAsia="Times New Roman" w:hint="default"/>
        </w:rPr>
        <w:t>3</w:t>
      </w:r>
      <w:r>
        <w:rPr/>
        <w:t>、营业周期</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40" w:lineRule="auto"/>
        <w:ind w:right="0"/>
        <w:jc w:val="both"/>
      </w:pPr>
      <w:r>
        <w:rPr/>
        <w:t>本公司的营业周期为</w:t>
      </w:r>
      <w:r>
        <w:rPr>
          <w:rFonts w:ascii="Times New Roman" w:hAnsi="Times New Roman" w:cs="Times New Roman" w:eastAsia="Times New Roman" w:hint="default"/>
        </w:rPr>
        <w:t>12</w:t>
      </w:r>
      <w:r>
        <w:rPr/>
        <w:t>个月。</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3"/>
        <w:rPr>
          <w:rFonts w:ascii="宋体" w:hAnsi="宋体" w:cs="宋体" w:eastAsia="宋体" w:hint="default"/>
          <w:sz w:val="15"/>
          <w:szCs w:val="15"/>
        </w:rPr>
      </w:pPr>
    </w:p>
    <w:p>
      <w:pPr>
        <w:pStyle w:val="Heading4"/>
        <w:spacing w:line="240" w:lineRule="auto"/>
        <w:ind w:right="0"/>
        <w:jc w:val="both"/>
        <w:rPr>
          <w:b w:val="0"/>
          <w:bCs w:val="0"/>
        </w:rPr>
      </w:pPr>
      <w:r>
        <w:rPr>
          <w:rFonts w:ascii="Times New Roman" w:hAnsi="Times New Roman" w:cs="Times New Roman" w:eastAsia="Times New Roman" w:hint="default"/>
        </w:rPr>
        <w:t>4</w:t>
      </w:r>
      <w:r>
        <w:rPr/>
        <w:t>、记账本位币</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40" w:lineRule="auto"/>
        <w:ind w:right="0"/>
        <w:jc w:val="both"/>
      </w:pPr>
      <w:r>
        <w:rPr/>
        <w:t>本公司以人民币为记账本位币。</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4"/>
          <w:szCs w:val="24"/>
        </w:rPr>
      </w:pPr>
    </w:p>
    <w:p>
      <w:pPr>
        <w:pStyle w:val="Heading4"/>
        <w:spacing w:line="240" w:lineRule="auto"/>
        <w:ind w:right="0"/>
        <w:jc w:val="both"/>
        <w:rPr>
          <w:b w:val="0"/>
          <w:bCs w:val="0"/>
        </w:rPr>
      </w:pPr>
      <w:r>
        <w:rPr>
          <w:rFonts w:ascii="Times New Roman" w:hAnsi="Times New Roman" w:cs="Times New Roman" w:eastAsia="Times New Roman" w:hint="default"/>
        </w:rPr>
        <w:t>5</w:t>
      </w:r>
      <w:r>
        <w:rPr/>
        <w:t>、同一控制下和非同一控制下企业合并的会计处理方法</w:t>
      </w:r>
      <w:r>
        <w:rPr>
          <w:b w:val="0"/>
          <w:bCs w:val="0"/>
        </w:rPr>
      </w:r>
    </w:p>
    <w:p>
      <w:pPr>
        <w:pStyle w:val="BodyText"/>
        <w:spacing w:line="510" w:lineRule="atLeast" w:before="91"/>
        <w:ind w:left="575" w:right="0" w:hanging="423"/>
        <w:jc w:val="left"/>
      </w:pPr>
      <w:r>
        <w:rPr/>
        <w:t>（</w:t>
      </w:r>
      <w:r>
        <w:rPr>
          <w:rFonts w:ascii="Times New Roman" w:hAnsi="Times New Roman" w:cs="Times New Roman" w:eastAsia="Times New Roman" w:hint="default"/>
        </w:rPr>
        <w:t>1</w:t>
      </w:r>
      <w:r>
        <w:rPr/>
        <w:t>）同一控制下的企业合并</w:t>
      </w:r>
      <w:r>
        <w:rPr>
          <w:spacing w:val="-101"/>
        </w:rPr>
        <w:t> </w:t>
      </w:r>
      <w:r>
        <w:rPr>
          <w:spacing w:val="-101"/>
        </w:rPr>
      </w:r>
      <w:r>
        <w:rPr>
          <w:spacing w:val="-2"/>
        </w:rPr>
        <w:t>对于同一控制下的企业合并，合并方在合并中取得的被合并方的资产、负债，除因会计政策不同而进</w:t>
      </w:r>
    </w:p>
    <w:p>
      <w:pPr>
        <w:pStyle w:val="BodyText"/>
        <w:spacing w:line="264" w:lineRule="auto" w:before="37"/>
        <w:ind w:right="182"/>
        <w:jc w:val="both"/>
      </w:pPr>
      <w:r>
        <w:rPr>
          <w:spacing w:val="-7"/>
        </w:rPr>
        <w:t>行的调整以外，按合并日被合并方在最终控制方合并财务报表中的账面价值计量。合并对价的账面价值（或</w:t>
      </w:r>
      <w:r>
        <w:rPr>
          <w:spacing w:val="-8"/>
        </w:rPr>
        <w:t> </w:t>
      </w:r>
      <w:r>
        <w:rPr>
          <w:spacing w:val="-8"/>
        </w:rPr>
      </w:r>
      <w:r>
        <w:rPr>
          <w:spacing w:val="-3"/>
        </w:rPr>
        <w:t>发行股份面值总额）与合并中取得的净资产账面价值的差额调整资本公积（股本溢价</w:t>
      </w:r>
      <w:r>
        <w:rPr>
          <w:rFonts w:ascii="Times New Roman" w:hAnsi="Times New Roman" w:cs="Times New Roman" w:eastAsia="Times New Roman" w:hint="default"/>
          <w:spacing w:val="-3"/>
        </w:rPr>
        <w:t>/</w:t>
      </w:r>
      <w:r>
        <w:rPr>
          <w:spacing w:val="-3"/>
        </w:rPr>
        <w:t>资本溢价），资本公</w:t>
      </w:r>
      <w:r>
        <w:rPr>
          <w:spacing w:val="-45"/>
        </w:rPr>
        <w:t> </w:t>
      </w:r>
      <w:r>
        <w:rPr>
          <w:spacing w:val="-45"/>
        </w:rPr>
      </w:r>
      <w:r>
        <w:rPr/>
        <w:t>积（股本溢价</w:t>
      </w:r>
      <w:r>
        <w:rPr>
          <w:rFonts w:ascii="Times New Roman" w:hAnsi="Times New Roman" w:cs="Times New Roman" w:eastAsia="Times New Roman" w:hint="default"/>
        </w:rPr>
        <w:t>/</w:t>
      </w:r>
      <w:r>
        <w:rPr/>
        <w:t>资本溢价）不足冲减的，调整留存收益。</w:t>
      </w:r>
    </w:p>
    <w:p>
      <w:pPr>
        <w:pStyle w:val="BodyText"/>
        <w:spacing w:line="528" w:lineRule="exact" w:before="37"/>
        <w:ind w:left="575" w:right="0"/>
        <w:jc w:val="left"/>
      </w:pPr>
      <w:r>
        <w:rPr/>
        <w:t>通过多次交易分步实现同一控制下的企业合并</w:t>
      </w:r>
      <w:r>
        <w:rPr>
          <w:spacing w:val="-102"/>
        </w:rPr>
        <w:t> </w:t>
      </w:r>
      <w:r>
        <w:rPr>
          <w:spacing w:val="-102"/>
        </w:rPr>
      </w:r>
      <w:r>
        <w:rPr>
          <w:spacing w:val="-2"/>
        </w:rPr>
        <w:t>在个别财务报表中，以合并日持股比例计算的合并日应享有被合并方净资产在最终控制方合并财务报</w:t>
      </w:r>
    </w:p>
    <w:p>
      <w:pPr>
        <w:pStyle w:val="BodyText"/>
        <w:spacing w:line="236" w:lineRule="exact"/>
        <w:ind w:right="0"/>
        <w:jc w:val="both"/>
      </w:pPr>
      <w:r>
        <w:rPr/>
        <w:t>表中的账面价值的份额作为该项投资的初始投资成本；初始投资成本与原持有投资的账面价值加上合并日</w:t>
      </w:r>
    </w:p>
    <w:p>
      <w:pPr>
        <w:pStyle w:val="BodyText"/>
        <w:spacing w:line="240" w:lineRule="auto" w:before="37"/>
        <w:ind w:right="0"/>
        <w:jc w:val="both"/>
      </w:pPr>
      <w:r>
        <w:rPr/>
        <w:t>新增投资成本之和的差额，调整资本公积（股本溢价</w:t>
      </w:r>
      <w:r>
        <w:rPr>
          <w:rFonts w:ascii="Times New Roman" w:hAnsi="Times New Roman" w:cs="Times New Roman" w:eastAsia="Times New Roman" w:hint="default"/>
        </w:rPr>
        <w:t>/</w:t>
      </w:r>
      <w:r>
        <w:rPr/>
        <w:t>资本溢价），资本公积不足冲减的，调整留存收益。</w:t>
      </w:r>
    </w:p>
    <w:p>
      <w:pPr>
        <w:spacing w:line="240" w:lineRule="auto" w:before="2"/>
        <w:rPr>
          <w:rFonts w:ascii="宋体" w:hAnsi="宋体" w:cs="宋体" w:eastAsia="宋体" w:hint="default"/>
          <w:sz w:val="18"/>
          <w:szCs w:val="18"/>
        </w:rPr>
      </w:pPr>
    </w:p>
    <w:p>
      <w:pPr>
        <w:pStyle w:val="BodyText"/>
        <w:spacing w:line="273" w:lineRule="auto"/>
        <w:ind w:right="177" w:firstLine="422"/>
        <w:jc w:val="both"/>
      </w:pPr>
      <w:r>
        <w:rPr>
          <w:spacing w:val="-2"/>
        </w:rPr>
        <w:t>在合并财务报表中，合并方在合并中取得的被合并方的资产、负债，除因会计政策不同而进行的调整</w:t>
      </w:r>
      <w:r>
        <w:rPr>
          <w:w w:val="100"/>
        </w:rPr>
        <w:t> </w:t>
      </w:r>
      <w:r>
        <w:rPr>
          <w:spacing w:val="-2"/>
        </w:rPr>
        <w:t>以外，按合并日在最终控制方合并财务报表中的账面价值计量；原持有投资的账面价值加上合并日新增投</w:t>
      </w:r>
      <w:r>
        <w:rPr>
          <w:spacing w:val="-35"/>
        </w:rPr>
        <w:t> </w:t>
      </w:r>
      <w:r>
        <w:rPr>
          <w:spacing w:val="-35"/>
        </w:rPr>
      </w:r>
      <w:r>
        <w:rPr>
          <w:spacing w:val="-2"/>
        </w:rPr>
        <w:t>资成本之和，与合并中取得的净资产账面价值的差额，调整资本公积，资本公积不足冲减的，调整留存收</w:t>
      </w:r>
      <w:r>
        <w:rPr>
          <w:spacing w:val="-35"/>
        </w:rPr>
        <w:t> </w:t>
      </w:r>
      <w:r>
        <w:rPr>
          <w:spacing w:val="-35"/>
        </w:rPr>
      </w:r>
      <w:r>
        <w:rPr>
          <w:spacing w:val="-2"/>
        </w:rPr>
        <w:t>益。合并方在达到合并之前持有的长期股权投资，在取得日与合并方与被合并方同处于同一方最终控制之</w:t>
      </w:r>
      <w:r>
        <w:rPr>
          <w:spacing w:val="-35"/>
        </w:rPr>
        <w:t> </w:t>
      </w:r>
      <w:r>
        <w:rPr>
          <w:spacing w:val="-35"/>
        </w:rPr>
      </w:r>
      <w:r>
        <w:rPr>
          <w:spacing w:val="-2"/>
        </w:rPr>
        <w:t>日孰晚日与合并日之间已确认有关损益、其他综合收益和其他所有者权益变动，应分别冲减比较报表期间</w:t>
      </w:r>
      <w:r>
        <w:rPr>
          <w:spacing w:val="-35"/>
        </w:rPr>
        <w:t> </w:t>
      </w:r>
      <w:r>
        <w:rPr>
          <w:spacing w:val="-35"/>
        </w:rPr>
      </w:r>
      <w:r>
        <w:rPr/>
        <w:t>的期初留存收益或当期损益。</w:t>
      </w:r>
    </w:p>
    <w:p>
      <w:pPr>
        <w:spacing w:after="0" w:line="273" w:lineRule="auto"/>
        <w:jc w:val="both"/>
        <w:sectPr>
          <w:pgSz w:w="11900" w:h="16840"/>
          <w:pgMar w:header="872" w:footer="984" w:top="1060" w:bottom="1180" w:left="980" w:right="940"/>
        </w:sectPr>
      </w:pPr>
    </w:p>
    <w:p>
      <w:pPr>
        <w:spacing w:line="240" w:lineRule="auto" w:before="12"/>
        <w:rPr>
          <w:rFonts w:ascii="宋体" w:hAnsi="宋体" w:cs="宋体" w:eastAsia="宋体" w:hint="default"/>
          <w:sz w:val="24"/>
          <w:szCs w:val="24"/>
        </w:rPr>
      </w:pPr>
    </w:p>
    <w:p>
      <w:pPr>
        <w:pStyle w:val="BodyText"/>
        <w:spacing w:line="240" w:lineRule="auto" w:before="36"/>
        <w:ind w:right="109"/>
        <w:jc w:val="left"/>
      </w:pPr>
      <w:r>
        <w:rPr/>
        <w:t>（</w:t>
      </w:r>
      <w:r>
        <w:rPr>
          <w:rFonts w:ascii="Times New Roman" w:hAnsi="Times New Roman" w:cs="Times New Roman" w:eastAsia="Times New Roman" w:hint="default"/>
        </w:rPr>
        <w:t>2</w:t>
      </w:r>
      <w:r>
        <w:rPr/>
        <w:t>）非同一控制下的企业合并</w:t>
      </w:r>
    </w:p>
    <w:p>
      <w:pPr>
        <w:spacing w:line="240" w:lineRule="auto" w:before="2"/>
        <w:rPr>
          <w:rFonts w:ascii="宋体" w:hAnsi="宋体" w:cs="宋体" w:eastAsia="宋体" w:hint="default"/>
          <w:sz w:val="18"/>
          <w:szCs w:val="18"/>
        </w:rPr>
      </w:pPr>
    </w:p>
    <w:p>
      <w:pPr>
        <w:pStyle w:val="BodyText"/>
        <w:spacing w:line="273" w:lineRule="auto"/>
        <w:ind w:right="221" w:firstLine="422"/>
        <w:jc w:val="both"/>
      </w:pPr>
      <w:r>
        <w:rPr>
          <w:spacing w:val="-2"/>
        </w:rPr>
        <w:t>对于非同一控制下的企业合并，合并成本为购买日为取得对被购买方的控制权而付出的资产、发生或</w:t>
      </w:r>
      <w:r>
        <w:rPr>
          <w:w w:val="100"/>
        </w:rPr>
        <w:t> </w:t>
      </w:r>
      <w:r>
        <w:rPr>
          <w:spacing w:val="-2"/>
        </w:rPr>
        <w:t>承担的负债以及发行的权益性证券的公允价值。在购买日，取得的被购买方的资产、负债及或有负债按公</w:t>
      </w:r>
      <w:r>
        <w:rPr>
          <w:spacing w:val="-35"/>
        </w:rPr>
        <w:t> </w:t>
      </w:r>
      <w:r>
        <w:rPr>
          <w:spacing w:val="-35"/>
        </w:rPr>
      </w:r>
      <w:r>
        <w:rPr/>
        <w:t>允价值确认。</w:t>
      </w:r>
    </w:p>
    <w:p>
      <w:pPr>
        <w:spacing w:line="240" w:lineRule="auto" w:before="1"/>
        <w:rPr>
          <w:rFonts w:ascii="宋体" w:hAnsi="宋体" w:cs="宋体" w:eastAsia="宋体" w:hint="default"/>
          <w:sz w:val="17"/>
          <w:szCs w:val="17"/>
        </w:rPr>
      </w:pPr>
    </w:p>
    <w:p>
      <w:pPr>
        <w:pStyle w:val="BodyText"/>
        <w:spacing w:line="273" w:lineRule="auto"/>
        <w:ind w:right="202" w:firstLine="422"/>
        <w:jc w:val="both"/>
      </w:pPr>
      <w:r>
        <w:rPr>
          <w:spacing w:val="-2"/>
        </w:rPr>
        <w:t>对合并成本大于合并中取得的被购买方可辨认净资产公允价值份额的差额，确认为商誉，按成本扣除</w:t>
      </w:r>
      <w:r>
        <w:rPr>
          <w:w w:val="100"/>
        </w:rPr>
        <w:t> </w:t>
      </w:r>
      <w:r>
        <w:rPr>
          <w:spacing w:val="-2"/>
        </w:rPr>
        <w:t>累计减值准备进行后续计量；对合并成本小于合并中取得的被购买方可辨认净资产公允价值份额的差额，</w:t>
      </w:r>
      <w:r>
        <w:rPr>
          <w:spacing w:val="-15"/>
        </w:rPr>
        <w:t> </w:t>
      </w:r>
      <w:r>
        <w:rPr>
          <w:spacing w:val="-15"/>
        </w:rPr>
      </w:r>
      <w:r>
        <w:rPr/>
        <w:t>经复核后计入当期损益。</w:t>
      </w:r>
    </w:p>
    <w:p>
      <w:pPr>
        <w:spacing w:line="240" w:lineRule="auto" w:before="1"/>
        <w:rPr>
          <w:rFonts w:ascii="宋体" w:hAnsi="宋体" w:cs="宋体" w:eastAsia="宋体" w:hint="default"/>
          <w:sz w:val="17"/>
          <w:szCs w:val="17"/>
        </w:rPr>
      </w:pPr>
    </w:p>
    <w:p>
      <w:pPr>
        <w:pStyle w:val="BodyText"/>
        <w:spacing w:line="256" w:lineRule="auto"/>
        <w:ind w:right="222" w:firstLine="422"/>
        <w:jc w:val="both"/>
      </w:pPr>
      <w:r>
        <w:rPr>
          <w:spacing w:val="-2"/>
        </w:rPr>
        <w:t>所涉及的或有对价按其在购买日的公允价值计入合并成本，购买日后</w:t>
      </w:r>
      <w:r>
        <w:rPr>
          <w:rFonts w:ascii="Times New Roman" w:hAnsi="Times New Roman" w:cs="Times New Roman" w:eastAsia="Times New Roman" w:hint="default"/>
          <w:spacing w:val="-2"/>
        </w:rPr>
        <w:t>12</w:t>
      </w:r>
      <w:r>
        <w:rPr>
          <w:spacing w:val="-2"/>
        </w:rPr>
        <w:t>个月内出现对购买日已存在情</w:t>
      </w:r>
      <w:r>
        <w:rPr>
          <w:w w:val="100"/>
        </w:rPr>
        <w:t> </w:t>
      </w:r>
      <w:r>
        <w:rPr/>
        <w:t>况的新的或进一步证据而需要调整或有对价的，相应调整合并商誉。</w:t>
      </w:r>
    </w:p>
    <w:p>
      <w:pPr>
        <w:pStyle w:val="BodyText"/>
        <w:spacing w:line="528" w:lineRule="exact" w:before="61"/>
        <w:ind w:left="575" w:right="109"/>
        <w:jc w:val="left"/>
      </w:pPr>
      <w:r>
        <w:rPr/>
        <w:t>通过多次交易分步实现非同一控制下的企业合并</w:t>
      </w:r>
      <w:r>
        <w:rPr>
          <w:spacing w:val="-101"/>
        </w:rPr>
        <w:t> </w:t>
      </w:r>
      <w:r>
        <w:rPr>
          <w:spacing w:val="-101"/>
        </w:rPr>
      </w:r>
      <w:r>
        <w:rPr>
          <w:spacing w:val="-2"/>
        </w:rPr>
        <w:t>在个别财务报表中，以购买日之前所持被购买方的股权投资的账面价值与购买日新增投资成本之和，</w:t>
      </w:r>
    </w:p>
    <w:p>
      <w:pPr>
        <w:pStyle w:val="BodyText"/>
        <w:spacing w:line="236" w:lineRule="exact"/>
        <w:ind w:right="109"/>
        <w:jc w:val="left"/>
      </w:pPr>
      <w:r>
        <w:rPr/>
        <w:t>作为该项投资的初始投资成本。购买日之前持有的股权投资因采用权益法核算而确认的其他综合收益，应</w:t>
      </w:r>
    </w:p>
    <w:p>
      <w:pPr>
        <w:pStyle w:val="BodyText"/>
        <w:spacing w:line="268" w:lineRule="auto" w:before="37"/>
        <w:ind w:right="222"/>
        <w:jc w:val="both"/>
      </w:pPr>
      <w:r>
        <w:rPr>
          <w:spacing w:val="-2"/>
        </w:rPr>
        <w:t>当在处置该项投资时采用与被投资单位直接处置相关资产或负债相同的基础进行会计处理；因被投资方除</w:t>
      </w:r>
      <w:r>
        <w:rPr>
          <w:spacing w:val="-34"/>
        </w:rPr>
        <w:t> </w:t>
      </w:r>
      <w:r>
        <w:rPr>
          <w:spacing w:val="-34"/>
        </w:rPr>
      </w:r>
      <w:r>
        <w:rPr>
          <w:spacing w:val="-2"/>
        </w:rPr>
        <w:t>净损益、其他综合收益和利润分配以外的其他所有者权益变动而确认的所有者权益，应当在处置该项投资</w:t>
      </w:r>
      <w:r>
        <w:rPr>
          <w:spacing w:val="-35"/>
        </w:rPr>
        <w:t> </w:t>
      </w:r>
      <w:r>
        <w:rPr>
          <w:spacing w:val="-35"/>
        </w:rPr>
      </w:r>
      <w:r>
        <w:rPr>
          <w:spacing w:val="-2"/>
        </w:rPr>
        <w:t>时转入处置期间的当期损益。购买日之前持有的股权投资按照《企业会计准则第</w:t>
      </w:r>
      <w:r>
        <w:rPr>
          <w:rFonts w:ascii="Times New Roman" w:hAnsi="Times New Roman" w:cs="Times New Roman" w:eastAsia="Times New Roman" w:hint="default"/>
          <w:spacing w:val="-2"/>
        </w:rPr>
        <w:t>22</w:t>
      </w:r>
      <w:r>
        <w:rPr>
          <w:spacing w:val="-2"/>
        </w:rPr>
        <w:t>号</w:t>
      </w:r>
      <w:r>
        <w:rPr>
          <w:rFonts w:ascii="Times New Roman" w:hAnsi="Times New Roman" w:cs="Times New Roman" w:eastAsia="Times New Roman" w:hint="default"/>
          <w:spacing w:val="-2"/>
        </w:rPr>
        <w:t>——</w:t>
      </w:r>
      <w:r>
        <w:rPr>
          <w:spacing w:val="-2"/>
        </w:rPr>
        <w:t>金融工具确认和</w:t>
      </w:r>
      <w:r>
        <w:rPr>
          <w:spacing w:val="-33"/>
        </w:rPr>
        <w:t> </w:t>
      </w:r>
      <w:r>
        <w:rPr>
          <w:spacing w:val="-33"/>
        </w:rPr>
      </w:r>
      <w:r>
        <w:rPr>
          <w:spacing w:val="-2"/>
        </w:rPr>
        <w:t>计量》的有关规定进行会计处理的，原计入其他综合收益的累计公允价值变动应当在改按成本法核算时转</w:t>
      </w:r>
      <w:r>
        <w:rPr>
          <w:spacing w:val="-35"/>
        </w:rPr>
        <w:t> </w:t>
      </w:r>
      <w:r>
        <w:rPr>
          <w:spacing w:val="-35"/>
        </w:rPr>
      </w:r>
      <w:r>
        <w:rPr/>
        <w:t>入当期损益。</w:t>
      </w:r>
    </w:p>
    <w:p>
      <w:pPr>
        <w:spacing w:line="240" w:lineRule="auto" w:before="6"/>
        <w:rPr>
          <w:rFonts w:ascii="宋体" w:hAnsi="宋体" w:cs="宋体" w:eastAsia="宋体" w:hint="default"/>
          <w:sz w:val="17"/>
          <w:szCs w:val="17"/>
        </w:rPr>
      </w:pPr>
    </w:p>
    <w:p>
      <w:pPr>
        <w:pStyle w:val="BodyText"/>
        <w:spacing w:line="273" w:lineRule="auto"/>
        <w:ind w:right="217" w:firstLine="422"/>
        <w:jc w:val="both"/>
      </w:pPr>
      <w:r>
        <w:rPr>
          <w:spacing w:val="-2"/>
        </w:rPr>
        <w:t>在合并财务报表中，合并成本为购买日支付的对价与购买日之前已经持有的被购买方的股权在购买日</w:t>
      </w:r>
      <w:r>
        <w:rPr>
          <w:w w:val="100"/>
        </w:rPr>
        <w:t> </w:t>
      </w:r>
      <w:r>
        <w:rPr>
          <w:spacing w:val="-2"/>
        </w:rPr>
        <w:t>的公允价值之和；对于购买日之前已经持有的被购买方的股权，按照购买日的公允价值进行重新计量，公</w:t>
      </w:r>
      <w:r>
        <w:rPr>
          <w:spacing w:val="-35"/>
        </w:rPr>
        <w:t> </w:t>
      </w:r>
      <w:r>
        <w:rPr>
          <w:spacing w:val="-35"/>
        </w:rPr>
      </w:r>
      <w:r>
        <w:rPr/>
        <w:t>允价值与其账面价值之间的差额计入当期收益；购买日之前已经持有的被购买方的股权涉及其他综合收</w:t>
      </w:r>
      <w:r>
        <w:rPr>
          <w:spacing w:val="62"/>
        </w:rPr>
        <w:t> </w:t>
      </w:r>
      <w:r>
        <w:rPr>
          <w:spacing w:val="62"/>
        </w:rPr>
      </w:r>
      <w:r>
        <w:rPr>
          <w:spacing w:val="-2"/>
        </w:rPr>
        <w:t>益、其他所有者权益变动应当转为购买日当期收益，由于被投资方重新计量设定收益计划净负债或净资产</w:t>
      </w:r>
      <w:r>
        <w:rPr>
          <w:spacing w:val="-35"/>
        </w:rPr>
        <w:t> </w:t>
      </w:r>
      <w:r>
        <w:rPr>
          <w:spacing w:val="-35"/>
        </w:rPr>
      </w:r>
      <w:r>
        <w:rPr/>
        <w:t>变动而产生的其他综合收益除外。</w:t>
      </w:r>
    </w:p>
    <w:p>
      <w:pPr>
        <w:pStyle w:val="BodyText"/>
        <w:spacing w:line="510" w:lineRule="atLeast" w:before="4"/>
        <w:ind w:left="575" w:right="109" w:hanging="423"/>
        <w:jc w:val="left"/>
      </w:pPr>
      <w:r>
        <w:rPr/>
        <w:t>（</w:t>
      </w:r>
      <w:r>
        <w:rPr>
          <w:rFonts w:ascii="Times New Roman" w:hAnsi="Times New Roman" w:cs="Times New Roman" w:eastAsia="Times New Roman" w:hint="default"/>
        </w:rPr>
        <w:t>3</w:t>
      </w:r>
      <w:r>
        <w:rPr/>
        <w:t>）企业合并中有关交易费用的处理</w:t>
      </w:r>
      <w:r>
        <w:rPr>
          <w:spacing w:val="-101"/>
        </w:rPr>
        <w:t> </w:t>
      </w:r>
      <w:r>
        <w:rPr>
          <w:spacing w:val="-101"/>
        </w:rPr>
      </w:r>
      <w:r>
        <w:rPr>
          <w:spacing w:val="-2"/>
        </w:rPr>
        <w:t>为进行企业合并发生的审计、法律服务、评估咨询等中介费用以及其他相关管理费用，于发生时计入</w:t>
      </w:r>
    </w:p>
    <w:p>
      <w:pPr>
        <w:pStyle w:val="BodyText"/>
        <w:spacing w:line="273" w:lineRule="auto" w:before="37"/>
        <w:ind w:right="222"/>
        <w:jc w:val="both"/>
      </w:pPr>
      <w:r>
        <w:rPr>
          <w:spacing w:val="-2"/>
        </w:rPr>
        <w:t>当期损益。作为合并对价发行的权益性证券或债务性证券的交易费用，计入权益性证券或债务性证券的初</w:t>
      </w:r>
      <w:r>
        <w:rPr>
          <w:spacing w:val="-35"/>
        </w:rPr>
        <w:t> </w:t>
      </w:r>
      <w:r>
        <w:rPr>
          <w:spacing w:val="-35"/>
        </w:rPr>
      </w:r>
      <w:r>
        <w:rPr/>
        <w:t>始确认金额。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8"/>
          <w:szCs w:val="18"/>
        </w:rPr>
      </w:pPr>
    </w:p>
    <w:p>
      <w:pPr>
        <w:pStyle w:val="Heading4"/>
        <w:spacing w:line="240" w:lineRule="auto"/>
        <w:ind w:right="109"/>
        <w:jc w:val="left"/>
        <w:rPr>
          <w:b w:val="0"/>
          <w:bCs w:val="0"/>
        </w:rPr>
      </w:pPr>
      <w:r>
        <w:rPr>
          <w:rFonts w:ascii="Times New Roman" w:hAnsi="Times New Roman" w:cs="Times New Roman" w:eastAsia="Times New Roman" w:hint="default"/>
        </w:rPr>
        <w:t>6</w:t>
      </w:r>
      <w:r>
        <w:rPr/>
        <w:t>、合并财务报表的编制方法</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40" w:lineRule="auto"/>
        <w:ind w:right="109"/>
        <w:jc w:val="left"/>
      </w:pPr>
      <w:r>
        <w:rPr/>
        <w:t>（</w:t>
      </w:r>
      <w:r>
        <w:rPr>
          <w:rFonts w:ascii="Times New Roman" w:hAnsi="Times New Roman" w:cs="Times New Roman" w:eastAsia="Times New Roman" w:hint="default"/>
        </w:rPr>
        <w:t>1</w:t>
      </w:r>
      <w:r>
        <w:rPr/>
        <w:t>）合并范围</w:t>
      </w:r>
    </w:p>
    <w:p>
      <w:pPr>
        <w:spacing w:line="240" w:lineRule="auto" w:before="2"/>
        <w:rPr>
          <w:rFonts w:ascii="宋体" w:hAnsi="宋体" w:cs="宋体" w:eastAsia="宋体" w:hint="default"/>
          <w:sz w:val="18"/>
          <w:szCs w:val="18"/>
        </w:rPr>
      </w:pPr>
    </w:p>
    <w:p>
      <w:pPr>
        <w:pStyle w:val="BodyText"/>
        <w:spacing w:line="273" w:lineRule="auto"/>
        <w:ind w:right="109" w:firstLine="422"/>
        <w:jc w:val="left"/>
      </w:pPr>
      <w:r>
        <w:rPr/>
        <w:t>合并财务报表的合并范围以控制为基础予以确定。控制是指本公司拥有对被投资单位的权力，通过参</w:t>
      </w:r>
      <w:r>
        <w:rPr>
          <w:w w:val="100"/>
        </w:rPr>
        <w:t> </w:t>
      </w:r>
      <w:r>
        <w:rPr>
          <w:spacing w:val="-4"/>
        </w:rPr>
        <w:t>与被投资单位的相关活动而享有可变回报，并且有能力运用对被投资单位的权力影响其回报金额。子公司，</w:t>
      </w:r>
      <w:r>
        <w:rPr>
          <w:spacing w:val="-44"/>
        </w:rPr>
        <w:t> </w:t>
      </w:r>
      <w:r>
        <w:rPr>
          <w:spacing w:val="-44"/>
        </w:rPr>
      </w:r>
      <w:r>
        <w:rPr/>
        <w:t>是指被本公司控制的主体（含企业、被投资单位中可分割的部分，以及企业所控制的结构化主体等）。</w:t>
      </w:r>
    </w:p>
    <w:p>
      <w:pPr>
        <w:spacing w:line="240" w:lineRule="auto" w:before="1"/>
        <w:rPr>
          <w:rFonts w:ascii="宋体" w:hAnsi="宋体" w:cs="宋体" w:eastAsia="宋体" w:hint="default"/>
          <w:sz w:val="17"/>
          <w:szCs w:val="17"/>
        </w:rPr>
      </w:pPr>
    </w:p>
    <w:p>
      <w:pPr>
        <w:pStyle w:val="BodyText"/>
        <w:spacing w:line="436" w:lineRule="auto"/>
        <w:ind w:left="575" w:right="109" w:hanging="423"/>
        <w:jc w:val="left"/>
      </w:pPr>
      <w:r>
        <w:rPr/>
        <w:t>（</w:t>
      </w:r>
      <w:r>
        <w:rPr>
          <w:rFonts w:ascii="Times New Roman" w:hAnsi="Times New Roman" w:cs="Times New Roman" w:eastAsia="Times New Roman" w:hint="default"/>
        </w:rPr>
        <w:t>2</w:t>
      </w:r>
      <w:r>
        <w:rPr/>
        <w:t>）合并财务报表的编制方法</w:t>
      </w:r>
      <w:r>
        <w:rPr>
          <w:spacing w:val="-100"/>
        </w:rPr>
        <w:t> </w:t>
      </w:r>
      <w:r>
        <w:rPr>
          <w:spacing w:val="-100"/>
        </w:rPr>
      </w:r>
      <w:r>
        <w:rPr>
          <w:spacing w:val="-2"/>
        </w:rPr>
        <w:t>合并财务报表以本公司和子公司的财务报表为基础，根据其他有关资料，由本公司编制。在编制合并</w:t>
      </w:r>
    </w:p>
    <w:p>
      <w:pPr>
        <w:spacing w:after="0" w:line="436" w:lineRule="auto"/>
        <w:jc w:val="left"/>
        <w:sectPr>
          <w:pgSz w:w="11900" w:h="16840"/>
          <w:pgMar w:header="872" w:footer="984" w:top="1060" w:bottom="1180" w:left="980" w:right="900"/>
        </w:sectPr>
      </w:pPr>
    </w:p>
    <w:p>
      <w:pPr>
        <w:spacing w:line="240" w:lineRule="auto" w:before="12"/>
        <w:rPr>
          <w:rFonts w:ascii="宋体" w:hAnsi="宋体" w:cs="宋体" w:eastAsia="宋体" w:hint="default"/>
          <w:sz w:val="24"/>
          <w:szCs w:val="24"/>
        </w:rPr>
      </w:pPr>
    </w:p>
    <w:p>
      <w:pPr>
        <w:pStyle w:val="BodyText"/>
        <w:spacing w:line="273" w:lineRule="auto" w:before="36"/>
        <w:ind w:right="109"/>
        <w:jc w:val="left"/>
      </w:pPr>
      <w:r>
        <w:rPr>
          <w:spacing w:val="-2"/>
        </w:rPr>
        <w:t>财务报表时，本公司和子公司的会计政策和会计期间要求保持一致，公司间的重大交易和往来余额予以抵</w:t>
      </w:r>
      <w:r>
        <w:rPr>
          <w:spacing w:val="-35"/>
        </w:rPr>
        <w:t> </w:t>
      </w:r>
      <w:r>
        <w:rPr>
          <w:spacing w:val="-35"/>
        </w:rPr>
      </w:r>
      <w:r>
        <w:rPr/>
        <w:t>销。</w:t>
      </w:r>
    </w:p>
    <w:p>
      <w:pPr>
        <w:spacing w:line="240" w:lineRule="auto" w:before="1"/>
        <w:rPr>
          <w:rFonts w:ascii="宋体" w:hAnsi="宋体" w:cs="宋体" w:eastAsia="宋体" w:hint="default"/>
          <w:sz w:val="17"/>
          <w:szCs w:val="17"/>
        </w:rPr>
      </w:pPr>
    </w:p>
    <w:p>
      <w:pPr>
        <w:pStyle w:val="BodyText"/>
        <w:spacing w:line="273" w:lineRule="auto"/>
        <w:ind w:right="222" w:firstLine="422"/>
        <w:jc w:val="both"/>
      </w:pPr>
      <w:r>
        <w:rPr>
          <w:spacing w:val="-2"/>
        </w:rPr>
        <w:t>在报告期内因同一控制下企业合并增加的子公司以及业务，视同该子公司以及业务自同受最终控制方</w:t>
      </w:r>
      <w:r>
        <w:rPr>
          <w:w w:val="100"/>
        </w:rPr>
        <w:t> </w:t>
      </w:r>
      <w:r>
        <w:rPr>
          <w:spacing w:val="-2"/>
        </w:rPr>
        <w:t>控制之日起纳入本公司的合并范围，将其自同受最终控制方控制之日起的经营成果和现金流量纳入合并利</w:t>
      </w:r>
      <w:r>
        <w:rPr>
          <w:spacing w:val="-34"/>
        </w:rPr>
        <w:t> </w:t>
      </w:r>
      <w:r>
        <w:rPr>
          <w:spacing w:val="-34"/>
        </w:rPr>
      </w:r>
      <w:r>
        <w:rPr/>
        <w:t>润表和合并现金流量表中。</w:t>
      </w:r>
    </w:p>
    <w:p>
      <w:pPr>
        <w:spacing w:line="240" w:lineRule="auto" w:before="1"/>
        <w:rPr>
          <w:rFonts w:ascii="宋体" w:hAnsi="宋体" w:cs="宋体" w:eastAsia="宋体" w:hint="default"/>
          <w:sz w:val="17"/>
          <w:szCs w:val="17"/>
        </w:rPr>
      </w:pPr>
    </w:p>
    <w:p>
      <w:pPr>
        <w:pStyle w:val="BodyText"/>
        <w:spacing w:line="273" w:lineRule="auto"/>
        <w:ind w:right="198" w:firstLine="422"/>
        <w:jc w:val="both"/>
      </w:pPr>
      <w:r>
        <w:rPr>
          <w:spacing w:val="-2"/>
        </w:rPr>
        <w:t>因非同一控制下企业合并增加的子公司以及业务，将该子公司以及业务自购买日至报告期末的收入、</w:t>
      </w:r>
      <w:r>
        <w:rPr>
          <w:w w:val="100"/>
        </w:rPr>
        <w:t> </w:t>
      </w:r>
      <w:r>
        <w:rPr/>
        <w:t>费用、利润纳入合并利润表，将其现金流量纳入合并现金流量表。</w:t>
      </w:r>
    </w:p>
    <w:p>
      <w:pPr>
        <w:spacing w:line="240" w:lineRule="auto" w:before="1"/>
        <w:rPr>
          <w:rFonts w:ascii="宋体" w:hAnsi="宋体" w:cs="宋体" w:eastAsia="宋体" w:hint="default"/>
          <w:sz w:val="17"/>
          <w:szCs w:val="17"/>
        </w:rPr>
      </w:pPr>
    </w:p>
    <w:p>
      <w:pPr>
        <w:pStyle w:val="BodyText"/>
        <w:spacing w:line="261" w:lineRule="auto"/>
        <w:ind w:right="228" w:firstLine="422"/>
        <w:jc w:val="both"/>
      </w:pPr>
      <w:r>
        <w:rPr>
          <w:spacing w:val="2"/>
        </w:rPr>
        <w:t>子公司的股东权益中不属于本公司所拥有的部分作为少数股东权益在合并资产负债表中股东权益项</w:t>
      </w:r>
      <w:r>
        <w:rPr>
          <w:w w:val="100"/>
        </w:rPr>
        <w:t> </w:t>
      </w:r>
      <w:r>
        <w:rPr/>
        <w:t>下单独列示。子公司当期净损益中属于少数股东权益的份额，在合并利润表中净利润项目下以</w:t>
      </w:r>
      <w:r>
        <w:rPr>
          <w:rFonts w:ascii="Times New Roman" w:hAnsi="Times New Roman" w:cs="Times New Roman" w:eastAsia="Times New Roman" w:hint="default"/>
        </w:rPr>
        <w:t>“</w:t>
      </w:r>
      <w:r>
        <w:rPr/>
        <w:t>少数股东</w:t>
      </w:r>
      <w:r>
        <w:rPr>
          <w:spacing w:val="-21"/>
        </w:rPr>
        <w:t> </w:t>
      </w:r>
      <w:r>
        <w:rPr/>
        <w:t>损益</w:t>
      </w:r>
      <w:r>
        <w:rPr>
          <w:rFonts w:ascii="Times New Roman" w:hAnsi="Times New Roman" w:cs="Times New Roman" w:eastAsia="Times New Roman" w:hint="default"/>
        </w:rPr>
        <w:t>”</w:t>
      </w:r>
      <w:r>
        <w:rPr/>
        <w:t>项目列示。少数股东分担的子公司的亏损超过了少数股东在该子公司期初所有者权益中所享有的份</w:t>
      </w:r>
      <w:r>
        <w:rPr>
          <w:spacing w:val="-23"/>
        </w:rPr>
        <w:t> </w:t>
      </w:r>
      <w:r>
        <w:rPr>
          <w:spacing w:val="-23"/>
        </w:rPr>
      </w:r>
      <w:r>
        <w:rPr/>
        <w:t>额，其余额仍冲减少数股东权益。</w:t>
      </w:r>
    </w:p>
    <w:p>
      <w:pPr>
        <w:spacing w:line="240" w:lineRule="auto" w:before="12"/>
        <w:rPr>
          <w:rFonts w:ascii="宋体" w:hAnsi="宋体" w:cs="宋体" w:eastAsia="宋体" w:hint="default"/>
          <w:sz w:val="17"/>
          <w:szCs w:val="17"/>
        </w:rPr>
      </w:pPr>
    </w:p>
    <w:p>
      <w:pPr>
        <w:pStyle w:val="BodyText"/>
        <w:spacing w:line="266" w:lineRule="auto"/>
        <w:ind w:right="202" w:firstLine="422"/>
        <w:jc w:val="both"/>
      </w:pPr>
      <w:r>
        <w:rPr>
          <w:spacing w:val="-2"/>
        </w:rPr>
        <w:t>对于购买子公司少数股权或因处置部分股权投资但没有丧失对该子公司控制权的交易，作为权益性交</w:t>
      </w:r>
      <w:r>
        <w:rPr>
          <w:w w:val="100"/>
        </w:rPr>
        <w:t> </w:t>
      </w:r>
      <w:r>
        <w:rPr>
          <w:spacing w:val="-2"/>
        </w:rPr>
        <w:t>易核算，调整归属于母公司所有者权益和少数股东权益的账面价值以反映其在子公司中相关权益的变化。</w:t>
      </w:r>
      <w:r>
        <w:rPr>
          <w:spacing w:val="-15"/>
        </w:rPr>
        <w:t> </w:t>
      </w:r>
      <w:r>
        <w:rPr>
          <w:spacing w:val="-15"/>
        </w:rPr>
      </w:r>
      <w:r>
        <w:rPr>
          <w:spacing w:val="-4"/>
        </w:rPr>
        <w:t>少数股东权益的调整额与支付</w:t>
      </w:r>
      <w:r>
        <w:rPr>
          <w:rFonts w:ascii="Times New Roman" w:hAnsi="Times New Roman" w:cs="Times New Roman" w:eastAsia="Times New Roman" w:hint="default"/>
          <w:spacing w:val="-4"/>
        </w:rPr>
        <w:t>/</w:t>
      </w:r>
      <w:r>
        <w:rPr>
          <w:spacing w:val="-4"/>
        </w:rPr>
        <w:t>收到对价的公允价值之间的差额调整资本公积，资本公积不足冲减的，调整</w:t>
      </w:r>
      <w:r>
        <w:rPr>
          <w:spacing w:val="-6"/>
        </w:rPr>
        <w:t> </w:t>
      </w:r>
      <w:r>
        <w:rPr>
          <w:spacing w:val="-6"/>
        </w:rPr>
      </w:r>
      <w:r>
        <w:rPr/>
        <w:t>留存收益。</w:t>
      </w:r>
    </w:p>
    <w:p>
      <w:pPr>
        <w:pStyle w:val="BodyText"/>
        <w:spacing w:line="510" w:lineRule="atLeast" w:before="10"/>
        <w:ind w:left="575" w:right="109" w:hanging="423"/>
        <w:jc w:val="left"/>
      </w:pPr>
      <w:r>
        <w:rPr/>
        <w:t>（</w:t>
      </w:r>
      <w:r>
        <w:rPr>
          <w:rFonts w:ascii="Times New Roman" w:hAnsi="Times New Roman" w:cs="Times New Roman" w:eastAsia="Times New Roman" w:hint="default"/>
        </w:rPr>
        <w:t>3</w:t>
      </w:r>
      <w:r>
        <w:rPr/>
        <w:t>）丧失子公司控制权的处理</w:t>
      </w:r>
      <w:r>
        <w:rPr>
          <w:spacing w:val="-100"/>
        </w:rPr>
        <w:t> </w:t>
      </w:r>
      <w:r>
        <w:rPr>
          <w:spacing w:val="-100"/>
        </w:rPr>
      </w:r>
      <w:r>
        <w:rPr>
          <w:spacing w:val="-2"/>
        </w:rPr>
        <w:t>因处置部分股权投资或其他原因丧失了对原有子公司控制权的，剩余股权按照其在丧失控制权日的公</w:t>
      </w:r>
    </w:p>
    <w:p>
      <w:pPr>
        <w:pStyle w:val="BodyText"/>
        <w:spacing w:line="273" w:lineRule="auto" w:before="37"/>
        <w:ind w:right="109"/>
        <w:jc w:val="left"/>
      </w:pPr>
      <w:r>
        <w:rPr/>
        <w:t>允价值进行重新计量；处置股权取得的对价与剩余股权公允价值之和，减去按原持股比例计算应享有原子</w:t>
      </w:r>
      <w:r>
        <w:rPr>
          <w:w w:val="100"/>
        </w:rPr>
        <w:t> </w:t>
      </w:r>
      <w:r>
        <w:rPr>
          <w:spacing w:val="-4"/>
        </w:rPr>
        <w:t>公司自购买日开始持续计算的净资产的份额之间的差额，计入丧失控制权当期的投资收益，同时冲减商誉。</w:t>
      </w:r>
    </w:p>
    <w:p>
      <w:pPr>
        <w:spacing w:line="240" w:lineRule="auto" w:before="1"/>
        <w:rPr>
          <w:rFonts w:ascii="宋体" w:hAnsi="宋体" w:cs="宋体" w:eastAsia="宋体" w:hint="default"/>
          <w:sz w:val="17"/>
          <w:szCs w:val="17"/>
        </w:rPr>
      </w:pPr>
    </w:p>
    <w:p>
      <w:pPr>
        <w:pStyle w:val="BodyText"/>
        <w:spacing w:line="273" w:lineRule="auto"/>
        <w:ind w:right="222" w:firstLine="422"/>
        <w:jc w:val="both"/>
      </w:pPr>
      <w:r>
        <w:rPr>
          <w:spacing w:val="-2"/>
        </w:rPr>
        <w:t>与原有子公司的股权投资相关的其他综合收益、其他所有者权益变动，应当在丧失控制权时转入当期</w:t>
      </w:r>
      <w:r>
        <w:rPr>
          <w:w w:val="100"/>
        </w:rPr>
        <w:t> </w:t>
      </w:r>
      <w:r>
        <w:rPr/>
        <w:t>损益，由于被投资方重新计量设定收益计划净负债或净资产变动而产生的其他综合收益除外。</w:t>
      </w:r>
    </w:p>
    <w:p>
      <w:pPr>
        <w:pStyle w:val="BodyText"/>
        <w:spacing w:line="510" w:lineRule="atLeast" w:before="4"/>
        <w:ind w:left="575" w:right="109" w:hanging="423"/>
        <w:jc w:val="left"/>
      </w:pPr>
      <w:r>
        <w:rPr/>
        <w:t>（</w:t>
      </w:r>
      <w:r>
        <w:rPr>
          <w:rFonts w:ascii="Times New Roman" w:hAnsi="Times New Roman" w:cs="Times New Roman" w:eastAsia="Times New Roman" w:hint="default"/>
        </w:rPr>
        <w:t>4</w:t>
      </w:r>
      <w:r>
        <w:rPr/>
        <w:t>）分步处置股权至丧失控制权的特殊处理</w:t>
      </w:r>
      <w:r>
        <w:rPr>
          <w:spacing w:val="-103"/>
        </w:rPr>
        <w:t> </w:t>
      </w:r>
      <w:r>
        <w:rPr>
          <w:spacing w:val="-103"/>
        </w:rPr>
      </w:r>
      <w:r>
        <w:rPr>
          <w:spacing w:val="-2"/>
        </w:rPr>
        <w:t>分步处置股权至丧失控制权的各项交易的条款、条件以及经济影响符合以下一种或多种情况，本公司</w:t>
      </w:r>
    </w:p>
    <w:p>
      <w:pPr>
        <w:pStyle w:val="BodyText"/>
        <w:spacing w:line="240" w:lineRule="auto" w:before="37"/>
        <w:ind w:right="109"/>
        <w:jc w:val="left"/>
      </w:pPr>
      <w:r>
        <w:rPr/>
        <w:t>将多次交易事项作为一揽子交易进行会计处理：</w:t>
      </w:r>
    </w:p>
    <w:p>
      <w:pPr>
        <w:spacing w:line="240" w:lineRule="auto" w:before="5"/>
        <w:rPr>
          <w:rFonts w:ascii="宋体" w:hAnsi="宋体" w:cs="宋体" w:eastAsia="宋体" w:hint="default"/>
          <w:sz w:val="19"/>
          <w:szCs w:val="19"/>
        </w:rPr>
      </w:pPr>
    </w:p>
    <w:p>
      <w:pPr>
        <w:pStyle w:val="BodyText"/>
        <w:spacing w:line="240" w:lineRule="auto"/>
        <w:ind w:right="109"/>
        <w:jc w:val="left"/>
      </w:pPr>
      <w:r>
        <w:rPr/>
        <w:t>①这些交易是同时或者在考虑了彼此影响的情况下订立的；</w:t>
      </w:r>
    </w:p>
    <w:p>
      <w:pPr>
        <w:spacing w:line="240" w:lineRule="auto" w:before="5"/>
        <w:rPr>
          <w:rFonts w:ascii="宋体" w:hAnsi="宋体" w:cs="宋体" w:eastAsia="宋体" w:hint="default"/>
          <w:sz w:val="19"/>
          <w:szCs w:val="19"/>
        </w:rPr>
      </w:pPr>
    </w:p>
    <w:p>
      <w:pPr>
        <w:pStyle w:val="BodyText"/>
        <w:spacing w:line="240" w:lineRule="auto"/>
        <w:ind w:right="109"/>
        <w:jc w:val="left"/>
      </w:pPr>
      <w:r>
        <w:rPr/>
        <w:t>②这些交易整体才能达成一项完整的商业结果；</w:t>
      </w:r>
    </w:p>
    <w:p>
      <w:pPr>
        <w:spacing w:line="240" w:lineRule="auto" w:before="5"/>
        <w:rPr>
          <w:rFonts w:ascii="宋体" w:hAnsi="宋体" w:cs="宋体" w:eastAsia="宋体" w:hint="default"/>
          <w:sz w:val="19"/>
          <w:szCs w:val="19"/>
        </w:rPr>
      </w:pPr>
    </w:p>
    <w:p>
      <w:pPr>
        <w:pStyle w:val="BodyText"/>
        <w:spacing w:line="240" w:lineRule="auto"/>
        <w:ind w:right="109"/>
        <w:jc w:val="left"/>
      </w:pPr>
      <w:r>
        <w:rPr/>
        <w:t>③一项交易的发生取决于其他至少一项交易的发生；</w:t>
      </w:r>
    </w:p>
    <w:p>
      <w:pPr>
        <w:pStyle w:val="BodyText"/>
        <w:spacing w:line="530" w:lineRule="atLeast"/>
        <w:ind w:left="575" w:right="109" w:hanging="423"/>
        <w:jc w:val="left"/>
      </w:pPr>
      <w:r>
        <w:rPr/>
        <w:t>④一项交易单独看是不经济的，但是和其他交易一并考虑时是经济的。</w:t>
      </w:r>
      <w:r>
        <w:rPr>
          <w:w w:val="100"/>
        </w:rPr>
        <w:t> </w:t>
      </w:r>
      <w:r>
        <w:rPr>
          <w:spacing w:val="-2"/>
        </w:rPr>
        <w:t>分步处置股权至丧失控制权的各项交易，在个别财务报表中，相应结转每一次处置股权相对应的长期</w:t>
      </w:r>
    </w:p>
    <w:p>
      <w:pPr>
        <w:pStyle w:val="BodyText"/>
        <w:spacing w:line="240" w:lineRule="auto" w:before="37"/>
        <w:ind w:right="109"/>
        <w:jc w:val="left"/>
      </w:pPr>
      <w:r>
        <w:rPr/>
        <w:t>股权投资的账面价值，所得价款与处置长期股权投资账面价值之间的差额计入当期投资收益。</w:t>
      </w:r>
    </w:p>
    <w:p>
      <w:pPr>
        <w:spacing w:line="240" w:lineRule="auto" w:before="5"/>
        <w:rPr>
          <w:rFonts w:ascii="宋体" w:hAnsi="宋体" w:cs="宋体" w:eastAsia="宋体" w:hint="default"/>
          <w:sz w:val="19"/>
          <w:szCs w:val="19"/>
        </w:rPr>
      </w:pPr>
    </w:p>
    <w:p>
      <w:pPr>
        <w:pStyle w:val="BodyText"/>
        <w:spacing w:line="264" w:lineRule="auto"/>
        <w:ind w:right="217" w:firstLine="422"/>
        <w:jc w:val="both"/>
      </w:pPr>
      <w:r>
        <w:rPr>
          <w:spacing w:val="-2"/>
        </w:rPr>
        <w:t>在合并财务报表中，分步处置股权至丧失控制权时，剩余股权的计量以及有关处置股权损益的核算比</w:t>
      </w:r>
      <w:r>
        <w:rPr>
          <w:w w:val="100"/>
        </w:rPr>
        <w:t> </w:t>
      </w:r>
      <w:r>
        <w:rPr>
          <w:spacing w:val="-2"/>
        </w:rPr>
        <w:t>照上述</w:t>
      </w:r>
      <w:r>
        <w:rPr>
          <w:rFonts w:ascii="Times New Roman" w:hAnsi="Times New Roman" w:cs="Times New Roman" w:eastAsia="Times New Roman" w:hint="default"/>
          <w:spacing w:val="-2"/>
        </w:rPr>
        <w:t>“</w:t>
      </w:r>
      <w:r>
        <w:rPr>
          <w:spacing w:val="-2"/>
        </w:rPr>
        <w:t>丧失子公司控制权的处理</w:t>
      </w:r>
      <w:r>
        <w:rPr>
          <w:rFonts w:ascii="Times New Roman" w:hAnsi="Times New Roman" w:cs="Times New Roman" w:eastAsia="Times New Roman" w:hint="default"/>
          <w:spacing w:val="-2"/>
        </w:rPr>
        <w:t>”</w:t>
      </w:r>
      <w:r>
        <w:rPr>
          <w:spacing w:val="-2"/>
        </w:rPr>
        <w:t>。在丧失控制权之前每一次处置价款与处置投资对应的享有该子公司净</w:t>
      </w:r>
      <w:r>
        <w:rPr>
          <w:spacing w:val="-14"/>
        </w:rPr>
        <w:t> </w:t>
      </w:r>
      <w:r>
        <w:rPr>
          <w:spacing w:val="-14"/>
        </w:rPr>
      </w:r>
      <w:r>
        <w:rPr/>
        <w:t>资产份额的差额：</w:t>
      </w:r>
    </w:p>
    <w:p>
      <w:pPr>
        <w:spacing w:after="0" w:line="264" w:lineRule="auto"/>
        <w:jc w:val="both"/>
        <w:sectPr>
          <w:pgSz w:w="11900" w:h="16840"/>
          <w:pgMar w:header="872" w:footer="984" w:top="1060" w:bottom="1180" w:left="980" w:right="900"/>
        </w:sectPr>
      </w:pPr>
    </w:p>
    <w:p>
      <w:pPr>
        <w:spacing w:line="240" w:lineRule="auto" w:before="12"/>
        <w:rPr>
          <w:rFonts w:ascii="宋体" w:hAnsi="宋体" w:cs="宋体" w:eastAsia="宋体" w:hint="default"/>
          <w:sz w:val="24"/>
          <w:szCs w:val="24"/>
        </w:rPr>
      </w:pPr>
    </w:p>
    <w:p>
      <w:pPr>
        <w:pStyle w:val="BodyText"/>
        <w:spacing w:line="240" w:lineRule="auto" w:before="36"/>
        <w:ind w:right="109"/>
        <w:jc w:val="left"/>
      </w:pPr>
      <w:r>
        <w:rPr/>
        <w:t>①属于</w:t>
      </w:r>
      <w:r>
        <w:rPr>
          <w:rFonts w:ascii="Times New Roman" w:hAnsi="Times New Roman" w:cs="Times New Roman" w:eastAsia="Times New Roman" w:hint="default"/>
        </w:rPr>
        <w:t>“</w:t>
      </w:r>
      <w:r>
        <w:rPr/>
        <w:t>一揽子交易</w:t>
      </w:r>
      <w:r>
        <w:rPr>
          <w:rFonts w:ascii="Times New Roman" w:hAnsi="Times New Roman" w:cs="Times New Roman" w:eastAsia="Times New Roman" w:hint="default"/>
        </w:rPr>
        <w:t>”</w:t>
      </w:r>
      <w:r>
        <w:rPr/>
        <w:t>的，确认为其他综合收益。在丧失控制权时一并转入丧失控制权当期的损益。</w:t>
      </w:r>
    </w:p>
    <w:p>
      <w:pPr>
        <w:spacing w:line="240" w:lineRule="auto" w:before="2"/>
        <w:rPr>
          <w:rFonts w:ascii="宋体" w:hAnsi="宋体" w:cs="宋体" w:eastAsia="宋体" w:hint="default"/>
          <w:sz w:val="18"/>
          <w:szCs w:val="18"/>
        </w:rPr>
      </w:pPr>
    </w:p>
    <w:p>
      <w:pPr>
        <w:pStyle w:val="BodyText"/>
        <w:spacing w:line="256" w:lineRule="auto"/>
        <w:ind w:right="109"/>
        <w:jc w:val="left"/>
      </w:pPr>
      <w:r>
        <w:rPr>
          <w:spacing w:val="-2"/>
        </w:rPr>
        <w:t>②不属于</w:t>
      </w:r>
      <w:r>
        <w:rPr>
          <w:rFonts w:ascii="Times New Roman" w:hAnsi="Times New Roman" w:cs="Times New Roman" w:eastAsia="Times New Roman" w:hint="default"/>
          <w:spacing w:val="-2"/>
        </w:rPr>
        <w:t>“</w:t>
      </w:r>
      <w:r>
        <w:rPr>
          <w:spacing w:val="-2"/>
        </w:rPr>
        <w:t>一揽子交易</w:t>
      </w:r>
      <w:r>
        <w:rPr>
          <w:rFonts w:ascii="Times New Roman" w:hAnsi="Times New Roman" w:cs="Times New Roman" w:eastAsia="Times New Roman" w:hint="default"/>
          <w:spacing w:val="-2"/>
        </w:rPr>
        <w:t>”</w:t>
      </w:r>
      <w:r>
        <w:rPr>
          <w:spacing w:val="-2"/>
        </w:rPr>
        <w:t>的，作为权益性交易计入资本公积。在丧失控制权时不得转入丧失控制权当期的损</w:t>
      </w:r>
      <w:r>
        <w:rPr>
          <w:spacing w:val="-15"/>
        </w:rPr>
        <w:t> </w:t>
      </w:r>
      <w:r>
        <w:rPr>
          <w:spacing w:val="-15"/>
        </w:rPr>
      </w:r>
      <w:r>
        <w:rPr/>
        <w:t>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4"/>
        <w:spacing w:line="240" w:lineRule="auto"/>
        <w:ind w:right="109"/>
        <w:jc w:val="left"/>
        <w:rPr>
          <w:b w:val="0"/>
          <w:bCs w:val="0"/>
        </w:rPr>
      </w:pPr>
      <w:r>
        <w:rPr>
          <w:rFonts w:ascii="Times New Roman" w:hAnsi="Times New Roman" w:cs="Times New Roman" w:eastAsia="Times New Roman" w:hint="default"/>
        </w:rPr>
        <w:t>7</w:t>
      </w:r>
      <w:r>
        <w:rPr/>
        <w:t>、合营安排分类及共同经营会计处理方法</w:t>
      </w:r>
      <w:r>
        <w:rPr>
          <w:b w:val="0"/>
          <w:bCs w:val="0"/>
        </w:rPr>
      </w:r>
    </w:p>
    <w:p>
      <w:pPr>
        <w:spacing w:line="240" w:lineRule="auto" w:before="6"/>
        <w:rPr>
          <w:rFonts w:ascii="Microsoft JhengHei" w:hAnsi="Microsoft JhengHei" w:cs="Microsoft JhengHei" w:eastAsia="Microsoft JhengHei" w:hint="default"/>
          <w:b/>
          <w:bCs/>
          <w:sz w:val="19"/>
          <w:szCs w:val="19"/>
        </w:rPr>
      </w:pPr>
    </w:p>
    <w:p>
      <w:pPr>
        <w:spacing w:before="0"/>
        <w:ind w:left="152" w:right="109" w:firstLine="0"/>
        <w:jc w:val="left"/>
        <w:rPr>
          <w:rFonts w:ascii="宋体" w:hAnsi="宋体" w:cs="宋体" w:eastAsia="宋体" w:hint="default"/>
          <w:sz w:val="18"/>
          <w:szCs w:val="18"/>
        </w:rPr>
      </w:pPr>
      <w:r>
        <w:rPr>
          <w:rFonts w:ascii="宋体" w:hAnsi="宋体" w:cs="宋体" w:eastAsia="宋体" w:hint="default"/>
          <w:sz w:val="18"/>
          <w:szCs w:val="18"/>
        </w:rPr>
        <w:t>不适用</w:t>
      </w:r>
    </w:p>
    <w:p>
      <w:pPr>
        <w:spacing w:line="240" w:lineRule="auto" w:before="12"/>
        <w:rPr>
          <w:rFonts w:ascii="宋体" w:hAnsi="宋体" w:cs="宋体" w:eastAsia="宋体" w:hint="default"/>
          <w:sz w:val="21"/>
          <w:szCs w:val="21"/>
        </w:rPr>
      </w:pPr>
    </w:p>
    <w:p>
      <w:pPr>
        <w:pStyle w:val="Heading4"/>
        <w:spacing w:line="240" w:lineRule="auto"/>
        <w:ind w:right="109"/>
        <w:jc w:val="left"/>
        <w:rPr>
          <w:b w:val="0"/>
          <w:bCs w:val="0"/>
        </w:rPr>
      </w:pPr>
      <w:r>
        <w:rPr>
          <w:rFonts w:ascii="Times New Roman" w:hAnsi="Times New Roman" w:cs="Times New Roman" w:eastAsia="Times New Roman" w:hint="default"/>
        </w:rPr>
        <w:t>8</w:t>
      </w:r>
      <w:r>
        <w:rPr/>
        <w:t>、现金及现金等价物的确定标准</w:t>
      </w:r>
      <w:r>
        <w:rPr>
          <w:b w:val="0"/>
          <w:bCs w:val="0"/>
        </w:rPr>
      </w:r>
    </w:p>
    <w:p>
      <w:pPr>
        <w:spacing w:line="240" w:lineRule="auto" w:before="2"/>
        <w:rPr>
          <w:rFonts w:ascii="Microsoft JhengHei" w:hAnsi="Microsoft JhengHei" w:cs="Microsoft JhengHei" w:eastAsia="Microsoft JhengHei" w:hint="default"/>
          <w:b/>
          <w:bCs/>
          <w:sz w:val="18"/>
          <w:szCs w:val="18"/>
        </w:rPr>
      </w:pPr>
    </w:p>
    <w:p>
      <w:pPr>
        <w:pStyle w:val="BodyText"/>
        <w:spacing w:line="273" w:lineRule="auto"/>
        <w:ind w:right="109" w:firstLine="422"/>
        <w:jc w:val="left"/>
      </w:pPr>
      <w:r>
        <w:rPr>
          <w:spacing w:val="-5"/>
        </w:rPr>
        <w:t>现金是指库存现金以及可以随时用于支付的存款。现金等价物，是指本公司持有的期限短、流动性强、</w:t>
      </w:r>
      <w:r>
        <w:rPr>
          <w:w w:val="100"/>
        </w:rPr>
        <w:t> </w:t>
      </w:r>
      <w:r>
        <w:rPr/>
        <w:t>易于转换为已知金额现金、价值变动风险很小的投资。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8"/>
          <w:szCs w:val="18"/>
        </w:rPr>
      </w:pPr>
    </w:p>
    <w:p>
      <w:pPr>
        <w:pStyle w:val="Heading4"/>
        <w:spacing w:line="400" w:lineRule="auto"/>
        <w:ind w:right="575"/>
        <w:jc w:val="left"/>
        <w:rPr>
          <w:b w:val="0"/>
          <w:bCs w:val="0"/>
        </w:rPr>
      </w:pPr>
      <w:r>
        <w:rPr>
          <w:rFonts w:ascii="Times New Roman" w:hAnsi="Times New Roman" w:cs="Times New Roman" w:eastAsia="Times New Roman" w:hint="default"/>
        </w:rPr>
        <w:t>9</w:t>
      </w:r>
      <w:r>
        <w:rPr/>
        <w:t>、外币业务和外币报表折算</w:t>
      </w:r>
      <w:r>
        <w:rPr>
          <w:spacing w:val="-39"/>
        </w:rPr>
        <w:t> </w:t>
      </w:r>
      <w:r>
        <w:rPr>
          <w:spacing w:val="-1"/>
        </w:rPr>
        <w:t>本公司发生外币业务，按交易发生日的即期汇率折算为记账本位币金额。</w:t>
      </w:r>
      <w:r>
        <w:rPr>
          <w:b w:val="0"/>
          <w:bCs w:val="0"/>
          <w:spacing w:val="-1"/>
        </w:rPr>
      </w:r>
    </w:p>
    <w:p>
      <w:pPr>
        <w:pStyle w:val="BodyText"/>
        <w:spacing w:line="273" w:lineRule="auto" w:before="123"/>
        <w:ind w:right="222" w:firstLine="422"/>
        <w:jc w:val="both"/>
      </w:pPr>
      <w:r>
        <w:rPr>
          <w:spacing w:val="-2"/>
        </w:rPr>
        <w:t>资产负债表日，对外币货币性项目，采用资产负债表日即期汇率折算。因资产负债表日即期汇率与初</w:t>
      </w:r>
      <w:r>
        <w:rPr>
          <w:w w:val="100"/>
        </w:rPr>
        <w:t> </w:t>
      </w:r>
      <w:r>
        <w:rPr>
          <w:spacing w:val="-2"/>
        </w:rPr>
        <w:t>始确认时或者前一资产负债表日即期汇率不同而产生的汇兑差额，计入当期损益；对以历史成本计量的外</w:t>
      </w:r>
      <w:r>
        <w:rPr>
          <w:spacing w:val="-35"/>
        </w:rPr>
        <w:t> </w:t>
      </w:r>
      <w:r>
        <w:rPr>
          <w:spacing w:val="-35"/>
        </w:rPr>
      </w:r>
      <w:r>
        <w:rPr>
          <w:spacing w:val="-2"/>
        </w:rPr>
        <w:t>币非货币性项目，仍采用交易发生日的即期汇率折算；对以公允价值计量的外币非货币性项目，采用公允</w:t>
      </w:r>
      <w:r>
        <w:rPr>
          <w:spacing w:val="-35"/>
        </w:rPr>
        <w:t> </w:t>
      </w:r>
      <w:r>
        <w:rPr>
          <w:spacing w:val="-35"/>
        </w:rPr>
      </w:r>
      <w:r>
        <w:rPr/>
        <w:t>价值确定日的即期汇率折算，折算后的记账本位币金额与原记账本位币金额的差额，计入当期损益。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8"/>
          <w:szCs w:val="18"/>
        </w:rPr>
      </w:pPr>
    </w:p>
    <w:p>
      <w:pPr>
        <w:pStyle w:val="Heading4"/>
        <w:spacing w:line="240" w:lineRule="auto"/>
        <w:ind w:right="109"/>
        <w:jc w:val="left"/>
        <w:rPr>
          <w:b w:val="0"/>
          <w:bCs w:val="0"/>
        </w:rPr>
      </w:pPr>
      <w:r>
        <w:rPr>
          <w:rFonts w:ascii="Times New Roman" w:hAnsi="Times New Roman" w:cs="Times New Roman" w:eastAsia="Times New Roman" w:hint="default"/>
        </w:rPr>
        <w:t>10</w:t>
      </w:r>
      <w:r>
        <w:rPr/>
        <w:t>、金融工具</w:t>
      </w:r>
      <w:r>
        <w:rPr>
          <w:b w:val="0"/>
          <w:bCs w:val="0"/>
        </w:rPr>
      </w:r>
    </w:p>
    <w:p>
      <w:pPr>
        <w:spacing w:line="240" w:lineRule="auto" w:before="2"/>
        <w:rPr>
          <w:rFonts w:ascii="Microsoft JhengHei" w:hAnsi="Microsoft JhengHei" w:cs="Microsoft JhengHei" w:eastAsia="Microsoft JhengHei" w:hint="default"/>
          <w:b/>
          <w:bCs/>
          <w:sz w:val="18"/>
          <w:szCs w:val="18"/>
        </w:rPr>
      </w:pPr>
    </w:p>
    <w:p>
      <w:pPr>
        <w:pStyle w:val="BodyText"/>
        <w:spacing w:line="240" w:lineRule="auto"/>
        <w:ind w:left="575" w:right="109"/>
        <w:jc w:val="left"/>
      </w:pPr>
      <w:r>
        <w:rPr/>
        <w:t>金融工具是指形成一个企业的金融资产，并形成其他单位的金融负债或权益工具的合同。</w:t>
      </w:r>
    </w:p>
    <w:p>
      <w:pPr>
        <w:spacing w:line="240" w:lineRule="auto" w:before="5"/>
        <w:rPr>
          <w:rFonts w:ascii="宋体" w:hAnsi="宋体" w:cs="宋体" w:eastAsia="宋体" w:hint="default"/>
          <w:sz w:val="19"/>
          <w:szCs w:val="19"/>
        </w:rPr>
      </w:pPr>
    </w:p>
    <w:p>
      <w:pPr>
        <w:pStyle w:val="BodyText"/>
        <w:spacing w:line="448" w:lineRule="auto"/>
        <w:ind w:left="575" w:right="222"/>
        <w:jc w:val="left"/>
      </w:pPr>
      <w:r>
        <w:rPr/>
        <w:t>（</w:t>
      </w:r>
      <w:r>
        <w:rPr>
          <w:rFonts w:ascii="Times New Roman" w:hAnsi="Times New Roman" w:cs="Times New Roman" w:eastAsia="Times New Roman" w:hint="default"/>
        </w:rPr>
        <w:t>1</w:t>
      </w:r>
      <w:r>
        <w:rPr/>
        <w:t>）金融工具的确认和终止确认</w:t>
      </w:r>
      <w:r>
        <w:rPr>
          <w:w w:val="100"/>
        </w:rPr>
        <w:t> </w:t>
      </w:r>
      <w:r>
        <w:rPr>
          <w:spacing w:val="-2"/>
        </w:rPr>
        <w:t>本公司于成为金融工具合同的一方时确认一项金融资产或金融负债。</w:t>
      </w:r>
      <w:r>
        <w:rPr>
          <w:spacing w:val="-46"/>
        </w:rPr>
        <w:t> </w:t>
      </w:r>
      <w:r>
        <w:rPr>
          <w:spacing w:val="-46"/>
        </w:rPr>
      </w:r>
      <w:r>
        <w:rPr/>
        <w:t>金融资产满足下列条件之一的，终止确认：</w:t>
      </w:r>
    </w:p>
    <w:p>
      <w:pPr>
        <w:pStyle w:val="BodyText"/>
        <w:spacing w:line="240" w:lineRule="auto" w:before="70"/>
        <w:ind w:left="575" w:right="109"/>
        <w:jc w:val="left"/>
      </w:pPr>
      <w:r>
        <w:rPr/>
        <w:t>①</w:t>
      </w:r>
      <w:r>
        <w:rPr>
          <w:spacing w:val="-21"/>
        </w:rPr>
        <w:t> </w:t>
      </w:r>
      <w:r>
        <w:rPr/>
        <w:t>收取该金融资产现金流量的合同权利终止；</w:t>
      </w:r>
    </w:p>
    <w:p>
      <w:pPr>
        <w:pStyle w:val="BodyText"/>
        <w:spacing w:line="520" w:lineRule="atLeast" w:before="8"/>
        <w:ind w:left="575" w:right="109"/>
        <w:jc w:val="left"/>
      </w:pPr>
      <w:r>
        <w:rPr/>
        <w:t>②</w:t>
      </w:r>
      <w:r>
        <w:rPr>
          <w:spacing w:val="-20"/>
        </w:rPr>
        <w:t> </w:t>
      </w:r>
      <w:r>
        <w:rPr/>
        <w:t>该金融资产已转移，且符合下述金融资产转移的终止确认条件。</w:t>
      </w:r>
      <w:r>
        <w:rPr>
          <w:w w:val="100"/>
        </w:rPr>
        <w:t> </w:t>
      </w:r>
      <w:r>
        <w:rPr>
          <w:spacing w:val="-2"/>
        </w:rPr>
        <w:t>金融负债的现时义务全部或部分已经解除的，终止确认该金融负债或其一部分。本公司（债务人）与</w:t>
      </w:r>
    </w:p>
    <w:p>
      <w:pPr>
        <w:pStyle w:val="BodyText"/>
        <w:spacing w:line="273" w:lineRule="auto" w:before="37"/>
        <w:ind w:right="109"/>
        <w:jc w:val="left"/>
      </w:pPr>
      <w:r>
        <w:rPr>
          <w:spacing w:val="-2"/>
        </w:rPr>
        <w:t>债权人之间签订协议，以承担新金融负债方式替换现存金融负债，且新金融负债与现存金融负债的合同条</w:t>
      </w:r>
      <w:r>
        <w:rPr>
          <w:spacing w:val="-35"/>
        </w:rPr>
        <w:t> </w:t>
      </w:r>
      <w:r>
        <w:rPr>
          <w:spacing w:val="-35"/>
        </w:rPr>
      </w:r>
      <w:r>
        <w:rPr/>
        <w:t>款实质上不同的，终止确认现存金融负债，并同时确认新金融负债。</w:t>
      </w:r>
    </w:p>
    <w:p>
      <w:pPr>
        <w:spacing w:line="240" w:lineRule="auto" w:before="1"/>
        <w:rPr>
          <w:rFonts w:ascii="宋体" w:hAnsi="宋体" w:cs="宋体" w:eastAsia="宋体" w:hint="default"/>
          <w:sz w:val="17"/>
          <w:szCs w:val="17"/>
        </w:rPr>
      </w:pPr>
    </w:p>
    <w:p>
      <w:pPr>
        <w:pStyle w:val="BodyText"/>
        <w:spacing w:line="240" w:lineRule="auto"/>
        <w:ind w:left="575" w:right="109"/>
        <w:jc w:val="left"/>
      </w:pPr>
      <w:r>
        <w:rPr/>
        <w:t>以常规方式买卖金融资产，按交易日进行会计确认和终止确认。</w:t>
      </w:r>
    </w:p>
    <w:p>
      <w:pPr>
        <w:spacing w:after="0" w:line="240" w:lineRule="auto"/>
        <w:jc w:val="left"/>
        <w:sectPr>
          <w:pgSz w:w="11900" w:h="16840"/>
          <w:pgMar w:header="872" w:footer="984" w:top="1060" w:bottom="1180" w:left="980" w:right="900"/>
        </w:sectPr>
      </w:pPr>
    </w:p>
    <w:p>
      <w:pPr>
        <w:spacing w:line="240" w:lineRule="auto" w:before="12"/>
        <w:rPr>
          <w:rFonts w:ascii="宋体" w:hAnsi="宋体" w:cs="宋体" w:eastAsia="宋体" w:hint="default"/>
          <w:sz w:val="24"/>
          <w:szCs w:val="24"/>
        </w:rPr>
      </w:pPr>
    </w:p>
    <w:p>
      <w:pPr>
        <w:pStyle w:val="BodyText"/>
        <w:spacing w:line="240" w:lineRule="auto" w:before="36"/>
        <w:ind w:left="575" w:right="0"/>
        <w:jc w:val="left"/>
      </w:pPr>
      <w:r>
        <w:rPr/>
        <w:t>（</w:t>
      </w:r>
      <w:r>
        <w:rPr>
          <w:rFonts w:ascii="Times New Roman" w:hAnsi="Times New Roman" w:cs="Times New Roman" w:eastAsia="Times New Roman" w:hint="default"/>
        </w:rPr>
        <w:t>2</w:t>
      </w:r>
      <w:r>
        <w:rPr/>
        <w:t>）金融资产分类和计量</w:t>
      </w:r>
    </w:p>
    <w:p>
      <w:pPr>
        <w:spacing w:line="240" w:lineRule="auto" w:before="2"/>
        <w:rPr>
          <w:rFonts w:ascii="宋体" w:hAnsi="宋体" w:cs="宋体" w:eastAsia="宋体" w:hint="default"/>
          <w:sz w:val="18"/>
          <w:szCs w:val="18"/>
        </w:rPr>
      </w:pPr>
    </w:p>
    <w:p>
      <w:pPr>
        <w:pStyle w:val="BodyText"/>
        <w:spacing w:line="273" w:lineRule="auto"/>
        <w:ind w:right="118" w:firstLine="422"/>
        <w:jc w:val="both"/>
      </w:pPr>
      <w:r>
        <w:rPr>
          <w:spacing w:val="-2"/>
        </w:rPr>
        <w:t>本公司的金融资产于初始确认时分为以下四类：以公允价值计量且其变动计入当期损益的金融资产、</w:t>
      </w:r>
      <w:r>
        <w:rPr>
          <w:w w:val="100"/>
        </w:rPr>
        <w:t> </w:t>
      </w:r>
      <w:r>
        <w:rPr>
          <w:spacing w:val="-2"/>
        </w:rPr>
        <w:t>持有至到期投资、贷款和应收款项、可供出售金融资产。金融资产在初始确认时以公允价值计量。对于以</w:t>
      </w:r>
      <w:r>
        <w:rPr>
          <w:spacing w:val="-35"/>
        </w:rPr>
        <w:t> </w:t>
      </w:r>
      <w:r>
        <w:rPr>
          <w:spacing w:val="-35"/>
        </w:rPr>
      </w:r>
      <w:r>
        <w:rPr>
          <w:spacing w:val="-2"/>
        </w:rPr>
        <w:t>公允价值计量且其变动计入当期损益的金融资产，相关交易费用直接计入当期损益，其他类别的金融资产</w:t>
      </w:r>
      <w:r>
        <w:rPr>
          <w:spacing w:val="-35"/>
        </w:rPr>
        <w:t> </w:t>
      </w:r>
      <w:r>
        <w:rPr>
          <w:spacing w:val="-35"/>
        </w:rPr>
      </w:r>
      <w:r>
        <w:rPr/>
        <w:t>相关交易费用计入其初始确认金额。</w:t>
      </w:r>
    </w:p>
    <w:p>
      <w:pPr>
        <w:pStyle w:val="BodyText"/>
        <w:spacing w:line="528" w:lineRule="exact" w:before="46"/>
        <w:ind w:left="575" w:right="0"/>
        <w:jc w:val="left"/>
      </w:pPr>
      <w:r>
        <w:rPr/>
        <w:t>以公允价值计量且其变动计入当期损益的金融资产</w:t>
      </w:r>
      <w:r>
        <w:rPr>
          <w:w w:val="100"/>
        </w:rPr>
        <w:t> </w:t>
      </w:r>
      <w:r>
        <w:rPr>
          <w:spacing w:val="-2"/>
        </w:rPr>
        <w:t>以公允价值计量且其变动计入当期损益的金融资产，包括交易性金融资产和初始确认时指定为以公允</w:t>
      </w:r>
    </w:p>
    <w:p>
      <w:pPr>
        <w:pStyle w:val="BodyText"/>
        <w:spacing w:line="236" w:lineRule="exact"/>
        <w:ind w:right="0"/>
        <w:jc w:val="left"/>
      </w:pPr>
      <w:r>
        <w:rPr/>
        <w:t>价值计量且其变动计入当期损益的金融资产。对于此类金融资产，采用公允价值进行后续计量，公允价值</w:t>
      </w:r>
    </w:p>
    <w:p>
      <w:pPr>
        <w:pStyle w:val="BodyText"/>
        <w:spacing w:line="460" w:lineRule="auto" w:before="37"/>
        <w:ind w:left="575" w:right="1246" w:hanging="423"/>
        <w:jc w:val="left"/>
      </w:pPr>
      <w:r>
        <w:rPr>
          <w:spacing w:val="-2"/>
        </w:rPr>
        <w:t>变动形成的利得或损失以及与该等金融资产相关的股利和利息收入计入当期损益。</w:t>
      </w:r>
      <w:r>
        <w:rPr>
          <w:spacing w:val="-32"/>
        </w:rPr>
        <w:t> </w:t>
      </w:r>
      <w:r>
        <w:rPr>
          <w:spacing w:val="-32"/>
        </w:rPr>
      </w:r>
      <w:r>
        <w:rPr/>
        <w:t>持有至到期投资</w:t>
      </w:r>
    </w:p>
    <w:p>
      <w:pPr>
        <w:pStyle w:val="BodyText"/>
        <w:spacing w:line="273" w:lineRule="auto" w:before="60"/>
        <w:ind w:right="142" w:firstLine="422"/>
        <w:jc w:val="both"/>
      </w:pPr>
      <w:r>
        <w:rPr>
          <w:spacing w:val="-2"/>
        </w:rPr>
        <w:t>持有至到期投资，是指到期日固定、回收金额固定或可确定，且本公司有明确意图和能力持有至到期</w:t>
      </w:r>
      <w:r>
        <w:rPr>
          <w:w w:val="100"/>
        </w:rPr>
        <w:t> </w:t>
      </w:r>
      <w:r>
        <w:rPr>
          <w:spacing w:val="-2"/>
        </w:rPr>
        <w:t>的非衍生金融资产。持有至到期投资采用实际利率法，按照摊余成本进行后续计量，其终止确认、发生减</w:t>
      </w:r>
      <w:r>
        <w:rPr>
          <w:spacing w:val="-35"/>
        </w:rPr>
        <w:t> </w:t>
      </w:r>
      <w:r>
        <w:rPr>
          <w:spacing w:val="-35"/>
        </w:rPr>
      </w:r>
      <w:r>
        <w:rPr/>
        <w:t>值或摊销产生的利得或损失，均计入当期损益。</w:t>
      </w:r>
    </w:p>
    <w:p>
      <w:pPr>
        <w:pStyle w:val="BodyText"/>
        <w:spacing w:line="528" w:lineRule="exact" w:before="46"/>
        <w:ind w:left="575" w:right="0"/>
        <w:jc w:val="left"/>
      </w:pPr>
      <w:r>
        <w:rPr/>
        <w:t>应收款项</w:t>
      </w:r>
      <w:r>
        <w:rPr>
          <w:spacing w:val="-101"/>
        </w:rPr>
        <w:t> </w:t>
      </w:r>
      <w:r>
        <w:rPr>
          <w:spacing w:val="-2"/>
        </w:rPr>
        <w:t>应收款项，是指在活跃市场中没有报价、回收金额固定或可确定的非衍生金融资产，包括应收账款和</w:t>
      </w:r>
    </w:p>
    <w:p>
      <w:pPr>
        <w:pStyle w:val="BodyText"/>
        <w:spacing w:line="236" w:lineRule="exact"/>
        <w:ind w:right="0"/>
        <w:jc w:val="left"/>
      </w:pPr>
      <w:r>
        <w:rPr/>
        <w:t>其他应收款等。应收款项采用实际利率法，按摊余成本进行后续计量，在终止确认、发生减值或摊销时产</w:t>
      </w:r>
    </w:p>
    <w:p>
      <w:pPr>
        <w:pStyle w:val="BodyText"/>
        <w:spacing w:line="460" w:lineRule="auto" w:before="37"/>
        <w:ind w:left="575" w:right="5284" w:hanging="423"/>
        <w:jc w:val="left"/>
      </w:pPr>
      <w:r>
        <w:rPr>
          <w:spacing w:val="-2"/>
        </w:rPr>
        <w:t>生的利得或损失，计入当期损益。</w:t>
      </w:r>
      <w:r>
        <w:rPr>
          <w:spacing w:val="-74"/>
        </w:rPr>
        <w:t> </w:t>
      </w:r>
      <w:r>
        <w:rPr>
          <w:spacing w:val="-74"/>
        </w:rPr>
      </w:r>
      <w:r>
        <w:rPr/>
        <w:t>可供出售金融资产</w:t>
      </w:r>
    </w:p>
    <w:p>
      <w:pPr>
        <w:pStyle w:val="BodyText"/>
        <w:spacing w:line="273" w:lineRule="auto" w:before="60"/>
        <w:ind w:right="142" w:firstLine="422"/>
        <w:jc w:val="both"/>
      </w:pPr>
      <w:r>
        <w:rPr>
          <w:spacing w:val="-2"/>
        </w:rPr>
        <w:t>可供出售金融资产，是指初始确认时即指定为可供出售的非衍生金融资产，以及除上述金融资产类别</w:t>
      </w:r>
      <w:r>
        <w:rPr>
          <w:w w:val="100"/>
        </w:rPr>
        <w:t> </w:t>
      </w:r>
      <w:r>
        <w:rPr>
          <w:spacing w:val="-2"/>
        </w:rPr>
        <w:t>以外的金融资产。可供出售金融资产采用公允价值进行后续计量，其折溢价采用实际利率法摊销并确认为</w:t>
      </w:r>
      <w:r>
        <w:rPr>
          <w:spacing w:val="-35"/>
        </w:rPr>
        <w:t> </w:t>
      </w:r>
      <w:r>
        <w:rPr>
          <w:spacing w:val="-35"/>
        </w:rPr>
      </w:r>
      <w:r>
        <w:rPr>
          <w:spacing w:val="-2"/>
        </w:rPr>
        <w:t>利息收入。除减值损失及外币货币性金融资产的汇兑差额确认为当期损益外，可供出售金融资产的公允价</w:t>
      </w:r>
      <w:r>
        <w:rPr>
          <w:spacing w:val="-35"/>
        </w:rPr>
        <w:t> </w:t>
      </w:r>
      <w:r>
        <w:rPr>
          <w:spacing w:val="-35"/>
        </w:rPr>
      </w:r>
      <w:r>
        <w:rPr>
          <w:spacing w:val="-2"/>
        </w:rPr>
        <w:t>值变动确认为其他综合收益，在该金融资产终止确认时转出，计入当期损益。与可供出售金融资产相关的</w:t>
      </w:r>
      <w:r>
        <w:rPr>
          <w:spacing w:val="-35"/>
        </w:rPr>
        <w:t> </w:t>
      </w:r>
      <w:r>
        <w:rPr>
          <w:spacing w:val="-35"/>
        </w:rPr>
      </w:r>
      <w:r>
        <w:rPr/>
        <w:t>股利或利息收入，计入当期损益。</w:t>
      </w:r>
    </w:p>
    <w:p>
      <w:pPr>
        <w:spacing w:line="240" w:lineRule="auto" w:before="1"/>
        <w:rPr>
          <w:rFonts w:ascii="宋体" w:hAnsi="宋体" w:cs="宋体" w:eastAsia="宋体" w:hint="default"/>
          <w:sz w:val="17"/>
          <w:szCs w:val="17"/>
        </w:rPr>
      </w:pPr>
    </w:p>
    <w:p>
      <w:pPr>
        <w:pStyle w:val="BodyText"/>
        <w:spacing w:line="273" w:lineRule="auto"/>
        <w:ind w:right="142" w:firstLine="422"/>
        <w:jc w:val="both"/>
      </w:pPr>
      <w:r>
        <w:rPr>
          <w:spacing w:val="-2"/>
        </w:rPr>
        <w:t>对于在活跃市场中没有报价且其公允价值不能可靠计量的权益工具投资，以及与该权益工具挂钩并须</w:t>
      </w:r>
      <w:r>
        <w:rPr>
          <w:w w:val="100"/>
        </w:rPr>
        <w:t> </w:t>
      </w:r>
      <w:r>
        <w:rPr/>
        <w:t>通过交付该权益工具结算的衍生金融资产，按成本计量。</w:t>
      </w:r>
    </w:p>
    <w:p>
      <w:pPr>
        <w:pStyle w:val="BodyText"/>
        <w:spacing w:line="510" w:lineRule="atLeast" w:before="4"/>
        <w:ind w:left="575" w:right="0"/>
        <w:jc w:val="left"/>
      </w:pPr>
      <w:r>
        <w:rPr/>
        <w:t>（</w:t>
      </w:r>
      <w:r>
        <w:rPr>
          <w:rFonts w:ascii="Times New Roman" w:hAnsi="Times New Roman" w:cs="Times New Roman" w:eastAsia="Times New Roman" w:hint="default"/>
        </w:rPr>
        <w:t>3</w:t>
      </w:r>
      <w:r>
        <w:rPr/>
        <w:t>）金融负债分类和计量</w:t>
      </w:r>
      <w:r>
        <w:rPr>
          <w:spacing w:val="-102"/>
        </w:rPr>
        <w:t> </w:t>
      </w:r>
      <w:r>
        <w:rPr>
          <w:spacing w:val="-102"/>
        </w:rPr>
      </w:r>
      <w:r>
        <w:rPr>
          <w:spacing w:val="-2"/>
        </w:rPr>
        <w:t>本公司的金融负债于初始确认时分类为：以公允价值计量且其变动计入当期损益的金融负债、其他金</w:t>
      </w:r>
    </w:p>
    <w:p>
      <w:pPr>
        <w:pStyle w:val="BodyText"/>
        <w:spacing w:line="273" w:lineRule="auto" w:before="37"/>
        <w:ind w:right="0"/>
        <w:jc w:val="left"/>
      </w:pPr>
      <w:r>
        <w:rPr>
          <w:spacing w:val="-2"/>
        </w:rPr>
        <w:t>融负债。对于未划分为以公允价值计量且其变动计入当期损益的金融负债的，相关交易费用计入其初始确</w:t>
      </w:r>
      <w:r>
        <w:rPr>
          <w:spacing w:val="-35"/>
        </w:rPr>
        <w:t> </w:t>
      </w:r>
      <w:r>
        <w:rPr>
          <w:spacing w:val="-35"/>
        </w:rPr>
      </w:r>
      <w:r>
        <w:rPr/>
        <w:t>认金额。</w:t>
      </w:r>
    </w:p>
    <w:p>
      <w:pPr>
        <w:pStyle w:val="BodyText"/>
        <w:spacing w:line="528" w:lineRule="exact" w:before="46"/>
        <w:ind w:left="575" w:right="0"/>
        <w:jc w:val="left"/>
      </w:pPr>
      <w:r>
        <w:rPr/>
        <w:t>以公允价值计量且其变动计入当期损益的金融负债</w:t>
      </w:r>
      <w:r>
        <w:rPr>
          <w:w w:val="100"/>
        </w:rPr>
        <w:t> </w:t>
      </w:r>
      <w:r>
        <w:rPr>
          <w:spacing w:val="-2"/>
        </w:rPr>
        <w:t>以公允价值计量且其变动计入当期损益的金融负债，包括交易性金融负债和初始确认时指定为以公允</w:t>
      </w:r>
    </w:p>
    <w:p>
      <w:pPr>
        <w:pStyle w:val="BodyText"/>
        <w:spacing w:line="236" w:lineRule="exact"/>
        <w:ind w:right="0"/>
        <w:jc w:val="left"/>
      </w:pPr>
      <w:r>
        <w:rPr/>
        <w:t>价值计量且其变动计入当期损益的金融负债。对于此类金融负债，按照公允价值进行后续计量，公允价值</w:t>
      </w:r>
    </w:p>
    <w:p>
      <w:pPr>
        <w:pStyle w:val="BodyText"/>
        <w:spacing w:line="460" w:lineRule="auto" w:before="37"/>
        <w:ind w:left="575" w:right="1246" w:hanging="423"/>
        <w:jc w:val="left"/>
      </w:pPr>
      <w:r>
        <w:rPr>
          <w:spacing w:val="-2"/>
        </w:rPr>
        <w:t>变动形成的利得或损失以及与该等金融负债相关的股利和利息支出计入当期损益。</w:t>
      </w:r>
      <w:r>
        <w:rPr>
          <w:spacing w:val="-32"/>
        </w:rPr>
        <w:t> </w:t>
      </w:r>
      <w:r>
        <w:rPr>
          <w:spacing w:val="-32"/>
        </w:rPr>
      </w:r>
      <w:r>
        <w:rPr/>
        <w:t>其他金融负债</w:t>
      </w:r>
    </w:p>
    <w:p>
      <w:pPr>
        <w:spacing w:after="0" w:line="460" w:lineRule="auto"/>
        <w:jc w:val="left"/>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BodyText"/>
        <w:spacing w:line="273" w:lineRule="auto" w:before="36"/>
        <w:ind w:right="137" w:firstLine="422"/>
        <w:jc w:val="both"/>
      </w:pPr>
      <w:r>
        <w:rPr>
          <w:spacing w:val="-2"/>
        </w:rPr>
        <w:t>与在活跃市场中没有报价、公允价值不能可靠计量的权益工具挂钩并须通过交付该权益工具结算的衍</w:t>
      </w:r>
      <w:r>
        <w:rPr>
          <w:w w:val="100"/>
        </w:rPr>
        <w:t> </w:t>
      </w:r>
      <w:r>
        <w:rPr>
          <w:spacing w:val="-2"/>
        </w:rPr>
        <w:t>生金融负债，按照成本进行后续计量。其他金融负债采用实际利率法，按摊余成本进行后续计量，终止确</w:t>
      </w:r>
      <w:r>
        <w:rPr>
          <w:spacing w:val="-35"/>
        </w:rPr>
        <w:t> </w:t>
      </w:r>
      <w:r>
        <w:rPr>
          <w:spacing w:val="-35"/>
        </w:rPr>
      </w:r>
      <w:r>
        <w:rPr/>
        <w:t>认或摊销产生的利得或损失计入当期损益。</w:t>
      </w:r>
    </w:p>
    <w:p>
      <w:pPr>
        <w:pStyle w:val="BodyText"/>
        <w:spacing w:line="528" w:lineRule="exact" w:before="46"/>
        <w:ind w:left="575" w:right="0"/>
        <w:jc w:val="left"/>
      </w:pPr>
      <w:r>
        <w:rPr/>
        <w:t>（4）金融工具的公允价值</w:t>
      </w:r>
      <w:r>
        <w:rPr>
          <w:spacing w:val="-102"/>
        </w:rPr>
        <w:t> </w:t>
      </w:r>
      <w:r>
        <w:rPr>
          <w:spacing w:val="-102"/>
        </w:rPr>
      </w:r>
      <w:r>
        <w:rPr>
          <w:spacing w:val="-2"/>
        </w:rPr>
        <w:t>本公司以公允价值计量相关资产或负债，假定出售资产或者转移负债的有序交易在相关资产或负债的</w:t>
      </w:r>
    </w:p>
    <w:p>
      <w:pPr>
        <w:pStyle w:val="BodyText"/>
        <w:spacing w:line="236" w:lineRule="exact"/>
        <w:ind w:right="0"/>
        <w:jc w:val="left"/>
      </w:pPr>
      <w:r>
        <w:rPr>
          <w:spacing w:val="-7"/>
        </w:rPr>
        <w:t>主要市场进行；不存在主要市场的，本公司假定该交易在相关资产或负债的最有利市场进行。主要市场（或</w:t>
      </w:r>
    </w:p>
    <w:p>
      <w:pPr>
        <w:pStyle w:val="BodyText"/>
        <w:spacing w:line="273" w:lineRule="auto" w:before="37"/>
        <w:ind w:right="0"/>
        <w:jc w:val="left"/>
      </w:pPr>
      <w:r>
        <w:rPr>
          <w:spacing w:val="-2"/>
        </w:rPr>
        <w:t>最有利市场）是本公司在计量日能够进入的交易市场。本公司采用市场参与者在对该资产或负债定价时为</w:t>
      </w:r>
      <w:r>
        <w:rPr>
          <w:spacing w:val="-35"/>
        </w:rPr>
        <w:t> </w:t>
      </w:r>
      <w:r>
        <w:rPr>
          <w:spacing w:val="-35"/>
        </w:rPr>
      </w:r>
      <w:r>
        <w:rPr/>
        <w:t>实现其经济利益最大化所使用的假设。</w:t>
      </w:r>
    </w:p>
    <w:p>
      <w:pPr>
        <w:spacing w:line="240" w:lineRule="auto" w:before="1"/>
        <w:rPr>
          <w:rFonts w:ascii="宋体" w:hAnsi="宋体" w:cs="宋体" w:eastAsia="宋体" w:hint="default"/>
          <w:sz w:val="17"/>
          <w:szCs w:val="17"/>
        </w:rPr>
      </w:pPr>
    </w:p>
    <w:p>
      <w:pPr>
        <w:pStyle w:val="BodyText"/>
        <w:spacing w:line="273" w:lineRule="auto"/>
        <w:ind w:right="141" w:firstLine="422"/>
        <w:jc w:val="both"/>
      </w:pPr>
      <w:r>
        <w:rPr>
          <w:spacing w:val="-2"/>
        </w:rPr>
        <w:t>存在活跃市场的金融资产或金融负债，本公司采用活跃市场中的报价确定其公允价值。金融工具不存</w:t>
      </w:r>
      <w:r>
        <w:rPr>
          <w:w w:val="100"/>
        </w:rPr>
        <w:t> </w:t>
      </w:r>
      <w:r>
        <w:rPr/>
        <w:t>在活跃市场的，本公司采用估值技术确定其公允价值。</w:t>
      </w:r>
    </w:p>
    <w:p>
      <w:pPr>
        <w:spacing w:line="240" w:lineRule="auto" w:before="1"/>
        <w:rPr>
          <w:rFonts w:ascii="宋体" w:hAnsi="宋体" w:cs="宋体" w:eastAsia="宋体" w:hint="default"/>
          <w:sz w:val="17"/>
          <w:szCs w:val="17"/>
        </w:rPr>
      </w:pPr>
    </w:p>
    <w:p>
      <w:pPr>
        <w:pStyle w:val="BodyText"/>
        <w:spacing w:line="273" w:lineRule="auto"/>
        <w:ind w:right="142" w:firstLine="422"/>
        <w:jc w:val="both"/>
      </w:pPr>
      <w:r>
        <w:rPr>
          <w:spacing w:val="-2"/>
        </w:rPr>
        <w:t>本公司采用在当前情况下适用并且有足够可利用数据和其他信息支持的估值技术，优先使用相关可观</w:t>
      </w:r>
      <w:r>
        <w:rPr>
          <w:w w:val="100"/>
        </w:rPr>
        <w:t> </w:t>
      </w:r>
      <w:r>
        <w:rPr/>
        <w:t>察输入值，只有在可观察输入值无法取得或取得不切实可行的情况下，才使用不可观察输入值。</w:t>
      </w:r>
    </w:p>
    <w:p>
      <w:pPr>
        <w:spacing w:line="240" w:lineRule="auto" w:before="1"/>
        <w:rPr>
          <w:rFonts w:ascii="宋体" w:hAnsi="宋体" w:cs="宋体" w:eastAsia="宋体" w:hint="default"/>
          <w:sz w:val="17"/>
          <w:szCs w:val="17"/>
        </w:rPr>
      </w:pPr>
    </w:p>
    <w:p>
      <w:pPr>
        <w:pStyle w:val="BodyText"/>
        <w:spacing w:line="273" w:lineRule="auto"/>
        <w:ind w:right="137" w:firstLine="422"/>
        <w:jc w:val="both"/>
      </w:pPr>
      <w:r>
        <w:rPr>
          <w:spacing w:val="-2"/>
        </w:rPr>
        <w:t>在财务报表中以公允价值计量或披露的资产和负债，根据对公允价值计量整体而言具有重要意义的最</w:t>
      </w:r>
      <w:r>
        <w:rPr>
          <w:w w:val="100"/>
        </w:rPr>
        <w:t> </w:t>
      </w:r>
      <w:r>
        <w:rPr>
          <w:spacing w:val="-2"/>
        </w:rPr>
        <w:t>低层次输入值，确定所属的公允价值层次：第一层次输入值，是在计量日能够取得的相同资产或负债在活</w:t>
      </w:r>
      <w:r>
        <w:rPr>
          <w:spacing w:val="-35"/>
        </w:rPr>
        <w:t> </w:t>
      </w:r>
      <w:r>
        <w:rPr>
          <w:spacing w:val="-35"/>
        </w:rPr>
      </w:r>
      <w:r>
        <w:rPr>
          <w:spacing w:val="-2"/>
        </w:rPr>
        <w:t>跃市场上未经调整的报价；第二层次输入值，是除第一层次输入值外相关资产或负债直接或间接可观察的</w:t>
      </w:r>
      <w:r>
        <w:rPr>
          <w:spacing w:val="-35"/>
        </w:rPr>
        <w:t> </w:t>
      </w:r>
      <w:r>
        <w:rPr>
          <w:spacing w:val="-35"/>
        </w:rPr>
      </w:r>
      <w:r>
        <w:rPr/>
        <w:t>输入值；第三层次输入值，是相关资产或负债的不可观察输入值。</w:t>
      </w:r>
    </w:p>
    <w:p>
      <w:pPr>
        <w:spacing w:line="240" w:lineRule="auto" w:before="1"/>
        <w:rPr>
          <w:rFonts w:ascii="宋体" w:hAnsi="宋体" w:cs="宋体" w:eastAsia="宋体" w:hint="default"/>
          <w:sz w:val="17"/>
          <w:szCs w:val="17"/>
        </w:rPr>
      </w:pPr>
    </w:p>
    <w:p>
      <w:pPr>
        <w:pStyle w:val="BodyText"/>
        <w:spacing w:line="273" w:lineRule="auto"/>
        <w:ind w:right="118" w:firstLine="422"/>
        <w:jc w:val="both"/>
      </w:pPr>
      <w:r>
        <w:rPr>
          <w:spacing w:val="-2"/>
        </w:rPr>
        <w:t>每个资产负债表日，本公司对在财务报表中确认的持续以公允价值计量的资产和负债进行重新评估，</w:t>
      </w:r>
      <w:r>
        <w:rPr>
          <w:w w:val="100"/>
        </w:rPr>
        <w:t> </w:t>
      </w:r>
      <w:r>
        <w:rPr/>
        <w:t>以确定是否在公允价值计量层次之间发生转换。</w:t>
      </w:r>
    </w:p>
    <w:p>
      <w:pPr>
        <w:pStyle w:val="BodyText"/>
        <w:spacing w:line="528" w:lineRule="exact" w:before="46"/>
        <w:ind w:left="575" w:right="0"/>
        <w:jc w:val="left"/>
      </w:pPr>
      <w:r>
        <w:rPr/>
        <w:t>（5）金融资产减值</w:t>
      </w:r>
      <w:r>
        <w:rPr>
          <w:spacing w:val="-101"/>
        </w:rPr>
        <w:t> </w:t>
      </w:r>
      <w:r>
        <w:rPr>
          <w:spacing w:val="-101"/>
        </w:rPr>
      </w:r>
      <w:r>
        <w:rPr>
          <w:spacing w:val="-2"/>
        </w:rPr>
        <w:t>除了以公允价值计量且其变动计入当期损益的金融资产外，本公司于资产负债表日对其他金融资产的</w:t>
      </w:r>
    </w:p>
    <w:p>
      <w:pPr>
        <w:pStyle w:val="BodyText"/>
        <w:spacing w:line="236" w:lineRule="exact"/>
        <w:ind w:right="0"/>
        <w:jc w:val="left"/>
      </w:pPr>
      <w:r>
        <w:rPr/>
        <w:t>账面价值进行检查，有客观证据表明该金融资产发生减值的，计提减值准备。表明金融资产发生减值的客</w:t>
      </w:r>
    </w:p>
    <w:p>
      <w:pPr>
        <w:pStyle w:val="BodyText"/>
        <w:spacing w:line="273" w:lineRule="auto" w:before="37"/>
        <w:ind w:right="0"/>
        <w:jc w:val="left"/>
      </w:pPr>
      <w:r>
        <w:rPr>
          <w:spacing w:val="-2"/>
        </w:rPr>
        <w:t>观证据，是指金融资产初始确认后实际发生的、对该金融资产的预计未来现金流量有影响，且企业能够对</w:t>
      </w:r>
      <w:r>
        <w:rPr>
          <w:spacing w:val="-35"/>
        </w:rPr>
        <w:t> </w:t>
      </w:r>
      <w:r>
        <w:rPr>
          <w:spacing w:val="-35"/>
        </w:rPr>
      </w:r>
      <w:r>
        <w:rPr/>
        <w:t>该影响进行可靠计量的事项。</w:t>
      </w:r>
    </w:p>
    <w:p>
      <w:pPr>
        <w:spacing w:line="240" w:lineRule="auto" w:before="1"/>
        <w:rPr>
          <w:rFonts w:ascii="宋体" w:hAnsi="宋体" w:cs="宋体" w:eastAsia="宋体" w:hint="default"/>
          <w:sz w:val="17"/>
          <w:szCs w:val="17"/>
        </w:rPr>
      </w:pPr>
    </w:p>
    <w:p>
      <w:pPr>
        <w:pStyle w:val="BodyText"/>
        <w:spacing w:line="240" w:lineRule="auto"/>
        <w:ind w:left="575" w:right="0"/>
        <w:jc w:val="left"/>
      </w:pPr>
      <w:r>
        <w:rPr/>
        <w:t>金融资产发生减值的客观证据，包括下列可观察到的情形：</w:t>
      </w:r>
    </w:p>
    <w:p>
      <w:pPr>
        <w:spacing w:line="240" w:lineRule="auto" w:before="5"/>
        <w:rPr>
          <w:rFonts w:ascii="宋体" w:hAnsi="宋体" w:cs="宋体" w:eastAsia="宋体" w:hint="default"/>
          <w:sz w:val="19"/>
          <w:szCs w:val="19"/>
        </w:rPr>
      </w:pPr>
    </w:p>
    <w:p>
      <w:pPr>
        <w:pStyle w:val="BodyText"/>
        <w:spacing w:line="240" w:lineRule="auto"/>
        <w:ind w:left="575" w:right="0"/>
        <w:jc w:val="left"/>
      </w:pPr>
      <w:r>
        <w:rPr/>
        <w:t>①发行方或债务人发生严重财务困难；</w:t>
      </w:r>
    </w:p>
    <w:p>
      <w:pPr>
        <w:spacing w:line="240" w:lineRule="auto" w:before="5"/>
        <w:rPr>
          <w:rFonts w:ascii="宋体" w:hAnsi="宋体" w:cs="宋体" w:eastAsia="宋体" w:hint="default"/>
          <w:sz w:val="19"/>
          <w:szCs w:val="19"/>
        </w:rPr>
      </w:pPr>
    </w:p>
    <w:p>
      <w:pPr>
        <w:pStyle w:val="BodyText"/>
        <w:spacing w:line="240" w:lineRule="auto"/>
        <w:ind w:left="575" w:right="0"/>
        <w:jc w:val="left"/>
      </w:pPr>
      <w:r>
        <w:rPr/>
        <w:t>②债务人违反了合同条款，如偿付利息或本金发生违约或逾期等；</w:t>
      </w:r>
    </w:p>
    <w:p>
      <w:pPr>
        <w:spacing w:line="240" w:lineRule="auto" w:before="5"/>
        <w:rPr>
          <w:rFonts w:ascii="宋体" w:hAnsi="宋体" w:cs="宋体" w:eastAsia="宋体" w:hint="default"/>
          <w:sz w:val="19"/>
          <w:szCs w:val="19"/>
        </w:rPr>
      </w:pPr>
    </w:p>
    <w:p>
      <w:pPr>
        <w:pStyle w:val="BodyText"/>
        <w:spacing w:line="240" w:lineRule="auto"/>
        <w:ind w:left="575" w:right="0"/>
        <w:jc w:val="left"/>
      </w:pPr>
      <w:r>
        <w:rPr/>
        <w:t>③本公司出于经济或法律等方面因素的考虑，对发生财务困难的债务人作出让步；</w:t>
      </w:r>
    </w:p>
    <w:p>
      <w:pPr>
        <w:spacing w:line="240" w:lineRule="auto" w:before="5"/>
        <w:rPr>
          <w:rFonts w:ascii="宋体" w:hAnsi="宋体" w:cs="宋体" w:eastAsia="宋体" w:hint="default"/>
          <w:sz w:val="19"/>
          <w:szCs w:val="19"/>
        </w:rPr>
      </w:pPr>
    </w:p>
    <w:p>
      <w:pPr>
        <w:pStyle w:val="BodyText"/>
        <w:spacing w:line="240" w:lineRule="auto"/>
        <w:ind w:left="575" w:right="0"/>
        <w:jc w:val="left"/>
      </w:pPr>
      <w:r>
        <w:rPr/>
        <w:t>④债务人很可能倒闭或者进行其他财务重组；</w:t>
      </w:r>
    </w:p>
    <w:p>
      <w:pPr>
        <w:spacing w:line="240" w:lineRule="auto" w:before="5"/>
        <w:rPr>
          <w:rFonts w:ascii="宋体" w:hAnsi="宋体" w:cs="宋体" w:eastAsia="宋体" w:hint="default"/>
          <w:sz w:val="19"/>
          <w:szCs w:val="19"/>
        </w:rPr>
      </w:pPr>
    </w:p>
    <w:p>
      <w:pPr>
        <w:pStyle w:val="BodyText"/>
        <w:spacing w:line="240" w:lineRule="auto"/>
        <w:ind w:left="575" w:right="0"/>
        <w:jc w:val="left"/>
      </w:pPr>
      <w:r>
        <w:rPr/>
        <w:t>⑤因发行方发生重大财务困难，导致金融资产无法在活跃市场继续交易；</w:t>
      </w:r>
    </w:p>
    <w:p>
      <w:pPr>
        <w:spacing w:line="240" w:lineRule="auto" w:before="5"/>
        <w:rPr>
          <w:rFonts w:ascii="宋体" w:hAnsi="宋体" w:cs="宋体" w:eastAsia="宋体" w:hint="default"/>
          <w:sz w:val="19"/>
          <w:szCs w:val="19"/>
        </w:rPr>
      </w:pPr>
    </w:p>
    <w:p>
      <w:pPr>
        <w:pStyle w:val="BodyText"/>
        <w:spacing w:line="273" w:lineRule="auto"/>
        <w:ind w:right="142" w:firstLine="422"/>
        <w:jc w:val="both"/>
      </w:pPr>
      <w:r>
        <w:rPr>
          <w:spacing w:val="-2"/>
        </w:rPr>
        <w:t>⑥无法辨认一组金融资产中的某项资产的现金流量是否已经减少，但根据公开的数据对其进行总体评</w:t>
      </w:r>
      <w:r>
        <w:rPr>
          <w:w w:val="100"/>
        </w:rPr>
        <w:t> </w:t>
      </w:r>
      <w:r>
        <w:rPr/>
        <w:t>价后发现，该组金融资产自初始确认以来的预计未来现金流量确已减少且可计量，包括：</w:t>
      </w:r>
    </w:p>
    <w:p>
      <w:pPr>
        <w:spacing w:line="240" w:lineRule="auto" w:before="1"/>
        <w:rPr>
          <w:rFonts w:ascii="宋体" w:hAnsi="宋体" w:cs="宋体" w:eastAsia="宋体" w:hint="default"/>
          <w:sz w:val="17"/>
          <w:szCs w:val="17"/>
        </w:rPr>
      </w:pPr>
    </w:p>
    <w:p>
      <w:pPr>
        <w:pStyle w:val="BodyText"/>
        <w:spacing w:line="240" w:lineRule="auto"/>
        <w:ind w:left="992" w:right="0"/>
        <w:jc w:val="left"/>
      </w:pPr>
      <w:r>
        <w:rPr>
          <w:rFonts w:ascii="Times New Roman" w:hAnsi="Times New Roman" w:cs="Times New Roman" w:eastAsia="Times New Roman" w:hint="default"/>
        </w:rPr>
        <w:t>-</w:t>
      </w:r>
      <w:r>
        <w:rPr>
          <w:rFonts w:ascii="Times New Roman" w:hAnsi="Times New Roman" w:cs="Times New Roman" w:eastAsia="Times New Roman" w:hint="default"/>
          <w:spacing w:val="32"/>
        </w:rPr>
        <w:t> </w:t>
      </w:r>
      <w:r>
        <w:rPr/>
        <w:t>该组金融资产的债务人支付能力逐步恶化；</w:t>
      </w:r>
    </w:p>
    <w:p>
      <w:pPr>
        <w:spacing w:line="240" w:lineRule="auto" w:before="2"/>
        <w:rPr>
          <w:rFonts w:ascii="宋体" w:hAnsi="宋体" w:cs="宋体" w:eastAsia="宋体" w:hint="default"/>
          <w:sz w:val="18"/>
          <w:szCs w:val="18"/>
        </w:rPr>
      </w:pPr>
    </w:p>
    <w:p>
      <w:pPr>
        <w:pStyle w:val="BodyText"/>
        <w:spacing w:line="240" w:lineRule="auto"/>
        <w:ind w:left="992" w:right="0"/>
        <w:jc w:val="left"/>
      </w:pPr>
      <w:r>
        <w:rPr>
          <w:rFonts w:ascii="Times New Roman" w:hAnsi="Times New Roman" w:cs="Times New Roman" w:eastAsia="Times New Roman" w:hint="default"/>
        </w:rPr>
        <w:t>-</w:t>
      </w:r>
      <w:r>
        <w:rPr>
          <w:rFonts w:ascii="Times New Roman" w:hAnsi="Times New Roman" w:cs="Times New Roman" w:eastAsia="Times New Roman" w:hint="default"/>
          <w:spacing w:val="28"/>
        </w:rPr>
        <w:t> </w:t>
      </w:r>
      <w:r>
        <w:rPr/>
        <w:t>债务人所在国家或地区经济出现了可能导致该组金融资产无法支付的状况；</w:t>
      </w:r>
    </w:p>
    <w:p>
      <w:pPr>
        <w:spacing w:after="0" w:line="240" w:lineRule="auto"/>
        <w:jc w:val="left"/>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BodyText"/>
        <w:spacing w:line="273" w:lineRule="auto" w:before="36"/>
        <w:ind w:right="142" w:firstLine="422"/>
        <w:jc w:val="both"/>
      </w:pPr>
      <w:r>
        <w:rPr>
          <w:spacing w:val="-2"/>
        </w:rPr>
        <w:t>⑦债务人经营所处的技术、市场、经济或法律环境等发生重大不利变化，使权益工具投资人可能无法</w:t>
      </w:r>
      <w:r>
        <w:rPr>
          <w:w w:val="100"/>
        </w:rPr>
        <w:t> </w:t>
      </w:r>
      <w:r>
        <w:rPr/>
        <w:t>收回投资成本；</w:t>
      </w:r>
    </w:p>
    <w:p>
      <w:pPr>
        <w:spacing w:line="240" w:lineRule="auto" w:before="1"/>
        <w:rPr>
          <w:rFonts w:ascii="宋体" w:hAnsi="宋体" w:cs="宋体" w:eastAsia="宋体" w:hint="default"/>
          <w:sz w:val="17"/>
          <w:szCs w:val="17"/>
        </w:rPr>
      </w:pPr>
    </w:p>
    <w:p>
      <w:pPr>
        <w:pStyle w:val="BodyText"/>
        <w:spacing w:line="273" w:lineRule="auto"/>
        <w:ind w:right="142" w:firstLine="422"/>
        <w:jc w:val="both"/>
      </w:pPr>
      <w:r>
        <w:rPr>
          <w:spacing w:val="-2"/>
        </w:rPr>
        <w:t>⑧权益工具投资的公允价值发生严重或非暂时性下跌，如权益工具投资于资产负债表日的公允价值低</w:t>
      </w:r>
      <w:r>
        <w:rPr>
          <w:w w:val="100"/>
        </w:rPr>
        <w:t> </w:t>
      </w:r>
      <w:r>
        <w:rPr/>
        <w:t>于其初始投资成本超过</w:t>
      </w:r>
      <w:r>
        <w:rPr>
          <w:rFonts w:ascii="Times New Roman" w:hAnsi="Times New Roman" w:cs="Times New Roman" w:eastAsia="Times New Roman" w:hint="default"/>
        </w:rPr>
        <w:t>50%</w:t>
      </w:r>
      <w:r>
        <w:rPr/>
        <w:t>（含</w:t>
      </w:r>
      <w:r>
        <w:rPr>
          <w:rFonts w:ascii="Times New Roman" w:hAnsi="Times New Roman" w:cs="Times New Roman" w:eastAsia="Times New Roman" w:hint="default"/>
        </w:rPr>
        <w:t>50%</w:t>
      </w:r>
      <w:r>
        <w:rPr/>
        <w:t>）或低于其初始投资成本持续时间超过</w:t>
      </w:r>
      <w:r>
        <w:rPr>
          <w:rFonts w:ascii="Times New Roman" w:hAnsi="Times New Roman" w:cs="Times New Roman" w:eastAsia="Times New Roman" w:hint="default"/>
        </w:rPr>
        <w:t>12</w:t>
      </w:r>
      <w:r>
        <w:rPr/>
        <w:t>个月（含</w:t>
      </w:r>
      <w:r>
        <w:rPr>
          <w:rFonts w:ascii="Times New Roman" w:hAnsi="Times New Roman" w:cs="Times New Roman" w:eastAsia="Times New Roman" w:hint="default"/>
        </w:rPr>
        <w:t>12</w:t>
      </w:r>
      <w:r>
        <w:rPr/>
        <w:t>个月）。</w:t>
      </w:r>
    </w:p>
    <w:p>
      <w:pPr>
        <w:spacing w:line="240" w:lineRule="auto" w:before="8"/>
        <w:rPr>
          <w:rFonts w:ascii="宋体" w:hAnsi="宋体" w:cs="宋体" w:eastAsia="宋体" w:hint="default"/>
          <w:sz w:val="15"/>
          <w:szCs w:val="15"/>
        </w:rPr>
      </w:pPr>
    </w:p>
    <w:p>
      <w:pPr>
        <w:pStyle w:val="BodyText"/>
        <w:spacing w:line="256" w:lineRule="auto"/>
        <w:ind w:right="137" w:firstLine="422"/>
        <w:jc w:val="both"/>
      </w:pPr>
      <w:r>
        <w:rPr>
          <w:spacing w:val="-2"/>
        </w:rPr>
        <w:t>低于其初始投资成本持续时间超过</w:t>
      </w:r>
      <w:r>
        <w:rPr>
          <w:rFonts w:ascii="Times New Roman" w:hAnsi="Times New Roman" w:cs="Times New Roman" w:eastAsia="Times New Roman" w:hint="default"/>
          <w:spacing w:val="-2"/>
        </w:rPr>
        <w:t>12</w:t>
      </w:r>
      <w:r>
        <w:rPr>
          <w:spacing w:val="-2"/>
        </w:rPr>
        <w:t>个月（含</w:t>
      </w:r>
      <w:r>
        <w:rPr>
          <w:rFonts w:ascii="Times New Roman" w:hAnsi="Times New Roman" w:cs="Times New Roman" w:eastAsia="Times New Roman" w:hint="default"/>
          <w:spacing w:val="-2"/>
        </w:rPr>
        <w:t>12</w:t>
      </w:r>
      <w:r>
        <w:rPr>
          <w:spacing w:val="-2"/>
        </w:rPr>
        <w:t>个月）是指，权益工具投资公允价值月度均值连续</w:t>
      </w:r>
      <w:r>
        <w:rPr>
          <w:rFonts w:ascii="Times New Roman" w:hAnsi="Times New Roman" w:cs="Times New Roman" w:eastAsia="Times New Roman" w:hint="default"/>
          <w:spacing w:val="-2"/>
        </w:rPr>
        <w:t>12</w:t>
      </w:r>
      <w:r>
        <w:rPr>
          <w:rFonts w:ascii="Times New Roman" w:hAnsi="Times New Roman" w:cs="Times New Roman" w:eastAsia="Times New Roman" w:hint="default"/>
          <w:w w:val="100"/>
        </w:rPr>
        <w:t> </w:t>
      </w:r>
      <w:r>
        <w:rPr/>
        <w:t>个月均低于其初始投资成本</w:t>
      </w:r>
    </w:p>
    <w:p>
      <w:pPr>
        <w:spacing w:line="240" w:lineRule="auto" w:before="3"/>
        <w:rPr>
          <w:rFonts w:ascii="宋体" w:hAnsi="宋体" w:cs="宋体" w:eastAsia="宋体" w:hint="default"/>
          <w:sz w:val="18"/>
          <w:szCs w:val="18"/>
        </w:rPr>
      </w:pPr>
    </w:p>
    <w:p>
      <w:pPr>
        <w:pStyle w:val="BodyText"/>
        <w:spacing w:line="460" w:lineRule="auto"/>
        <w:ind w:left="575" w:right="5284"/>
        <w:jc w:val="left"/>
      </w:pPr>
      <w:r>
        <w:rPr>
          <w:spacing w:val="-2"/>
        </w:rPr>
        <w:t>⑨其他表明金融资产发生减值的客观证据</w:t>
      </w:r>
      <w:r>
        <w:rPr>
          <w:spacing w:val="-69"/>
        </w:rPr>
        <w:t> </w:t>
      </w:r>
      <w:r>
        <w:rPr>
          <w:spacing w:val="-69"/>
        </w:rPr>
      </w:r>
      <w:r>
        <w:rPr/>
        <w:t>以摊余成本计量的金融资产</w:t>
      </w:r>
    </w:p>
    <w:p>
      <w:pPr>
        <w:pStyle w:val="BodyText"/>
        <w:spacing w:line="273" w:lineRule="auto" w:before="60"/>
        <w:ind w:right="142" w:firstLine="422"/>
        <w:jc w:val="both"/>
      </w:pPr>
      <w:r>
        <w:rPr>
          <w:spacing w:val="-2"/>
        </w:rPr>
        <w:t>如果有客观证据表明该金融资产发生减值，则将该金融资产的账面价值减记至预计未来现金流量（不</w:t>
      </w:r>
      <w:r>
        <w:rPr>
          <w:w w:val="100"/>
        </w:rPr>
        <w:t> </w:t>
      </w:r>
      <w:r>
        <w:rPr>
          <w:spacing w:val="-2"/>
        </w:rPr>
        <w:t>包括尚未发生的未来信用损失）现值，减记金额计入当期损益。预计未来现金流量现值，按照该金融资产</w:t>
      </w:r>
      <w:r>
        <w:rPr>
          <w:spacing w:val="-35"/>
        </w:rPr>
        <w:t> </w:t>
      </w:r>
      <w:r>
        <w:rPr>
          <w:spacing w:val="-35"/>
        </w:rPr>
      </w:r>
      <w:r>
        <w:rPr/>
        <w:t>原实际利率折现确定，并考虑相关担保物的价值。</w:t>
      </w:r>
    </w:p>
    <w:p>
      <w:pPr>
        <w:spacing w:line="240" w:lineRule="auto" w:before="1"/>
        <w:rPr>
          <w:rFonts w:ascii="宋体" w:hAnsi="宋体" w:cs="宋体" w:eastAsia="宋体" w:hint="default"/>
          <w:sz w:val="17"/>
          <w:szCs w:val="17"/>
        </w:rPr>
      </w:pPr>
    </w:p>
    <w:p>
      <w:pPr>
        <w:pStyle w:val="BodyText"/>
        <w:spacing w:line="273" w:lineRule="auto"/>
        <w:ind w:right="137" w:firstLine="422"/>
        <w:jc w:val="both"/>
      </w:pPr>
      <w:r>
        <w:rPr>
          <w:spacing w:val="-2"/>
        </w:rPr>
        <w:t>对单项金额重大的金融资产单独进行减值测试，如有客观证据表明其已发生减值，确认减值损失，计</w:t>
      </w:r>
      <w:r>
        <w:rPr>
          <w:w w:val="100"/>
        </w:rPr>
        <w:t> </w:t>
      </w:r>
      <w:r>
        <w:rPr>
          <w:spacing w:val="-2"/>
        </w:rPr>
        <w:t>入当期损益。对单项金额不重大的金融资产，包括在具有类似信用风险特征的金融资产组合中进行减值测</w:t>
      </w:r>
      <w:r>
        <w:rPr>
          <w:spacing w:val="-35"/>
        </w:rPr>
        <w:t> </w:t>
      </w:r>
      <w:r>
        <w:rPr>
          <w:spacing w:val="-35"/>
        </w:rPr>
      </w:r>
      <w:r>
        <w:rPr>
          <w:spacing w:val="-2"/>
        </w:rPr>
        <w:t>试。单独测试未发生减值的金融资产（包括单项金额重大和不重大的金融资产），包括在具有类似信用风</w:t>
      </w:r>
      <w:r>
        <w:rPr>
          <w:spacing w:val="-35"/>
        </w:rPr>
        <w:t> </w:t>
      </w:r>
      <w:r>
        <w:rPr>
          <w:spacing w:val="-35"/>
        </w:rPr>
      </w:r>
      <w:r>
        <w:rPr>
          <w:spacing w:val="-2"/>
        </w:rPr>
        <w:t>险特征的金融资产组合中再进行减值测试。已单项确认减值损失的金融资产，不包括在具有类似信用风险</w:t>
      </w:r>
      <w:r>
        <w:rPr>
          <w:spacing w:val="-36"/>
        </w:rPr>
        <w:t> </w:t>
      </w:r>
      <w:r>
        <w:rPr>
          <w:spacing w:val="-36"/>
        </w:rPr>
      </w:r>
      <w:r>
        <w:rPr/>
        <w:t>特征的金融资产组合中进行减值测试。</w:t>
      </w:r>
    </w:p>
    <w:p>
      <w:pPr>
        <w:spacing w:line="240" w:lineRule="auto" w:before="1"/>
        <w:rPr>
          <w:rFonts w:ascii="宋体" w:hAnsi="宋体" w:cs="宋体" w:eastAsia="宋体" w:hint="default"/>
          <w:sz w:val="17"/>
          <w:szCs w:val="17"/>
        </w:rPr>
      </w:pPr>
    </w:p>
    <w:p>
      <w:pPr>
        <w:pStyle w:val="BodyText"/>
        <w:spacing w:line="273" w:lineRule="auto"/>
        <w:ind w:right="142" w:firstLine="422"/>
        <w:jc w:val="both"/>
      </w:pPr>
      <w:r>
        <w:rPr>
          <w:spacing w:val="-2"/>
        </w:rPr>
        <w:t>本公司对以摊余成本计量的金融资产确认减值损失后，如有客观证据表明该金融资产价值已恢复，且</w:t>
      </w:r>
      <w:r>
        <w:rPr>
          <w:w w:val="100"/>
        </w:rPr>
        <w:t> </w:t>
      </w:r>
      <w:r>
        <w:rPr>
          <w:spacing w:val="-2"/>
        </w:rPr>
        <w:t>客观上与确认该损失后发生的事项有关，原确认的减值损失予以转回，计入当期损益。但是，该转回后的</w:t>
      </w:r>
      <w:r>
        <w:rPr>
          <w:spacing w:val="-37"/>
        </w:rPr>
        <w:t> </w:t>
      </w:r>
      <w:r>
        <w:rPr>
          <w:spacing w:val="-37"/>
        </w:rPr>
      </w:r>
      <w:r>
        <w:rPr/>
        <w:t>账面价值不超过假定不计提减值准备情况下该金融资产在转回日的摊余成本。</w:t>
      </w:r>
    </w:p>
    <w:p>
      <w:pPr>
        <w:pStyle w:val="BodyText"/>
        <w:spacing w:line="528" w:lineRule="exact" w:before="46"/>
        <w:ind w:left="575" w:right="0"/>
        <w:jc w:val="left"/>
      </w:pPr>
      <w:r>
        <w:rPr/>
        <w:t>可供出售金融资产</w:t>
      </w:r>
      <w:r>
        <w:rPr>
          <w:spacing w:val="-101"/>
        </w:rPr>
        <w:t> </w:t>
      </w:r>
      <w:r>
        <w:rPr>
          <w:spacing w:val="-101"/>
        </w:rPr>
      </w:r>
      <w:r>
        <w:rPr>
          <w:spacing w:val="-2"/>
        </w:rPr>
        <w:t>如果有客观证据表明该金融资产发生减值，原直接计入其他综合收益的因公允价值下降形成的累计损</w:t>
      </w:r>
    </w:p>
    <w:p>
      <w:pPr>
        <w:pStyle w:val="BodyText"/>
        <w:spacing w:line="236" w:lineRule="exact"/>
        <w:ind w:right="0"/>
        <w:jc w:val="left"/>
      </w:pPr>
      <w:r>
        <w:rPr/>
        <w:t>失，予以转出，计入当期损益。该转出的累计损失，为可供出售金融资产的初始取得成本扣除已收回本金</w:t>
      </w:r>
    </w:p>
    <w:p>
      <w:pPr>
        <w:pStyle w:val="BodyText"/>
        <w:spacing w:line="240" w:lineRule="auto" w:before="37"/>
        <w:ind w:right="0"/>
        <w:jc w:val="left"/>
      </w:pPr>
      <w:r>
        <w:rPr/>
        <w:t>和已摊销金额、当前公允价值和原已计入损益的减值损失后的余额。</w:t>
      </w:r>
    </w:p>
    <w:p>
      <w:pPr>
        <w:spacing w:line="240" w:lineRule="auto" w:before="5"/>
        <w:rPr>
          <w:rFonts w:ascii="宋体" w:hAnsi="宋体" w:cs="宋体" w:eastAsia="宋体" w:hint="default"/>
          <w:sz w:val="19"/>
          <w:szCs w:val="19"/>
        </w:rPr>
      </w:pPr>
    </w:p>
    <w:p>
      <w:pPr>
        <w:pStyle w:val="BodyText"/>
        <w:spacing w:line="273" w:lineRule="auto"/>
        <w:ind w:right="137" w:firstLine="422"/>
        <w:jc w:val="both"/>
      </w:pPr>
      <w:r>
        <w:rPr>
          <w:spacing w:val="-2"/>
        </w:rPr>
        <w:t>对于已确认减值损失的可供出售债务工具，在随后的会计期间公允价值已上升且客观上与确认原减值</w:t>
      </w:r>
      <w:r>
        <w:rPr>
          <w:w w:val="100"/>
        </w:rPr>
        <w:t> </w:t>
      </w:r>
      <w:r>
        <w:rPr>
          <w:spacing w:val="-2"/>
        </w:rPr>
        <w:t>损失确认后发生的事项有关的，原确认的减值损失予以转回，计入当期损益。可供出售权益工具投资发生</w:t>
      </w:r>
      <w:r>
        <w:rPr>
          <w:spacing w:val="-35"/>
        </w:rPr>
        <w:t> </w:t>
      </w:r>
      <w:r>
        <w:rPr>
          <w:spacing w:val="-35"/>
        </w:rPr>
      </w:r>
      <w:r>
        <w:rPr/>
        <w:t>的减值损失，不通过损益转回。</w:t>
      </w:r>
    </w:p>
    <w:p>
      <w:pPr>
        <w:pStyle w:val="BodyText"/>
        <w:spacing w:line="528" w:lineRule="exact" w:before="46"/>
        <w:ind w:left="575" w:right="0"/>
        <w:jc w:val="left"/>
      </w:pPr>
      <w:r>
        <w:rPr/>
        <w:t>以成本计量的金融资产</w:t>
      </w:r>
      <w:r>
        <w:rPr>
          <w:w w:val="100"/>
        </w:rPr>
        <w:t> </w:t>
      </w:r>
      <w:r>
        <w:rPr>
          <w:spacing w:val="-2"/>
        </w:rPr>
        <w:t>在活跃市场中没有报价且其公允价值不能可靠计量的权益工具投资，或与该权益工具挂钩并须通过交</w:t>
      </w:r>
    </w:p>
    <w:p>
      <w:pPr>
        <w:pStyle w:val="BodyText"/>
        <w:spacing w:line="236" w:lineRule="exact"/>
        <w:ind w:right="0"/>
        <w:jc w:val="left"/>
      </w:pPr>
      <w:r>
        <w:rPr/>
        <w:t>付该权益工具结算的衍生金融资产发生减值时，将该金融资产的账面价值，与按照类似金融资产当时市场</w:t>
      </w:r>
    </w:p>
    <w:p>
      <w:pPr>
        <w:pStyle w:val="BodyText"/>
        <w:spacing w:line="273" w:lineRule="auto" w:before="37"/>
        <w:ind w:right="0"/>
        <w:jc w:val="left"/>
      </w:pPr>
      <w:r>
        <w:rPr>
          <w:spacing w:val="-2"/>
        </w:rPr>
        <w:t>收益率对未来现金流量折现确定的现值之间的差额，确认为减值损失，计入当期损益。发生的减值损失一</w:t>
      </w:r>
      <w:r>
        <w:rPr>
          <w:spacing w:val="-35"/>
        </w:rPr>
        <w:t> </w:t>
      </w:r>
      <w:r>
        <w:rPr>
          <w:spacing w:val="-35"/>
        </w:rPr>
      </w:r>
      <w:r>
        <w:rPr/>
        <w:t>经确认，不得转回。</w:t>
      </w:r>
    </w:p>
    <w:p>
      <w:pPr>
        <w:spacing w:line="240" w:lineRule="auto" w:before="1"/>
        <w:rPr>
          <w:rFonts w:ascii="宋体" w:hAnsi="宋体" w:cs="宋体" w:eastAsia="宋体" w:hint="default"/>
          <w:sz w:val="17"/>
          <w:szCs w:val="17"/>
        </w:rPr>
      </w:pPr>
    </w:p>
    <w:p>
      <w:pPr>
        <w:pStyle w:val="BodyText"/>
        <w:spacing w:line="460" w:lineRule="auto"/>
        <w:ind w:left="575" w:right="0"/>
        <w:jc w:val="left"/>
      </w:pPr>
      <w:r>
        <w:rPr/>
        <w:t>（6）金融资产转移</w:t>
      </w:r>
      <w:r>
        <w:rPr>
          <w:spacing w:val="-101"/>
        </w:rPr>
        <w:t> </w:t>
      </w:r>
      <w:r>
        <w:rPr>
          <w:spacing w:val="-101"/>
        </w:rPr>
      </w:r>
      <w:r>
        <w:rPr/>
        <w:t>金融资产转移，是指将金融资产让与或交付给该金融资产发行方以外的另一方（转入方）。</w:t>
      </w:r>
      <w:r>
        <w:rPr>
          <w:w w:val="100"/>
        </w:rPr>
        <w:t> </w:t>
      </w:r>
      <w:r>
        <w:rPr>
          <w:spacing w:val="-2"/>
        </w:rPr>
        <w:t>本公司已将金融资产所有权上几乎所有的风险和报酬转移给转入方的，终止确认该金融资产；保留了</w:t>
      </w:r>
    </w:p>
    <w:p>
      <w:pPr>
        <w:spacing w:after="0" w:line="460" w:lineRule="auto"/>
        <w:jc w:val="left"/>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BodyText"/>
        <w:spacing w:line="240" w:lineRule="auto" w:before="36"/>
        <w:ind w:right="0"/>
        <w:jc w:val="left"/>
      </w:pPr>
      <w:r>
        <w:rPr/>
        <w:t>金融资产所有权上几乎所有的风险和报酬的，不终止确认该金融资产。</w:t>
      </w:r>
    </w:p>
    <w:p>
      <w:pPr>
        <w:spacing w:line="240" w:lineRule="auto" w:before="5"/>
        <w:rPr>
          <w:rFonts w:ascii="宋体" w:hAnsi="宋体" w:cs="宋体" w:eastAsia="宋体" w:hint="default"/>
          <w:sz w:val="19"/>
          <w:szCs w:val="19"/>
        </w:rPr>
      </w:pPr>
    </w:p>
    <w:p>
      <w:pPr>
        <w:pStyle w:val="BodyText"/>
        <w:spacing w:line="273" w:lineRule="auto"/>
        <w:ind w:right="142" w:firstLine="422"/>
        <w:jc w:val="both"/>
      </w:pPr>
      <w:r>
        <w:rPr>
          <w:spacing w:val="-2"/>
        </w:rPr>
        <w:t>本公司既没有转移也没有保留金融资产所有权上几乎所有的风险和报酬的，分别下列情况处理：放弃</w:t>
      </w:r>
      <w:r>
        <w:rPr>
          <w:w w:val="100"/>
        </w:rPr>
        <w:t> </w:t>
      </w:r>
      <w:r>
        <w:rPr>
          <w:spacing w:val="-2"/>
        </w:rPr>
        <w:t>了对该金融资产控制的，终止确认该金融资产并确认产生的资产和负债；未放弃对该金融资产控制的，按</w:t>
      </w:r>
      <w:r>
        <w:rPr>
          <w:spacing w:val="-35"/>
        </w:rPr>
        <w:t> </w:t>
      </w:r>
      <w:r>
        <w:rPr>
          <w:spacing w:val="-35"/>
        </w:rPr>
      </w:r>
      <w:r>
        <w:rPr/>
        <w:t>照其继续涉入所转移金融资产的程度确认有关金融资产，并相应确认有关负债。</w:t>
      </w:r>
    </w:p>
    <w:p>
      <w:pPr>
        <w:pStyle w:val="BodyText"/>
        <w:spacing w:line="528" w:lineRule="exact" w:before="46"/>
        <w:ind w:left="575" w:right="0"/>
        <w:jc w:val="left"/>
      </w:pPr>
      <w:r>
        <w:rPr/>
        <w:t>（7）金融资产和金融负债的抵销</w:t>
      </w:r>
      <w:r>
        <w:rPr>
          <w:w w:val="100"/>
        </w:rPr>
        <w:t> </w:t>
      </w:r>
      <w:r>
        <w:rPr>
          <w:spacing w:val="-2"/>
        </w:rPr>
        <w:t>当本公司具有抵销已确认金融资产和金融负债的法定权利，且目前可执行该种法定权利，同时本公司</w:t>
      </w:r>
    </w:p>
    <w:p>
      <w:pPr>
        <w:pStyle w:val="BodyText"/>
        <w:spacing w:line="236" w:lineRule="exact"/>
        <w:ind w:right="0"/>
        <w:jc w:val="left"/>
      </w:pPr>
      <w:r>
        <w:rPr/>
        <w:t>计划以净额结算或同时变现该金融资产和清偿该金融负债时，金融资产和金融负债以相互抵销后的金额在</w:t>
      </w:r>
    </w:p>
    <w:p>
      <w:pPr>
        <w:pStyle w:val="BodyText"/>
        <w:spacing w:line="240" w:lineRule="auto" w:before="37"/>
        <w:ind w:right="0"/>
        <w:jc w:val="left"/>
      </w:pPr>
      <w:r>
        <w:rPr/>
        <w:t>资产负债表内列示。除此以外，金融资产和金融负债在资产负债表内分别列示，不予相互抵销。</w:t>
      </w:r>
    </w:p>
    <w:p>
      <w:pPr>
        <w:spacing w:line="240" w:lineRule="auto" w:before="11"/>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11</w:t>
      </w:r>
      <w:r>
        <w:rPr/>
        <w:t>、应收款项</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）单项金额重大并单独计提坏账准备的应收款项</w:t>
      </w:r>
      <w:r>
        <w:rPr>
          <w:b w:val="0"/>
          <w:bCs w:val="0"/>
        </w:rPr>
      </w:r>
    </w:p>
    <w:p>
      <w:pPr>
        <w:spacing w:line="240" w:lineRule="auto" w:before="17"/>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4786"/>
        <w:gridCol w:w="4781"/>
      </w:tblGrid>
      <w:tr>
        <w:trPr>
          <w:trHeight w:val="715" w:hRule="exact"/>
        </w:trPr>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单项金额重大的判断依据或金额标准</w:t>
            </w:r>
          </w:p>
        </w:tc>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本公司将年末余额大于 </w:t>
            </w:r>
            <w:r>
              <w:rPr>
                <w:rFonts w:ascii="Times New Roman" w:hAnsi="Times New Roman" w:cs="Times New Roman" w:eastAsia="Times New Roman" w:hint="default"/>
                <w:sz w:val="18"/>
                <w:szCs w:val="18"/>
              </w:rPr>
              <w:t>200</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万元的应收账款、年末余额大于</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50 </w:t>
            </w:r>
            <w:r>
              <w:rPr>
                <w:rFonts w:ascii="Times New Roman" w:hAnsi="Times New Roman" w:cs="Times New Roman" w:eastAsia="Times New Roman" w:hint="default"/>
                <w:spacing w:val="29"/>
                <w:sz w:val="18"/>
                <w:szCs w:val="18"/>
              </w:rPr>
              <w:t> </w:t>
            </w:r>
            <w:r>
              <w:rPr>
                <w:rFonts w:ascii="宋体" w:hAnsi="宋体" w:cs="宋体" w:eastAsia="宋体" w:hint="default"/>
                <w:spacing w:val="-3"/>
                <w:sz w:val="18"/>
                <w:szCs w:val="18"/>
              </w:rPr>
              <w:t>万元的其他应收款，确定为单项金额重大的应收款项。</w:t>
            </w:r>
          </w:p>
        </w:tc>
      </w:tr>
      <w:tr>
        <w:trPr>
          <w:trHeight w:val="1339" w:hRule="exact"/>
        </w:trPr>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1"/>
                <w:szCs w:val="1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单项金额重大并单项计提坏账准备的计提方法</w:t>
            </w:r>
          </w:p>
        </w:tc>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3" w:right="60"/>
              <w:jc w:val="both"/>
              <w:rPr>
                <w:rFonts w:ascii="宋体" w:hAnsi="宋体" w:cs="宋体" w:eastAsia="宋体" w:hint="default"/>
                <w:sz w:val="18"/>
                <w:szCs w:val="18"/>
              </w:rPr>
            </w:pPr>
            <w:r>
              <w:rPr>
                <w:rFonts w:ascii="宋体" w:hAnsi="宋体" w:cs="宋体" w:eastAsia="宋体" w:hint="default"/>
                <w:spacing w:val="-3"/>
                <w:sz w:val="18"/>
                <w:szCs w:val="18"/>
              </w:rPr>
              <w:t>对于单项金额重大的应收款项单独进行减值测试，有客观证</w:t>
            </w:r>
            <w:r>
              <w:rPr>
                <w:rFonts w:ascii="宋体" w:hAnsi="宋体" w:cs="宋体" w:eastAsia="宋体" w:hint="default"/>
                <w:spacing w:val="-11"/>
                <w:sz w:val="18"/>
                <w:szCs w:val="18"/>
              </w:rPr>
              <w:t> </w:t>
            </w:r>
            <w:r>
              <w:rPr>
                <w:rFonts w:ascii="宋体" w:hAnsi="宋体" w:cs="宋体" w:eastAsia="宋体" w:hint="default"/>
                <w:spacing w:val="-11"/>
                <w:sz w:val="18"/>
                <w:szCs w:val="18"/>
              </w:rPr>
            </w:r>
            <w:r>
              <w:rPr>
                <w:rFonts w:ascii="宋体" w:hAnsi="宋体" w:cs="宋体" w:eastAsia="宋体" w:hint="default"/>
                <w:spacing w:val="-3"/>
                <w:sz w:val="18"/>
                <w:szCs w:val="18"/>
              </w:rPr>
              <w:t>据表明发生了减值，根据其未来现金流量现值低于其账面价</w:t>
            </w:r>
            <w:r>
              <w:rPr>
                <w:rFonts w:ascii="宋体" w:hAnsi="宋体" w:cs="宋体" w:eastAsia="宋体" w:hint="default"/>
                <w:spacing w:val="-11"/>
                <w:sz w:val="18"/>
                <w:szCs w:val="18"/>
              </w:rPr>
              <w:t> </w:t>
            </w:r>
            <w:r>
              <w:rPr>
                <w:rFonts w:ascii="宋体" w:hAnsi="宋体" w:cs="宋体" w:eastAsia="宋体" w:hint="default"/>
                <w:spacing w:val="-11"/>
                <w:sz w:val="18"/>
                <w:szCs w:val="18"/>
              </w:rPr>
            </w:r>
            <w:r>
              <w:rPr>
                <w:rFonts w:ascii="宋体" w:hAnsi="宋体" w:cs="宋体" w:eastAsia="宋体" w:hint="default"/>
                <w:spacing w:val="-3"/>
                <w:sz w:val="18"/>
                <w:szCs w:val="18"/>
              </w:rPr>
              <w:t>值的差额计提坏账准备。单项金额重大经单独测试未发生减</w:t>
            </w:r>
            <w:r>
              <w:rPr>
                <w:rFonts w:ascii="宋体" w:hAnsi="宋体" w:cs="宋体" w:eastAsia="宋体" w:hint="default"/>
                <w:spacing w:val="-11"/>
                <w:sz w:val="18"/>
                <w:szCs w:val="18"/>
              </w:rPr>
              <w:t> </w:t>
            </w:r>
            <w:r>
              <w:rPr>
                <w:rFonts w:ascii="宋体" w:hAnsi="宋体" w:cs="宋体" w:eastAsia="宋体" w:hint="default"/>
                <w:spacing w:val="-11"/>
                <w:sz w:val="18"/>
                <w:szCs w:val="18"/>
              </w:rPr>
            </w:r>
            <w:r>
              <w:rPr>
                <w:rFonts w:ascii="宋体" w:hAnsi="宋体" w:cs="宋体" w:eastAsia="宋体" w:hint="default"/>
                <w:spacing w:val="-3"/>
                <w:sz w:val="18"/>
                <w:szCs w:val="18"/>
              </w:rPr>
              <w:t>值的应收款项，再按组合计提坏账准备</w:t>
            </w:r>
          </w:p>
        </w:tc>
      </w:tr>
    </w:tbl>
    <w:p>
      <w:pPr>
        <w:spacing w:line="240" w:lineRule="auto" w:before="8"/>
        <w:rPr>
          <w:rFonts w:ascii="Microsoft JhengHei" w:hAnsi="Microsoft JhengHei" w:cs="Microsoft JhengHei" w:eastAsia="Microsoft JhengHei" w:hint="default"/>
          <w:b/>
          <w:bCs/>
          <w:sz w:val="14"/>
          <w:szCs w:val="14"/>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）按信用风险特征组合计提坏账准备的应收款项</w:t>
      </w:r>
      <w:r>
        <w:rPr>
          <w:b w:val="0"/>
          <w:bCs w:val="0"/>
        </w:rPr>
      </w:r>
    </w:p>
    <w:p>
      <w:pPr>
        <w:spacing w:line="240" w:lineRule="auto" w:before="12"/>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4786"/>
        <w:gridCol w:w="4781"/>
      </w:tblGrid>
      <w:tr>
        <w:trPr>
          <w:trHeight w:val="403" w:hRule="exact"/>
        </w:trPr>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4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坏账准备计提方法</w:t>
            </w:r>
          </w:p>
        </w:tc>
      </w:tr>
      <w:tr>
        <w:trPr>
          <w:trHeight w:val="398"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信用风险组合</w:t>
            </w:r>
          </w:p>
        </w:tc>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组合中，采用账龄分析法计提坏账准备的：</w:t>
      </w:r>
    </w:p>
    <w:p>
      <w:pPr>
        <w:spacing w:before="119"/>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6"/>
        <w:gridCol w:w="3202"/>
        <w:gridCol w:w="3192"/>
      </w:tblGrid>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78"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77" w:right="0"/>
              <w:jc w:val="left"/>
              <w:rPr>
                <w:rFonts w:ascii="宋体" w:hAnsi="宋体" w:cs="宋体" w:eastAsia="宋体" w:hint="default"/>
                <w:sz w:val="18"/>
                <w:szCs w:val="18"/>
              </w:rPr>
            </w:pPr>
            <w:r>
              <w:rPr>
                <w:rFonts w:ascii="宋体" w:hAnsi="宋体" w:cs="宋体" w:eastAsia="宋体" w:hint="default"/>
                <w:spacing w:val="-3"/>
                <w:sz w:val="18"/>
                <w:szCs w:val="18"/>
              </w:rPr>
              <w:t>其他应收款计提比例</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年以内（含</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年）</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5.00%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5.00%</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10.00%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10.00%</w:t>
            </w:r>
          </w:p>
        </w:tc>
      </w:tr>
      <w:tr>
        <w:trPr>
          <w:trHeight w:val="398"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20.00%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20.00%</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50.00%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50.00%</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80.00%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80.00%</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100.00%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100.00%</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组合中，采用余额百分比法计提坏账准备的：</w:t>
      </w:r>
    </w:p>
    <w:p>
      <w:pPr>
        <w:spacing w:line="362" w:lineRule="auto" w:before="115"/>
        <w:ind w:left="152" w:right="5284"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 不适用</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3"/>
          <w:sz w:val="18"/>
          <w:szCs w:val="18"/>
        </w:rPr>
        <w:t>组合中，采用其他方法计提坏账准备的：</w:t>
      </w:r>
    </w:p>
    <w:p>
      <w:pPr>
        <w:spacing w:before="23"/>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Heading4"/>
        <w:spacing w:line="335" w:lineRule="exact"/>
        <w:ind w:right="0"/>
        <w:jc w:val="left"/>
        <w:rPr>
          <w:b w:val="0"/>
          <w:bCs w:val="0"/>
        </w:rPr>
      </w:pPr>
      <w:r>
        <w:rPr/>
        <w:t>（</w:t>
      </w:r>
      <w:r>
        <w:rPr>
          <w:rFonts w:ascii="Times New Roman" w:hAnsi="Times New Roman" w:cs="Times New Roman" w:eastAsia="Times New Roman" w:hint="default"/>
        </w:rPr>
        <w:t>3</w:t>
      </w:r>
      <w:r>
        <w:rPr/>
        <w:t>）单项金额不重大但单独计提坏账准备的应收款项</w:t>
      </w:r>
      <w:r>
        <w:rPr>
          <w:b w:val="0"/>
          <w:bCs w:val="0"/>
        </w:rPr>
      </w:r>
    </w:p>
    <w:p>
      <w:pPr>
        <w:spacing w:line="240" w:lineRule="auto" w:before="17"/>
        <w:rPr>
          <w:rFonts w:ascii="Microsoft JhengHei" w:hAnsi="Microsoft JhengHei" w:cs="Microsoft JhengHei" w:eastAsia="Microsoft JhengHei" w:hint="default"/>
          <w:b/>
          <w:bCs/>
          <w:sz w:val="19"/>
          <w:szCs w:val="19"/>
        </w:rPr>
      </w:pPr>
    </w:p>
    <w:p>
      <w:pPr>
        <w:spacing w:before="46"/>
        <w:ind w:left="0" w:right="146" w:firstLine="0"/>
        <w:jc w:val="right"/>
        <w:rPr>
          <w:rFonts w:ascii="宋体" w:hAnsi="宋体" w:cs="宋体" w:eastAsia="宋体" w:hint="default"/>
          <w:sz w:val="18"/>
          <w:szCs w:val="18"/>
        </w:rPr>
      </w:pPr>
      <w:r>
        <w:rPr/>
        <w:pict>
          <v:shape style="position:absolute;margin-left:56.400002pt;margin-top:-.868262pt;width:479.05pt;height:103pt;mso-position-horizontal-relative:page;mso-position-vertical-relative:paragraph;z-index:14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786"/>
                    <w:gridCol w:w="4781"/>
                  </w:tblGrid>
                  <w:tr>
                    <w:trPr>
                      <w:trHeight w:val="715" w:hRule="exact"/>
                    </w:trPr>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单项计提坏账准备的理由</w:t>
                        </w:r>
                      </w:p>
                    </w:tc>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3"/>
                          <w:ind w:left="23" w:right="103"/>
                          <w:jc w:val="left"/>
                          <w:rPr>
                            <w:rFonts w:ascii="宋体" w:hAnsi="宋体" w:cs="宋体" w:eastAsia="宋体" w:hint="default"/>
                            <w:sz w:val="18"/>
                            <w:szCs w:val="18"/>
                          </w:rPr>
                        </w:pPr>
                        <w:r>
                          <w:rPr>
                            <w:rFonts w:ascii="宋体" w:hAnsi="宋体" w:cs="宋体" w:eastAsia="宋体" w:hint="default"/>
                            <w:sz w:val="18"/>
                            <w:szCs w:val="18"/>
                          </w:rPr>
                          <w:t>本公司将年末余额小于</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200</w:t>
                        </w:r>
                        <w:r>
                          <w:rPr>
                            <w:rFonts w:ascii="Times New Roman" w:hAnsi="Times New Roman" w:cs="Times New Roman" w:eastAsia="Times New Roman" w:hint="default"/>
                            <w:spacing w:val="-6"/>
                            <w:sz w:val="18"/>
                            <w:szCs w:val="18"/>
                          </w:rPr>
                          <w:t> </w:t>
                        </w:r>
                        <w:r>
                          <w:rPr>
                            <w:rFonts w:ascii="宋体" w:hAnsi="宋体" w:cs="宋体" w:eastAsia="宋体" w:hint="default"/>
                            <w:spacing w:val="-3"/>
                            <w:sz w:val="18"/>
                            <w:szCs w:val="18"/>
                          </w:rPr>
                          <w:t>万元且账龄超过一年的应收账款</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3"/>
                            <w:sz w:val="18"/>
                            <w:szCs w:val="18"/>
                          </w:rPr>
                          <w:t>确定为单项金额不重大但单项计提坏账准备的应收款项</w:t>
                        </w:r>
                      </w:p>
                    </w:tc>
                  </w:tr>
                  <w:tr>
                    <w:trPr>
                      <w:trHeight w:val="1334" w:hRule="exact"/>
                    </w:trPr>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3"/>
                            <w:sz w:val="18"/>
                            <w:szCs w:val="18"/>
                          </w:rPr>
                          <w:t>坏账准备的计提方法</w:t>
                        </w:r>
                      </w:p>
                    </w:tc>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3"/>
                          <w:ind w:left="23" w:right="60"/>
                          <w:jc w:val="both"/>
                          <w:rPr>
                            <w:rFonts w:ascii="宋体" w:hAnsi="宋体" w:cs="宋体" w:eastAsia="宋体" w:hint="default"/>
                            <w:sz w:val="18"/>
                            <w:szCs w:val="18"/>
                          </w:rPr>
                        </w:pPr>
                        <w:r>
                          <w:rPr>
                            <w:rFonts w:ascii="宋体" w:hAnsi="宋体" w:cs="宋体" w:eastAsia="宋体" w:hint="default"/>
                            <w:sz w:val="18"/>
                            <w:szCs w:val="18"/>
                          </w:rPr>
                          <w:t>对于年末余额小于 </w:t>
                        </w:r>
                        <w:r>
                          <w:rPr>
                            <w:rFonts w:ascii="Times New Roman" w:hAnsi="Times New Roman" w:cs="Times New Roman" w:eastAsia="Times New Roman" w:hint="default"/>
                            <w:sz w:val="18"/>
                            <w:szCs w:val="18"/>
                          </w:rPr>
                          <w:t>200 </w:t>
                        </w:r>
                        <w:r>
                          <w:rPr>
                            <w:rFonts w:ascii="宋体" w:hAnsi="宋体" w:cs="宋体" w:eastAsia="宋体" w:hint="default"/>
                            <w:spacing w:val="-3"/>
                            <w:sz w:val="18"/>
                            <w:szCs w:val="18"/>
                          </w:rPr>
                          <w:t>万元且账龄超过一年的应收账款单独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3"/>
                            <w:sz w:val="18"/>
                            <w:szCs w:val="18"/>
                          </w:rPr>
                          <w:t>进行减值测试，有客观证据表明发生了减值，根据其未来现</w:t>
                        </w:r>
                        <w:r>
                          <w:rPr>
                            <w:rFonts w:ascii="宋体" w:hAnsi="宋体" w:cs="宋体" w:eastAsia="宋体" w:hint="default"/>
                            <w:spacing w:val="-11"/>
                            <w:sz w:val="18"/>
                            <w:szCs w:val="18"/>
                          </w:rPr>
                          <w:t> </w:t>
                        </w:r>
                        <w:r>
                          <w:rPr>
                            <w:rFonts w:ascii="宋体" w:hAnsi="宋体" w:cs="宋体" w:eastAsia="宋体" w:hint="default"/>
                            <w:spacing w:val="-11"/>
                            <w:sz w:val="18"/>
                            <w:szCs w:val="18"/>
                          </w:rPr>
                        </w:r>
                        <w:r>
                          <w:rPr>
                            <w:rFonts w:ascii="宋体" w:hAnsi="宋体" w:cs="宋体" w:eastAsia="宋体" w:hint="default"/>
                            <w:spacing w:val="-3"/>
                            <w:sz w:val="18"/>
                            <w:szCs w:val="18"/>
                          </w:rPr>
                          <w:t>金流量现值低于其账面价值的差额计提坏账准备。经单独测</w:t>
                        </w:r>
                        <w:r>
                          <w:rPr>
                            <w:rFonts w:ascii="宋体" w:hAnsi="宋体" w:cs="宋体" w:eastAsia="宋体" w:hint="default"/>
                            <w:spacing w:val="-11"/>
                            <w:sz w:val="18"/>
                            <w:szCs w:val="18"/>
                          </w:rPr>
                          <w:t> </w:t>
                        </w:r>
                        <w:r>
                          <w:rPr>
                            <w:rFonts w:ascii="宋体" w:hAnsi="宋体" w:cs="宋体" w:eastAsia="宋体" w:hint="default"/>
                            <w:spacing w:val="-11"/>
                            <w:sz w:val="18"/>
                            <w:szCs w:val="18"/>
                          </w:rPr>
                        </w:r>
                        <w:r>
                          <w:rPr>
                            <w:rFonts w:ascii="宋体" w:hAnsi="宋体" w:cs="宋体" w:eastAsia="宋体" w:hint="default"/>
                            <w:spacing w:val="-3"/>
                            <w:sz w:val="18"/>
                            <w:szCs w:val="18"/>
                          </w:rPr>
                          <w:t>试未发生减值的应收款项，再按组合计提坏账准备。</w:t>
                        </w:r>
                      </w:p>
                    </w:tc>
                  </w:tr>
                </w:tbl>
                <w:p>
                  <w:pPr/>
                </w:p>
              </w:txbxContent>
            </v:textbox>
            <w10:wrap type="none"/>
          </v:shape>
        </w:pict>
      </w:r>
      <w:r>
        <w:rPr>
          <w:rFonts w:ascii="宋体" w:hAnsi="宋体" w:cs="宋体" w:eastAsia="宋体" w:hint="default"/>
          <w:w w:val="101"/>
          <w:sz w:val="18"/>
          <w:szCs w:val="18"/>
        </w:rPr>
        <w:t>，</w:t>
      </w:r>
      <w:r>
        <w:rPr>
          <w:rFonts w:ascii="宋体" w:hAnsi="宋体" w:cs="宋体" w:eastAsia="宋体" w:hint="default"/>
          <w:sz w:val="18"/>
          <w:szCs w:val="18"/>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4"/>
        <w:spacing w:line="240" w:lineRule="auto" w:before="149"/>
        <w:ind w:right="0"/>
        <w:jc w:val="left"/>
        <w:rPr>
          <w:b w:val="0"/>
          <w:bCs w:val="0"/>
        </w:rPr>
      </w:pPr>
      <w:r>
        <w:rPr>
          <w:rFonts w:ascii="Times New Roman" w:hAnsi="Times New Roman" w:cs="Times New Roman" w:eastAsia="Times New Roman" w:hint="default"/>
        </w:rPr>
        <w:t>12</w:t>
      </w:r>
      <w:r>
        <w:rPr/>
        <w:t>、存货</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rFonts w:ascii="Times New Roman" w:hAnsi="Times New Roman" w:cs="Times New Roman" w:eastAsia="Times New Roman" w:hint="default"/>
        </w:rPr>
        <w:t>1</w:t>
      </w:r>
      <w:r>
        <w:rPr/>
        <w:t>）存货的分类</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73" w:lineRule="auto"/>
        <w:ind w:right="142" w:firstLine="422"/>
        <w:jc w:val="both"/>
      </w:pPr>
      <w:r>
        <w:rPr>
          <w:spacing w:val="-2"/>
        </w:rPr>
        <w:t>存货是指本公司在日常活动中持有以备出售的产成品或商品、处在生产过程中的在产品、在生产过程</w:t>
      </w:r>
      <w:r>
        <w:rPr>
          <w:w w:val="100"/>
        </w:rPr>
        <w:t> </w:t>
      </w:r>
      <w:r>
        <w:rPr>
          <w:spacing w:val="-2"/>
        </w:rPr>
        <w:t>或提供劳务过程中耗用的材料和物料等。主要包括原材料、周转材料、在产品、发出商品、产成品（库存</w:t>
      </w:r>
      <w:r>
        <w:rPr>
          <w:spacing w:val="-40"/>
        </w:rPr>
        <w:t> </w:t>
      </w:r>
      <w:r>
        <w:rPr>
          <w:spacing w:val="-40"/>
        </w:rPr>
      </w:r>
      <w:r>
        <w:rPr/>
        <w:t>商品）等</w:t>
      </w:r>
    </w:p>
    <w:p>
      <w:pPr>
        <w:spacing w:line="240" w:lineRule="auto" w:before="3"/>
        <w:rPr>
          <w:rFonts w:ascii="宋体" w:hAnsi="宋体" w:cs="宋体" w:eastAsia="宋体" w:hint="default"/>
          <w:sz w:val="18"/>
          <w:szCs w:val="18"/>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）发出存货的计价方法</w:t>
      </w:r>
      <w:r>
        <w:rPr>
          <w:b w:val="0"/>
          <w:bCs w:val="0"/>
        </w:rPr>
      </w:r>
    </w:p>
    <w:p>
      <w:pPr>
        <w:spacing w:line="240" w:lineRule="auto" w:before="6"/>
        <w:rPr>
          <w:rFonts w:ascii="Microsoft JhengHei" w:hAnsi="Microsoft JhengHei" w:cs="Microsoft JhengHei" w:eastAsia="Microsoft JhengHei" w:hint="default"/>
          <w:b/>
          <w:bCs/>
          <w:sz w:val="16"/>
          <w:szCs w:val="16"/>
        </w:rPr>
      </w:pPr>
    </w:p>
    <w:p>
      <w:pPr>
        <w:pStyle w:val="BodyText"/>
        <w:spacing w:line="302" w:lineRule="auto" w:before="36"/>
        <w:ind w:left="575" w:right="0"/>
        <w:jc w:val="left"/>
      </w:pPr>
      <w:r>
        <w:rPr/>
        <w:t>计价方法：先进先出法</w:t>
      </w:r>
      <w:r>
        <w:rPr>
          <w:w w:val="100"/>
        </w:rPr>
        <w:t> </w:t>
      </w:r>
      <w:r>
        <w:rPr>
          <w:spacing w:val="-2"/>
        </w:rPr>
        <w:t>本公司存货取得时按实际成本计价。原材料、在产品、库存商品、发出商品等发出时采用加权平均法</w:t>
      </w:r>
    </w:p>
    <w:p>
      <w:pPr>
        <w:pStyle w:val="BodyText"/>
        <w:spacing w:line="257" w:lineRule="exact"/>
        <w:ind w:right="0"/>
        <w:jc w:val="left"/>
      </w:pPr>
      <w:r>
        <w:rPr/>
        <w:t>计价</w:t>
      </w:r>
    </w:p>
    <w:p>
      <w:pPr>
        <w:spacing w:line="240" w:lineRule="auto" w:before="11"/>
        <w:rPr>
          <w:rFonts w:ascii="宋体" w:hAnsi="宋体" w:cs="宋体" w:eastAsia="宋体" w:hint="default"/>
          <w:sz w:val="22"/>
          <w:szCs w:val="22"/>
        </w:rPr>
      </w:pPr>
    </w:p>
    <w:p>
      <w:pPr>
        <w:pStyle w:val="Heading4"/>
        <w:spacing w:line="335" w:lineRule="exact"/>
        <w:ind w:right="0"/>
        <w:jc w:val="left"/>
        <w:rPr>
          <w:b w:val="0"/>
          <w:bCs w:val="0"/>
        </w:rPr>
      </w:pPr>
      <w:r>
        <w:rPr/>
        <w:t>（</w:t>
      </w:r>
      <w:r>
        <w:rPr>
          <w:rFonts w:ascii="Times New Roman" w:hAnsi="Times New Roman" w:cs="Times New Roman" w:eastAsia="Times New Roman" w:hint="default"/>
        </w:rPr>
        <w:t>3</w:t>
      </w:r>
      <w:r>
        <w:rPr/>
        <w:t>）存货可变现净值的确定依据及存货跌价准备的计提方法</w:t>
      </w:r>
      <w:r>
        <w:rPr>
          <w:b w:val="0"/>
          <w:bCs w:val="0"/>
        </w:rPr>
      </w:r>
    </w:p>
    <w:p>
      <w:pPr>
        <w:spacing w:line="240" w:lineRule="auto" w:before="2"/>
        <w:rPr>
          <w:rFonts w:ascii="Microsoft JhengHei" w:hAnsi="Microsoft JhengHei" w:cs="Microsoft JhengHei" w:eastAsia="Microsoft JhengHei" w:hint="default"/>
          <w:b/>
          <w:bCs/>
          <w:sz w:val="18"/>
          <w:szCs w:val="18"/>
        </w:rPr>
      </w:pPr>
    </w:p>
    <w:p>
      <w:pPr>
        <w:pStyle w:val="BodyText"/>
        <w:spacing w:line="273" w:lineRule="auto"/>
        <w:ind w:right="142" w:firstLine="422"/>
        <w:jc w:val="both"/>
      </w:pPr>
      <w:r>
        <w:rPr>
          <w:spacing w:val="-2"/>
        </w:rPr>
        <w:t>存货可变现净值是按存货的估计售价减去至完工时估计将要发生的成本、估计的销售费用以及相关税</w:t>
      </w:r>
      <w:r>
        <w:rPr>
          <w:w w:val="100"/>
        </w:rPr>
        <w:t> </w:t>
      </w:r>
      <w:r>
        <w:rPr>
          <w:spacing w:val="-2"/>
        </w:rPr>
        <w:t>费后的金额。在确定存货的可变现净值时，以取得的确凿证据为基础，同时考虑持有存货的目的以及资产</w:t>
      </w:r>
      <w:r>
        <w:rPr>
          <w:spacing w:val="-35"/>
        </w:rPr>
        <w:t> </w:t>
      </w:r>
      <w:r>
        <w:rPr>
          <w:spacing w:val="-35"/>
        </w:rPr>
      </w:r>
      <w:r>
        <w:rPr/>
        <w:t>负债表日后事项的影响。</w:t>
      </w:r>
    </w:p>
    <w:p>
      <w:pPr>
        <w:spacing w:line="240" w:lineRule="auto" w:before="1"/>
        <w:rPr>
          <w:rFonts w:ascii="宋体" w:hAnsi="宋体" w:cs="宋体" w:eastAsia="宋体" w:hint="default"/>
          <w:sz w:val="17"/>
          <w:szCs w:val="17"/>
        </w:rPr>
      </w:pPr>
    </w:p>
    <w:p>
      <w:pPr>
        <w:pStyle w:val="BodyText"/>
        <w:spacing w:line="273" w:lineRule="auto"/>
        <w:ind w:right="142" w:firstLine="316"/>
        <w:jc w:val="both"/>
      </w:pPr>
      <w:r>
        <w:rPr/>
        <w:t>资产负债表日，存货成本高于其可变现净值的，计提存货跌价准备。本公司通常按照单个存货项目计</w:t>
      </w:r>
      <w:r>
        <w:rPr>
          <w:w w:val="100"/>
        </w:rPr>
        <w:t> </w:t>
      </w:r>
      <w:r>
        <w:rPr>
          <w:spacing w:val="-2"/>
        </w:rPr>
        <w:t>提存货跌价准备，资产负债表日，以前减记存货价值的影响因素已经消失的，存货跌价准备在原已计提的</w:t>
      </w:r>
      <w:r>
        <w:rPr>
          <w:spacing w:val="-35"/>
        </w:rPr>
        <w:t> </w:t>
      </w:r>
      <w:r>
        <w:rPr>
          <w:spacing w:val="-35"/>
        </w:rPr>
      </w:r>
      <w:r>
        <w:rPr/>
        <w:t>金额内转回。</w:t>
      </w:r>
    </w:p>
    <w:p>
      <w:pPr>
        <w:spacing w:line="240" w:lineRule="auto" w:before="3"/>
        <w:rPr>
          <w:rFonts w:ascii="宋体" w:hAnsi="宋体" w:cs="宋体" w:eastAsia="宋体" w:hint="default"/>
          <w:sz w:val="18"/>
          <w:szCs w:val="18"/>
        </w:rPr>
      </w:pPr>
    </w:p>
    <w:p>
      <w:pPr>
        <w:pStyle w:val="Heading4"/>
        <w:spacing w:line="240" w:lineRule="auto"/>
        <w:ind w:right="0"/>
        <w:jc w:val="left"/>
        <w:rPr>
          <w:b w:val="0"/>
          <w:bCs w:val="0"/>
        </w:rPr>
      </w:pPr>
      <w:r>
        <w:rPr/>
        <w:t>（</w:t>
      </w:r>
      <w:r>
        <w:rPr>
          <w:rFonts w:ascii="Times New Roman" w:hAnsi="Times New Roman" w:cs="Times New Roman" w:eastAsia="Times New Roman" w:hint="default"/>
        </w:rPr>
        <w:t>4</w:t>
      </w:r>
      <w:r>
        <w:rPr/>
        <w:t>）存货的盘存制度</w:t>
      </w:r>
      <w:r>
        <w:rPr>
          <w:b w:val="0"/>
          <w:bCs w:val="0"/>
        </w:rPr>
      </w:r>
    </w:p>
    <w:p>
      <w:pPr>
        <w:spacing w:line="240" w:lineRule="auto" w:before="2"/>
        <w:rPr>
          <w:rFonts w:ascii="Microsoft JhengHei" w:hAnsi="Microsoft JhengHei" w:cs="Microsoft JhengHei" w:eastAsia="Microsoft JhengHei" w:hint="default"/>
          <w:b/>
          <w:bCs/>
          <w:sz w:val="18"/>
          <w:szCs w:val="18"/>
        </w:rPr>
      </w:pPr>
    </w:p>
    <w:p>
      <w:pPr>
        <w:pStyle w:val="BodyText"/>
        <w:spacing w:line="307" w:lineRule="auto"/>
        <w:ind w:right="5284"/>
        <w:jc w:val="left"/>
      </w:pPr>
      <w:r>
        <w:rPr/>
        <w:t>盘存制度：永续盘存制</w:t>
      </w:r>
      <w:r>
        <w:rPr>
          <w:w w:val="100"/>
        </w:rPr>
        <w:t> </w:t>
      </w:r>
      <w:r>
        <w:rPr>
          <w:spacing w:val="-1"/>
        </w:rPr>
        <w:t>本公司存货盘存制度采用永续盘存制。</w:t>
      </w:r>
    </w:p>
    <w:p>
      <w:pPr>
        <w:spacing w:line="240" w:lineRule="auto" w:before="13"/>
        <w:rPr>
          <w:rFonts w:ascii="宋体" w:hAnsi="宋体" w:cs="宋体" w:eastAsia="宋体" w:hint="default"/>
          <w:sz w:val="15"/>
          <w:szCs w:val="15"/>
        </w:rPr>
      </w:pPr>
    </w:p>
    <w:p>
      <w:pPr>
        <w:pStyle w:val="Heading4"/>
        <w:spacing w:line="240" w:lineRule="auto"/>
        <w:ind w:right="0"/>
        <w:jc w:val="left"/>
        <w:rPr>
          <w:b w:val="0"/>
          <w:bCs w:val="0"/>
        </w:rPr>
      </w:pPr>
      <w:r>
        <w:rPr/>
        <w:t>（</w:t>
      </w:r>
      <w:r>
        <w:rPr>
          <w:rFonts w:ascii="Times New Roman" w:hAnsi="Times New Roman" w:cs="Times New Roman" w:eastAsia="Times New Roman" w:hint="default"/>
        </w:rPr>
        <w:t>5</w:t>
      </w:r>
      <w:r>
        <w:rPr/>
        <w:t>）低值易耗品和包装物的摊销方法</w:t>
      </w:r>
      <w:r>
        <w:rPr>
          <w:b w:val="0"/>
          <w:bCs w:val="0"/>
        </w:rPr>
      </w:r>
    </w:p>
    <w:p>
      <w:pPr>
        <w:spacing w:line="240" w:lineRule="auto" w:before="7"/>
        <w:rPr>
          <w:rFonts w:ascii="Microsoft JhengHei" w:hAnsi="Microsoft JhengHei" w:cs="Microsoft JhengHei" w:eastAsia="Microsoft JhengHei" w:hint="default"/>
          <w:b/>
          <w:bCs/>
          <w:sz w:val="18"/>
          <w:szCs w:val="18"/>
        </w:rPr>
      </w:pPr>
    </w:p>
    <w:p>
      <w:pPr>
        <w:pStyle w:val="BodyText"/>
        <w:spacing w:line="307" w:lineRule="auto"/>
        <w:ind w:right="7678"/>
        <w:jc w:val="left"/>
      </w:pPr>
      <w:r>
        <w:rPr/>
        <w:t>低值易耗品</w:t>
      </w:r>
      <w:r>
        <w:rPr>
          <w:spacing w:val="-100"/>
        </w:rPr>
        <w:t> </w:t>
      </w:r>
      <w:r>
        <w:rPr>
          <w:spacing w:val="-1"/>
        </w:rPr>
        <w:t>摊销方法：一次摊销法</w:t>
      </w:r>
    </w:p>
    <w:p>
      <w:pPr>
        <w:spacing w:line="240" w:lineRule="auto" w:before="1"/>
        <w:rPr>
          <w:rFonts w:ascii="宋体" w:hAnsi="宋体" w:cs="宋体" w:eastAsia="宋体" w:hint="default"/>
          <w:sz w:val="28"/>
          <w:szCs w:val="28"/>
        </w:rPr>
      </w:pPr>
    </w:p>
    <w:p>
      <w:pPr>
        <w:pStyle w:val="BodyText"/>
        <w:spacing w:line="240" w:lineRule="auto"/>
        <w:ind w:right="0"/>
        <w:jc w:val="left"/>
      </w:pPr>
      <w:r>
        <w:rPr/>
        <w:t>低值易耗品领用时采用一次转销法摊销。</w:t>
      </w:r>
    </w:p>
    <w:p>
      <w:pPr>
        <w:spacing w:after="0" w:line="240" w:lineRule="auto"/>
        <w:jc w:val="left"/>
        <w:sectPr>
          <w:pgSz w:w="11900" w:h="16840"/>
          <w:pgMar w:header="872" w:footer="984" w:top="1060" w:bottom="118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pStyle w:val="BodyText"/>
        <w:spacing w:line="309" w:lineRule="auto"/>
        <w:ind w:right="7678"/>
        <w:jc w:val="left"/>
      </w:pPr>
      <w:r>
        <w:rPr/>
        <w:t>包装物</w:t>
      </w:r>
      <w:r>
        <w:rPr>
          <w:spacing w:val="-102"/>
        </w:rPr>
        <w:t> </w:t>
      </w:r>
      <w:r>
        <w:rPr>
          <w:spacing w:val="-1"/>
        </w:rPr>
        <w:t>摊销方法：一次摊销法</w:t>
      </w:r>
    </w:p>
    <w:p>
      <w:pPr>
        <w:pStyle w:val="BodyText"/>
        <w:spacing w:line="240" w:lineRule="auto" w:before="91"/>
        <w:ind w:left="714" w:right="0"/>
        <w:jc w:val="left"/>
      </w:pPr>
      <w:r>
        <w:rPr/>
        <w:t>包装物领用时采用一次转销法摊销</w:t>
      </w:r>
    </w:p>
    <w:p>
      <w:pPr>
        <w:spacing w:line="240" w:lineRule="auto" w:before="6"/>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13</w:t>
      </w:r>
      <w:r>
        <w:rPr/>
        <w:t>、划分为持有待售资产</w:t>
      </w:r>
      <w:r>
        <w:rPr>
          <w:b w:val="0"/>
          <w:bCs w:val="0"/>
        </w:rPr>
      </w:r>
    </w:p>
    <w:p>
      <w:pPr>
        <w:spacing w:line="240" w:lineRule="auto" w:before="2"/>
        <w:rPr>
          <w:rFonts w:ascii="Microsoft JhengHei" w:hAnsi="Microsoft JhengHei" w:cs="Microsoft JhengHei" w:eastAsia="Microsoft JhengHei" w:hint="default"/>
          <w:b/>
          <w:bCs/>
          <w:sz w:val="18"/>
          <w:szCs w:val="18"/>
        </w:rPr>
      </w:pPr>
    </w:p>
    <w:p>
      <w:pPr>
        <w:pStyle w:val="BodyText"/>
        <w:spacing w:line="240" w:lineRule="auto"/>
        <w:ind w:right="0"/>
        <w:jc w:val="left"/>
      </w:pPr>
      <w:r>
        <w:rPr/>
        <w:t>不适用</w:t>
      </w:r>
    </w:p>
    <w:p>
      <w:pPr>
        <w:spacing w:line="240" w:lineRule="auto" w:before="11"/>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14</w:t>
      </w:r>
      <w:r>
        <w:rPr/>
        <w:t>、长期股权投资</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73" w:lineRule="auto"/>
        <w:ind w:right="142" w:firstLine="422"/>
        <w:jc w:val="both"/>
      </w:pPr>
      <w:r>
        <w:rPr>
          <w:spacing w:val="-2"/>
        </w:rPr>
        <w:t>本公司长期股权投资包括对被投资单位实施控制、重大影响的权益性投资，以及对合营企业的权益性</w:t>
      </w:r>
      <w:r>
        <w:rPr>
          <w:w w:val="100"/>
        </w:rPr>
        <w:t> </w:t>
      </w:r>
      <w:r>
        <w:rPr/>
        <w:t>投资。本公司能够对被投资单位施加重大影响的，为本公司的联营企业。</w:t>
      </w:r>
    </w:p>
    <w:p>
      <w:pPr>
        <w:pStyle w:val="BodyText"/>
        <w:spacing w:line="528" w:lineRule="exact" w:before="46"/>
        <w:ind w:left="575" w:right="0"/>
        <w:jc w:val="left"/>
      </w:pPr>
      <w:r>
        <w:rPr/>
        <w:t>（1）投资成本确定</w:t>
      </w:r>
      <w:r>
        <w:rPr>
          <w:spacing w:val="-101"/>
        </w:rPr>
        <w:t> </w:t>
      </w:r>
      <w:r>
        <w:rPr>
          <w:spacing w:val="-101"/>
        </w:rPr>
      </w:r>
      <w:r>
        <w:rPr>
          <w:spacing w:val="-2"/>
        </w:rPr>
        <w:t>对于企业合并形成的长期股权投资：同一控制下企业合并取得的长期股权投资，在合并日按照取得被</w:t>
      </w:r>
    </w:p>
    <w:p>
      <w:pPr>
        <w:pStyle w:val="BodyText"/>
        <w:spacing w:line="236" w:lineRule="exact"/>
        <w:ind w:right="0"/>
        <w:jc w:val="left"/>
      </w:pPr>
      <w:r>
        <w:rPr/>
        <w:t>合并方所有者权益在最终控制方合并财务报表中的账面价值份额作为投资成本；非同一控制下企业合并取</w:t>
      </w:r>
    </w:p>
    <w:p>
      <w:pPr>
        <w:pStyle w:val="BodyText"/>
        <w:spacing w:line="240" w:lineRule="auto" w:before="37"/>
        <w:ind w:right="0"/>
        <w:jc w:val="left"/>
      </w:pPr>
      <w:r>
        <w:rPr/>
        <w:t>得的长期股权投资，按照合并成本作为长期股权投资的投资成本。</w:t>
      </w:r>
    </w:p>
    <w:p>
      <w:pPr>
        <w:spacing w:line="240" w:lineRule="auto" w:before="5"/>
        <w:rPr>
          <w:rFonts w:ascii="宋体" w:hAnsi="宋体" w:cs="宋体" w:eastAsia="宋体" w:hint="default"/>
          <w:sz w:val="19"/>
          <w:szCs w:val="19"/>
        </w:rPr>
      </w:pPr>
    </w:p>
    <w:p>
      <w:pPr>
        <w:pStyle w:val="BodyText"/>
        <w:spacing w:line="273" w:lineRule="auto"/>
        <w:ind w:right="142" w:firstLine="422"/>
        <w:jc w:val="both"/>
      </w:pPr>
      <w:r>
        <w:rPr>
          <w:spacing w:val="-2"/>
        </w:rPr>
        <w:t>对于以企业合并以外的其他方式取得的长期股权投资：支付现金取得的长期股权投资，按照实际支付</w:t>
      </w:r>
      <w:r>
        <w:rPr>
          <w:w w:val="100"/>
        </w:rPr>
        <w:t> </w:t>
      </w:r>
      <w:r>
        <w:rPr>
          <w:spacing w:val="-2"/>
        </w:rPr>
        <w:t>的购买价款作为初始投资成本；发行权益性证券取得的长期股权投资，以发行权益性证券的公允价值作为</w:t>
      </w:r>
      <w:r>
        <w:rPr>
          <w:spacing w:val="-35"/>
        </w:rPr>
        <w:t> </w:t>
      </w:r>
      <w:r>
        <w:rPr>
          <w:spacing w:val="-35"/>
        </w:rPr>
      </w:r>
      <w:r>
        <w:rPr/>
        <w:t>初始投资成本。</w:t>
      </w:r>
    </w:p>
    <w:p>
      <w:pPr>
        <w:pStyle w:val="BodyText"/>
        <w:spacing w:line="528" w:lineRule="exact" w:before="46"/>
        <w:ind w:left="575" w:right="0"/>
        <w:jc w:val="left"/>
      </w:pPr>
      <w:r>
        <w:rPr/>
        <w:t>（2）后续计量及损益确认方法</w:t>
      </w:r>
      <w:r>
        <w:rPr>
          <w:spacing w:val="-100"/>
        </w:rPr>
        <w:t> </w:t>
      </w:r>
      <w:r>
        <w:rPr>
          <w:spacing w:val="-100"/>
        </w:rPr>
      </w:r>
      <w:r>
        <w:rPr>
          <w:spacing w:val="-2"/>
        </w:rPr>
        <w:t>本公司能够对被投资单位实施控制的长期股权投资采用成本法核算；对联营企业和合营企业的投资采</w:t>
      </w:r>
    </w:p>
    <w:p>
      <w:pPr>
        <w:pStyle w:val="BodyText"/>
        <w:spacing w:line="236" w:lineRule="exact"/>
        <w:ind w:right="0"/>
        <w:jc w:val="left"/>
      </w:pPr>
      <w:r>
        <w:rPr/>
        <w:t>用权益法核算。</w:t>
      </w:r>
    </w:p>
    <w:p>
      <w:pPr>
        <w:spacing w:line="240" w:lineRule="auto" w:before="5"/>
        <w:rPr>
          <w:rFonts w:ascii="宋体" w:hAnsi="宋体" w:cs="宋体" w:eastAsia="宋体" w:hint="default"/>
          <w:sz w:val="19"/>
          <w:szCs w:val="19"/>
        </w:rPr>
      </w:pPr>
    </w:p>
    <w:p>
      <w:pPr>
        <w:pStyle w:val="BodyText"/>
        <w:spacing w:line="273" w:lineRule="auto"/>
        <w:ind w:right="137" w:firstLine="422"/>
        <w:jc w:val="both"/>
      </w:pPr>
      <w:r>
        <w:rPr>
          <w:spacing w:val="-2"/>
        </w:rPr>
        <w:t>采用成本法核算的长期股权投资，除取得投资时实际支付的价款或对价中包含的已宣告但尚未发放的</w:t>
      </w:r>
      <w:r>
        <w:rPr>
          <w:w w:val="100"/>
        </w:rPr>
        <w:t> </w:t>
      </w:r>
      <w:r>
        <w:rPr/>
        <w:t>现金股利或利润外，被投资单位宣告分派的现金股利或利润，确认为投资收益计入当期损益。</w:t>
      </w:r>
    </w:p>
    <w:p>
      <w:pPr>
        <w:spacing w:line="240" w:lineRule="auto" w:before="1"/>
        <w:rPr>
          <w:rFonts w:ascii="宋体" w:hAnsi="宋体" w:cs="宋体" w:eastAsia="宋体" w:hint="default"/>
          <w:sz w:val="17"/>
          <w:szCs w:val="17"/>
        </w:rPr>
      </w:pPr>
    </w:p>
    <w:p>
      <w:pPr>
        <w:pStyle w:val="BodyText"/>
        <w:spacing w:line="273" w:lineRule="auto"/>
        <w:ind w:right="137" w:firstLine="422"/>
        <w:jc w:val="both"/>
      </w:pPr>
      <w:r>
        <w:rPr>
          <w:spacing w:val="-2"/>
        </w:rPr>
        <w:t>采用权益法核算的长期股权投资，初始投资成本大于投资时应享有被投资单位可辨认净资产公允价值</w:t>
      </w:r>
      <w:r>
        <w:rPr>
          <w:w w:val="100"/>
        </w:rPr>
        <w:t> </w:t>
      </w:r>
      <w:r>
        <w:rPr>
          <w:spacing w:val="-2"/>
        </w:rPr>
        <w:t>份额的，不调整长期股权投资的投资成本；初始投资成本小于投资时应享有被投资单位可辨认净资产公允</w:t>
      </w:r>
      <w:r>
        <w:rPr>
          <w:spacing w:val="-35"/>
        </w:rPr>
        <w:t> </w:t>
      </w:r>
      <w:r>
        <w:rPr>
          <w:spacing w:val="-35"/>
        </w:rPr>
      </w:r>
      <w:r>
        <w:rPr/>
        <w:t>价值份额的，对长期股权投资的账面价值进行调整，差额计入投资当期的损益。</w:t>
      </w:r>
    </w:p>
    <w:p>
      <w:pPr>
        <w:spacing w:line="240" w:lineRule="auto" w:before="1"/>
        <w:rPr>
          <w:rFonts w:ascii="宋体" w:hAnsi="宋体" w:cs="宋体" w:eastAsia="宋体" w:hint="default"/>
          <w:sz w:val="17"/>
          <w:szCs w:val="17"/>
        </w:rPr>
      </w:pPr>
    </w:p>
    <w:p>
      <w:pPr>
        <w:pStyle w:val="BodyText"/>
        <w:spacing w:line="273" w:lineRule="auto"/>
        <w:ind w:right="141" w:firstLine="422"/>
        <w:jc w:val="both"/>
      </w:pPr>
      <w:r>
        <w:rPr>
          <w:spacing w:val="-2"/>
        </w:rPr>
        <w:t>采用权益法核算时，按照应享有或应分担的被投资单位实现的净损益和其他综合收益的份额，分别确</w:t>
      </w:r>
      <w:r>
        <w:rPr>
          <w:w w:val="100"/>
        </w:rPr>
        <w:t> </w:t>
      </w:r>
      <w:r>
        <w:rPr>
          <w:spacing w:val="-2"/>
        </w:rPr>
        <w:t>认投资收益和其他综合收益，同时调整长期股权投资的账面价值；按照被投资单位宣告分派的利润或现金</w:t>
      </w:r>
      <w:r>
        <w:rPr>
          <w:spacing w:val="-35"/>
        </w:rPr>
        <w:t> </w:t>
      </w:r>
      <w:r>
        <w:rPr>
          <w:spacing w:val="-35"/>
        </w:rPr>
      </w:r>
      <w:r>
        <w:rPr>
          <w:spacing w:val="-2"/>
        </w:rPr>
        <w:t>股利计算应享有的部分，相应减少长期股权投资的账面价值；被投资单位除净损益、其他综合收益和利润</w:t>
      </w:r>
      <w:r>
        <w:rPr>
          <w:spacing w:val="-35"/>
        </w:rPr>
        <w:t> </w:t>
      </w:r>
      <w:r>
        <w:rPr>
          <w:spacing w:val="-35"/>
        </w:rPr>
      </w:r>
      <w:r>
        <w:rPr>
          <w:spacing w:val="-2"/>
        </w:rPr>
        <w:t>分配以外所有者权益的其他变动，调整长期股权投资的账面价值并计入所有者权益。在确认应享有被投资</w:t>
      </w:r>
      <w:r>
        <w:rPr>
          <w:spacing w:val="-35"/>
        </w:rPr>
        <w:t> </w:t>
      </w:r>
      <w:r>
        <w:rPr>
          <w:spacing w:val="-35"/>
        </w:rPr>
      </w:r>
      <w:r>
        <w:rPr>
          <w:spacing w:val="-2"/>
        </w:rPr>
        <w:t>单位净损益的份额时，以取得投资时被投资单位各项可辨认资产等的公允价值为基础，并按照本公司的会</w:t>
      </w:r>
      <w:r>
        <w:rPr>
          <w:spacing w:val="-35"/>
        </w:rPr>
        <w:t> </w:t>
      </w:r>
      <w:r>
        <w:rPr>
          <w:spacing w:val="-35"/>
        </w:rPr>
      </w:r>
      <w:r>
        <w:rPr/>
        <w:t>计政策及会计期间，对被投资单位的净利润进行调整后确认。</w:t>
      </w:r>
    </w:p>
    <w:p>
      <w:pPr>
        <w:spacing w:line="240" w:lineRule="auto" w:before="1"/>
        <w:rPr>
          <w:rFonts w:ascii="宋体" w:hAnsi="宋体" w:cs="宋体" w:eastAsia="宋体" w:hint="default"/>
          <w:sz w:val="17"/>
          <w:szCs w:val="17"/>
        </w:rPr>
      </w:pPr>
    </w:p>
    <w:p>
      <w:pPr>
        <w:pStyle w:val="BodyText"/>
        <w:spacing w:line="273" w:lineRule="auto"/>
        <w:ind w:right="143" w:firstLine="422"/>
        <w:jc w:val="both"/>
      </w:pPr>
      <w:r>
        <w:rPr>
          <w:spacing w:val="-2"/>
        </w:rPr>
        <w:t>因追加投资等原因能够对被投资单位施加重大影响或实施共同控制但不构成控制的，按照原持有的股</w:t>
      </w:r>
      <w:r>
        <w:rPr>
          <w:w w:val="100"/>
        </w:rPr>
        <w:t> </w:t>
      </w:r>
      <w:r>
        <w:rPr>
          <w:spacing w:val="-2"/>
        </w:rPr>
        <w:t>权投资的公允价值加上新增投资成本之和，作为改按权益法核算的初始投资成本。原持有的股权投资分类</w:t>
      </w:r>
      <w:r>
        <w:rPr>
          <w:spacing w:val="-35"/>
        </w:rPr>
        <w:t> </w:t>
      </w:r>
      <w:r>
        <w:rPr>
          <w:spacing w:val="-35"/>
        </w:rPr>
      </w:r>
      <w:r>
        <w:rPr>
          <w:spacing w:val="-2"/>
        </w:rPr>
        <w:t>为可供出售金融资产的，其公允价值与账面价值之间的差额，以及原计入其他综合收益的累计公允价值变</w:t>
      </w:r>
      <w:r>
        <w:rPr>
          <w:spacing w:val="-35"/>
        </w:rPr>
        <w:t> </w:t>
      </w:r>
      <w:r>
        <w:rPr>
          <w:spacing w:val="-35"/>
        </w:rPr>
      </w:r>
      <w:r>
        <w:rPr/>
        <w:t>动应当转入改按权益法核算的当期损益。</w:t>
      </w:r>
    </w:p>
    <w:p>
      <w:pPr>
        <w:spacing w:after="0" w:line="273" w:lineRule="auto"/>
        <w:jc w:val="both"/>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BodyText"/>
        <w:spacing w:line="268" w:lineRule="auto" w:before="36"/>
        <w:ind w:right="202" w:firstLine="422"/>
        <w:jc w:val="both"/>
      </w:pPr>
      <w:r>
        <w:rPr>
          <w:spacing w:val="-2"/>
        </w:rPr>
        <w:t>因处置部分股权投资等原因丧失了对被投资单位的共同控制或重大影响的，处置后的剩余股权应当改</w:t>
      </w:r>
      <w:r>
        <w:rPr>
          <w:w w:val="100"/>
        </w:rPr>
        <w:t> </w:t>
      </w:r>
      <w:r>
        <w:rPr>
          <w:spacing w:val="-2"/>
        </w:rPr>
        <w:t>按《企业会计准则第</w:t>
      </w:r>
      <w:r>
        <w:rPr>
          <w:rFonts w:ascii="Times New Roman" w:hAnsi="Times New Roman" w:cs="Times New Roman" w:eastAsia="Times New Roman" w:hint="default"/>
          <w:spacing w:val="-2"/>
        </w:rPr>
        <w:t>22</w:t>
      </w:r>
      <w:r>
        <w:rPr>
          <w:spacing w:val="-2"/>
        </w:rPr>
        <w:t>号</w:t>
      </w:r>
      <w:r>
        <w:rPr>
          <w:rFonts w:ascii="Times New Roman" w:hAnsi="Times New Roman" w:cs="Times New Roman" w:eastAsia="Times New Roman" w:hint="default"/>
          <w:spacing w:val="-2"/>
        </w:rPr>
        <w:t>—</w:t>
      </w:r>
      <w:r>
        <w:rPr>
          <w:spacing w:val="-2"/>
        </w:rPr>
        <w:t>金融工具确认和计量》进行会计处理，在丧失共同控制或重大影响之日的公允</w:t>
      </w:r>
      <w:r>
        <w:rPr>
          <w:spacing w:val="-33"/>
        </w:rPr>
        <w:t> </w:t>
      </w:r>
      <w:r>
        <w:rPr>
          <w:spacing w:val="-33"/>
        </w:rPr>
      </w:r>
      <w:r>
        <w:rPr>
          <w:spacing w:val="-2"/>
        </w:rPr>
        <w:t>价值与账面价值之间的差额计入当期损益。原股权投资因采用权益法核算而确认的其他综合收益，应当在</w:t>
      </w:r>
      <w:r>
        <w:rPr>
          <w:spacing w:val="-35"/>
        </w:rPr>
        <w:t> </w:t>
      </w:r>
      <w:r>
        <w:rPr>
          <w:spacing w:val="-35"/>
        </w:rPr>
      </w:r>
      <w:r>
        <w:rPr>
          <w:spacing w:val="-2"/>
        </w:rPr>
        <w:t>终止采用权益法核算时采用与被投资单位直接处置相关资产或负债相同的基础进行会计处理；原股权投资</w:t>
      </w:r>
      <w:r>
        <w:rPr>
          <w:spacing w:val="-34"/>
        </w:rPr>
        <w:t> </w:t>
      </w:r>
      <w:r>
        <w:rPr>
          <w:spacing w:val="-34"/>
        </w:rPr>
      </w:r>
      <w:r>
        <w:rPr/>
        <w:t>相关的其他所有者权益变动转入当期损益。</w:t>
      </w:r>
    </w:p>
    <w:p>
      <w:pPr>
        <w:spacing w:line="240" w:lineRule="auto" w:before="6"/>
        <w:rPr>
          <w:rFonts w:ascii="宋体" w:hAnsi="宋体" w:cs="宋体" w:eastAsia="宋体" w:hint="default"/>
          <w:sz w:val="17"/>
          <w:szCs w:val="17"/>
        </w:rPr>
      </w:pPr>
    </w:p>
    <w:p>
      <w:pPr>
        <w:pStyle w:val="BodyText"/>
        <w:spacing w:line="268" w:lineRule="auto"/>
        <w:ind w:right="0" w:firstLine="422"/>
        <w:jc w:val="left"/>
      </w:pPr>
      <w:r>
        <w:rPr>
          <w:spacing w:val="-2"/>
        </w:rPr>
        <w:t>因处置部分股权投资等原因丧失了对被投资单位的控制的，处置后的剩余股权能够对被投资单位实施</w:t>
      </w:r>
      <w:r>
        <w:rPr>
          <w:w w:val="100"/>
        </w:rPr>
        <w:t> </w:t>
      </w:r>
      <w:r>
        <w:rPr>
          <w:spacing w:val="-4"/>
        </w:rPr>
        <w:t>共同控制或施加重大影响的，改按权益法核算，并对该剩余股权视同自取得时即采用权益法核算进行调整；</w:t>
      </w:r>
      <w:r>
        <w:rPr>
          <w:spacing w:val="-50"/>
        </w:rPr>
        <w:t> </w:t>
      </w:r>
      <w:r>
        <w:rPr>
          <w:spacing w:val="-50"/>
        </w:rPr>
      </w:r>
      <w:r>
        <w:rPr>
          <w:spacing w:val="-2"/>
        </w:rPr>
        <w:t>处置后的剩余股权不能对被投资单位实施共同控制或施加重大影响的，改按《企业会计准则第</w:t>
      </w:r>
      <w:r>
        <w:rPr>
          <w:rFonts w:ascii="Times New Roman" w:hAnsi="Times New Roman" w:cs="Times New Roman" w:eastAsia="Times New Roman" w:hint="default"/>
          <w:spacing w:val="-2"/>
        </w:rPr>
        <w:t>22</w:t>
      </w:r>
      <w:r>
        <w:rPr>
          <w:spacing w:val="-2"/>
        </w:rPr>
        <w:t>号</w:t>
      </w:r>
      <w:r>
        <w:rPr>
          <w:rFonts w:ascii="Times New Roman" w:hAnsi="Times New Roman" w:cs="Times New Roman" w:eastAsia="Times New Roman" w:hint="default"/>
          <w:spacing w:val="-2"/>
        </w:rPr>
        <w:t>—</w:t>
      </w:r>
      <w:r>
        <w:rPr>
          <w:spacing w:val="-2"/>
        </w:rPr>
        <w:t>金融</w:t>
      </w:r>
      <w:r>
        <w:rPr>
          <w:spacing w:val="-33"/>
        </w:rPr>
        <w:t> </w:t>
      </w:r>
      <w:r>
        <w:rPr>
          <w:spacing w:val="-2"/>
        </w:rPr>
        <w:t>工具确认和计量》的有关规定进行会计处理，其在丧失控制之日的公允价值与账面价值间的差额计入当期</w:t>
      </w:r>
      <w:r>
        <w:rPr>
          <w:spacing w:val="-35"/>
        </w:rPr>
        <w:t> </w:t>
      </w:r>
      <w:r>
        <w:rPr>
          <w:spacing w:val="-35"/>
        </w:rPr>
      </w:r>
      <w:r>
        <w:rPr/>
        <w:t>损益。</w:t>
      </w:r>
    </w:p>
    <w:p>
      <w:pPr>
        <w:spacing w:line="240" w:lineRule="auto" w:before="6"/>
        <w:rPr>
          <w:rFonts w:ascii="宋体" w:hAnsi="宋体" w:cs="宋体" w:eastAsia="宋体" w:hint="default"/>
          <w:sz w:val="17"/>
          <w:szCs w:val="17"/>
        </w:rPr>
      </w:pPr>
    </w:p>
    <w:p>
      <w:pPr>
        <w:pStyle w:val="BodyText"/>
        <w:spacing w:line="273" w:lineRule="auto"/>
        <w:ind w:right="202" w:firstLine="422"/>
        <w:jc w:val="both"/>
      </w:pPr>
      <w:r>
        <w:rPr>
          <w:spacing w:val="2"/>
        </w:rPr>
        <w:t>本公司与联营企业及合营企业之间发生的未实现内部交易损益按照持股比例计算归属于本公司的部</w:t>
      </w:r>
      <w:r>
        <w:rPr>
          <w:w w:val="100"/>
        </w:rPr>
        <w:t> </w:t>
      </w:r>
      <w:r>
        <w:rPr>
          <w:spacing w:val="-2"/>
        </w:rPr>
        <w:t>分，在抵销基础上确认投资损益。但本公司与被投资单位发生的未实现内部交易损失，属于所转让资产减</w:t>
      </w:r>
      <w:r>
        <w:rPr>
          <w:spacing w:val="-35"/>
        </w:rPr>
        <w:t> </w:t>
      </w:r>
      <w:r>
        <w:rPr>
          <w:spacing w:val="-35"/>
        </w:rPr>
      </w:r>
      <w:r>
        <w:rPr/>
        <w:t>值损失的，不予以抵销。</w:t>
      </w:r>
    </w:p>
    <w:p>
      <w:pPr>
        <w:spacing w:line="240" w:lineRule="auto" w:before="1"/>
        <w:rPr>
          <w:rFonts w:ascii="宋体" w:hAnsi="宋体" w:cs="宋体" w:eastAsia="宋体" w:hint="default"/>
          <w:sz w:val="17"/>
          <w:szCs w:val="17"/>
        </w:rPr>
      </w:pPr>
    </w:p>
    <w:p>
      <w:pPr>
        <w:pStyle w:val="BodyText"/>
        <w:spacing w:line="256" w:lineRule="auto"/>
        <w:ind w:right="202" w:firstLine="422"/>
        <w:jc w:val="both"/>
      </w:pPr>
      <w:r>
        <w:rPr>
          <w:spacing w:val="-2"/>
        </w:rPr>
        <w:t>对于</w:t>
      </w:r>
      <w:r>
        <w:rPr>
          <w:rFonts w:ascii="Times New Roman" w:hAnsi="Times New Roman" w:cs="Times New Roman" w:eastAsia="Times New Roman" w:hint="default"/>
          <w:spacing w:val="-2"/>
        </w:rPr>
        <w:t>2007</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1</w:t>
      </w:r>
      <w:r>
        <w:rPr>
          <w:spacing w:val="-2"/>
        </w:rPr>
        <w:t>日之前已经持有的对联营企业及合营企业的长期股权投资，如存在与该投资相关的股</w:t>
      </w:r>
      <w:r>
        <w:rPr>
          <w:w w:val="100"/>
        </w:rPr>
        <w:t> </w:t>
      </w:r>
      <w:r>
        <w:rPr/>
        <w:t>权投资借方差额，在扣除按原剩余期限直线法摊销的股权投资借方差额后，确认投资损益。</w:t>
      </w:r>
    </w:p>
    <w:p>
      <w:pPr>
        <w:pStyle w:val="BodyText"/>
        <w:spacing w:line="528" w:lineRule="exact" w:before="61"/>
        <w:ind w:left="575" w:right="0"/>
        <w:jc w:val="left"/>
      </w:pPr>
      <w:r>
        <w:rPr/>
        <w:t>（3）确定对被投资单位具有共同控制、重大影响的依据</w:t>
      </w:r>
      <w:r>
        <w:rPr>
          <w:w w:val="100"/>
        </w:rPr>
        <w:t> </w:t>
      </w:r>
      <w:r>
        <w:rPr>
          <w:spacing w:val="-2"/>
        </w:rPr>
        <w:t>共同控制，是指按照相关约定对某项安排所共有的控制，并且该安排的相关活动必须经过分享控制权</w:t>
      </w:r>
    </w:p>
    <w:p>
      <w:pPr>
        <w:pStyle w:val="BodyText"/>
        <w:spacing w:line="236" w:lineRule="exact"/>
        <w:ind w:right="0"/>
        <w:jc w:val="both"/>
      </w:pPr>
      <w:r>
        <w:rPr/>
        <w:t>的参与方一致同意后才能决策。在判断是否存在共同控制时，首先判断所有参与方或参与方组合是否集体</w:t>
      </w:r>
    </w:p>
    <w:p>
      <w:pPr>
        <w:pStyle w:val="BodyText"/>
        <w:spacing w:line="273" w:lineRule="auto" w:before="37"/>
        <w:ind w:right="202"/>
        <w:jc w:val="both"/>
      </w:pPr>
      <w:r>
        <w:rPr>
          <w:spacing w:val="-2"/>
        </w:rPr>
        <w:t>控制该安排，如果所有参与方或一组参与方必须一致行动才能决定某项安排的相关活动，则认为所有参与</w:t>
      </w:r>
      <w:r>
        <w:rPr>
          <w:spacing w:val="-35"/>
        </w:rPr>
        <w:t> </w:t>
      </w:r>
      <w:r>
        <w:rPr>
          <w:spacing w:val="-35"/>
        </w:rPr>
      </w:r>
      <w:r>
        <w:rPr>
          <w:spacing w:val="-2"/>
        </w:rPr>
        <w:t>方或一组参与方集体控制该安排。其次再判断该安排相关活动的决策是否必须经过这些集体控制该安排的</w:t>
      </w:r>
      <w:r>
        <w:rPr>
          <w:spacing w:val="-34"/>
        </w:rPr>
        <w:t> </w:t>
      </w:r>
      <w:r>
        <w:rPr>
          <w:spacing w:val="-34"/>
        </w:rPr>
      </w:r>
      <w:r>
        <w:rPr>
          <w:spacing w:val="-2"/>
        </w:rPr>
        <w:t>参与方一致同意。如果存在两个或两个以上的参与方组合能够集体控制某项安排的，不构成共同控制。判</w:t>
      </w:r>
      <w:r>
        <w:rPr>
          <w:spacing w:val="-35"/>
        </w:rPr>
        <w:t> </w:t>
      </w:r>
      <w:r>
        <w:rPr>
          <w:spacing w:val="-35"/>
        </w:rPr>
      </w:r>
      <w:r>
        <w:rPr/>
        <w:t>断是否存在共同控制时，不考虑享有的保护性权利。</w:t>
      </w:r>
    </w:p>
    <w:p>
      <w:pPr>
        <w:spacing w:line="240" w:lineRule="auto" w:before="1"/>
        <w:rPr>
          <w:rFonts w:ascii="宋体" w:hAnsi="宋体" w:cs="宋体" w:eastAsia="宋体" w:hint="default"/>
          <w:sz w:val="17"/>
          <w:szCs w:val="17"/>
        </w:rPr>
      </w:pPr>
    </w:p>
    <w:p>
      <w:pPr>
        <w:pStyle w:val="BodyText"/>
        <w:spacing w:line="273" w:lineRule="auto"/>
        <w:ind w:right="202" w:firstLine="422"/>
        <w:jc w:val="both"/>
      </w:pPr>
      <w:r>
        <w:rPr>
          <w:spacing w:val="-2"/>
        </w:rPr>
        <w:t>重大影响，是指投资方对被投资单位的财务和经营政策有参与决策的权力，但并不能够控制或者与其</w:t>
      </w:r>
      <w:r>
        <w:rPr>
          <w:w w:val="100"/>
        </w:rPr>
        <w:t> </w:t>
      </w:r>
      <w:r>
        <w:rPr>
          <w:spacing w:val="-2"/>
        </w:rPr>
        <w:t>他方一起共同控制这些政策的制定。在确定能否对被投资单位施加重大影响时，考虑投资方直接或间接持</w:t>
      </w:r>
      <w:r>
        <w:rPr>
          <w:spacing w:val="-35"/>
        </w:rPr>
        <w:t> </w:t>
      </w:r>
      <w:r>
        <w:rPr>
          <w:spacing w:val="-35"/>
        </w:rPr>
      </w:r>
      <w:r>
        <w:rPr/>
        <w:t>有被投资单位的表决权股份以及投资方及其他方持有的当期可执行潜在表决权在假定转换为对被投资方</w:t>
      </w:r>
      <w:r>
        <w:rPr>
          <w:spacing w:val="58"/>
        </w:rPr>
        <w:t> </w:t>
      </w:r>
      <w:r>
        <w:rPr>
          <w:spacing w:val="58"/>
        </w:rPr>
      </w:r>
      <w:r>
        <w:rPr>
          <w:spacing w:val="-2"/>
        </w:rPr>
        <w:t>单位的股权后产生的影响，包括被投资单位发行的当期可转换的认股权证、股份期权及可转换公司债券等</w:t>
      </w:r>
      <w:r>
        <w:rPr>
          <w:spacing w:val="-35"/>
        </w:rPr>
        <w:t> </w:t>
      </w:r>
      <w:r>
        <w:rPr>
          <w:spacing w:val="-35"/>
        </w:rPr>
      </w:r>
      <w:r>
        <w:rPr/>
        <w:t>的影响。</w:t>
      </w:r>
    </w:p>
    <w:p>
      <w:pPr>
        <w:spacing w:line="240" w:lineRule="auto" w:before="1"/>
        <w:rPr>
          <w:rFonts w:ascii="宋体" w:hAnsi="宋体" w:cs="宋体" w:eastAsia="宋体" w:hint="default"/>
          <w:sz w:val="17"/>
          <w:szCs w:val="17"/>
        </w:rPr>
      </w:pPr>
    </w:p>
    <w:p>
      <w:pPr>
        <w:pStyle w:val="BodyText"/>
        <w:spacing w:line="261" w:lineRule="auto"/>
        <w:ind w:right="202" w:firstLine="422"/>
        <w:jc w:val="both"/>
      </w:pPr>
      <w:r>
        <w:rPr/>
        <w:t>当本公司直接或通过子公司间接拥有被投资单位</w:t>
      </w:r>
      <w:r>
        <w:rPr>
          <w:rFonts w:ascii="Times New Roman" w:hAnsi="Times New Roman" w:cs="Times New Roman" w:eastAsia="Times New Roman" w:hint="default"/>
        </w:rPr>
        <w:t>20%</w:t>
      </w:r>
      <w:r>
        <w:rPr/>
        <w:t>（含</w:t>
      </w:r>
      <w:r>
        <w:rPr>
          <w:rFonts w:ascii="Times New Roman" w:hAnsi="Times New Roman" w:cs="Times New Roman" w:eastAsia="Times New Roman" w:hint="default"/>
        </w:rPr>
        <w:t>20%</w:t>
      </w:r>
      <w:r>
        <w:rPr/>
        <w:t>）以上但低于</w:t>
      </w:r>
      <w:r>
        <w:rPr>
          <w:rFonts w:ascii="Times New Roman" w:hAnsi="Times New Roman" w:cs="Times New Roman" w:eastAsia="Times New Roman" w:hint="default"/>
        </w:rPr>
        <w:t>50%</w:t>
      </w:r>
      <w:r>
        <w:rPr/>
        <w:t>的表决权股份时，除</w:t>
      </w:r>
      <w:r>
        <w:rPr>
          <w:w w:val="100"/>
        </w:rPr>
        <w:t> </w:t>
      </w:r>
      <w:r>
        <w:rPr>
          <w:spacing w:val="-2"/>
        </w:rPr>
        <w:t>非有明确证据表明该种情况下不能参与被投资单位的生产经营决策，不形成重大影响外，均确定对被投资</w:t>
      </w:r>
      <w:r>
        <w:rPr>
          <w:spacing w:val="-35"/>
        </w:rPr>
        <w:t> </w:t>
      </w:r>
      <w:r>
        <w:rPr>
          <w:spacing w:val="-35"/>
        </w:rPr>
      </w:r>
      <w:r>
        <w:rPr>
          <w:spacing w:val="-1"/>
        </w:rPr>
        <w:t>单位具有重大影响；本公司拥有被投资单位</w:t>
      </w:r>
      <w:r>
        <w:rPr>
          <w:rFonts w:ascii="Times New Roman" w:hAnsi="Times New Roman" w:cs="Times New Roman" w:eastAsia="Times New Roman" w:hint="default"/>
          <w:spacing w:val="-1"/>
        </w:rPr>
        <w:t>20%</w:t>
      </w:r>
      <w:r>
        <w:rPr>
          <w:spacing w:val="-1"/>
        </w:rPr>
        <w:t>（不含）以下的表决权股份，一般不认为对被投资单位具</w:t>
      </w:r>
      <w:r>
        <w:rPr>
          <w:spacing w:val="-50"/>
        </w:rPr>
        <w:t> </w:t>
      </w:r>
      <w:r>
        <w:rPr>
          <w:spacing w:val="-50"/>
        </w:rPr>
      </w:r>
      <w:r>
        <w:rPr/>
        <w:t>有重大影响，除非有明确证据表明该种情况下能够参与被投资单位的生产经营决策，形成重大影响。</w:t>
      </w:r>
    </w:p>
    <w:p>
      <w:pPr>
        <w:spacing w:line="240" w:lineRule="auto" w:before="12"/>
        <w:rPr>
          <w:rFonts w:ascii="宋体" w:hAnsi="宋体" w:cs="宋体" w:eastAsia="宋体" w:hint="default"/>
          <w:sz w:val="17"/>
          <w:szCs w:val="17"/>
        </w:rPr>
      </w:pPr>
    </w:p>
    <w:p>
      <w:pPr>
        <w:pStyle w:val="BodyText"/>
        <w:spacing w:line="460" w:lineRule="auto"/>
        <w:ind w:left="575" w:right="0"/>
        <w:jc w:val="left"/>
      </w:pPr>
      <w:r>
        <w:rPr/>
        <w:t>（4）减值测试方法及减值准备计提方法</w:t>
      </w:r>
      <w:r>
        <w:rPr>
          <w:spacing w:val="-100"/>
        </w:rPr>
        <w:t> </w:t>
      </w:r>
      <w:r>
        <w:rPr>
          <w:spacing w:val="-100"/>
        </w:rPr>
      </w:r>
      <w:r>
        <w:rPr>
          <w:spacing w:val="-2"/>
        </w:rPr>
        <w:t>对子公司的投资，本公司计提资产减值的方法见</w:t>
      </w:r>
      <w:r>
        <w:rPr>
          <w:rFonts w:ascii="Times New Roman" w:hAnsi="Times New Roman" w:cs="Times New Roman" w:eastAsia="Times New Roman" w:hint="default"/>
          <w:spacing w:val="-2"/>
        </w:rPr>
        <w:t>22.</w:t>
      </w:r>
      <w:r>
        <w:rPr>
          <w:spacing w:val="-2"/>
        </w:rPr>
        <w:t>长期资产减值。</w:t>
      </w:r>
    </w:p>
    <w:p>
      <w:pPr>
        <w:pStyle w:val="Heading4"/>
        <w:spacing w:line="240" w:lineRule="auto" w:before="43"/>
        <w:ind w:right="0"/>
        <w:jc w:val="both"/>
        <w:rPr>
          <w:b w:val="0"/>
          <w:bCs w:val="0"/>
        </w:rPr>
      </w:pPr>
      <w:r>
        <w:rPr>
          <w:rFonts w:ascii="Times New Roman" w:hAnsi="Times New Roman" w:cs="Times New Roman" w:eastAsia="Times New Roman" w:hint="default"/>
        </w:rPr>
        <w:t>15</w:t>
      </w:r>
      <w:r>
        <w:rPr/>
        <w:t>、投资性房地产</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line="362" w:lineRule="auto" w:before="0"/>
        <w:ind w:left="152" w:right="7188" w:firstLine="0"/>
        <w:jc w:val="left"/>
        <w:rPr>
          <w:rFonts w:ascii="宋体" w:hAnsi="宋体" w:cs="宋体" w:eastAsia="宋体" w:hint="default"/>
          <w:sz w:val="18"/>
          <w:szCs w:val="18"/>
        </w:rPr>
      </w:pPr>
      <w:r>
        <w:rPr>
          <w:rFonts w:ascii="宋体" w:hAnsi="宋体" w:cs="宋体" w:eastAsia="宋体" w:hint="default"/>
          <w:spacing w:val="-2"/>
          <w:sz w:val="18"/>
          <w:szCs w:val="18"/>
        </w:rPr>
        <w:t>投资性房地产计量模式</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成本法计量</w:t>
      </w:r>
    </w:p>
    <w:p>
      <w:pPr>
        <w:spacing w:after="0" w:line="362" w:lineRule="auto"/>
        <w:jc w:val="left"/>
        <w:rPr>
          <w:rFonts w:ascii="宋体" w:hAnsi="宋体" w:cs="宋体" w:eastAsia="宋体" w:hint="default"/>
          <w:sz w:val="18"/>
          <w:szCs w:val="18"/>
        </w:rPr>
        <w:sectPr>
          <w:pgSz w:w="11900" w:h="16840"/>
          <w:pgMar w:header="872" w:footer="984" w:top="1060" w:bottom="1180" w:left="980" w:right="920"/>
        </w:sectPr>
      </w:pPr>
    </w:p>
    <w:p>
      <w:pPr>
        <w:spacing w:line="240" w:lineRule="auto" w:before="6"/>
        <w:rPr>
          <w:rFonts w:ascii="宋体" w:hAnsi="宋体" w:cs="宋体" w:eastAsia="宋体" w:hint="default"/>
          <w:sz w:val="26"/>
          <w:szCs w:val="26"/>
        </w:rPr>
      </w:pPr>
    </w:p>
    <w:p>
      <w:pPr>
        <w:spacing w:before="46"/>
        <w:ind w:left="152" w:right="109" w:firstLine="0"/>
        <w:jc w:val="left"/>
        <w:rPr>
          <w:rFonts w:ascii="宋体" w:hAnsi="宋体" w:cs="宋体" w:eastAsia="宋体" w:hint="default"/>
          <w:sz w:val="18"/>
          <w:szCs w:val="18"/>
        </w:rPr>
      </w:pPr>
      <w:r>
        <w:rPr>
          <w:rFonts w:ascii="宋体" w:hAnsi="宋体" w:cs="宋体" w:eastAsia="宋体" w:hint="default"/>
          <w:spacing w:val="-3"/>
          <w:sz w:val="18"/>
          <w:szCs w:val="18"/>
        </w:rPr>
        <w:t>折旧或摊销方法</w:t>
      </w:r>
    </w:p>
    <w:p>
      <w:pPr>
        <w:pStyle w:val="BodyText"/>
        <w:spacing w:line="273" w:lineRule="auto" w:before="84"/>
        <w:ind w:right="222" w:firstLine="422"/>
        <w:jc w:val="both"/>
      </w:pPr>
      <w:r>
        <w:rPr>
          <w:spacing w:val="-2"/>
        </w:rPr>
        <w:t>本公司投资性房地产按照取得时的成本进行初始计量，并按照固定资产或无形资产的有关规定，按期</w:t>
      </w:r>
      <w:r>
        <w:rPr>
          <w:w w:val="100"/>
        </w:rPr>
        <w:t> </w:t>
      </w:r>
      <w:r>
        <w:rPr/>
        <w:t>计提折旧或摊销。</w:t>
      </w:r>
    </w:p>
    <w:p>
      <w:pPr>
        <w:pStyle w:val="BodyText"/>
        <w:spacing w:line="256" w:lineRule="auto" w:before="7"/>
        <w:ind w:left="575" w:right="109"/>
        <w:jc w:val="left"/>
      </w:pPr>
      <w:r>
        <w:rPr/>
        <w:t>采用成本模式进行后续计量的投资性房地产，计提资产减值方法见</w:t>
      </w:r>
      <w:r>
        <w:rPr>
          <w:rFonts w:ascii="Times New Roman" w:hAnsi="Times New Roman" w:cs="Times New Roman" w:eastAsia="Times New Roman" w:hint="default"/>
        </w:rPr>
        <w:t>22</w:t>
      </w:r>
      <w:r>
        <w:rPr/>
        <w:t>、长期资产减值。</w:t>
      </w:r>
      <w:r>
        <w:rPr>
          <w:w w:val="100"/>
        </w:rPr>
        <w:t> </w:t>
      </w:r>
      <w:r>
        <w:rPr>
          <w:spacing w:val="-5"/>
        </w:rPr>
        <w:t>投资性房地产出售、转让、报废或毁损的处置收入扣除其账面价值和相关税费后的差额计入当期损益。</w:t>
      </w:r>
    </w:p>
    <w:p>
      <w:pPr>
        <w:spacing w:line="240" w:lineRule="auto" w:before="9"/>
        <w:rPr>
          <w:rFonts w:ascii="宋体" w:hAnsi="宋体" w:cs="宋体" w:eastAsia="宋体" w:hint="default"/>
          <w:sz w:val="19"/>
          <w:szCs w:val="19"/>
        </w:rPr>
      </w:pPr>
    </w:p>
    <w:p>
      <w:pPr>
        <w:pStyle w:val="Heading4"/>
        <w:spacing w:line="240" w:lineRule="auto"/>
        <w:ind w:right="109"/>
        <w:jc w:val="left"/>
        <w:rPr>
          <w:b w:val="0"/>
          <w:bCs w:val="0"/>
        </w:rPr>
      </w:pPr>
      <w:r>
        <w:rPr>
          <w:rFonts w:ascii="Times New Roman" w:hAnsi="Times New Roman" w:cs="Times New Roman" w:eastAsia="Times New Roman" w:hint="default"/>
        </w:rPr>
        <w:t>16</w:t>
      </w:r>
      <w:r>
        <w:rPr/>
        <w:t>、固定资产</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109"/>
        <w:jc w:val="left"/>
        <w:rPr>
          <w:b w:val="0"/>
          <w:bCs w:val="0"/>
        </w:rPr>
      </w:pPr>
      <w:r>
        <w:rPr/>
        <w:t>（</w:t>
      </w:r>
      <w:r>
        <w:rPr>
          <w:rFonts w:ascii="Times New Roman" w:hAnsi="Times New Roman" w:cs="Times New Roman" w:eastAsia="Times New Roman" w:hint="default"/>
        </w:rPr>
        <w:t>1</w:t>
      </w:r>
      <w:r>
        <w:rPr/>
        <w:t>）确认条件</w:t>
      </w:r>
      <w:r>
        <w:rPr>
          <w:b w:val="0"/>
          <w:bCs w:val="0"/>
        </w:rPr>
      </w:r>
    </w:p>
    <w:p>
      <w:pPr>
        <w:spacing w:line="240" w:lineRule="auto" w:before="6"/>
        <w:rPr>
          <w:rFonts w:ascii="Microsoft JhengHei" w:hAnsi="Microsoft JhengHei" w:cs="Microsoft JhengHei" w:eastAsia="Microsoft JhengHei" w:hint="default"/>
          <w:b/>
          <w:bCs/>
          <w:sz w:val="19"/>
          <w:szCs w:val="19"/>
        </w:rPr>
      </w:pPr>
    </w:p>
    <w:p>
      <w:pPr>
        <w:spacing w:line="319" w:lineRule="auto" w:before="0"/>
        <w:ind w:left="152" w:right="222" w:firstLine="360"/>
        <w:jc w:val="both"/>
        <w:rPr>
          <w:rFonts w:ascii="宋体" w:hAnsi="宋体" w:cs="宋体" w:eastAsia="宋体" w:hint="default"/>
          <w:sz w:val="18"/>
          <w:szCs w:val="18"/>
        </w:rPr>
      </w:pPr>
      <w:r>
        <w:rPr>
          <w:rFonts w:ascii="宋体" w:hAnsi="宋体" w:cs="宋体" w:eastAsia="宋体" w:hint="default"/>
          <w:spacing w:val="-4"/>
          <w:sz w:val="18"/>
          <w:szCs w:val="18"/>
        </w:rPr>
        <w:t>本公司固定资产是指为生产商品、提供劳务、出租或经营管理而持有的，使用寿命超过一个会计年度的有形资产。与该</w:t>
      </w:r>
      <w:r>
        <w:rPr>
          <w:rFonts w:ascii="宋体" w:hAnsi="宋体" w:cs="宋体" w:eastAsia="宋体" w:hint="default"/>
          <w:w w:val="101"/>
          <w:sz w:val="18"/>
          <w:szCs w:val="18"/>
        </w:rPr>
        <w:t> </w:t>
      </w:r>
      <w:r>
        <w:rPr>
          <w:rFonts w:ascii="宋体" w:hAnsi="宋体" w:cs="宋体" w:eastAsia="宋体" w:hint="default"/>
          <w:spacing w:val="-4"/>
          <w:sz w:val="18"/>
          <w:szCs w:val="18"/>
        </w:rPr>
        <w:t>固定资产有关的经济利益很可能流入企业，并且该固定资产的成本能够可靠地计量时，固定资产才能予以确认。本公司固定</w:t>
      </w:r>
      <w:r>
        <w:rPr>
          <w:rFonts w:ascii="宋体" w:hAnsi="宋体" w:cs="宋体" w:eastAsia="宋体" w:hint="default"/>
          <w:spacing w:val="41"/>
          <w:sz w:val="18"/>
          <w:szCs w:val="18"/>
        </w:rPr>
        <w:t> </w:t>
      </w:r>
      <w:r>
        <w:rPr>
          <w:rFonts w:ascii="宋体" w:hAnsi="宋体" w:cs="宋体" w:eastAsia="宋体" w:hint="default"/>
          <w:spacing w:val="41"/>
          <w:sz w:val="18"/>
          <w:szCs w:val="18"/>
        </w:rPr>
      </w:r>
      <w:r>
        <w:rPr>
          <w:rFonts w:ascii="宋体" w:hAnsi="宋体" w:cs="宋体" w:eastAsia="宋体" w:hint="default"/>
          <w:spacing w:val="-3"/>
          <w:sz w:val="18"/>
          <w:szCs w:val="18"/>
        </w:rPr>
        <w:t>资产按照取得时的实际成本进行初始计量。</w:t>
      </w:r>
    </w:p>
    <w:p>
      <w:pPr>
        <w:spacing w:line="240" w:lineRule="auto" w:before="13"/>
        <w:rPr>
          <w:rFonts w:ascii="宋体" w:hAnsi="宋体" w:cs="宋体" w:eastAsia="宋体" w:hint="default"/>
          <w:sz w:val="16"/>
          <w:szCs w:val="16"/>
        </w:rPr>
      </w:pPr>
    </w:p>
    <w:p>
      <w:pPr>
        <w:pStyle w:val="Heading4"/>
        <w:spacing w:line="240" w:lineRule="auto"/>
        <w:ind w:right="109"/>
        <w:jc w:val="left"/>
        <w:rPr>
          <w:b w:val="0"/>
          <w:bCs w:val="0"/>
        </w:rPr>
      </w:pPr>
      <w:r>
        <w:rPr/>
        <w:t>（</w:t>
      </w:r>
      <w:r>
        <w:rPr>
          <w:rFonts w:ascii="Times New Roman" w:hAnsi="Times New Roman" w:cs="Times New Roman" w:eastAsia="Times New Roman" w:hint="default"/>
        </w:rPr>
        <w:t>2</w:t>
      </w:r>
      <w:r>
        <w:rPr/>
        <w:t>）折旧方法</w:t>
      </w:r>
      <w:r>
        <w:rPr>
          <w:b w:val="0"/>
          <w:bCs w:val="0"/>
        </w:rPr>
      </w:r>
    </w:p>
    <w:p>
      <w:pPr>
        <w:spacing w:line="240" w:lineRule="auto" w:before="17"/>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1915"/>
        <w:gridCol w:w="1915"/>
        <w:gridCol w:w="1910"/>
        <w:gridCol w:w="1915"/>
        <w:gridCol w:w="1915"/>
      </w:tblGrid>
      <w:tr>
        <w:trPr>
          <w:trHeight w:val="398" w:hRule="exact"/>
        </w:trPr>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类别</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85"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残值率</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年折旧率</w:t>
            </w:r>
          </w:p>
        </w:tc>
      </w:tr>
      <w:tr>
        <w:trPr>
          <w:trHeight w:val="403"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9" w:right="0"/>
              <w:jc w:val="left"/>
              <w:rPr>
                <w:rFonts w:ascii="Times New Roman" w:hAnsi="Times New Roman" w:cs="Times New Roman" w:eastAsia="Times New Roman" w:hint="default"/>
                <w:sz w:val="18"/>
                <w:szCs w:val="18"/>
              </w:rPr>
            </w:pPr>
            <w:r>
              <w:rPr>
                <w:rFonts w:ascii="Times New Roman"/>
                <w:sz w:val="18"/>
              </w:rPr>
              <w:t>20-40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5.00%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2.375%-4.75%</w:t>
            </w:r>
          </w:p>
        </w:tc>
      </w:tr>
      <w:tr>
        <w:trPr>
          <w:trHeight w:val="403"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9" w:right="0"/>
              <w:jc w:val="left"/>
              <w:rPr>
                <w:rFonts w:ascii="Times New Roman" w:hAnsi="Times New Roman" w:cs="Times New Roman" w:eastAsia="Times New Roman" w:hint="default"/>
                <w:sz w:val="18"/>
                <w:szCs w:val="18"/>
              </w:rPr>
            </w:pPr>
            <w:r>
              <w:rPr>
                <w:rFonts w:ascii="Times New Roman"/>
                <w:sz w:val="18"/>
              </w:rPr>
              <w:t>10-15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5.00%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6.33%-9.50%</w:t>
            </w:r>
          </w:p>
        </w:tc>
      </w:tr>
      <w:tr>
        <w:trPr>
          <w:trHeight w:val="403"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9" w:right="0"/>
              <w:jc w:val="lef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5.00%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19.00%</w:t>
            </w:r>
          </w:p>
        </w:tc>
      </w:tr>
      <w:tr>
        <w:trPr>
          <w:trHeight w:val="398"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办公设备</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9" w:right="0"/>
              <w:jc w:val="left"/>
              <w:rPr>
                <w:rFonts w:ascii="Times New Roman" w:hAnsi="Times New Roman" w:cs="Times New Roman" w:eastAsia="Times New Roman" w:hint="default"/>
                <w:sz w:val="18"/>
                <w:szCs w:val="18"/>
              </w:rPr>
            </w:pPr>
            <w:r>
              <w:rPr>
                <w:rFonts w:ascii="Times New Roman"/>
                <w:w w:val="101"/>
                <w:sz w:val="18"/>
              </w:rPr>
              <w:t>5</w:t>
            </w:r>
            <w:r>
              <w:rPr>
                <w:rFonts w:ascii="Times New Roman"/>
                <w:sz w:val="18"/>
              </w:rPr>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5.00%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19.00%</w:t>
            </w:r>
          </w:p>
        </w:tc>
      </w:tr>
    </w:tbl>
    <w:p>
      <w:pPr>
        <w:pStyle w:val="BodyText"/>
        <w:spacing w:line="273" w:lineRule="auto" w:before="28"/>
        <w:ind w:right="109" w:firstLine="422"/>
        <w:jc w:val="left"/>
      </w:pPr>
      <w:r>
        <w:rPr>
          <w:spacing w:val="-5"/>
        </w:rPr>
        <w:t>当本公司租入的固定资产符合下列一项或数项标准时，确认为融资租入固定资产：①在租赁期届满时，</w:t>
      </w:r>
      <w:r>
        <w:rPr>
          <w:w w:val="100"/>
        </w:rPr>
        <w:t> </w:t>
      </w:r>
      <w:r>
        <w:rPr/>
        <w:t>租赁资产的所有权转移给本公司。②本公司有购买租赁资产的选择权，所订立的购买价款预计将远低于行</w:t>
      </w:r>
      <w:r>
        <w:rPr>
          <w:w w:val="100"/>
        </w:rPr>
        <w:t> </w:t>
      </w:r>
      <w:r>
        <w:rPr/>
        <w:t>使选择权时租赁资产的公允价值，因而在租赁开始日就可以合理确定本公司将会行使这种选择权。③即使</w:t>
      </w:r>
      <w:r>
        <w:rPr>
          <w:w w:val="100"/>
        </w:rPr>
        <w:t> </w:t>
      </w:r>
      <w:r>
        <w:rPr/>
        <w:t>资产的所有权不转移，但租赁期占租赁资产使用寿命的大部分。④本公司在租赁开始日的最低租赁付款额</w:t>
      </w:r>
      <w:r>
        <w:rPr>
          <w:w w:val="100"/>
        </w:rPr>
        <w:t> </w:t>
      </w:r>
      <w:r>
        <w:rPr/>
        <w:t>现值，几乎相当于租赁开始日租赁资产公允价值。⑤租赁资产性质特殊，如果不作较大改造，只有本公司</w:t>
      </w:r>
      <w:r>
        <w:rPr>
          <w:w w:val="100"/>
        </w:rPr>
        <w:t> </w:t>
      </w:r>
      <w:r>
        <w:rPr/>
        <w:t>才能使用。融资租赁租入的固定资产，按租赁开始日租赁资产公允价值与最低租赁付款额的现值两者中较</w:t>
      </w:r>
      <w:r>
        <w:rPr>
          <w:w w:val="100"/>
        </w:rPr>
        <w:t> </w:t>
      </w:r>
      <w:r>
        <w:rPr/>
        <w:t>低者，作为入账价值。最低租赁付款额作为长期应付款的入账价值，其差额作为未确认融资费用。在租赁</w:t>
      </w:r>
      <w:r>
        <w:rPr>
          <w:w w:val="100"/>
        </w:rPr>
        <w:t> </w:t>
      </w:r>
      <w:r>
        <w:rPr/>
        <w:t>谈判和签订租赁合同过程中发生的，可归属于租赁项目的手续费、律师费、差旅费、印花税等初始直接费</w:t>
      </w:r>
      <w:r>
        <w:rPr>
          <w:w w:val="100"/>
        </w:rPr>
        <w:t> </w:t>
      </w:r>
      <w:r>
        <w:rPr/>
        <w:t>用，计入租入资产价值。未确认融资费用在租赁期内各个期间采用实际利率法进行分摊。融资租入的固定</w:t>
      </w:r>
      <w:r>
        <w:rPr>
          <w:w w:val="100"/>
        </w:rPr>
        <w:t> </w:t>
      </w:r>
      <w:r>
        <w:rPr/>
        <w:t>资产采用与自有固定资产一致的政策计提租赁资产折旧。能够合理确定租赁期届满时将会取得租赁资产所</w:t>
      </w:r>
      <w:r>
        <w:rPr>
          <w:w w:val="100"/>
        </w:rPr>
        <w:t> </w:t>
      </w:r>
      <w:r>
        <w:rPr/>
        <w:t>有权的，在租赁资产尚可使用年限内计提折旧；无法合理确定租赁期届满时能够取得租赁资产所有权的，</w:t>
      </w:r>
      <w:r>
        <w:rPr>
          <w:w w:val="100"/>
        </w:rPr>
        <w:t> </w:t>
      </w:r>
      <w:r>
        <w:rPr/>
        <w:t>在租赁期与租赁资产尚可使用年限两者中较短的期间内计提折旧。</w:t>
      </w:r>
    </w:p>
    <w:p>
      <w:pPr>
        <w:spacing w:line="240" w:lineRule="auto" w:before="11"/>
        <w:rPr>
          <w:rFonts w:ascii="宋体" w:hAnsi="宋体" w:cs="宋体" w:eastAsia="宋体" w:hint="default"/>
          <w:sz w:val="17"/>
          <w:szCs w:val="17"/>
        </w:rPr>
      </w:pPr>
    </w:p>
    <w:p>
      <w:pPr>
        <w:pStyle w:val="Heading4"/>
        <w:spacing w:line="240" w:lineRule="auto"/>
        <w:ind w:right="109"/>
        <w:jc w:val="left"/>
        <w:rPr>
          <w:b w:val="0"/>
          <w:bCs w:val="0"/>
        </w:rPr>
      </w:pPr>
      <w:r>
        <w:rPr/>
        <w:t>（</w:t>
      </w:r>
      <w:r>
        <w:rPr>
          <w:rFonts w:ascii="Times New Roman" w:hAnsi="Times New Roman" w:cs="Times New Roman" w:eastAsia="Times New Roman" w:hint="default"/>
        </w:rPr>
        <w:t>3</w:t>
      </w:r>
      <w:r>
        <w:rPr/>
        <w:t>）融资租入固定资产的认定依据、计价和折旧方法</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109" w:firstLine="0"/>
        <w:jc w:val="left"/>
        <w:rPr>
          <w:rFonts w:ascii="宋体" w:hAnsi="宋体" w:cs="宋体" w:eastAsia="宋体" w:hint="default"/>
          <w:sz w:val="18"/>
          <w:szCs w:val="18"/>
        </w:rPr>
      </w:pPr>
      <w:r>
        <w:rPr>
          <w:rFonts w:ascii="宋体" w:hAnsi="宋体" w:cs="宋体" w:eastAsia="宋体" w:hint="default"/>
          <w:sz w:val="18"/>
          <w:szCs w:val="18"/>
        </w:rPr>
        <w:t>不适用</w:t>
      </w:r>
    </w:p>
    <w:p>
      <w:pPr>
        <w:spacing w:line="240" w:lineRule="auto" w:before="2"/>
        <w:rPr>
          <w:rFonts w:ascii="宋体" w:hAnsi="宋体" w:cs="宋体" w:eastAsia="宋体" w:hint="default"/>
          <w:sz w:val="21"/>
          <w:szCs w:val="21"/>
        </w:rPr>
      </w:pPr>
    </w:p>
    <w:p>
      <w:pPr>
        <w:pStyle w:val="Heading4"/>
        <w:spacing w:line="240" w:lineRule="auto"/>
        <w:ind w:right="109"/>
        <w:jc w:val="left"/>
        <w:rPr>
          <w:b w:val="0"/>
          <w:bCs w:val="0"/>
        </w:rPr>
      </w:pPr>
      <w:r>
        <w:rPr>
          <w:rFonts w:ascii="Times New Roman" w:hAnsi="Times New Roman" w:cs="Times New Roman" w:eastAsia="Times New Roman" w:hint="default"/>
        </w:rPr>
        <w:t>17</w:t>
      </w:r>
      <w:r>
        <w:rPr/>
        <w:t>、在建工程</w:t>
      </w:r>
      <w:r>
        <w:rPr>
          <w:b w:val="0"/>
          <w:bCs w:val="0"/>
        </w:rPr>
      </w:r>
    </w:p>
    <w:p>
      <w:pPr>
        <w:spacing w:line="240" w:lineRule="auto" w:before="2"/>
        <w:rPr>
          <w:rFonts w:ascii="Microsoft JhengHei" w:hAnsi="Microsoft JhengHei" w:cs="Microsoft JhengHei" w:eastAsia="Microsoft JhengHei" w:hint="default"/>
          <w:b/>
          <w:bCs/>
          <w:sz w:val="18"/>
          <w:szCs w:val="18"/>
        </w:rPr>
      </w:pPr>
    </w:p>
    <w:p>
      <w:pPr>
        <w:pStyle w:val="BodyText"/>
        <w:spacing w:line="273" w:lineRule="auto"/>
        <w:ind w:right="109" w:firstLine="422"/>
        <w:jc w:val="left"/>
      </w:pPr>
      <w:r>
        <w:rPr>
          <w:spacing w:val="-2"/>
        </w:rPr>
        <w:t>本公司在建工程成本按实际工程支出确定，包括在建期间发生的各项必要工程支出、工程达到预定可</w:t>
      </w:r>
      <w:r>
        <w:rPr>
          <w:w w:val="100"/>
        </w:rPr>
        <w:t> </w:t>
      </w:r>
      <w:r>
        <w:rPr/>
        <w:t>使用状态前的应予资本化的借款费用以及其他相关费用等。</w:t>
      </w:r>
    </w:p>
    <w:p>
      <w:pPr>
        <w:spacing w:after="0" w:line="273" w:lineRule="auto"/>
        <w:jc w:val="left"/>
        <w:sectPr>
          <w:pgSz w:w="11900" w:h="16840"/>
          <w:pgMar w:header="872" w:footer="984" w:top="1060" w:bottom="1180" w:left="980" w:right="900"/>
        </w:sectPr>
      </w:pPr>
    </w:p>
    <w:p>
      <w:pPr>
        <w:spacing w:line="240" w:lineRule="auto" w:before="12"/>
        <w:rPr>
          <w:rFonts w:ascii="宋体" w:hAnsi="宋体" w:cs="宋体" w:eastAsia="宋体" w:hint="default"/>
          <w:sz w:val="24"/>
          <w:szCs w:val="24"/>
        </w:rPr>
      </w:pPr>
    </w:p>
    <w:p>
      <w:pPr>
        <w:pStyle w:val="BodyText"/>
        <w:spacing w:line="460" w:lineRule="auto" w:before="36"/>
        <w:ind w:left="575" w:right="1246"/>
        <w:jc w:val="left"/>
      </w:pPr>
      <w:r>
        <w:rPr>
          <w:spacing w:val="-2"/>
        </w:rPr>
        <w:t>在建工程在达到预定可使用状态时转入固定资产。</w:t>
      </w:r>
      <w:r>
        <w:rPr>
          <w:spacing w:val="-61"/>
        </w:rPr>
        <w:t> </w:t>
      </w:r>
      <w:r>
        <w:rPr>
          <w:spacing w:val="-61"/>
        </w:rPr>
      </w:r>
      <w:r>
        <w:rPr/>
        <w:t>在建工程计提资产减值方法见</w:t>
      </w:r>
      <w:r>
        <w:rPr>
          <w:rFonts w:ascii="Times New Roman" w:hAnsi="Times New Roman" w:cs="Times New Roman" w:eastAsia="Times New Roman" w:hint="default"/>
        </w:rPr>
        <w:t>22.</w:t>
      </w:r>
      <w:r>
        <w:rPr/>
        <w:t>长期资产减值。</w:t>
      </w:r>
    </w:p>
    <w:p>
      <w:pPr>
        <w:pStyle w:val="Heading4"/>
        <w:spacing w:line="240" w:lineRule="auto" w:before="43"/>
        <w:ind w:right="0"/>
        <w:jc w:val="left"/>
        <w:rPr>
          <w:b w:val="0"/>
          <w:bCs w:val="0"/>
        </w:rPr>
      </w:pPr>
      <w:r>
        <w:rPr>
          <w:rFonts w:ascii="Times New Roman" w:hAnsi="Times New Roman" w:cs="Times New Roman" w:eastAsia="Times New Roman" w:hint="default"/>
        </w:rPr>
        <w:t>18</w:t>
      </w:r>
      <w:r>
        <w:rPr/>
        <w:t>、借款费用</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）借款费用资本化的确认原则</w:t>
      </w:r>
      <w:r>
        <w:rPr>
          <w:b w:val="0"/>
          <w:bCs w:val="0"/>
        </w:rPr>
      </w:r>
    </w:p>
    <w:p>
      <w:pPr>
        <w:spacing w:line="240" w:lineRule="auto" w:before="2"/>
        <w:rPr>
          <w:rFonts w:ascii="Microsoft JhengHei" w:hAnsi="Microsoft JhengHei" w:cs="Microsoft JhengHei" w:eastAsia="Microsoft JhengHei" w:hint="default"/>
          <w:b/>
          <w:bCs/>
          <w:sz w:val="18"/>
          <w:szCs w:val="18"/>
        </w:rPr>
      </w:pPr>
    </w:p>
    <w:p>
      <w:pPr>
        <w:pStyle w:val="BodyText"/>
        <w:spacing w:line="273" w:lineRule="auto"/>
        <w:ind w:right="137" w:firstLine="422"/>
        <w:jc w:val="both"/>
      </w:pPr>
      <w:r>
        <w:rPr>
          <w:spacing w:val="-2"/>
        </w:rPr>
        <w:t>本公司发生的借款费用，可直接归属于符合资本化条件的资产的购建或者生产的，予以资本化，计入</w:t>
      </w:r>
      <w:r>
        <w:rPr>
          <w:w w:val="100"/>
        </w:rPr>
        <w:t> </w:t>
      </w:r>
      <w:r>
        <w:rPr>
          <w:spacing w:val="-2"/>
        </w:rPr>
        <w:t>相关资产成本；其他借款费用，在发生时根据其发生额确认为费用，计入当期损益。借款费用同时满足下</w:t>
      </w:r>
      <w:r>
        <w:rPr>
          <w:spacing w:val="-35"/>
        </w:rPr>
        <w:t> </w:t>
      </w:r>
      <w:r>
        <w:rPr>
          <w:spacing w:val="-35"/>
        </w:rPr>
      </w:r>
      <w:r>
        <w:rPr/>
        <w:t>列条件的，开始资本化：</w:t>
      </w:r>
    </w:p>
    <w:p>
      <w:pPr>
        <w:spacing w:line="240" w:lineRule="auto" w:before="1"/>
        <w:rPr>
          <w:rFonts w:ascii="宋体" w:hAnsi="宋体" w:cs="宋体" w:eastAsia="宋体" w:hint="default"/>
          <w:sz w:val="17"/>
          <w:szCs w:val="17"/>
        </w:rPr>
      </w:pPr>
    </w:p>
    <w:p>
      <w:pPr>
        <w:pStyle w:val="BodyText"/>
        <w:spacing w:line="240" w:lineRule="auto"/>
        <w:ind w:left="469" w:right="0"/>
        <w:jc w:val="left"/>
      </w:pPr>
      <w:r>
        <w:rPr/>
        <w:t>①资产支出已经发生，；</w:t>
      </w:r>
    </w:p>
    <w:p>
      <w:pPr>
        <w:spacing w:line="240" w:lineRule="auto" w:before="5"/>
        <w:rPr>
          <w:rFonts w:ascii="宋体" w:hAnsi="宋体" w:cs="宋体" w:eastAsia="宋体" w:hint="default"/>
          <w:sz w:val="19"/>
          <w:szCs w:val="19"/>
        </w:rPr>
      </w:pPr>
    </w:p>
    <w:p>
      <w:pPr>
        <w:pStyle w:val="BodyText"/>
        <w:spacing w:line="240" w:lineRule="auto"/>
        <w:ind w:left="469" w:right="0"/>
        <w:jc w:val="left"/>
      </w:pPr>
      <w:r>
        <w:rPr/>
        <w:t>②借款费用已经发生；</w:t>
      </w:r>
    </w:p>
    <w:p>
      <w:pPr>
        <w:spacing w:line="240" w:lineRule="auto" w:before="5"/>
        <w:rPr>
          <w:rFonts w:ascii="宋体" w:hAnsi="宋体" w:cs="宋体" w:eastAsia="宋体" w:hint="default"/>
          <w:sz w:val="19"/>
          <w:szCs w:val="19"/>
        </w:rPr>
      </w:pPr>
    </w:p>
    <w:p>
      <w:pPr>
        <w:pStyle w:val="BodyText"/>
        <w:spacing w:line="240" w:lineRule="auto"/>
        <w:ind w:left="469" w:right="0"/>
        <w:jc w:val="left"/>
      </w:pPr>
      <w:r>
        <w:rPr/>
        <w:t>③为使资产达到预定可使用或者可销售状态所必要的购建或者生产活动已经开始。</w:t>
      </w:r>
    </w:p>
    <w:p>
      <w:pPr>
        <w:spacing w:line="240" w:lineRule="auto" w:before="6"/>
        <w:rPr>
          <w:rFonts w:ascii="宋体" w:hAnsi="宋体" w:cs="宋体" w:eastAsia="宋体" w:hint="default"/>
          <w:sz w:val="20"/>
          <w:szCs w:val="20"/>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）借款费用资本化期间</w:t>
      </w:r>
      <w:r>
        <w:rPr>
          <w:b w:val="0"/>
          <w:bCs w:val="0"/>
        </w:rPr>
      </w:r>
    </w:p>
    <w:p>
      <w:pPr>
        <w:spacing w:line="240" w:lineRule="auto" w:before="2"/>
        <w:rPr>
          <w:rFonts w:ascii="Microsoft JhengHei" w:hAnsi="Microsoft JhengHei" w:cs="Microsoft JhengHei" w:eastAsia="Microsoft JhengHei" w:hint="default"/>
          <w:b/>
          <w:bCs/>
          <w:sz w:val="18"/>
          <w:szCs w:val="18"/>
        </w:rPr>
      </w:pPr>
    </w:p>
    <w:p>
      <w:pPr>
        <w:pStyle w:val="BodyText"/>
        <w:spacing w:line="273" w:lineRule="auto"/>
        <w:ind w:right="142" w:firstLine="422"/>
        <w:jc w:val="both"/>
      </w:pPr>
      <w:r>
        <w:rPr>
          <w:spacing w:val="2"/>
        </w:rPr>
        <w:t>本公司购建或者生产符合资本化条件的资产达到预定可使用或者可销售状态时，借款费用停止资本</w:t>
      </w:r>
      <w:r>
        <w:rPr>
          <w:w w:val="100"/>
        </w:rPr>
        <w:t> </w:t>
      </w:r>
      <w:r>
        <w:rPr>
          <w:spacing w:val="-2"/>
        </w:rPr>
        <w:t>化。在符合资本化条件的资产达到预定可使用或者可销售状态之后所发生的借款费用，在发生时根据其发</w:t>
      </w:r>
      <w:r>
        <w:rPr>
          <w:spacing w:val="-35"/>
        </w:rPr>
        <w:t> </w:t>
      </w:r>
      <w:r>
        <w:rPr>
          <w:spacing w:val="-35"/>
        </w:rPr>
      </w:r>
      <w:r>
        <w:rPr/>
        <w:t>生额确认为费用，计入当期损益。</w:t>
      </w:r>
    </w:p>
    <w:p>
      <w:pPr>
        <w:spacing w:line="240" w:lineRule="auto" w:before="3"/>
        <w:rPr>
          <w:rFonts w:ascii="宋体" w:hAnsi="宋体" w:cs="宋体" w:eastAsia="宋体" w:hint="default"/>
          <w:sz w:val="18"/>
          <w:szCs w:val="18"/>
        </w:rPr>
      </w:pPr>
    </w:p>
    <w:p>
      <w:pPr>
        <w:pStyle w:val="Heading4"/>
        <w:spacing w:line="240" w:lineRule="auto"/>
        <w:ind w:right="0"/>
        <w:jc w:val="left"/>
        <w:rPr>
          <w:b w:val="0"/>
          <w:bCs w:val="0"/>
        </w:rPr>
      </w:pPr>
      <w:r>
        <w:rPr/>
        <w:t>（</w:t>
      </w:r>
      <w:r>
        <w:rPr>
          <w:rFonts w:ascii="Times New Roman" w:hAnsi="Times New Roman" w:cs="Times New Roman" w:eastAsia="Times New Roman" w:hint="default"/>
        </w:rPr>
        <w:t>3</w:t>
      </w:r>
      <w:r>
        <w:rPr/>
        <w:t>）暂停资本化期间</w:t>
      </w:r>
      <w:r>
        <w:rPr>
          <w:b w:val="0"/>
          <w:bCs w:val="0"/>
        </w:rPr>
      </w:r>
    </w:p>
    <w:p>
      <w:pPr>
        <w:spacing w:line="240" w:lineRule="auto" w:before="2"/>
        <w:rPr>
          <w:rFonts w:ascii="Microsoft JhengHei" w:hAnsi="Microsoft JhengHei" w:cs="Microsoft JhengHei" w:eastAsia="Microsoft JhengHei" w:hint="default"/>
          <w:b/>
          <w:bCs/>
          <w:sz w:val="18"/>
          <w:szCs w:val="18"/>
        </w:rPr>
      </w:pPr>
    </w:p>
    <w:p>
      <w:pPr>
        <w:pStyle w:val="BodyText"/>
        <w:spacing w:line="264" w:lineRule="auto"/>
        <w:ind w:right="0" w:firstLine="422"/>
        <w:jc w:val="left"/>
      </w:pPr>
      <w:r>
        <w:rPr>
          <w:spacing w:val="-2"/>
        </w:rPr>
        <w:t>符合资本化条件的资产在购建或者生产过程中，发生除达到预定可使用或者可销售状态必要的程序之</w:t>
      </w:r>
      <w:r>
        <w:rPr>
          <w:w w:val="100"/>
        </w:rPr>
        <w:t> </w:t>
      </w:r>
      <w:r>
        <w:rPr/>
        <w:t>外的非正常中断、且中断时间连续超过</w:t>
      </w:r>
      <w:r>
        <w:rPr>
          <w:rFonts w:ascii="Times New Roman" w:hAnsi="Times New Roman" w:cs="Times New Roman" w:eastAsia="Times New Roman" w:hint="default"/>
        </w:rPr>
        <w:t>3</w:t>
      </w:r>
      <w:r>
        <w:rPr/>
        <w:t>个月的，暂停借款费用的资本化。在中断期间发生的借款费用确</w:t>
      </w:r>
      <w:r>
        <w:rPr>
          <w:w w:val="100"/>
        </w:rPr>
        <w:t> </w:t>
      </w:r>
      <w:r>
        <w:rPr/>
        <w:t>认为费用，计入当期损益，直至资产的购建或者生产活动重新开始</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2"/>
          <w:szCs w:val="22"/>
        </w:rPr>
      </w:pPr>
    </w:p>
    <w:p>
      <w:pPr>
        <w:pStyle w:val="Heading4"/>
        <w:spacing w:line="240" w:lineRule="auto"/>
        <w:ind w:right="0"/>
        <w:jc w:val="left"/>
        <w:rPr>
          <w:b w:val="0"/>
          <w:bCs w:val="0"/>
        </w:rPr>
      </w:pPr>
      <w:r>
        <w:rPr/>
        <w:t>（</w:t>
      </w:r>
      <w:r>
        <w:rPr>
          <w:rFonts w:ascii="Times New Roman" w:hAnsi="Times New Roman" w:cs="Times New Roman" w:eastAsia="Times New Roman" w:hint="default"/>
        </w:rPr>
        <w:t>4</w:t>
      </w:r>
      <w:r>
        <w:rPr/>
        <w:t>）借款费用资本化金额的计算方法</w:t>
      </w:r>
      <w:r>
        <w:rPr>
          <w:b w:val="0"/>
          <w:bCs w:val="0"/>
        </w:rPr>
      </w:r>
    </w:p>
    <w:p>
      <w:pPr>
        <w:spacing w:line="240" w:lineRule="auto" w:before="2"/>
        <w:rPr>
          <w:rFonts w:ascii="Microsoft JhengHei" w:hAnsi="Microsoft JhengHei" w:cs="Microsoft JhengHei" w:eastAsia="Microsoft JhengHei" w:hint="default"/>
          <w:b/>
          <w:bCs/>
          <w:sz w:val="18"/>
          <w:szCs w:val="18"/>
        </w:rPr>
      </w:pPr>
    </w:p>
    <w:p>
      <w:pPr>
        <w:pStyle w:val="BodyText"/>
        <w:spacing w:line="240" w:lineRule="auto"/>
        <w:ind w:left="469" w:right="0"/>
        <w:jc w:val="left"/>
      </w:pPr>
      <w:r>
        <w:rPr/>
        <w:t>在资本化期间内，每一会计期间的利息资本化金额，按照下列方法确定：</w:t>
      </w:r>
    </w:p>
    <w:p>
      <w:pPr>
        <w:spacing w:line="240" w:lineRule="auto" w:before="5"/>
        <w:rPr>
          <w:rFonts w:ascii="宋体" w:hAnsi="宋体" w:cs="宋体" w:eastAsia="宋体" w:hint="default"/>
          <w:sz w:val="19"/>
          <w:szCs w:val="19"/>
        </w:rPr>
      </w:pPr>
    </w:p>
    <w:p>
      <w:pPr>
        <w:pStyle w:val="BodyText"/>
        <w:spacing w:line="240" w:lineRule="auto"/>
        <w:ind w:left="469" w:right="0"/>
        <w:jc w:val="left"/>
      </w:pPr>
      <w:r>
        <w:rPr/>
        <w:t>①专门借款以当期实际发生的利息费用，减去暂时性的存款利息收入或投资收益后的金额确定。</w:t>
      </w:r>
    </w:p>
    <w:p>
      <w:pPr>
        <w:spacing w:line="240" w:lineRule="auto" w:before="5"/>
        <w:rPr>
          <w:rFonts w:ascii="宋体" w:hAnsi="宋体" w:cs="宋体" w:eastAsia="宋体" w:hint="default"/>
          <w:sz w:val="19"/>
          <w:szCs w:val="19"/>
        </w:rPr>
      </w:pPr>
    </w:p>
    <w:p>
      <w:pPr>
        <w:pStyle w:val="BodyText"/>
        <w:spacing w:line="273" w:lineRule="auto"/>
        <w:ind w:right="0" w:firstLine="316"/>
        <w:jc w:val="left"/>
      </w:pPr>
      <w:r>
        <w:rPr/>
        <w:t>②占用的一般借款，根据累计资产支出超过专门借款部分的资产支出加权平均数乘以所占用一般借款</w:t>
      </w:r>
      <w:r>
        <w:rPr>
          <w:w w:val="100"/>
        </w:rPr>
        <w:t> </w:t>
      </w:r>
      <w:r>
        <w:rPr/>
        <w:t>的加权平均利率计算确定。</w:t>
      </w:r>
    </w:p>
    <w:p>
      <w:pPr>
        <w:spacing w:line="240" w:lineRule="auto" w:before="8"/>
        <w:rPr>
          <w:rFonts w:ascii="宋体" w:hAnsi="宋体" w:cs="宋体" w:eastAsia="宋体" w:hint="default"/>
          <w:sz w:val="18"/>
          <w:szCs w:val="18"/>
        </w:rPr>
      </w:pPr>
    </w:p>
    <w:p>
      <w:pPr>
        <w:pStyle w:val="Heading4"/>
        <w:spacing w:line="240" w:lineRule="auto"/>
        <w:ind w:right="0"/>
        <w:jc w:val="left"/>
        <w:rPr>
          <w:b w:val="0"/>
          <w:bCs w:val="0"/>
        </w:rPr>
      </w:pPr>
      <w:r>
        <w:rPr>
          <w:rFonts w:ascii="Times New Roman" w:hAnsi="Times New Roman" w:cs="Times New Roman" w:eastAsia="Times New Roman" w:hint="default"/>
        </w:rPr>
        <w:t>19</w:t>
      </w:r>
      <w:r>
        <w:rPr/>
        <w:t>、生物资产</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40" w:lineRule="auto"/>
        <w:ind w:right="0"/>
        <w:jc w:val="left"/>
      </w:pPr>
      <w:r>
        <w:rPr/>
        <w:t>不适用</w:t>
      </w:r>
    </w:p>
    <w:p>
      <w:pPr>
        <w:spacing w:after="0" w:line="240" w:lineRule="auto"/>
        <w:jc w:val="left"/>
        <w:sectPr>
          <w:pgSz w:w="11900" w:h="16840"/>
          <w:pgMar w:header="872" w:footer="984" w:top="1060" w:bottom="1180" w:left="980" w:right="980"/>
        </w:sectPr>
      </w:pPr>
    </w:p>
    <w:p>
      <w:pPr>
        <w:spacing w:line="240" w:lineRule="auto" w:before="4"/>
        <w:rPr>
          <w:rFonts w:ascii="宋体" w:hAnsi="宋体" w:cs="宋体" w:eastAsia="宋体" w:hint="default"/>
          <w:sz w:val="25"/>
          <w:szCs w:val="25"/>
        </w:rPr>
      </w:pPr>
    </w:p>
    <w:p>
      <w:pPr>
        <w:pStyle w:val="Heading4"/>
        <w:spacing w:line="335" w:lineRule="exact"/>
        <w:ind w:right="0"/>
        <w:jc w:val="left"/>
        <w:rPr>
          <w:b w:val="0"/>
          <w:bCs w:val="0"/>
        </w:rPr>
      </w:pPr>
      <w:r>
        <w:rPr>
          <w:rFonts w:ascii="Times New Roman" w:hAnsi="Times New Roman" w:cs="Times New Roman" w:eastAsia="Times New Roman" w:hint="default"/>
        </w:rPr>
        <w:t>20</w:t>
      </w:r>
      <w:r>
        <w:rPr/>
        <w:t>、油气资产</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40" w:lineRule="auto"/>
        <w:ind w:right="0"/>
        <w:jc w:val="left"/>
      </w:pPr>
      <w:r>
        <w:rPr/>
        <w:t>不适用</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21</w:t>
      </w:r>
      <w:r>
        <w:rPr/>
        <w:t>、无形资产</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left="575" w:right="0"/>
        <w:jc w:val="left"/>
        <w:rPr>
          <w:b w:val="0"/>
          <w:bCs w:val="0"/>
        </w:rPr>
      </w:pPr>
      <w:r>
        <w:rPr/>
        <w:t>（</w:t>
      </w:r>
      <w:r>
        <w:rPr>
          <w:rFonts w:ascii="Times New Roman" w:hAnsi="Times New Roman" w:cs="Times New Roman" w:eastAsia="Times New Roman" w:hint="default"/>
        </w:rPr>
        <w:t>1</w:t>
      </w:r>
      <w:r>
        <w:rPr/>
        <w:t>）计价方法、使用寿命、减值测试</w:t>
      </w:r>
      <w:r>
        <w:rPr>
          <w:b w:val="0"/>
          <w:bCs w:val="0"/>
        </w:rPr>
      </w:r>
    </w:p>
    <w:p>
      <w:pPr>
        <w:pStyle w:val="BodyText"/>
        <w:spacing w:line="520" w:lineRule="atLeast" w:before="70"/>
        <w:ind w:left="575" w:right="0"/>
        <w:jc w:val="left"/>
      </w:pPr>
      <w:r>
        <w:rPr/>
        <w:t>本公司无形资产包括土地使用权、非专利技术和计算机软件。</w:t>
      </w:r>
      <w:r>
        <w:rPr>
          <w:w w:val="100"/>
        </w:rPr>
        <w:t> </w:t>
      </w:r>
      <w:r>
        <w:rPr>
          <w:spacing w:val="-2"/>
        </w:rPr>
        <w:t>无形资产按照成本进行初始计量，并于取得无形资产时分析判断其使用寿命。使用寿命为有限的，自</w:t>
      </w:r>
    </w:p>
    <w:p>
      <w:pPr>
        <w:pStyle w:val="BodyText"/>
        <w:spacing w:line="273" w:lineRule="auto" w:before="37"/>
        <w:ind w:right="0"/>
        <w:jc w:val="left"/>
      </w:pPr>
      <w:r>
        <w:rPr>
          <w:spacing w:val="-2"/>
        </w:rPr>
        <w:t>无形资产可供使用时起，采用能反映与该资产有关的经济利益的预期实现方式的摊销方法，在预计使用年</w:t>
      </w:r>
      <w:r>
        <w:rPr>
          <w:spacing w:val="-35"/>
        </w:rPr>
        <w:t> </w:t>
      </w:r>
      <w:r>
        <w:rPr>
          <w:spacing w:val="-35"/>
        </w:rPr>
      </w:r>
      <w:r>
        <w:rPr/>
        <w:t>限内摊销；无法可靠确定预期实现方式的，采用直线法摊销；使用寿命不确定的无形资产，不作摊销。</w:t>
      </w:r>
    </w:p>
    <w:p>
      <w:pPr>
        <w:spacing w:line="240" w:lineRule="auto" w:before="4"/>
        <w:rPr>
          <w:rFonts w:ascii="宋体" w:hAnsi="宋体" w:cs="宋体" w:eastAsia="宋体" w:hint="default"/>
          <w:sz w:val="14"/>
          <w:szCs w:val="14"/>
        </w:rPr>
      </w:pPr>
    </w:p>
    <w:tbl>
      <w:tblPr>
        <w:tblW w:w="0" w:type="auto"/>
        <w:jc w:val="left"/>
        <w:tblInd w:w="138" w:type="dxa"/>
        <w:tblLayout w:type="fixed"/>
        <w:tblCellMar>
          <w:top w:w="0" w:type="dxa"/>
          <w:left w:w="0" w:type="dxa"/>
          <w:bottom w:w="0" w:type="dxa"/>
          <w:right w:w="0" w:type="dxa"/>
        </w:tblCellMar>
        <w:tblLook w:val="01E0"/>
      </w:tblPr>
      <w:tblGrid>
        <w:gridCol w:w="4166"/>
        <w:gridCol w:w="1627"/>
        <w:gridCol w:w="3283"/>
      </w:tblGrid>
      <w:tr>
        <w:trPr>
          <w:trHeight w:val="997" w:hRule="exact"/>
        </w:trPr>
        <w:tc>
          <w:tcPr>
            <w:tcW w:w="4166" w:type="dxa"/>
            <w:tcBorders>
              <w:top w:val="nil" w:sz="6" w:space="0" w:color="auto"/>
              <w:left w:val="nil" w:sz="6" w:space="0" w:color="auto"/>
              <w:bottom w:val="single" w:sz="8" w:space="0" w:color="000000"/>
              <w:right w:val="nil" w:sz="6" w:space="0" w:color="auto"/>
            </w:tcBorders>
          </w:tcPr>
          <w:p>
            <w:pPr>
              <w:pStyle w:val="TableParagraph"/>
              <w:spacing w:line="240" w:lineRule="auto" w:before="36"/>
              <w:ind w:left="14" w:right="0"/>
              <w:jc w:val="left"/>
              <w:rPr>
                <w:rFonts w:ascii="宋体" w:hAnsi="宋体" w:cs="宋体" w:eastAsia="宋体" w:hint="default"/>
                <w:sz w:val="21"/>
                <w:szCs w:val="21"/>
              </w:rPr>
            </w:pPr>
            <w:r>
              <w:rPr>
                <w:rFonts w:ascii="宋体" w:hAnsi="宋体" w:cs="宋体" w:eastAsia="宋体" w:hint="default"/>
                <w:sz w:val="21"/>
                <w:szCs w:val="21"/>
              </w:rPr>
              <w:t>使用寿命有限的无形资产摊销方法如下：</w:t>
            </w: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3"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类  </w:t>
            </w:r>
            <w:r>
              <w:rPr>
                <w:rFonts w:ascii="Microsoft JhengHei" w:hAnsi="Microsoft JhengHei" w:cs="Microsoft JhengHei" w:eastAsia="Microsoft JhengHei" w:hint="default"/>
                <w:b/>
                <w:bCs/>
                <w:spacing w:val="22"/>
                <w:sz w:val="21"/>
                <w:szCs w:val="21"/>
              </w:rPr>
              <w:t> </w:t>
            </w:r>
            <w:r>
              <w:rPr>
                <w:rFonts w:ascii="Microsoft JhengHei" w:hAnsi="Microsoft JhengHei" w:cs="Microsoft JhengHei" w:eastAsia="Microsoft JhengHei" w:hint="default"/>
                <w:b/>
                <w:bCs/>
                <w:sz w:val="21"/>
                <w:szCs w:val="21"/>
              </w:rPr>
              <w:t>别</w:t>
            </w:r>
            <w:r>
              <w:rPr>
                <w:rFonts w:ascii="Microsoft JhengHei" w:hAnsi="Microsoft JhengHei" w:cs="Microsoft JhengHei" w:eastAsia="Microsoft JhengHei" w:hint="default"/>
                <w:sz w:val="21"/>
                <w:szCs w:val="21"/>
              </w:rPr>
            </w:r>
          </w:p>
        </w:tc>
        <w:tc>
          <w:tcPr>
            <w:tcW w:w="1627"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4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使用寿命</w:t>
            </w:r>
            <w:r>
              <w:rPr>
                <w:rFonts w:ascii="Microsoft JhengHei" w:hAnsi="Microsoft JhengHei" w:cs="Microsoft JhengHei" w:eastAsia="Microsoft JhengHei" w:hint="default"/>
                <w:sz w:val="21"/>
                <w:szCs w:val="21"/>
              </w:rPr>
            </w:r>
          </w:p>
        </w:tc>
        <w:tc>
          <w:tcPr>
            <w:tcW w:w="3283"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412"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摊销方法</w:t>
            </w:r>
            <w:r>
              <w:rPr>
                <w:rFonts w:ascii="Microsoft JhengHei" w:hAnsi="Microsoft JhengHei" w:cs="Microsoft JhengHei" w:eastAsia="Microsoft JhengHei" w:hint="default"/>
                <w:sz w:val="21"/>
                <w:szCs w:val="21"/>
              </w:rPr>
            </w:r>
          </w:p>
        </w:tc>
      </w:tr>
      <w:tr>
        <w:trPr>
          <w:trHeight w:val="346" w:hRule="exact"/>
        </w:trPr>
        <w:tc>
          <w:tcPr>
            <w:tcW w:w="4166" w:type="dxa"/>
            <w:tcBorders>
              <w:top w:val="single" w:sz="8" w:space="0" w:color="000000"/>
              <w:left w:val="nil" w:sz="6" w:space="0" w:color="auto"/>
              <w:bottom w:val="single" w:sz="8" w:space="0" w:color="000000"/>
              <w:right w:val="nil" w:sz="6" w:space="0" w:color="auto"/>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627" w:type="dxa"/>
            <w:tcBorders>
              <w:top w:val="single" w:sz="8" w:space="0" w:color="000000"/>
              <w:left w:val="nil" w:sz="6" w:space="0" w:color="auto"/>
              <w:bottom w:val="single" w:sz="8" w:space="0" w:color="000000"/>
              <w:right w:val="nil" w:sz="6" w:space="0" w:color="auto"/>
            </w:tcBorders>
          </w:tcPr>
          <w:p>
            <w:pPr>
              <w:pStyle w:val="TableParagraph"/>
              <w:spacing w:line="276" w:lineRule="exact"/>
              <w:ind w:right="41"/>
              <w:jc w:val="center"/>
              <w:rPr>
                <w:rFonts w:ascii="宋体" w:hAnsi="宋体" w:cs="宋体" w:eastAsia="宋体" w:hint="default"/>
                <w:sz w:val="21"/>
                <w:szCs w:val="21"/>
              </w:rPr>
            </w:pPr>
            <w:r>
              <w:rPr>
                <w:rFonts w:ascii="Times New Roman" w:hAnsi="Times New Roman" w:cs="Times New Roman" w:eastAsia="Times New Roman" w:hint="default"/>
                <w:sz w:val="21"/>
                <w:szCs w:val="21"/>
              </w:rPr>
              <w:t>50</w:t>
            </w:r>
            <w:r>
              <w:rPr>
                <w:rFonts w:ascii="宋体" w:hAnsi="宋体" w:cs="宋体" w:eastAsia="宋体" w:hint="default"/>
                <w:sz w:val="21"/>
                <w:szCs w:val="21"/>
              </w:rPr>
              <w:t>年</w:t>
            </w:r>
          </w:p>
        </w:tc>
        <w:tc>
          <w:tcPr>
            <w:tcW w:w="3283" w:type="dxa"/>
            <w:tcBorders>
              <w:top w:val="single" w:sz="8" w:space="0" w:color="000000"/>
              <w:left w:val="nil" w:sz="6" w:space="0" w:color="auto"/>
              <w:bottom w:val="single" w:sz="8" w:space="0" w:color="000000"/>
              <w:right w:val="nil" w:sz="6" w:space="0" w:color="auto"/>
            </w:tcBorders>
          </w:tcPr>
          <w:p>
            <w:pPr>
              <w:pStyle w:val="TableParagraph"/>
              <w:spacing w:line="260" w:lineRule="exact"/>
              <w:ind w:left="412" w:right="0"/>
              <w:jc w:val="left"/>
              <w:rPr>
                <w:rFonts w:ascii="宋体" w:hAnsi="宋体" w:cs="宋体" w:eastAsia="宋体" w:hint="default"/>
                <w:sz w:val="21"/>
                <w:szCs w:val="21"/>
              </w:rPr>
            </w:pPr>
            <w:r>
              <w:rPr>
                <w:rFonts w:ascii="宋体" w:hAnsi="宋体" w:cs="宋体" w:eastAsia="宋体" w:hint="default"/>
                <w:sz w:val="21"/>
                <w:szCs w:val="21"/>
              </w:rPr>
              <w:t>年限平均法</w:t>
            </w:r>
          </w:p>
        </w:tc>
      </w:tr>
      <w:tr>
        <w:trPr>
          <w:trHeight w:val="341" w:hRule="exact"/>
        </w:trPr>
        <w:tc>
          <w:tcPr>
            <w:tcW w:w="4166" w:type="dxa"/>
            <w:tcBorders>
              <w:top w:val="single" w:sz="8" w:space="0" w:color="000000"/>
              <w:left w:val="nil" w:sz="6" w:space="0" w:color="auto"/>
              <w:bottom w:val="single" w:sz="8" w:space="0" w:color="000000"/>
              <w:right w:val="nil" w:sz="6" w:space="0" w:color="auto"/>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非专利技术、计算机软件</w:t>
            </w:r>
          </w:p>
        </w:tc>
        <w:tc>
          <w:tcPr>
            <w:tcW w:w="1627" w:type="dxa"/>
            <w:tcBorders>
              <w:top w:val="single" w:sz="8" w:space="0" w:color="000000"/>
              <w:left w:val="nil" w:sz="6" w:space="0" w:color="auto"/>
              <w:bottom w:val="single" w:sz="8" w:space="0" w:color="000000"/>
              <w:right w:val="nil" w:sz="6" w:space="0" w:color="auto"/>
            </w:tcBorders>
          </w:tcPr>
          <w:p>
            <w:pPr>
              <w:pStyle w:val="TableParagraph"/>
              <w:spacing w:line="276" w:lineRule="exact"/>
              <w:ind w:right="41"/>
              <w:jc w:val="center"/>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年</w:t>
            </w:r>
          </w:p>
        </w:tc>
        <w:tc>
          <w:tcPr>
            <w:tcW w:w="3283" w:type="dxa"/>
            <w:tcBorders>
              <w:top w:val="single" w:sz="8" w:space="0" w:color="000000"/>
              <w:left w:val="nil" w:sz="6" w:space="0" w:color="auto"/>
              <w:bottom w:val="single" w:sz="8" w:space="0" w:color="000000"/>
              <w:right w:val="nil" w:sz="6" w:space="0" w:color="auto"/>
            </w:tcBorders>
          </w:tcPr>
          <w:p>
            <w:pPr>
              <w:pStyle w:val="TableParagraph"/>
              <w:spacing w:line="260" w:lineRule="exact"/>
              <w:ind w:left="412" w:right="0"/>
              <w:jc w:val="left"/>
              <w:rPr>
                <w:rFonts w:ascii="宋体" w:hAnsi="宋体" w:cs="宋体" w:eastAsia="宋体" w:hint="default"/>
                <w:sz w:val="21"/>
                <w:szCs w:val="21"/>
              </w:rPr>
            </w:pPr>
            <w:r>
              <w:rPr>
                <w:rFonts w:ascii="宋体" w:hAnsi="宋体" w:cs="宋体" w:eastAsia="宋体" w:hint="default"/>
                <w:sz w:val="21"/>
                <w:szCs w:val="21"/>
              </w:rPr>
              <w:t>年限平均法</w:t>
            </w:r>
          </w:p>
        </w:tc>
      </w:tr>
    </w:tbl>
    <w:p>
      <w:pPr>
        <w:pStyle w:val="BodyText"/>
        <w:spacing w:line="273" w:lineRule="auto" w:before="95"/>
        <w:ind w:right="141" w:firstLine="422"/>
        <w:jc w:val="both"/>
      </w:pPr>
      <w:r>
        <w:rPr>
          <w:spacing w:val="-2"/>
        </w:rPr>
        <w:t>本公司于每年年度终了，对使用寿命有限的无形资产的使用寿命及摊销方法进行复核，与以前估计不</w:t>
      </w:r>
      <w:r>
        <w:rPr>
          <w:w w:val="100"/>
        </w:rPr>
        <w:t> </w:t>
      </w:r>
      <w:r>
        <w:rPr/>
        <w:t>同的，调整原先估计数，并按会计估计变更处理。</w:t>
      </w:r>
    </w:p>
    <w:p>
      <w:pPr>
        <w:spacing w:line="240" w:lineRule="auto" w:before="1"/>
        <w:rPr>
          <w:rFonts w:ascii="宋体" w:hAnsi="宋体" w:cs="宋体" w:eastAsia="宋体" w:hint="default"/>
          <w:sz w:val="17"/>
          <w:szCs w:val="17"/>
        </w:rPr>
      </w:pPr>
    </w:p>
    <w:p>
      <w:pPr>
        <w:pStyle w:val="BodyText"/>
        <w:spacing w:line="273" w:lineRule="auto"/>
        <w:ind w:right="142" w:firstLine="422"/>
        <w:jc w:val="both"/>
      </w:pPr>
      <w:r>
        <w:rPr>
          <w:spacing w:val="-2"/>
        </w:rPr>
        <w:t>资产负债表日预计某项无形资产已经不能给企业带来未来经济利益的，将该项无形资产的账面价值全</w:t>
      </w:r>
      <w:r>
        <w:rPr>
          <w:w w:val="100"/>
        </w:rPr>
        <w:t> </w:t>
      </w:r>
      <w:r>
        <w:rPr/>
        <w:t>部转入当期损益。</w:t>
      </w:r>
    </w:p>
    <w:p>
      <w:pPr>
        <w:spacing w:line="240" w:lineRule="auto" w:before="1"/>
        <w:rPr>
          <w:rFonts w:ascii="宋体" w:hAnsi="宋体" w:cs="宋体" w:eastAsia="宋体" w:hint="default"/>
          <w:sz w:val="17"/>
          <w:szCs w:val="17"/>
        </w:rPr>
      </w:pPr>
    </w:p>
    <w:p>
      <w:pPr>
        <w:pStyle w:val="BodyText"/>
        <w:spacing w:line="240" w:lineRule="auto"/>
        <w:ind w:left="575" w:right="0"/>
        <w:jc w:val="left"/>
      </w:pPr>
      <w:r>
        <w:rPr/>
        <w:t>无形资产计提资产减值方法见</w:t>
      </w:r>
      <w:r>
        <w:rPr>
          <w:rFonts w:ascii="Times New Roman" w:hAnsi="Times New Roman" w:cs="Times New Roman" w:eastAsia="Times New Roman" w:hint="default"/>
        </w:rPr>
        <w:t>22</w:t>
      </w:r>
      <w:r>
        <w:rPr/>
        <w:t>、长期资产减值</w:t>
      </w:r>
    </w:p>
    <w:p>
      <w:pPr>
        <w:spacing w:line="240" w:lineRule="auto" w:before="8"/>
        <w:rPr>
          <w:rFonts w:ascii="宋体" w:hAnsi="宋体" w:cs="宋体" w:eastAsia="宋体" w:hint="default"/>
          <w:sz w:val="19"/>
          <w:szCs w:val="19"/>
        </w:rPr>
      </w:pPr>
    </w:p>
    <w:p>
      <w:pPr>
        <w:pStyle w:val="Heading4"/>
        <w:spacing w:line="240" w:lineRule="auto"/>
        <w:ind w:right="0"/>
        <w:jc w:val="both"/>
        <w:rPr>
          <w:b w:val="0"/>
          <w:bCs w:val="0"/>
        </w:rPr>
      </w:pPr>
      <w:r>
        <w:rPr/>
        <w:t>（</w:t>
      </w:r>
      <w:r>
        <w:rPr>
          <w:rFonts w:ascii="Times New Roman" w:hAnsi="Times New Roman" w:cs="Times New Roman" w:eastAsia="Times New Roman" w:hint="default"/>
        </w:rPr>
        <w:t>2</w:t>
      </w:r>
      <w:r>
        <w:rPr/>
        <w:t>）内部研究开发支出会计政策</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64" w:lineRule="auto"/>
        <w:ind w:right="228" w:firstLine="422"/>
        <w:jc w:val="both"/>
      </w:pPr>
      <w:r>
        <w:rPr/>
        <w:t>本公司将内部研究开发项目的支出分为研究阶段支出与开发阶段支出。</w:t>
      </w:r>
      <w:r>
        <w:rPr>
          <w:spacing w:val="-25"/>
        </w:rPr>
        <w:t> </w:t>
      </w:r>
      <w:r>
        <w:rPr/>
        <w:t>研究阶段是指为获取新的技</w:t>
      </w:r>
      <w:r>
        <w:rPr>
          <w:w w:val="100"/>
        </w:rPr>
        <w:t> </w:t>
      </w:r>
      <w:r>
        <w:rPr>
          <w:spacing w:val="-2"/>
        </w:rPr>
        <w:t>术和知识等进行的有计划的调查</w:t>
      </w:r>
      <w:r>
        <w:rPr>
          <w:rFonts w:ascii="Times New Roman" w:hAnsi="Times New Roman" w:cs="Times New Roman" w:eastAsia="Times New Roman" w:hint="default"/>
          <w:spacing w:val="-2"/>
        </w:rPr>
        <w:t>,</w:t>
      </w:r>
      <w:r>
        <w:rPr>
          <w:spacing w:val="-2"/>
        </w:rPr>
        <w:t>研究活动的阶段；开发阶段是指在进行商业性生产或使用前</w:t>
      </w:r>
      <w:r>
        <w:rPr>
          <w:rFonts w:ascii="Times New Roman" w:hAnsi="Times New Roman" w:cs="Times New Roman" w:eastAsia="Times New Roman" w:hint="default"/>
          <w:spacing w:val="-2"/>
        </w:rPr>
        <w:t>,</w:t>
      </w:r>
      <w:r>
        <w:rPr>
          <w:spacing w:val="-2"/>
        </w:rPr>
        <w:t>将研究成果</w:t>
      </w:r>
      <w:r>
        <w:rPr>
          <w:spacing w:val="-14"/>
        </w:rPr>
        <w:t> </w:t>
      </w:r>
      <w:r>
        <w:rPr>
          <w:spacing w:val="-14"/>
        </w:rPr>
      </w:r>
      <w:r>
        <w:rPr/>
        <w:t>或其他知识应用于某项划或设计</w:t>
      </w:r>
      <w:r>
        <w:rPr>
          <w:rFonts w:ascii="Times New Roman" w:hAnsi="Times New Roman" w:cs="Times New Roman" w:eastAsia="Times New Roman" w:hint="default"/>
        </w:rPr>
        <w:t>,</w:t>
      </w:r>
      <w:r>
        <w:rPr/>
        <w:t>以生产出新的或具有实质性改进的材料、装置、产品等活动的阶段。</w:t>
      </w:r>
    </w:p>
    <w:p>
      <w:pPr>
        <w:pStyle w:val="BodyText"/>
        <w:spacing w:line="273" w:lineRule="auto"/>
        <w:ind w:left="575" w:right="0"/>
        <w:jc w:val="left"/>
      </w:pPr>
      <w:r>
        <w:rPr/>
        <w:t>研究阶段的支出，于发生时计入当期损益。</w:t>
      </w:r>
      <w:r>
        <w:rPr>
          <w:w w:val="100"/>
        </w:rPr>
        <w:t> </w:t>
      </w:r>
      <w:r>
        <w:rPr>
          <w:spacing w:val="-2"/>
        </w:rPr>
        <w:t>开发阶段的支出，同时满足下列条件的，才能予以资本化，即：完成该无形资产以使其能够使用或出</w:t>
      </w:r>
    </w:p>
    <w:p>
      <w:pPr>
        <w:pStyle w:val="BodyText"/>
        <w:spacing w:line="273" w:lineRule="auto" w:before="7"/>
        <w:ind w:right="142"/>
        <w:jc w:val="both"/>
      </w:pPr>
      <w:r>
        <w:rPr>
          <w:spacing w:val="-2"/>
        </w:rPr>
        <w:t>售在技术上具有可行性；具有完成该无形资产并使用或出售的意图；无形资产产生经济利益的方式，包括</w:t>
      </w:r>
      <w:r>
        <w:rPr>
          <w:spacing w:val="-35"/>
        </w:rPr>
        <w:t> </w:t>
      </w:r>
      <w:r>
        <w:rPr>
          <w:spacing w:val="-35"/>
        </w:rPr>
      </w:r>
      <w:r>
        <w:rPr>
          <w:spacing w:val="-2"/>
        </w:rPr>
        <w:t>能够证明运用该无形资产生产的产品存在市场或无形资产自身存在市场，无形资产将在内部使用的，能够</w:t>
      </w:r>
      <w:r>
        <w:rPr>
          <w:spacing w:val="-35"/>
        </w:rPr>
        <w:t> </w:t>
      </w:r>
      <w:r>
        <w:rPr>
          <w:spacing w:val="-35"/>
        </w:rPr>
      </w:r>
      <w:r>
        <w:rPr>
          <w:spacing w:val="-2"/>
        </w:rPr>
        <w:t>证明其有用性；有足够的技术、财务资源和其他资源支持，以完成该无形资产的开发，并有能力使用或出</w:t>
      </w:r>
      <w:r>
        <w:rPr>
          <w:spacing w:val="-35"/>
        </w:rPr>
        <w:t> </w:t>
      </w:r>
      <w:r>
        <w:rPr>
          <w:spacing w:val="-35"/>
        </w:rPr>
      </w:r>
      <w:r>
        <w:rPr>
          <w:spacing w:val="-2"/>
        </w:rPr>
        <w:t>售该无形资产；归属于该无形资产开发阶段的支出能够可靠地计量。不满足上述条件的开发支出计入当期</w:t>
      </w:r>
      <w:r>
        <w:rPr>
          <w:spacing w:val="-35"/>
        </w:rPr>
        <w:t> </w:t>
      </w:r>
      <w:r>
        <w:rPr>
          <w:spacing w:val="-35"/>
        </w:rPr>
      </w:r>
      <w:r>
        <w:rPr/>
        <w:t>损益。</w:t>
      </w:r>
    </w:p>
    <w:p>
      <w:pPr>
        <w:pStyle w:val="BodyText"/>
        <w:spacing w:line="273" w:lineRule="auto" w:before="7"/>
        <w:ind w:right="137" w:firstLine="422"/>
        <w:jc w:val="both"/>
      </w:pPr>
      <w:r>
        <w:rPr>
          <w:spacing w:val="-2"/>
        </w:rPr>
        <w:t>本公司研究开发项目在满足上述条件，通过技术可行性及经济可行性研究，形成项目立项后，进入开</w:t>
      </w:r>
      <w:r>
        <w:rPr>
          <w:w w:val="100"/>
        </w:rPr>
        <w:t> </w:t>
      </w:r>
      <w:r>
        <w:rPr/>
        <w:t>发阶段。</w:t>
      </w:r>
    </w:p>
    <w:p>
      <w:pPr>
        <w:pStyle w:val="BodyText"/>
        <w:spacing w:line="273" w:lineRule="auto" w:before="7"/>
        <w:ind w:right="142" w:firstLine="422"/>
        <w:jc w:val="both"/>
      </w:pPr>
      <w:r>
        <w:rPr>
          <w:spacing w:val="-2"/>
        </w:rPr>
        <w:t>已资本化的开发阶段的支出在资产负债表上列示为开发支出，自该项目达到预定可使用状态之日转为</w:t>
      </w:r>
      <w:r>
        <w:rPr>
          <w:w w:val="100"/>
        </w:rPr>
        <w:t> </w:t>
      </w:r>
      <w:r>
        <w:rPr/>
        <w:t>无形资产。</w:t>
      </w:r>
    </w:p>
    <w:p>
      <w:pPr>
        <w:spacing w:after="0" w:line="273" w:lineRule="auto"/>
        <w:jc w:val="both"/>
        <w:sectPr>
          <w:pgSz w:w="11900" w:h="16840"/>
          <w:pgMar w:header="872" w:footer="984" w:top="1060" w:bottom="1180" w:left="980" w:right="980"/>
        </w:sectPr>
      </w:pPr>
    </w:p>
    <w:p>
      <w:pPr>
        <w:spacing w:line="240" w:lineRule="auto" w:before="4"/>
        <w:rPr>
          <w:rFonts w:ascii="宋体" w:hAnsi="宋体" w:cs="宋体" w:eastAsia="宋体" w:hint="default"/>
          <w:sz w:val="25"/>
          <w:szCs w:val="25"/>
        </w:rPr>
      </w:pPr>
    </w:p>
    <w:p>
      <w:pPr>
        <w:pStyle w:val="Heading4"/>
        <w:spacing w:line="335" w:lineRule="exact"/>
        <w:ind w:right="109"/>
        <w:jc w:val="left"/>
        <w:rPr>
          <w:b w:val="0"/>
          <w:bCs w:val="0"/>
        </w:rPr>
      </w:pPr>
      <w:r>
        <w:rPr>
          <w:rFonts w:ascii="Times New Roman" w:hAnsi="Times New Roman" w:cs="Times New Roman" w:eastAsia="Times New Roman" w:hint="default"/>
        </w:rPr>
        <w:t>22</w:t>
      </w:r>
      <w:r>
        <w:rPr/>
        <w:t>、长期资产减值</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73" w:lineRule="auto"/>
        <w:ind w:right="222" w:firstLine="422"/>
        <w:jc w:val="both"/>
      </w:pPr>
      <w:r>
        <w:rPr>
          <w:spacing w:val="-2"/>
        </w:rPr>
        <w:t>对子公司的长期股权投资、采用成本模式进行后续计量的投资性房地产、固定资产、在建工程、无形</w:t>
      </w:r>
      <w:r>
        <w:rPr>
          <w:w w:val="100"/>
        </w:rPr>
        <w:t> </w:t>
      </w:r>
      <w:r>
        <w:rPr>
          <w:spacing w:val="-2"/>
        </w:rPr>
        <w:t>资产、商誉等（存货、按公允价值模式计量的投资性房地产、递延所得税资产、金融资产除外）的资产减</w:t>
      </w:r>
      <w:r>
        <w:rPr>
          <w:spacing w:val="-35"/>
        </w:rPr>
        <w:t> </w:t>
      </w:r>
      <w:r>
        <w:rPr>
          <w:spacing w:val="-35"/>
        </w:rPr>
      </w:r>
      <w:r>
        <w:rPr/>
        <w:t>值，按以下方法确定：</w:t>
      </w:r>
    </w:p>
    <w:p>
      <w:pPr>
        <w:spacing w:line="240" w:lineRule="auto" w:before="1"/>
        <w:rPr>
          <w:rFonts w:ascii="宋体" w:hAnsi="宋体" w:cs="宋体" w:eastAsia="宋体" w:hint="default"/>
          <w:sz w:val="17"/>
          <w:szCs w:val="17"/>
        </w:rPr>
      </w:pPr>
    </w:p>
    <w:p>
      <w:pPr>
        <w:pStyle w:val="BodyText"/>
        <w:spacing w:line="273" w:lineRule="auto"/>
        <w:ind w:right="222" w:firstLine="422"/>
        <w:jc w:val="both"/>
      </w:pPr>
      <w:r>
        <w:rPr>
          <w:spacing w:val="-2"/>
        </w:rPr>
        <w:t>于资产负债表日判断资产是否存在可能发生减值的迹象，存在减值迹象的，本公司将估计其可收回金</w:t>
      </w:r>
      <w:r>
        <w:rPr>
          <w:w w:val="100"/>
        </w:rPr>
        <w:t> </w:t>
      </w:r>
      <w:r>
        <w:rPr>
          <w:spacing w:val="-2"/>
        </w:rPr>
        <w:t>额，进行减值测试。对因企业合并所形成的商誉、使用寿命不确定的无形资产和尚未达到可使用状态的无</w:t>
      </w:r>
      <w:r>
        <w:rPr>
          <w:spacing w:val="-35"/>
        </w:rPr>
        <w:t> </w:t>
      </w:r>
      <w:r>
        <w:rPr>
          <w:spacing w:val="-35"/>
        </w:rPr>
      </w:r>
      <w:r>
        <w:rPr/>
        <w:t>形资产无论是否存在减值迹象，每年都进行减值测试。</w:t>
      </w:r>
    </w:p>
    <w:p>
      <w:pPr>
        <w:spacing w:line="240" w:lineRule="auto" w:before="1"/>
        <w:rPr>
          <w:rFonts w:ascii="宋体" w:hAnsi="宋体" w:cs="宋体" w:eastAsia="宋体" w:hint="default"/>
          <w:sz w:val="17"/>
          <w:szCs w:val="17"/>
        </w:rPr>
      </w:pPr>
    </w:p>
    <w:p>
      <w:pPr>
        <w:pStyle w:val="BodyText"/>
        <w:spacing w:line="273" w:lineRule="auto"/>
        <w:ind w:right="222" w:firstLine="422"/>
        <w:jc w:val="both"/>
      </w:pPr>
      <w:r>
        <w:rPr>
          <w:spacing w:val="2"/>
        </w:rPr>
        <w:t>可收回金额根据资产的公允价值减去处置费用后的净额与资产预计未来现金流量的现值两者之间较</w:t>
      </w:r>
      <w:r>
        <w:rPr>
          <w:w w:val="100"/>
        </w:rPr>
        <w:t> </w:t>
      </w:r>
      <w:r>
        <w:rPr>
          <w:spacing w:val="-2"/>
        </w:rPr>
        <w:t>高者确定。本公司以单项资产为基础估计其可收回金额；难以对单项资产的可收回金额进行估计的，以该</w:t>
      </w:r>
      <w:r>
        <w:rPr>
          <w:spacing w:val="-35"/>
        </w:rPr>
        <w:t> </w:t>
      </w:r>
      <w:r>
        <w:rPr>
          <w:spacing w:val="-35"/>
        </w:rPr>
      </w:r>
      <w:r>
        <w:rPr>
          <w:spacing w:val="-2"/>
        </w:rPr>
        <w:t>资产所属的资产组为基础确定资产组的可收回金额。资产组的认定，以资产组产生的主要现金流入是否独</w:t>
      </w:r>
      <w:r>
        <w:rPr>
          <w:spacing w:val="-35"/>
        </w:rPr>
        <w:t> </w:t>
      </w:r>
      <w:r>
        <w:rPr>
          <w:spacing w:val="-35"/>
        </w:rPr>
      </w:r>
      <w:r>
        <w:rPr/>
        <w:t>立于其他资产或者资产组的现金流入为依据。</w:t>
      </w:r>
    </w:p>
    <w:p>
      <w:pPr>
        <w:spacing w:line="240" w:lineRule="auto" w:before="1"/>
        <w:rPr>
          <w:rFonts w:ascii="宋体" w:hAnsi="宋体" w:cs="宋体" w:eastAsia="宋体" w:hint="default"/>
          <w:sz w:val="17"/>
          <w:szCs w:val="17"/>
        </w:rPr>
      </w:pPr>
    </w:p>
    <w:p>
      <w:pPr>
        <w:pStyle w:val="BodyText"/>
        <w:spacing w:line="273" w:lineRule="auto"/>
        <w:ind w:right="222" w:firstLine="422"/>
        <w:jc w:val="both"/>
      </w:pPr>
      <w:r>
        <w:rPr>
          <w:spacing w:val="-2"/>
        </w:rPr>
        <w:t>当资产或资产组的可收回金额低于其账面价值时，本公司将其账面价值减记至可收回金额，减记的金</w:t>
      </w:r>
      <w:r>
        <w:rPr>
          <w:w w:val="100"/>
        </w:rPr>
        <w:t> </w:t>
      </w:r>
      <w:r>
        <w:rPr/>
        <w:t>额计入当期损益，同时计提相应的资产减值准备。</w:t>
      </w:r>
    </w:p>
    <w:p>
      <w:pPr>
        <w:spacing w:line="240" w:lineRule="auto" w:before="1"/>
        <w:rPr>
          <w:rFonts w:ascii="宋体" w:hAnsi="宋体" w:cs="宋体" w:eastAsia="宋体" w:hint="default"/>
          <w:sz w:val="17"/>
          <w:szCs w:val="17"/>
        </w:rPr>
      </w:pPr>
    </w:p>
    <w:p>
      <w:pPr>
        <w:pStyle w:val="BodyText"/>
        <w:spacing w:line="273" w:lineRule="auto"/>
        <w:ind w:right="109" w:firstLine="422"/>
        <w:jc w:val="left"/>
      </w:pPr>
      <w:r>
        <w:rPr>
          <w:spacing w:val="-2"/>
        </w:rPr>
        <w:t>就商誉的减值测试而言，对于因企业合并形成的商誉的账面价值，自购买日起按照合理的方法分摊至</w:t>
      </w:r>
      <w:r>
        <w:rPr>
          <w:w w:val="100"/>
        </w:rPr>
        <w:t> </w:t>
      </w:r>
      <w:r>
        <w:rPr>
          <w:spacing w:val="-4"/>
        </w:rPr>
        <w:t>相关的资产组；难以分摊至相关的资产组的，将其分摊至相关的资产组组合。相关的资产组或资产组组合，</w:t>
      </w:r>
      <w:r>
        <w:rPr>
          <w:spacing w:val="-51"/>
        </w:rPr>
        <w:t> </w:t>
      </w:r>
      <w:r>
        <w:rPr>
          <w:spacing w:val="-51"/>
        </w:rPr>
      </w:r>
      <w:r>
        <w:rPr/>
        <w:t>是能够从企业合并的协同效应中受益的资产组或者资产组组合，且不大于本公司确定的报告分部。</w:t>
      </w:r>
    </w:p>
    <w:p>
      <w:pPr>
        <w:spacing w:line="240" w:lineRule="auto" w:before="1"/>
        <w:rPr>
          <w:rFonts w:ascii="宋体" w:hAnsi="宋体" w:cs="宋体" w:eastAsia="宋体" w:hint="default"/>
          <w:sz w:val="17"/>
          <w:szCs w:val="17"/>
        </w:rPr>
      </w:pPr>
    </w:p>
    <w:p>
      <w:pPr>
        <w:pStyle w:val="BodyText"/>
        <w:spacing w:line="273" w:lineRule="auto"/>
        <w:ind w:right="222" w:firstLine="422"/>
        <w:jc w:val="both"/>
      </w:pPr>
      <w:r>
        <w:rPr>
          <w:spacing w:val="-2"/>
        </w:rPr>
        <w:t>减值测试时，如与商誉相关的资产组或者资产组组合存在减值迹象的，首先对不包含商誉的资产组或</w:t>
      </w:r>
      <w:r>
        <w:rPr>
          <w:w w:val="100"/>
        </w:rPr>
        <w:t> </w:t>
      </w:r>
      <w:r>
        <w:rPr>
          <w:spacing w:val="-2"/>
        </w:rPr>
        <w:t>者资产组组合进行减值测试，计算可收回金额，确认相应的减值损失。然后对包含商誉的资产组或者资产</w:t>
      </w:r>
      <w:r>
        <w:rPr>
          <w:spacing w:val="-35"/>
        </w:rPr>
        <w:t> </w:t>
      </w:r>
      <w:r>
        <w:rPr>
          <w:spacing w:val="-35"/>
        </w:rPr>
      </w:r>
      <w:r>
        <w:rPr>
          <w:spacing w:val="-2"/>
        </w:rPr>
        <w:t>组组合进行减值测试，比较其账面价值与可收回金额，如可收回金额低于账面价值的，确认商誉的减值损</w:t>
      </w:r>
      <w:r>
        <w:rPr>
          <w:spacing w:val="-35"/>
        </w:rPr>
        <w:t> </w:t>
      </w:r>
      <w:r>
        <w:rPr>
          <w:spacing w:val="-35"/>
        </w:rPr>
      </w:r>
      <w:r>
        <w:rPr/>
        <w:t>失。</w:t>
      </w:r>
    </w:p>
    <w:p>
      <w:pPr>
        <w:spacing w:line="240" w:lineRule="auto" w:before="1"/>
        <w:rPr>
          <w:rFonts w:ascii="宋体" w:hAnsi="宋体" w:cs="宋体" w:eastAsia="宋体" w:hint="default"/>
          <w:sz w:val="17"/>
          <w:szCs w:val="17"/>
        </w:rPr>
      </w:pPr>
    </w:p>
    <w:p>
      <w:pPr>
        <w:pStyle w:val="BodyText"/>
        <w:spacing w:line="240" w:lineRule="auto"/>
        <w:ind w:left="575" w:right="109"/>
        <w:jc w:val="left"/>
      </w:pPr>
      <w:r>
        <w:rPr/>
        <w:t>资产减值损失一经确认，在以后会计期间不再转回。</w:t>
      </w:r>
    </w:p>
    <w:p>
      <w:pPr>
        <w:spacing w:line="240" w:lineRule="auto" w:before="11"/>
        <w:rPr>
          <w:rFonts w:ascii="宋体" w:hAnsi="宋体" w:cs="宋体" w:eastAsia="宋体" w:hint="default"/>
          <w:sz w:val="20"/>
          <w:szCs w:val="20"/>
        </w:rPr>
      </w:pPr>
    </w:p>
    <w:p>
      <w:pPr>
        <w:pStyle w:val="Heading4"/>
        <w:spacing w:line="240" w:lineRule="auto"/>
        <w:ind w:right="109"/>
        <w:jc w:val="left"/>
        <w:rPr>
          <w:b w:val="0"/>
          <w:bCs w:val="0"/>
        </w:rPr>
      </w:pPr>
      <w:r>
        <w:rPr>
          <w:rFonts w:ascii="Times New Roman" w:hAnsi="Times New Roman" w:cs="Times New Roman" w:eastAsia="Times New Roman" w:hint="default"/>
        </w:rPr>
        <w:t>23</w:t>
      </w:r>
      <w:r>
        <w:rPr/>
        <w:t>、长期待摊费用</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73" w:lineRule="auto"/>
        <w:ind w:right="222" w:firstLine="422"/>
        <w:jc w:val="both"/>
      </w:pPr>
      <w:r>
        <w:rPr>
          <w:spacing w:val="-2"/>
        </w:rPr>
        <w:t>本公司发生的长期待摊费用按实际成本计价，并按预计受益期限平均摊销。对不能使以后会计期间受</w:t>
      </w:r>
      <w:r>
        <w:rPr>
          <w:w w:val="100"/>
        </w:rPr>
        <w:t> </w:t>
      </w:r>
      <w:r>
        <w:rPr/>
        <w:t>益的长期待摊费用项目，其摊余价值全部计入当期损益。</w:t>
      </w:r>
    </w:p>
    <w:p>
      <w:pPr>
        <w:spacing w:line="240" w:lineRule="auto" w:before="8"/>
        <w:rPr>
          <w:rFonts w:ascii="宋体" w:hAnsi="宋体" w:cs="宋体" w:eastAsia="宋体" w:hint="default"/>
          <w:sz w:val="18"/>
          <w:szCs w:val="18"/>
        </w:rPr>
      </w:pPr>
    </w:p>
    <w:p>
      <w:pPr>
        <w:pStyle w:val="Heading4"/>
        <w:spacing w:line="240" w:lineRule="auto"/>
        <w:ind w:right="109"/>
        <w:jc w:val="left"/>
        <w:rPr>
          <w:b w:val="0"/>
          <w:bCs w:val="0"/>
        </w:rPr>
      </w:pPr>
      <w:r>
        <w:rPr>
          <w:rFonts w:ascii="Times New Roman" w:hAnsi="Times New Roman" w:cs="Times New Roman" w:eastAsia="Times New Roman" w:hint="default"/>
        </w:rPr>
        <w:t>24</w:t>
      </w:r>
      <w:r>
        <w:rPr/>
        <w:t>、职工薪酬</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109"/>
        <w:jc w:val="left"/>
        <w:rPr>
          <w:b w:val="0"/>
          <w:bCs w:val="0"/>
        </w:rPr>
      </w:pPr>
      <w:r>
        <w:rPr/>
        <w:t>（</w:t>
      </w:r>
      <w:r>
        <w:rPr>
          <w:rFonts w:ascii="Times New Roman" w:hAnsi="Times New Roman" w:cs="Times New Roman" w:eastAsia="Times New Roman" w:hint="default"/>
        </w:rPr>
        <w:t>1</w:t>
      </w:r>
      <w:r>
        <w:rPr/>
        <w:t>）短期薪酬的会计处理方法</w:t>
      </w:r>
      <w:r>
        <w:rPr>
          <w:b w:val="0"/>
          <w:bCs w:val="0"/>
        </w:rPr>
      </w:r>
    </w:p>
    <w:p>
      <w:pPr>
        <w:spacing w:line="240" w:lineRule="auto" w:before="2"/>
        <w:rPr>
          <w:rFonts w:ascii="Microsoft JhengHei" w:hAnsi="Microsoft JhengHei" w:cs="Microsoft JhengHei" w:eastAsia="Microsoft JhengHei" w:hint="default"/>
          <w:b/>
          <w:bCs/>
          <w:sz w:val="18"/>
          <w:szCs w:val="18"/>
        </w:rPr>
      </w:pPr>
    </w:p>
    <w:p>
      <w:pPr>
        <w:pStyle w:val="BodyText"/>
        <w:spacing w:line="273" w:lineRule="auto"/>
        <w:ind w:right="109" w:firstLine="422"/>
        <w:jc w:val="left"/>
      </w:pPr>
      <w:r>
        <w:rPr/>
        <w:t>企业应当在职工为其提供服务的会计期间，将实际发生的短期薪酬确认为负债，并计入当期损益。企</w:t>
      </w:r>
      <w:r>
        <w:rPr>
          <w:w w:val="100"/>
        </w:rPr>
        <w:t> </w:t>
      </w:r>
      <w:r>
        <w:rPr/>
        <w:t>业发生的职工福利费，应当在实际发生时根据实际发生额计入当期损益或相关资产成本。职工福利费为非</w:t>
      </w:r>
      <w:r>
        <w:rPr>
          <w:w w:val="100"/>
        </w:rPr>
        <w:t> </w:t>
      </w:r>
      <w:r>
        <w:rPr/>
        <w:t>货币性福利的，应当按照公允价值计量。企业为职工缴纳的医疗保险费、工伤保险费、生育保险费等社会</w:t>
      </w:r>
      <w:r>
        <w:rPr>
          <w:w w:val="100"/>
        </w:rPr>
        <w:t> </w:t>
      </w:r>
      <w:r>
        <w:rPr>
          <w:spacing w:val="-4"/>
        </w:rPr>
        <w:t>保险费和住房公积金，以及按规定提取的工会经费和职工教育经费，应当在职工为其提供服务的会计期间，</w:t>
      </w:r>
      <w:r>
        <w:rPr>
          <w:spacing w:val="-44"/>
        </w:rPr>
        <w:t> </w:t>
      </w:r>
      <w:r>
        <w:rPr>
          <w:spacing w:val="-44"/>
        </w:rPr>
      </w:r>
      <w:r>
        <w:rPr/>
        <w:t>根据规定的计提基础和计提比例计算确定相应的职工薪酬金额，并确认相应负债，计入当期损益或相关资</w:t>
      </w:r>
      <w:r>
        <w:rPr>
          <w:w w:val="100"/>
        </w:rPr>
        <w:t> </w:t>
      </w:r>
      <w:r>
        <w:rPr/>
        <w:t>产成本。</w:t>
      </w:r>
    </w:p>
    <w:p>
      <w:pPr>
        <w:spacing w:after="0" w:line="273" w:lineRule="auto"/>
        <w:jc w:val="left"/>
        <w:sectPr>
          <w:pgSz w:w="11900" w:h="16840"/>
          <w:pgMar w:header="872" w:footer="984" w:top="1060" w:bottom="1180" w:left="980" w:right="900"/>
        </w:sectPr>
      </w:pPr>
    </w:p>
    <w:p>
      <w:pPr>
        <w:spacing w:line="240" w:lineRule="auto" w:before="4"/>
        <w:rPr>
          <w:rFonts w:ascii="宋体" w:hAnsi="宋体" w:cs="宋体" w:eastAsia="宋体" w:hint="default"/>
          <w:sz w:val="25"/>
          <w:szCs w:val="25"/>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）离职后福利的会计处理方法</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73" w:lineRule="auto"/>
        <w:ind w:right="137" w:firstLine="422"/>
        <w:jc w:val="both"/>
      </w:pPr>
      <w:r>
        <w:rPr>
          <w:spacing w:val="-2"/>
        </w:rPr>
        <w:t>离职后福利计划包括设定提存计划和设定受益计划。其中，设定提存计划，是指向独立的基金缴存固</w:t>
      </w:r>
      <w:r>
        <w:rPr>
          <w:w w:val="100"/>
        </w:rPr>
        <w:t> </w:t>
      </w:r>
      <w:r>
        <w:rPr>
          <w:spacing w:val="-2"/>
        </w:rPr>
        <w:t>定费用后，企业不再承担进一步支付义务的离职后福利计划；设定受益计划，是指除设定提存计划以外的</w:t>
      </w:r>
      <w:r>
        <w:rPr>
          <w:spacing w:val="-35"/>
        </w:rPr>
        <w:t> </w:t>
      </w:r>
      <w:r>
        <w:rPr>
          <w:spacing w:val="-35"/>
        </w:rPr>
      </w:r>
      <w:r>
        <w:rPr/>
        <w:t>离职后福利计划。</w:t>
      </w:r>
    </w:p>
    <w:p>
      <w:pPr>
        <w:spacing w:line="240" w:lineRule="auto" w:before="1"/>
        <w:rPr>
          <w:rFonts w:ascii="宋体" w:hAnsi="宋体" w:cs="宋体" w:eastAsia="宋体" w:hint="default"/>
          <w:sz w:val="17"/>
          <w:szCs w:val="17"/>
        </w:rPr>
      </w:pPr>
    </w:p>
    <w:p>
      <w:pPr>
        <w:pStyle w:val="BodyText"/>
        <w:spacing w:line="460" w:lineRule="auto"/>
        <w:ind w:left="575" w:right="3736"/>
        <w:jc w:val="left"/>
      </w:pPr>
      <w:r>
        <w:rPr/>
        <w:t>设定提存计划</w:t>
      </w:r>
      <w:r>
        <w:rPr>
          <w:w w:val="100"/>
        </w:rPr>
        <w:t> </w:t>
      </w:r>
      <w:r>
        <w:rPr>
          <w:spacing w:val="-1"/>
        </w:rPr>
        <w:t>设定提存计划包括基本养老保险、失业保险等。</w:t>
      </w:r>
    </w:p>
    <w:p>
      <w:pPr>
        <w:pStyle w:val="BodyText"/>
        <w:spacing w:line="273" w:lineRule="auto" w:before="60"/>
        <w:ind w:right="142" w:firstLine="422"/>
        <w:jc w:val="both"/>
      </w:pPr>
      <w:r>
        <w:rPr>
          <w:spacing w:val="-2"/>
        </w:rPr>
        <w:t>在职工提供服务的会计期间，根据设定提存计划计算的应缴存金额确认为负债，并计入当期损益或相</w:t>
      </w:r>
      <w:r>
        <w:rPr>
          <w:w w:val="100"/>
        </w:rPr>
        <w:t> </w:t>
      </w:r>
      <w:r>
        <w:rPr/>
        <w:t>关资产成本。</w:t>
      </w:r>
    </w:p>
    <w:p>
      <w:pPr>
        <w:pStyle w:val="BodyText"/>
        <w:spacing w:line="528" w:lineRule="exact" w:before="46"/>
        <w:ind w:left="575" w:right="0"/>
        <w:jc w:val="left"/>
      </w:pPr>
      <w:r>
        <w:rPr/>
        <w:t>设定受益计划</w:t>
      </w:r>
      <w:r>
        <w:rPr>
          <w:w w:val="100"/>
        </w:rPr>
        <w:t> </w:t>
      </w:r>
      <w:r>
        <w:rPr>
          <w:spacing w:val="-2"/>
        </w:rPr>
        <w:t>对于设定受益计划，在年度资产负债表日由独立精算师进行精算估值，以预期累积福利单位法确定提</w:t>
      </w:r>
    </w:p>
    <w:p>
      <w:pPr>
        <w:pStyle w:val="BodyText"/>
        <w:spacing w:line="236" w:lineRule="exact"/>
        <w:ind w:right="0"/>
        <w:jc w:val="left"/>
      </w:pPr>
      <w:r>
        <w:rPr/>
        <w:t>供福利的成本。本公司设定受益计划导致的职工薪酬成本包括下列组成部分：</w:t>
      </w:r>
    </w:p>
    <w:p>
      <w:pPr>
        <w:spacing w:line="240" w:lineRule="auto" w:before="5"/>
        <w:rPr>
          <w:rFonts w:ascii="宋体" w:hAnsi="宋体" w:cs="宋体" w:eastAsia="宋体" w:hint="default"/>
          <w:sz w:val="19"/>
          <w:szCs w:val="19"/>
        </w:rPr>
      </w:pPr>
    </w:p>
    <w:p>
      <w:pPr>
        <w:pStyle w:val="BodyText"/>
        <w:spacing w:line="273" w:lineRule="auto"/>
        <w:ind w:right="142" w:firstLine="422"/>
        <w:jc w:val="both"/>
      </w:pPr>
      <w:r>
        <w:rPr>
          <w:spacing w:val="-2"/>
        </w:rPr>
        <w:t>①服务成本，包括当期服务成本、过去服务成本和结算利得或损失。其中，当期服务成本，是指职工</w:t>
      </w:r>
      <w:r>
        <w:rPr>
          <w:w w:val="100"/>
        </w:rPr>
        <w:t> </w:t>
      </w:r>
      <w:r>
        <w:rPr>
          <w:spacing w:val="-2"/>
        </w:rPr>
        <w:t>当期提供服务所导致的设定受益计划义务现值的增加额；过去服务成本，是指设定受益计划修改所导致的</w:t>
      </w:r>
      <w:r>
        <w:rPr>
          <w:spacing w:val="-35"/>
        </w:rPr>
        <w:t> </w:t>
      </w:r>
      <w:r>
        <w:rPr>
          <w:spacing w:val="-35"/>
        </w:rPr>
      </w:r>
      <w:r>
        <w:rPr/>
        <w:t>与以前期间职工服务相关的设定受益计划义务现值的增加或减少。</w:t>
      </w:r>
    </w:p>
    <w:p>
      <w:pPr>
        <w:spacing w:line="240" w:lineRule="auto" w:before="1"/>
        <w:rPr>
          <w:rFonts w:ascii="宋体" w:hAnsi="宋体" w:cs="宋体" w:eastAsia="宋体" w:hint="default"/>
          <w:sz w:val="17"/>
          <w:szCs w:val="17"/>
        </w:rPr>
      </w:pPr>
    </w:p>
    <w:p>
      <w:pPr>
        <w:pStyle w:val="BodyText"/>
        <w:spacing w:line="273" w:lineRule="auto"/>
        <w:ind w:right="142" w:firstLine="422"/>
        <w:jc w:val="both"/>
      </w:pPr>
      <w:r>
        <w:rPr>
          <w:spacing w:val="-2"/>
        </w:rPr>
        <w:t>②设定受益计划净负债或净资产的利息净额，包括计划资产的利息收益、设定受益计划义务的利息费</w:t>
      </w:r>
      <w:r>
        <w:rPr>
          <w:w w:val="100"/>
        </w:rPr>
        <w:t> </w:t>
      </w:r>
      <w:r>
        <w:rPr/>
        <w:t>用以及资产上限影响的利息。</w:t>
      </w:r>
    </w:p>
    <w:p>
      <w:pPr>
        <w:pStyle w:val="BodyText"/>
        <w:spacing w:line="528" w:lineRule="exact" w:before="46"/>
        <w:ind w:left="575" w:right="0"/>
        <w:jc w:val="left"/>
      </w:pPr>
      <w:r>
        <w:rPr/>
        <w:t>③重新计量设定受益计划净负债或净资产所产生的变动。</w:t>
      </w:r>
      <w:r>
        <w:rPr>
          <w:w w:val="100"/>
        </w:rPr>
        <w:t> </w:t>
      </w:r>
      <w:r>
        <w:rPr>
          <w:spacing w:val="-2"/>
        </w:rPr>
        <w:t>除非其他会计准则要求或允许职工福利成本计入资产成本，本公司将上述第①和②项计入当期损益；</w:t>
      </w:r>
    </w:p>
    <w:p>
      <w:pPr>
        <w:pStyle w:val="BodyText"/>
        <w:spacing w:line="236" w:lineRule="exact"/>
        <w:ind w:right="0"/>
        <w:jc w:val="left"/>
      </w:pPr>
      <w:r>
        <w:rPr/>
        <w:t>第③项计入其他综合收益且不会在后续会计期间转回至损益，但可以在权益范围内转移这些在其他综合收</w:t>
      </w:r>
    </w:p>
    <w:p>
      <w:pPr>
        <w:pStyle w:val="BodyText"/>
        <w:spacing w:line="240" w:lineRule="auto" w:before="37"/>
        <w:ind w:right="0"/>
        <w:jc w:val="left"/>
      </w:pPr>
      <w:r>
        <w:rPr/>
        <w:t>益中确认的金额。</w:t>
      </w:r>
    </w:p>
    <w:p>
      <w:pPr>
        <w:spacing w:line="240" w:lineRule="auto" w:before="11"/>
        <w:rPr>
          <w:rFonts w:ascii="宋体" w:hAnsi="宋体" w:cs="宋体" w:eastAsia="宋体" w:hint="default"/>
          <w:sz w:val="20"/>
          <w:szCs w:val="20"/>
        </w:rPr>
      </w:pPr>
    </w:p>
    <w:p>
      <w:pPr>
        <w:pStyle w:val="Heading4"/>
        <w:spacing w:line="240" w:lineRule="auto"/>
        <w:ind w:right="0"/>
        <w:jc w:val="left"/>
        <w:rPr>
          <w:b w:val="0"/>
          <w:bCs w:val="0"/>
        </w:rPr>
      </w:pPr>
      <w:r>
        <w:rPr/>
        <w:t>（</w:t>
      </w:r>
      <w:r>
        <w:rPr>
          <w:rFonts w:ascii="Times New Roman" w:hAnsi="Times New Roman" w:cs="Times New Roman" w:eastAsia="Times New Roman" w:hint="default"/>
        </w:rPr>
        <w:t>3</w:t>
      </w:r>
      <w:r>
        <w:rPr/>
        <w:t>）辞退福利的会计处理方法</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73" w:lineRule="auto"/>
        <w:ind w:right="141" w:firstLine="422"/>
        <w:jc w:val="both"/>
      </w:pPr>
      <w:r>
        <w:rPr>
          <w:spacing w:val="-2"/>
        </w:rPr>
        <w:t>本公司向职工提供辞退福利的，在下列两者孰早日确认辞退福利产生的职工薪酬负债，并计入当期损</w:t>
      </w:r>
      <w:r>
        <w:rPr>
          <w:w w:val="100"/>
        </w:rPr>
        <w:t> </w:t>
      </w:r>
      <w:r>
        <w:rPr>
          <w:spacing w:val="-2"/>
        </w:rPr>
        <w:t>益：本公司不能单方面撤回因解除劳动关系计划或裁减建议所提供的辞退福利时；本公司确认与涉及支付</w:t>
      </w:r>
      <w:r>
        <w:rPr>
          <w:spacing w:val="-35"/>
        </w:rPr>
        <w:t> </w:t>
      </w:r>
      <w:r>
        <w:rPr>
          <w:spacing w:val="-35"/>
        </w:rPr>
      </w:r>
      <w:r>
        <w:rPr/>
        <w:t>辞退福利的重组相关的成本或费用时。</w:t>
      </w:r>
    </w:p>
    <w:p>
      <w:pPr>
        <w:spacing w:line="240" w:lineRule="auto" w:before="1"/>
        <w:rPr>
          <w:rFonts w:ascii="宋体" w:hAnsi="宋体" w:cs="宋体" w:eastAsia="宋体" w:hint="default"/>
          <w:sz w:val="17"/>
          <w:szCs w:val="17"/>
        </w:rPr>
      </w:pPr>
    </w:p>
    <w:p>
      <w:pPr>
        <w:pStyle w:val="BodyText"/>
        <w:spacing w:line="273" w:lineRule="auto"/>
        <w:ind w:right="137" w:firstLine="422"/>
        <w:jc w:val="both"/>
      </w:pPr>
      <w:r>
        <w:rPr>
          <w:spacing w:val="-2"/>
        </w:rPr>
        <w:t>实行职工内部退休计划的，在正式退休日之前的经济补偿，属于辞退福利，自职工停止提供服务日至</w:t>
      </w:r>
      <w:r>
        <w:rPr>
          <w:w w:val="100"/>
        </w:rPr>
        <w:t> </w:t>
      </w:r>
      <w:r>
        <w:rPr>
          <w:spacing w:val="-2"/>
        </w:rPr>
        <w:t>正常退休日期间，拟支付的内退职工工资和缴纳的社会保险费等一次性计入当期损益。正式退休日期之后</w:t>
      </w:r>
      <w:r>
        <w:rPr>
          <w:spacing w:val="-35"/>
        </w:rPr>
        <w:t> </w:t>
      </w:r>
      <w:r>
        <w:rPr>
          <w:spacing w:val="-35"/>
        </w:rPr>
      </w:r>
      <w:r>
        <w:rPr/>
        <w:t>的经济补偿（如正常养老退休金），按照离职后福利处理。</w:t>
      </w:r>
    </w:p>
    <w:p>
      <w:pPr>
        <w:spacing w:line="240" w:lineRule="auto" w:before="8"/>
        <w:rPr>
          <w:rFonts w:ascii="宋体" w:hAnsi="宋体" w:cs="宋体" w:eastAsia="宋体" w:hint="default"/>
          <w:sz w:val="18"/>
          <w:szCs w:val="18"/>
        </w:rPr>
      </w:pPr>
    </w:p>
    <w:p>
      <w:pPr>
        <w:pStyle w:val="Heading4"/>
        <w:spacing w:line="240" w:lineRule="auto"/>
        <w:ind w:right="0"/>
        <w:jc w:val="left"/>
        <w:rPr>
          <w:b w:val="0"/>
          <w:bCs w:val="0"/>
        </w:rPr>
      </w:pPr>
      <w:r>
        <w:rPr/>
        <w:t>（</w:t>
      </w:r>
      <w:r>
        <w:rPr>
          <w:rFonts w:ascii="Times New Roman" w:hAnsi="Times New Roman" w:cs="Times New Roman" w:eastAsia="Times New Roman" w:hint="default"/>
        </w:rPr>
        <w:t>4</w:t>
      </w:r>
      <w:r>
        <w:rPr/>
        <w:t>）其他长期职工福利的会计处理方法</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73" w:lineRule="auto"/>
        <w:ind w:right="141" w:firstLine="422"/>
        <w:jc w:val="both"/>
      </w:pPr>
      <w:r>
        <w:rPr>
          <w:spacing w:val="-2"/>
        </w:rPr>
        <w:t>本公司向职工提供的其他长期职工福利，符合设定提存计划条件的，按照上述关于设定提存计划的有</w:t>
      </w:r>
      <w:r>
        <w:rPr>
          <w:w w:val="100"/>
        </w:rPr>
        <w:t> </w:t>
      </w:r>
      <w:r>
        <w:rPr>
          <w:spacing w:val="-2"/>
        </w:rPr>
        <w:t>关规定进行处理。符合设定受益计划的，按照上述关于设定受益计划的有关规定进行处理，但相关职工薪</w:t>
      </w:r>
      <w:r>
        <w:rPr>
          <w:spacing w:val="-35"/>
        </w:rPr>
        <w:t> </w:t>
      </w:r>
      <w:r>
        <w:rPr>
          <w:spacing w:val="-35"/>
        </w:rPr>
      </w:r>
      <w:r>
        <w:rPr/>
        <w:t>酬成本中</w:t>
      </w:r>
      <w:r>
        <w:rPr>
          <w:rFonts w:ascii="Times New Roman" w:hAnsi="Times New Roman" w:cs="Times New Roman" w:eastAsia="Times New Roman" w:hint="default"/>
        </w:rPr>
        <w:t>“</w:t>
      </w:r>
      <w:r>
        <w:rPr/>
        <w:t>重新计量设定受益计划净负债或净资产所产生的变动</w:t>
      </w:r>
      <w:r>
        <w:rPr>
          <w:rFonts w:ascii="Times New Roman" w:hAnsi="Times New Roman" w:cs="Times New Roman" w:eastAsia="Times New Roman" w:hint="default"/>
        </w:rPr>
        <w:t>”</w:t>
      </w:r>
      <w:r>
        <w:rPr/>
        <w:t>部分计入当期损益或相关资产成本。</w:t>
      </w:r>
    </w:p>
    <w:p>
      <w:pPr>
        <w:spacing w:after="0" w:line="273" w:lineRule="auto"/>
        <w:jc w:val="both"/>
        <w:sectPr>
          <w:pgSz w:w="11900" w:h="16840"/>
          <w:pgMar w:header="872" w:footer="984" w:top="1060" w:bottom="1180" w:left="980" w:right="980"/>
        </w:sectPr>
      </w:pPr>
    </w:p>
    <w:p>
      <w:pPr>
        <w:spacing w:line="240" w:lineRule="auto" w:before="4"/>
        <w:rPr>
          <w:rFonts w:ascii="宋体" w:hAnsi="宋体" w:cs="宋体" w:eastAsia="宋体" w:hint="default"/>
          <w:sz w:val="25"/>
          <w:szCs w:val="25"/>
        </w:rPr>
      </w:pPr>
    </w:p>
    <w:p>
      <w:pPr>
        <w:pStyle w:val="Heading4"/>
        <w:spacing w:line="335" w:lineRule="exact"/>
        <w:ind w:right="0"/>
        <w:jc w:val="left"/>
        <w:rPr>
          <w:b w:val="0"/>
          <w:bCs w:val="0"/>
        </w:rPr>
      </w:pPr>
      <w:r>
        <w:rPr>
          <w:rFonts w:ascii="Times New Roman" w:hAnsi="Times New Roman" w:cs="Times New Roman" w:eastAsia="Times New Roman" w:hint="default"/>
        </w:rPr>
        <w:t>25</w:t>
      </w:r>
      <w:r>
        <w:rPr/>
        <w:t>、预计负债</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73" w:lineRule="auto"/>
        <w:ind w:right="0" w:firstLine="422"/>
        <w:jc w:val="left"/>
      </w:pPr>
      <w:r>
        <w:rPr>
          <w:spacing w:val="-2"/>
        </w:rPr>
        <w:t>本公司涉及诉讼、债务担保、亏损合同、重组等事项时，如该事项很可能需要未来以交换资产或提供</w:t>
      </w:r>
      <w:r>
        <w:rPr>
          <w:w w:val="100"/>
        </w:rPr>
        <w:t> </w:t>
      </w:r>
      <w:r>
        <w:rPr/>
        <w:t>劳务来偿付、且金额能够可靠计量的事项，确认为预计负债。</w:t>
      </w:r>
    </w:p>
    <w:p>
      <w:pPr>
        <w:spacing w:line="240" w:lineRule="auto" w:before="3"/>
        <w:rPr>
          <w:rFonts w:ascii="宋体" w:hAnsi="宋体" w:cs="宋体" w:eastAsia="宋体" w:hint="default"/>
          <w:sz w:val="18"/>
          <w:szCs w:val="18"/>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）预计负债的确认标准</w:t>
      </w:r>
      <w:r>
        <w:rPr>
          <w:b w:val="0"/>
          <w:bCs w:val="0"/>
        </w:rPr>
      </w:r>
    </w:p>
    <w:p>
      <w:pPr>
        <w:spacing w:line="240" w:lineRule="auto" w:before="2"/>
        <w:rPr>
          <w:rFonts w:ascii="Microsoft JhengHei" w:hAnsi="Microsoft JhengHei" w:cs="Microsoft JhengHei" w:eastAsia="Microsoft JhengHei" w:hint="default"/>
          <w:b/>
          <w:bCs/>
          <w:sz w:val="18"/>
          <w:szCs w:val="18"/>
        </w:rPr>
      </w:pPr>
    </w:p>
    <w:p>
      <w:pPr>
        <w:pStyle w:val="BodyText"/>
        <w:spacing w:line="240" w:lineRule="auto"/>
        <w:ind w:left="575" w:right="0"/>
        <w:jc w:val="left"/>
      </w:pPr>
      <w:r>
        <w:rPr/>
        <w:t>如果与或有事项相关的义务同时符合以下条件，本公司将其确认为预计负债：</w:t>
      </w:r>
    </w:p>
    <w:p>
      <w:pPr>
        <w:spacing w:line="240" w:lineRule="auto" w:before="5"/>
        <w:rPr>
          <w:rFonts w:ascii="宋体" w:hAnsi="宋体" w:cs="宋体" w:eastAsia="宋体" w:hint="default"/>
          <w:sz w:val="19"/>
          <w:szCs w:val="19"/>
        </w:rPr>
      </w:pPr>
    </w:p>
    <w:p>
      <w:pPr>
        <w:pStyle w:val="BodyText"/>
        <w:spacing w:line="240" w:lineRule="auto"/>
        <w:ind w:left="469" w:right="0"/>
        <w:jc w:val="left"/>
      </w:pPr>
      <w:r>
        <w:rPr/>
        <w:t>（1）该义务是本公司承担的现时义务；</w:t>
      </w:r>
    </w:p>
    <w:p>
      <w:pPr>
        <w:spacing w:line="240" w:lineRule="auto" w:before="5"/>
        <w:rPr>
          <w:rFonts w:ascii="宋体" w:hAnsi="宋体" w:cs="宋体" w:eastAsia="宋体" w:hint="default"/>
          <w:sz w:val="19"/>
          <w:szCs w:val="19"/>
        </w:rPr>
      </w:pPr>
    </w:p>
    <w:p>
      <w:pPr>
        <w:pStyle w:val="BodyText"/>
        <w:spacing w:line="240" w:lineRule="auto"/>
        <w:ind w:left="469" w:right="0"/>
        <w:jc w:val="left"/>
      </w:pPr>
      <w:r>
        <w:rPr/>
        <w:t>（2）该义务的履行很可能导致经济利益流出本公司；</w:t>
      </w:r>
    </w:p>
    <w:p>
      <w:pPr>
        <w:spacing w:line="240" w:lineRule="auto" w:before="9"/>
        <w:rPr>
          <w:rFonts w:ascii="宋体" w:hAnsi="宋体" w:cs="宋体" w:eastAsia="宋体" w:hint="default"/>
          <w:sz w:val="19"/>
          <w:szCs w:val="19"/>
        </w:rPr>
      </w:pPr>
    </w:p>
    <w:p>
      <w:pPr>
        <w:pStyle w:val="BodyText"/>
        <w:spacing w:line="240" w:lineRule="auto"/>
        <w:ind w:left="469" w:right="0"/>
        <w:jc w:val="left"/>
      </w:pPr>
      <w:r>
        <w:rPr/>
        <w:t>（3）该义务的金额能够可靠地计量。</w:t>
      </w:r>
    </w:p>
    <w:p>
      <w:pPr>
        <w:spacing w:line="240" w:lineRule="auto" w:before="1"/>
        <w:rPr>
          <w:rFonts w:ascii="宋体" w:hAnsi="宋体" w:cs="宋体" w:eastAsia="宋体" w:hint="default"/>
          <w:sz w:val="20"/>
          <w:szCs w:val="20"/>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）预计负债的计量方法</w:t>
      </w:r>
      <w:r>
        <w:rPr>
          <w:b w:val="0"/>
          <w:bCs w:val="0"/>
        </w:rPr>
      </w:r>
    </w:p>
    <w:p>
      <w:pPr>
        <w:spacing w:line="240" w:lineRule="auto" w:before="2"/>
        <w:rPr>
          <w:rFonts w:ascii="Microsoft JhengHei" w:hAnsi="Microsoft JhengHei" w:cs="Microsoft JhengHei" w:eastAsia="Microsoft JhengHei" w:hint="default"/>
          <w:b/>
          <w:bCs/>
          <w:sz w:val="18"/>
          <w:szCs w:val="18"/>
        </w:rPr>
      </w:pPr>
    </w:p>
    <w:p>
      <w:pPr>
        <w:pStyle w:val="BodyText"/>
        <w:spacing w:line="273" w:lineRule="auto"/>
        <w:ind w:right="142" w:firstLine="422"/>
        <w:jc w:val="both"/>
      </w:pPr>
      <w:r>
        <w:rPr>
          <w:spacing w:val="-2"/>
        </w:rPr>
        <w:t>预计负债按照履行相关现时义务所需支出的最佳估计数进行初始计量，并综合考虑与或有事项有关的</w:t>
      </w:r>
      <w:r>
        <w:rPr>
          <w:w w:val="100"/>
        </w:rPr>
        <w:t> </w:t>
      </w:r>
      <w:r>
        <w:rPr>
          <w:spacing w:val="-2"/>
        </w:rPr>
        <w:t>风险、不确定性和货币时间价值等因素。货币时间价值影响重大的，通过对相关未来现金流出进行折现后</w:t>
      </w:r>
      <w:r>
        <w:rPr>
          <w:spacing w:val="-35"/>
        </w:rPr>
        <w:t> </w:t>
      </w:r>
      <w:r>
        <w:rPr>
          <w:spacing w:val="-35"/>
        </w:rPr>
      </w:r>
      <w:r>
        <w:rPr>
          <w:spacing w:val="-2"/>
        </w:rPr>
        <w:t>确定最佳估计数。本公司于资产负债表日对预计负债的账面价值进行复核，并对账面价值进行调整以反映</w:t>
      </w:r>
      <w:r>
        <w:rPr>
          <w:spacing w:val="-35"/>
        </w:rPr>
        <w:t> </w:t>
      </w:r>
      <w:r>
        <w:rPr>
          <w:spacing w:val="-35"/>
        </w:rPr>
      </w:r>
      <w:r>
        <w:rPr/>
        <w:t>当前最佳估计数。</w:t>
      </w:r>
    </w:p>
    <w:p>
      <w:pPr>
        <w:spacing w:line="240" w:lineRule="auto" w:before="1"/>
        <w:rPr>
          <w:rFonts w:ascii="宋体" w:hAnsi="宋体" w:cs="宋体" w:eastAsia="宋体" w:hint="default"/>
          <w:sz w:val="17"/>
          <w:szCs w:val="17"/>
        </w:rPr>
      </w:pPr>
    </w:p>
    <w:p>
      <w:pPr>
        <w:pStyle w:val="BodyText"/>
        <w:spacing w:line="273" w:lineRule="auto"/>
        <w:ind w:right="0" w:firstLine="422"/>
        <w:jc w:val="left"/>
      </w:pPr>
      <w:r>
        <w:rPr>
          <w:spacing w:val="-2"/>
        </w:rPr>
        <w:t>如果清偿已确认预计负债所需支出全部或部分预期由第三方或其他方补偿，则补偿金额只能在基本确</w:t>
      </w:r>
      <w:r>
        <w:rPr>
          <w:w w:val="100"/>
        </w:rPr>
        <w:t> </w:t>
      </w:r>
      <w:r>
        <w:rPr/>
        <w:t>定能收到时，作为资产单独确认。确认的补偿金额不超过所确认负债的账面价值。</w:t>
      </w:r>
    </w:p>
    <w:p>
      <w:pPr>
        <w:spacing w:line="240" w:lineRule="auto" w:before="8"/>
        <w:rPr>
          <w:rFonts w:ascii="宋体" w:hAnsi="宋体" w:cs="宋体" w:eastAsia="宋体" w:hint="default"/>
          <w:sz w:val="18"/>
          <w:szCs w:val="18"/>
        </w:rPr>
      </w:pPr>
    </w:p>
    <w:p>
      <w:pPr>
        <w:pStyle w:val="Heading4"/>
        <w:spacing w:line="240" w:lineRule="auto"/>
        <w:ind w:right="0"/>
        <w:jc w:val="left"/>
        <w:rPr>
          <w:b w:val="0"/>
          <w:bCs w:val="0"/>
        </w:rPr>
      </w:pPr>
      <w:r>
        <w:rPr>
          <w:rFonts w:ascii="Times New Roman" w:hAnsi="Times New Roman" w:cs="Times New Roman" w:eastAsia="Times New Roman" w:hint="default"/>
        </w:rPr>
        <w:t>26</w:t>
      </w:r>
      <w:r>
        <w:rPr/>
        <w:t>、股份支付</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）股份支付的种类</w:t>
      </w:r>
      <w:r>
        <w:rPr>
          <w:b w:val="0"/>
          <w:bCs w:val="0"/>
        </w:rPr>
      </w:r>
    </w:p>
    <w:p>
      <w:pPr>
        <w:spacing w:line="240" w:lineRule="auto" w:before="7"/>
        <w:rPr>
          <w:rFonts w:ascii="Microsoft JhengHei" w:hAnsi="Microsoft JhengHei" w:cs="Microsoft JhengHei" w:eastAsia="Microsoft JhengHei" w:hint="default"/>
          <w:b/>
          <w:bCs/>
          <w:sz w:val="18"/>
          <w:szCs w:val="18"/>
        </w:rPr>
      </w:pPr>
    </w:p>
    <w:p>
      <w:pPr>
        <w:pStyle w:val="BodyText"/>
        <w:spacing w:line="240" w:lineRule="auto"/>
        <w:ind w:left="575" w:right="0"/>
        <w:jc w:val="left"/>
      </w:pPr>
      <w:r>
        <w:rPr/>
        <w:t>本公司股份支付分为以权益结算的股份支付和以现金结算的股份支付。</w:t>
      </w:r>
    </w:p>
    <w:p>
      <w:pPr>
        <w:spacing w:line="240" w:lineRule="auto" w:before="1"/>
        <w:rPr>
          <w:rFonts w:ascii="宋体" w:hAnsi="宋体" w:cs="宋体" w:eastAsia="宋体" w:hint="default"/>
          <w:sz w:val="20"/>
          <w:szCs w:val="20"/>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）权益工具公允价值的确定方法</w:t>
      </w:r>
      <w:r>
        <w:rPr>
          <w:b w:val="0"/>
          <w:bCs w:val="0"/>
        </w:rPr>
      </w:r>
    </w:p>
    <w:p>
      <w:pPr>
        <w:spacing w:line="240" w:lineRule="auto" w:before="2"/>
        <w:rPr>
          <w:rFonts w:ascii="Microsoft JhengHei" w:hAnsi="Microsoft JhengHei" w:cs="Microsoft JhengHei" w:eastAsia="Microsoft JhengHei" w:hint="default"/>
          <w:b/>
          <w:bCs/>
          <w:sz w:val="18"/>
          <w:szCs w:val="18"/>
        </w:rPr>
      </w:pPr>
    </w:p>
    <w:p>
      <w:pPr>
        <w:pStyle w:val="BodyText"/>
        <w:spacing w:line="240" w:lineRule="auto"/>
        <w:ind w:left="575" w:right="0"/>
        <w:jc w:val="left"/>
      </w:pPr>
      <w:r>
        <w:rPr/>
        <w:t>①存在活跃市场的，按照活跃市场中的报价确定；</w:t>
      </w:r>
    </w:p>
    <w:p>
      <w:pPr>
        <w:spacing w:line="240" w:lineRule="auto" w:before="5"/>
        <w:rPr>
          <w:rFonts w:ascii="宋体" w:hAnsi="宋体" w:cs="宋体" w:eastAsia="宋体" w:hint="default"/>
          <w:sz w:val="19"/>
          <w:szCs w:val="19"/>
        </w:rPr>
      </w:pPr>
    </w:p>
    <w:p>
      <w:pPr>
        <w:pStyle w:val="BodyText"/>
        <w:spacing w:line="273" w:lineRule="auto"/>
        <w:ind w:right="0" w:firstLine="422"/>
        <w:jc w:val="left"/>
      </w:pPr>
      <w:r>
        <w:rPr>
          <w:spacing w:val="-2"/>
        </w:rPr>
        <w:t>②不存在活跃市场的，采用估值技术确定，包括参考熟悉情况并自愿交易的各方最近进行的市场交易</w:t>
      </w:r>
      <w:r>
        <w:rPr>
          <w:w w:val="100"/>
        </w:rPr>
        <w:t> </w:t>
      </w:r>
      <w:r>
        <w:rPr/>
        <w:t>中使用的价格、参照实质上相同的其他金融工具的当前公允价值、现金流量折现法和期权定价模型等。</w:t>
      </w:r>
    </w:p>
    <w:p>
      <w:pPr>
        <w:spacing w:line="240" w:lineRule="auto" w:before="3"/>
        <w:rPr>
          <w:rFonts w:ascii="宋体" w:hAnsi="宋体" w:cs="宋体" w:eastAsia="宋体" w:hint="default"/>
          <w:sz w:val="18"/>
          <w:szCs w:val="18"/>
        </w:rPr>
      </w:pPr>
    </w:p>
    <w:p>
      <w:pPr>
        <w:pStyle w:val="Heading4"/>
        <w:spacing w:line="240" w:lineRule="auto"/>
        <w:ind w:right="0"/>
        <w:jc w:val="left"/>
        <w:rPr>
          <w:b w:val="0"/>
          <w:bCs w:val="0"/>
        </w:rPr>
      </w:pPr>
      <w:r>
        <w:rPr/>
        <w:t>（</w:t>
      </w:r>
      <w:r>
        <w:rPr>
          <w:rFonts w:ascii="Times New Roman" w:hAnsi="Times New Roman" w:cs="Times New Roman" w:eastAsia="Times New Roman" w:hint="default"/>
        </w:rPr>
        <w:t>3</w:t>
      </w:r>
      <w:r>
        <w:rPr/>
        <w:t>）确认可行权权益工具最佳估计的依据</w:t>
      </w:r>
      <w:r>
        <w:rPr>
          <w:b w:val="0"/>
          <w:bCs w:val="0"/>
        </w:rPr>
      </w:r>
    </w:p>
    <w:p>
      <w:pPr>
        <w:spacing w:line="240" w:lineRule="auto" w:before="7"/>
        <w:rPr>
          <w:rFonts w:ascii="Microsoft JhengHei" w:hAnsi="Microsoft JhengHei" w:cs="Microsoft JhengHei" w:eastAsia="Microsoft JhengHei" w:hint="default"/>
          <w:b/>
          <w:bCs/>
          <w:sz w:val="18"/>
          <w:szCs w:val="18"/>
        </w:rPr>
      </w:pPr>
    </w:p>
    <w:p>
      <w:pPr>
        <w:pStyle w:val="BodyText"/>
        <w:spacing w:line="240" w:lineRule="auto"/>
        <w:ind w:left="575" w:right="0"/>
        <w:jc w:val="left"/>
      </w:pPr>
      <w:r>
        <w:rPr/>
        <w:t>根据最新取得的可行权职工数变动等后续信息进行估计。</w:t>
      </w:r>
    </w:p>
    <w:p>
      <w:pPr>
        <w:spacing w:line="240" w:lineRule="auto" w:before="1"/>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27</w:t>
      </w:r>
      <w:r>
        <w:rPr/>
        <w:t>、优先股、永续债等其他金融工具</w:t>
      </w:r>
      <w:r>
        <w:rPr>
          <w:b w:val="0"/>
          <w:bCs w:val="0"/>
        </w:rPr>
      </w:r>
    </w:p>
    <w:p>
      <w:pPr>
        <w:spacing w:line="240" w:lineRule="auto" w:before="2"/>
        <w:rPr>
          <w:rFonts w:ascii="Microsoft JhengHei" w:hAnsi="Microsoft JhengHei" w:cs="Microsoft JhengHei" w:eastAsia="Microsoft JhengHei" w:hint="default"/>
          <w:b/>
          <w:bCs/>
          <w:sz w:val="18"/>
          <w:szCs w:val="18"/>
        </w:rPr>
      </w:pPr>
    </w:p>
    <w:p>
      <w:pPr>
        <w:pStyle w:val="BodyText"/>
        <w:spacing w:line="240" w:lineRule="auto"/>
        <w:ind w:right="0"/>
        <w:jc w:val="left"/>
      </w:pPr>
      <w:r>
        <w:rPr/>
        <w:t>不适用</w:t>
      </w:r>
    </w:p>
    <w:p>
      <w:pPr>
        <w:spacing w:after="0" w:line="240" w:lineRule="auto"/>
        <w:jc w:val="left"/>
        <w:sectPr>
          <w:pgSz w:w="11900" w:h="16840"/>
          <w:pgMar w:header="872" w:footer="984" w:top="1060" w:bottom="1180" w:left="980" w:right="980"/>
        </w:sectPr>
      </w:pPr>
    </w:p>
    <w:p>
      <w:pPr>
        <w:spacing w:line="240" w:lineRule="auto" w:before="4"/>
        <w:rPr>
          <w:rFonts w:ascii="宋体" w:hAnsi="宋体" w:cs="宋体" w:eastAsia="宋体" w:hint="default"/>
          <w:sz w:val="25"/>
          <w:szCs w:val="25"/>
        </w:rPr>
      </w:pPr>
    </w:p>
    <w:p>
      <w:pPr>
        <w:pStyle w:val="Heading4"/>
        <w:spacing w:line="335" w:lineRule="exact"/>
        <w:ind w:right="0"/>
        <w:jc w:val="left"/>
        <w:rPr>
          <w:b w:val="0"/>
          <w:bCs w:val="0"/>
        </w:rPr>
      </w:pPr>
      <w:r>
        <w:rPr>
          <w:rFonts w:ascii="Times New Roman" w:hAnsi="Times New Roman" w:cs="Times New Roman" w:eastAsia="Times New Roman" w:hint="default"/>
        </w:rPr>
        <w:t>28</w:t>
      </w:r>
      <w:r>
        <w:rPr/>
        <w:t>、收入</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）销售商品收入确认时间的具体判断标准</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73" w:lineRule="auto"/>
        <w:ind w:right="0" w:firstLine="422"/>
        <w:jc w:val="left"/>
      </w:pPr>
      <w:r>
        <w:rPr/>
        <w:t>在已将商品所有权上的主要风险和报酬转移给购货方，既没有保留通常与所有权相联系的继续管理</w:t>
      </w:r>
      <w:r>
        <w:rPr>
          <w:w w:val="100"/>
        </w:rPr>
        <w:t> </w:t>
      </w:r>
      <w:r>
        <w:rPr>
          <w:spacing w:val="-2"/>
        </w:rPr>
        <w:t>权，也没有对已售商品实施有效控制，收入的金额能够可靠地计量，相关的经济利益很可能流入企业，相</w:t>
      </w:r>
      <w:r>
        <w:rPr>
          <w:spacing w:val="-36"/>
        </w:rPr>
        <w:t> </w:t>
      </w:r>
      <w:r>
        <w:rPr>
          <w:spacing w:val="-36"/>
        </w:rPr>
      </w:r>
      <w:r>
        <w:rPr/>
        <w:t>关的已发生或将发生的成本能够可靠地计量时，确认商品销售收入的实现。</w:t>
      </w:r>
    </w:p>
    <w:p>
      <w:pPr>
        <w:spacing w:line="240" w:lineRule="auto" w:before="3"/>
        <w:rPr>
          <w:rFonts w:ascii="宋体" w:hAnsi="宋体" w:cs="宋体" w:eastAsia="宋体" w:hint="default"/>
          <w:sz w:val="18"/>
          <w:szCs w:val="18"/>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）确认让渡资产使用权收入的依据</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40" w:lineRule="auto"/>
        <w:ind w:left="575" w:right="0"/>
        <w:jc w:val="left"/>
      </w:pPr>
      <w:r>
        <w:rPr/>
        <w:t>与资产使用权让渡相关的经济利益能够流入及收入的金额能够可靠地计量时，本公司确认收入。</w:t>
      </w:r>
    </w:p>
    <w:p>
      <w:pPr>
        <w:spacing w:line="240" w:lineRule="auto" w:before="6"/>
        <w:rPr>
          <w:rFonts w:ascii="宋体" w:hAnsi="宋体" w:cs="宋体" w:eastAsia="宋体" w:hint="default"/>
          <w:sz w:val="20"/>
          <w:szCs w:val="20"/>
        </w:rPr>
      </w:pPr>
    </w:p>
    <w:p>
      <w:pPr>
        <w:pStyle w:val="BodyText"/>
        <w:spacing w:line="453" w:lineRule="auto"/>
        <w:ind w:left="575" w:right="0" w:hanging="423"/>
        <w:jc w:val="left"/>
      </w:pPr>
      <w:r>
        <w:rPr>
          <w:rFonts w:ascii="Microsoft JhengHei" w:hAnsi="Microsoft JhengHei" w:cs="Microsoft JhengHei" w:eastAsia="Microsoft JhengHei" w:hint="default"/>
          <w:b/>
          <w:bCs/>
        </w:rPr>
        <w:t>（</w:t>
      </w:r>
      <w:r>
        <w:rPr>
          <w:rFonts w:ascii="Times New Roman" w:hAnsi="Times New Roman" w:cs="Times New Roman" w:eastAsia="Times New Roman" w:hint="default"/>
          <w:b/>
          <w:bCs/>
        </w:rPr>
        <w:t>3</w:t>
      </w:r>
      <w:r>
        <w:rPr>
          <w:rFonts w:ascii="Microsoft JhengHei" w:hAnsi="Microsoft JhengHei" w:cs="Microsoft JhengHei" w:eastAsia="Microsoft JhengHei" w:hint="default"/>
          <w:b/>
          <w:bCs/>
        </w:rPr>
        <w:t>）确认提供劳务收入的依据</w:t>
      </w:r>
      <w:r>
        <w:rPr>
          <w:rFonts w:ascii="Microsoft JhengHei" w:hAnsi="Microsoft JhengHei" w:cs="Microsoft JhengHei" w:eastAsia="Microsoft JhengHei" w:hint="default"/>
          <w:b/>
          <w:bCs/>
          <w:spacing w:val="-38"/>
        </w:rPr>
        <w:t> </w:t>
      </w:r>
      <w:r>
        <w:rPr>
          <w:spacing w:val="-2"/>
        </w:rPr>
        <w:t>对在提供劳务交易的结果能够可靠估计的情况下，本公司于资产负债表日按完工百分比法确认收入。</w:t>
      </w:r>
      <w:r>
        <w:rPr>
          <w:w w:val="100"/>
        </w:rPr>
        <w:t> </w:t>
      </w:r>
      <w:r>
        <w:rPr/>
        <w:t>劳务交易的完工进度按已经发生的劳务成本占估计总成本的比例确定。</w:t>
      </w:r>
    </w:p>
    <w:p>
      <w:pPr>
        <w:pStyle w:val="BodyText"/>
        <w:spacing w:line="256" w:lineRule="auto" w:before="66"/>
        <w:ind w:right="137" w:firstLine="422"/>
        <w:jc w:val="both"/>
      </w:pPr>
      <w:r>
        <w:rPr>
          <w:spacing w:val="-4"/>
        </w:rPr>
        <w:t>提供劳务交易的结果能够可靠估计是指同时满足：</w:t>
      </w:r>
      <w:r>
        <w:rPr>
          <w:rFonts w:ascii="Times New Roman" w:hAnsi="Times New Roman" w:cs="Times New Roman" w:eastAsia="Times New Roman" w:hint="default"/>
          <w:spacing w:val="-4"/>
        </w:rPr>
        <w:t>A</w:t>
      </w:r>
      <w:r>
        <w:rPr>
          <w:spacing w:val="-4"/>
        </w:rPr>
        <w:t>、收入的金额能够可靠地计量；</w:t>
      </w:r>
      <w:r>
        <w:rPr>
          <w:rFonts w:ascii="Times New Roman" w:hAnsi="Times New Roman" w:cs="Times New Roman" w:eastAsia="Times New Roman" w:hint="default"/>
          <w:spacing w:val="-4"/>
        </w:rPr>
        <w:t>B</w:t>
      </w:r>
      <w:r>
        <w:rPr>
          <w:spacing w:val="-4"/>
        </w:rPr>
        <w:t>、相关的经济利</w:t>
      </w:r>
      <w:r>
        <w:rPr>
          <w:w w:val="100"/>
        </w:rPr>
        <w:t> </w:t>
      </w:r>
      <w:r>
        <w:rPr>
          <w:spacing w:val="-4"/>
        </w:rPr>
        <w:t>益很可能流入企业；</w:t>
      </w:r>
      <w:r>
        <w:rPr>
          <w:rFonts w:ascii="Times New Roman" w:hAnsi="Times New Roman" w:cs="Times New Roman" w:eastAsia="Times New Roman" w:hint="default"/>
          <w:spacing w:val="-4"/>
        </w:rPr>
        <w:t>C</w:t>
      </w:r>
      <w:r>
        <w:rPr>
          <w:spacing w:val="-4"/>
        </w:rPr>
        <w:t>、交易的完工程度能够可靠地确定；</w:t>
      </w:r>
      <w:r>
        <w:rPr>
          <w:rFonts w:ascii="Times New Roman" w:hAnsi="Times New Roman" w:cs="Times New Roman" w:eastAsia="Times New Roman" w:hint="default"/>
          <w:spacing w:val="-4"/>
        </w:rPr>
        <w:t>D</w:t>
      </w:r>
      <w:r>
        <w:rPr>
          <w:spacing w:val="-4"/>
        </w:rPr>
        <w:t>、交易中已发生和将发生的成本能够可靠地计</w:t>
      </w:r>
      <w:r>
        <w:rPr>
          <w:spacing w:val="-27"/>
        </w:rPr>
        <w:t> </w:t>
      </w:r>
      <w:r>
        <w:rPr>
          <w:spacing w:val="-27"/>
        </w:rPr>
      </w:r>
      <w:r>
        <w:rPr/>
        <w:t>量。</w:t>
      </w:r>
    </w:p>
    <w:p>
      <w:pPr>
        <w:spacing w:line="240" w:lineRule="auto" w:before="3"/>
        <w:rPr>
          <w:rFonts w:ascii="宋体" w:hAnsi="宋体" w:cs="宋体" w:eastAsia="宋体" w:hint="default"/>
          <w:sz w:val="18"/>
          <w:szCs w:val="18"/>
        </w:rPr>
      </w:pPr>
    </w:p>
    <w:p>
      <w:pPr>
        <w:pStyle w:val="BodyText"/>
        <w:spacing w:line="273" w:lineRule="auto"/>
        <w:ind w:right="137" w:firstLine="422"/>
        <w:jc w:val="both"/>
      </w:pPr>
      <w:r>
        <w:rPr>
          <w:spacing w:val="-2"/>
        </w:rPr>
        <w:t>如果提供劳务交易的结果不能够可靠估计，则按已经发生并预计能够得到补偿的劳务成本金额确认提</w:t>
      </w:r>
      <w:r>
        <w:rPr>
          <w:w w:val="100"/>
        </w:rPr>
        <w:t> </w:t>
      </w:r>
      <w:r>
        <w:rPr>
          <w:spacing w:val="-2"/>
        </w:rPr>
        <w:t>供的劳务收入，并将已发生的劳务成本作为当期费用。已经发生的劳务成本如预计不能得到补偿的，则不</w:t>
      </w:r>
      <w:r>
        <w:rPr>
          <w:spacing w:val="-35"/>
        </w:rPr>
        <w:t> </w:t>
      </w:r>
      <w:r>
        <w:rPr>
          <w:spacing w:val="-35"/>
        </w:rPr>
      </w:r>
      <w:r>
        <w:rPr/>
        <w:t>确认收入</w:t>
      </w:r>
    </w:p>
    <w:p>
      <w:pPr>
        <w:spacing w:line="240" w:lineRule="auto" w:before="3"/>
        <w:rPr>
          <w:rFonts w:ascii="宋体" w:hAnsi="宋体" w:cs="宋体" w:eastAsia="宋体" w:hint="default"/>
          <w:sz w:val="18"/>
          <w:szCs w:val="18"/>
        </w:rPr>
      </w:pPr>
    </w:p>
    <w:p>
      <w:pPr>
        <w:pStyle w:val="Heading4"/>
        <w:spacing w:line="240" w:lineRule="auto"/>
        <w:ind w:right="0"/>
        <w:jc w:val="left"/>
        <w:rPr>
          <w:b w:val="0"/>
          <w:bCs w:val="0"/>
        </w:rPr>
      </w:pPr>
      <w:r>
        <w:rPr/>
        <w:t>（</w:t>
      </w:r>
      <w:r>
        <w:rPr>
          <w:rFonts w:ascii="Times New Roman" w:hAnsi="Times New Roman" w:cs="Times New Roman" w:eastAsia="Times New Roman" w:hint="default"/>
        </w:rPr>
        <w:t>4</w:t>
      </w:r>
      <w:r>
        <w:rPr/>
        <w:t>）按完工百分比法确认提供劳务的收入和建造合同收入时，确定合同完工进度的依据和方法</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40" w:lineRule="auto"/>
        <w:ind w:left="575" w:right="0"/>
        <w:jc w:val="left"/>
      </w:pPr>
      <w:r>
        <w:rPr/>
        <w:t>本公司根据已完工作的测量确定提供劳务交易的完工进度</w:t>
      </w:r>
    </w:p>
    <w:p>
      <w:pPr>
        <w:spacing w:line="240" w:lineRule="auto" w:before="11"/>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29</w:t>
      </w:r>
      <w:r>
        <w:rPr/>
        <w:t>、政府补助</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）与资产相关的政府补助判断依据及会计处理方法</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73" w:lineRule="auto"/>
        <w:ind w:right="142" w:firstLine="422"/>
        <w:jc w:val="both"/>
      </w:pPr>
      <w:r>
        <w:rPr>
          <w:spacing w:val="-2"/>
        </w:rPr>
        <w:t>与资产相关的政府补助，是指本公司取得的、用于购建或以其他方式形成长期资产的政府补助；除此</w:t>
      </w:r>
      <w:r>
        <w:rPr>
          <w:w w:val="100"/>
        </w:rPr>
        <w:t> </w:t>
      </w:r>
      <w:r>
        <w:rPr/>
        <w:t>之外，作为与收益相关的政府补助。</w:t>
      </w:r>
    </w:p>
    <w:p>
      <w:pPr>
        <w:spacing w:line="240" w:lineRule="auto" w:before="1"/>
        <w:rPr>
          <w:rFonts w:ascii="宋体" w:hAnsi="宋体" w:cs="宋体" w:eastAsia="宋体" w:hint="default"/>
          <w:sz w:val="17"/>
          <w:szCs w:val="17"/>
        </w:rPr>
      </w:pPr>
    </w:p>
    <w:p>
      <w:pPr>
        <w:pStyle w:val="BodyText"/>
        <w:spacing w:line="273" w:lineRule="auto"/>
        <w:ind w:right="118" w:firstLine="422"/>
        <w:jc w:val="both"/>
      </w:pPr>
      <w:r>
        <w:rPr>
          <w:spacing w:val="-2"/>
        </w:rPr>
        <w:t>与资产相关的政府补助，公司确认为递延收益，并在相关资产使用寿命内平均分配，计入当期损益。</w:t>
      </w:r>
      <w:r>
        <w:rPr>
          <w:w w:val="100"/>
        </w:rPr>
        <w:t> </w:t>
      </w:r>
      <w:r>
        <w:rPr/>
        <w:t>但是，按照名义金额计量的政府补助，直接计入当期损益。</w:t>
      </w:r>
    </w:p>
    <w:p>
      <w:pPr>
        <w:spacing w:line="240" w:lineRule="auto" w:before="8"/>
        <w:rPr>
          <w:rFonts w:ascii="宋体" w:hAnsi="宋体" w:cs="宋体" w:eastAsia="宋体" w:hint="default"/>
          <w:sz w:val="18"/>
          <w:szCs w:val="18"/>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）与收益相关的政府补助判断依据及会计处理方法</w:t>
      </w:r>
      <w:r>
        <w:rPr>
          <w:b w:val="0"/>
          <w:bCs w:val="0"/>
        </w:rPr>
      </w:r>
    </w:p>
    <w:p>
      <w:pPr>
        <w:spacing w:line="240" w:lineRule="auto" w:before="2"/>
        <w:rPr>
          <w:rFonts w:ascii="Microsoft JhengHei" w:hAnsi="Microsoft JhengHei" w:cs="Microsoft JhengHei" w:eastAsia="Microsoft JhengHei" w:hint="default"/>
          <w:b/>
          <w:bCs/>
          <w:sz w:val="18"/>
          <w:szCs w:val="18"/>
        </w:rPr>
      </w:pPr>
    </w:p>
    <w:p>
      <w:pPr>
        <w:pStyle w:val="BodyText"/>
        <w:spacing w:line="273" w:lineRule="auto"/>
        <w:ind w:right="137" w:firstLine="422"/>
        <w:jc w:val="both"/>
      </w:pPr>
      <w:r>
        <w:rPr>
          <w:spacing w:val="-2"/>
        </w:rPr>
        <w:t>与收益相关的政府补助，用于补偿本公司以后期间的相关费用或损失的，确认为递延收益，并在确认</w:t>
      </w:r>
      <w:r>
        <w:rPr>
          <w:w w:val="100"/>
        </w:rPr>
        <w:t> </w:t>
      </w:r>
      <w:r>
        <w:rPr/>
        <w:t>相关费用的期间，计入当期损益；用于补偿本公司已发生的相关费用或损失的，直接计入当期损益。</w:t>
      </w:r>
    </w:p>
    <w:p>
      <w:pPr>
        <w:pStyle w:val="BodyText"/>
        <w:spacing w:line="273" w:lineRule="auto" w:before="7"/>
        <w:ind w:right="146" w:firstLine="480"/>
        <w:jc w:val="both"/>
      </w:pPr>
      <w:r>
        <w:rPr>
          <w:spacing w:val="-4"/>
        </w:rPr>
        <w:t>已确认的政府补助需要返还的，存在相关递延收益的，冲减相关递延收益账面余额，超出部分计入当</w:t>
      </w:r>
      <w:r>
        <w:rPr>
          <w:w w:val="100"/>
        </w:rPr>
        <w:t> </w:t>
      </w:r>
      <w:r>
        <w:rPr/>
        <w:t>期损益；不存在相关递延收益的，直接计入当期损益。</w:t>
      </w:r>
    </w:p>
    <w:p>
      <w:pPr>
        <w:spacing w:after="0" w:line="273" w:lineRule="auto"/>
        <w:jc w:val="both"/>
        <w:sectPr>
          <w:pgSz w:w="11900" w:h="16840"/>
          <w:pgMar w:header="872" w:footer="984" w:top="1060" w:bottom="1180" w:left="980" w:right="980"/>
        </w:sectPr>
      </w:pPr>
    </w:p>
    <w:p>
      <w:pPr>
        <w:spacing w:line="240" w:lineRule="auto" w:before="4"/>
        <w:rPr>
          <w:rFonts w:ascii="宋体" w:hAnsi="宋体" w:cs="宋体" w:eastAsia="宋体" w:hint="default"/>
          <w:sz w:val="25"/>
          <w:szCs w:val="25"/>
        </w:rPr>
      </w:pPr>
    </w:p>
    <w:p>
      <w:pPr>
        <w:pStyle w:val="Heading4"/>
        <w:spacing w:line="335" w:lineRule="exact"/>
        <w:ind w:right="0"/>
        <w:jc w:val="both"/>
        <w:rPr>
          <w:b w:val="0"/>
          <w:bCs w:val="0"/>
        </w:rPr>
      </w:pPr>
      <w:r>
        <w:rPr>
          <w:rFonts w:ascii="Times New Roman" w:hAnsi="Times New Roman" w:cs="Times New Roman" w:eastAsia="Times New Roman" w:hint="default"/>
        </w:rPr>
        <w:t>30</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both"/>
        <w:rPr>
          <w:b w:val="0"/>
          <w:bCs w:val="0"/>
        </w:rPr>
      </w:pPr>
      <w:r>
        <w:rPr/>
        <w:t>（</w:t>
      </w:r>
      <w:r>
        <w:rPr>
          <w:rFonts w:ascii="Times New Roman" w:hAnsi="Times New Roman" w:cs="Times New Roman" w:eastAsia="Times New Roman" w:hint="default"/>
        </w:rPr>
        <w:t>1</w:t>
      </w:r>
      <w:r>
        <w:rPr/>
        <w:t>）确认递延所得税资产的依据</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73" w:lineRule="auto"/>
        <w:ind w:right="223" w:firstLine="422"/>
        <w:jc w:val="both"/>
      </w:pPr>
      <w:r>
        <w:rPr>
          <w:spacing w:val="-2"/>
        </w:rPr>
        <w:t>某些资产、负债项目的账面价值与其计税基础之间的差额，以及未作为资产和负债确认但按照税法规</w:t>
      </w:r>
      <w:r>
        <w:rPr>
          <w:w w:val="100"/>
        </w:rPr>
        <w:t> </w:t>
      </w:r>
      <w:r>
        <w:rPr>
          <w:spacing w:val="-2"/>
        </w:rPr>
        <w:t>定可以确定其计税基础的项目的账面价值与计税基础之间的差额产生的暂时性差异，采用资产负债表债务</w:t>
      </w:r>
      <w:r>
        <w:rPr>
          <w:spacing w:val="-34"/>
        </w:rPr>
        <w:t> </w:t>
      </w:r>
      <w:r>
        <w:rPr>
          <w:spacing w:val="-34"/>
        </w:rPr>
      </w:r>
      <w:r>
        <w:rPr>
          <w:spacing w:val="-2"/>
        </w:rPr>
        <w:t>法确认递延所得税资产及递延所得税负债。与既不是企业合并、发生时也不影响会计利润和应纳税所得额</w:t>
      </w:r>
    </w:p>
    <w:p>
      <w:pPr>
        <w:pStyle w:val="BodyText"/>
        <w:spacing w:line="273" w:lineRule="auto" w:before="7"/>
        <w:ind w:right="222"/>
        <w:jc w:val="both"/>
      </w:pPr>
      <w:r>
        <w:rPr>
          <w:spacing w:val="-2"/>
        </w:rPr>
        <w:t>（或可抵扣亏损）的交易中产生的资产或负债的初始确认有关的可抵扣暂时性差异，不予确认有关的递延</w:t>
      </w:r>
      <w:r>
        <w:rPr>
          <w:spacing w:val="-35"/>
        </w:rPr>
        <w:t> </w:t>
      </w:r>
      <w:r>
        <w:rPr>
          <w:spacing w:val="-35"/>
        </w:rPr>
      </w:r>
      <w:r>
        <w:rPr>
          <w:spacing w:val="-2"/>
        </w:rPr>
        <w:t>所得税资产。此外，对与子公司、联营企业及合营企业投资相关的可抵扣暂时性差异，如果暂时性差异在</w:t>
      </w:r>
      <w:r>
        <w:rPr>
          <w:spacing w:val="-35"/>
        </w:rPr>
        <w:t> </w:t>
      </w:r>
      <w:r>
        <w:rPr>
          <w:spacing w:val="-35"/>
        </w:rPr>
      </w:r>
      <w:r>
        <w:rPr>
          <w:spacing w:val="-2"/>
        </w:rPr>
        <w:t>可预见的未来不是很可能转回，或者未来不是很可能获得用来抵扣可抵扣暂时性差异的应纳税所得额，不</w:t>
      </w:r>
      <w:r>
        <w:rPr>
          <w:spacing w:val="-35"/>
        </w:rPr>
        <w:t> </w:t>
      </w:r>
      <w:r>
        <w:rPr>
          <w:spacing w:val="-35"/>
        </w:rPr>
      </w:r>
      <w:r>
        <w:rPr>
          <w:spacing w:val="-2"/>
        </w:rPr>
        <w:t>予确认有关的递延所得税资产。除上述例外情况，本公司以很可能取得用来抵扣可抵扣暂时性差异的应纳</w:t>
      </w:r>
      <w:r>
        <w:rPr>
          <w:spacing w:val="-35"/>
        </w:rPr>
        <w:t> </w:t>
      </w:r>
      <w:r>
        <w:rPr>
          <w:spacing w:val="-35"/>
        </w:rPr>
      </w:r>
      <w:r>
        <w:rPr>
          <w:spacing w:val="-2"/>
        </w:rPr>
        <w:t>税所得额为限，确认其他可抵扣暂时性差异产生的递延所得税资产。对于能够结转以后年度的可抵扣亏损</w:t>
      </w:r>
      <w:r>
        <w:rPr>
          <w:spacing w:val="-35"/>
        </w:rPr>
        <w:t> </w:t>
      </w:r>
      <w:r>
        <w:rPr>
          <w:spacing w:val="-35"/>
        </w:rPr>
      </w:r>
      <w:r>
        <w:rPr>
          <w:spacing w:val="-2"/>
        </w:rPr>
        <w:t>和税款抵减，以很可能获得用来抵扣可抵扣亏损和税款抵减的未来应纳税所得额为限，确认相应的递延所</w:t>
      </w:r>
      <w:r>
        <w:rPr>
          <w:spacing w:val="-35"/>
        </w:rPr>
        <w:t> </w:t>
      </w:r>
      <w:r>
        <w:rPr>
          <w:spacing w:val="-35"/>
        </w:rPr>
      </w:r>
      <w:r>
        <w:rPr/>
        <w:t>得税资产。</w:t>
      </w:r>
    </w:p>
    <w:p>
      <w:pPr>
        <w:spacing w:line="240" w:lineRule="auto" w:before="3"/>
        <w:rPr>
          <w:rFonts w:ascii="宋体" w:hAnsi="宋体" w:cs="宋体" w:eastAsia="宋体" w:hint="default"/>
          <w:sz w:val="18"/>
          <w:szCs w:val="18"/>
        </w:rPr>
      </w:pPr>
    </w:p>
    <w:p>
      <w:pPr>
        <w:pStyle w:val="Heading4"/>
        <w:spacing w:line="240" w:lineRule="auto"/>
        <w:ind w:right="0"/>
        <w:jc w:val="both"/>
        <w:rPr>
          <w:b w:val="0"/>
          <w:bCs w:val="0"/>
        </w:rPr>
      </w:pPr>
      <w:r>
        <w:rPr/>
        <w:t>（</w:t>
      </w:r>
      <w:r>
        <w:rPr>
          <w:rFonts w:ascii="Times New Roman" w:hAnsi="Times New Roman" w:cs="Times New Roman" w:eastAsia="Times New Roman" w:hint="default"/>
        </w:rPr>
        <w:t>2</w:t>
      </w:r>
      <w:r>
        <w:rPr/>
        <w:t>）确认递延所得税负债的依据</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73" w:lineRule="auto"/>
        <w:ind w:right="109" w:firstLine="422"/>
        <w:jc w:val="left"/>
      </w:pPr>
      <w:r>
        <w:rPr/>
        <w:t>与商誉的初始确认有关，以及与既不是企业合并、发生时也不影响会计利润和应纳税所得额（或可抵</w:t>
      </w:r>
      <w:r>
        <w:rPr>
          <w:w w:val="100"/>
        </w:rPr>
        <w:t> </w:t>
      </w:r>
      <w:r>
        <w:rPr/>
        <w:t>扣亏损）的交易中产生的资产或负债的初始确认有关的应纳税暂时性差异，不予确认有关的递延所得税负</w:t>
      </w:r>
      <w:r>
        <w:rPr>
          <w:w w:val="100"/>
        </w:rPr>
        <w:t> </w:t>
      </w:r>
      <w:r>
        <w:rPr/>
        <w:t>债。此外，对与子公司、联营企业及合营企业投资相关的应纳税暂时性差异，如果本公司能够控制暂时性</w:t>
      </w:r>
      <w:r>
        <w:rPr>
          <w:w w:val="100"/>
        </w:rPr>
        <w:t> </w:t>
      </w:r>
      <w:r>
        <w:rPr>
          <w:spacing w:val="-4"/>
        </w:rPr>
        <w:t>差异转回的时间，而且该暂时性差异在可预见的未来很可能不会转回，也不予确认有关的递延所得税负债。</w:t>
      </w:r>
      <w:r>
        <w:rPr>
          <w:spacing w:val="-44"/>
        </w:rPr>
        <w:t> </w:t>
      </w:r>
      <w:r>
        <w:rPr>
          <w:spacing w:val="-44"/>
        </w:rPr>
      </w:r>
      <w:r>
        <w:rPr/>
        <w:t>除上述例外情况，本公司确认其他所有应纳税暂时性差异产生的递延所得税负债。</w:t>
      </w:r>
    </w:p>
    <w:p>
      <w:pPr>
        <w:spacing w:line="240" w:lineRule="auto" w:before="3"/>
        <w:rPr>
          <w:rFonts w:ascii="宋体" w:hAnsi="宋体" w:cs="宋体" w:eastAsia="宋体" w:hint="default"/>
          <w:sz w:val="18"/>
          <w:szCs w:val="18"/>
        </w:rPr>
      </w:pPr>
    </w:p>
    <w:p>
      <w:pPr>
        <w:pStyle w:val="Heading4"/>
        <w:spacing w:line="240" w:lineRule="auto"/>
        <w:ind w:right="0"/>
        <w:jc w:val="both"/>
        <w:rPr>
          <w:b w:val="0"/>
          <w:bCs w:val="0"/>
        </w:rPr>
      </w:pPr>
      <w:r>
        <w:rPr>
          <w:rFonts w:ascii="Times New Roman" w:hAnsi="Times New Roman" w:cs="Times New Roman" w:eastAsia="Times New Roman" w:hint="default"/>
        </w:rPr>
        <w:t>31</w:t>
      </w:r>
      <w:r>
        <w:rPr/>
        <w:t>、租赁</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both"/>
        <w:rPr>
          <w:b w:val="0"/>
          <w:bCs w:val="0"/>
        </w:rPr>
      </w:pPr>
      <w:r>
        <w:rPr/>
        <w:t>（</w:t>
      </w:r>
      <w:r>
        <w:rPr>
          <w:rFonts w:ascii="Times New Roman" w:hAnsi="Times New Roman" w:cs="Times New Roman" w:eastAsia="Times New Roman" w:hint="default"/>
        </w:rPr>
        <w:t>1</w:t>
      </w:r>
      <w:r>
        <w:rPr/>
        <w:t>）经营租赁的会计处理方法</w:t>
      </w:r>
      <w:r>
        <w:rPr>
          <w:b w:val="0"/>
          <w:bCs w:val="0"/>
        </w:rPr>
      </w:r>
    </w:p>
    <w:p>
      <w:pPr>
        <w:pStyle w:val="BodyText"/>
        <w:spacing w:line="510" w:lineRule="atLeast" w:before="91"/>
        <w:ind w:left="575" w:right="109" w:firstLine="4"/>
        <w:jc w:val="left"/>
      </w:pPr>
      <w:r>
        <w:rPr/>
        <w:t>（</w:t>
      </w:r>
      <w:r>
        <w:rPr>
          <w:rFonts w:ascii="Times New Roman" w:hAnsi="Times New Roman" w:cs="Times New Roman" w:eastAsia="Times New Roman" w:hint="default"/>
        </w:rPr>
        <w:t>1</w:t>
      </w:r>
      <w:r>
        <w:rPr/>
        <w:t>）本集团作为出租人</w:t>
      </w:r>
      <w:r>
        <w:rPr>
          <w:w w:val="100"/>
        </w:rPr>
        <w:t> </w:t>
      </w:r>
      <w:r>
        <w:rPr>
          <w:spacing w:val="-2"/>
        </w:rPr>
        <w:t>经营租赁中的租金，本集团在租赁期内各个期间按照直线法确认当期损益。发生的初始直接费用，计</w:t>
      </w:r>
    </w:p>
    <w:p>
      <w:pPr>
        <w:pStyle w:val="BodyText"/>
        <w:spacing w:line="240" w:lineRule="auto" w:before="37"/>
        <w:ind w:right="0"/>
        <w:jc w:val="both"/>
      </w:pPr>
      <w:r>
        <w:rPr/>
        <w:t>入当期损益。</w:t>
      </w:r>
    </w:p>
    <w:p>
      <w:pPr>
        <w:pStyle w:val="BodyText"/>
        <w:spacing w:line="510" w:lineRule="atLeast" w:before="34"/>
        <w:ind w:left="575" w:right="109"/>
        <w:jc w:val="left"/>
      </w:pPr>
      <w:r>
        <w:rPr/>
        <w:t>（</w:t>
      </w:r>
      <w:r>
        <w:rPr>
          <w:rFonts w:ascii="Times New Roman" w:hAnsi="Times New Roman" w:cs="Times New Roman" w:eastAsia="Times New Roman" w:hint="default"/>
        </w:rPr>
        <w:t>2</w:t>
      </w:r>
      <w:r>
        <w:rPr/>
        <w:t>）本集团作为承租人</w:t>
      </w:r>
      <w:r>
        <w:rPr>
          <w:spacing w:val="-103"/>
        </w:rPr>
        <w:t> </w:t>
      </w:r>
      <w:r>
        <w:rPr>
          <w:spacing w:val="-103"/>
        </w:rPr>
      </w:r>
      <w:r>
        <w:rPr>
          <w:spacing w:val="-2"/>
        </w:rPr>
        <w:t>经营租赁中的租金，本集团在租赁期内各个期间按照直线法计入相关资产成本或当期损益；发生的初</w:t>
      </w:r>
    </w:p>
    <w:p>
      <w:pPr>
        <w:pStyle w:val="BodyText"/>
        <w:spacing w:line="240" w:lineRule="auto" w:before="37"/>
        <w:ind w:right="0"/>
        <w:jc w:val="both"/>
      </w:pPr>
      <w:r>
        <w:rPr/>
        <w:t>始直接费用，计入当期损益。</w:t>
      </w:r>
    </w:p>
    <w:p>
      <w:pPr>
        <w:spacing w:line="240" w:lineRule="auto" w:before="11"/>
        <w:rPr>
          <w:rFonts w:ascii="宋体" w:hAnsi="宋体" w:cs="宋体" w:eastAsia="宋体" w:hint="default"/>
          <w:sz w:val="20"/>
          <w:szCs w:val="20"/>
        </w:rPr>
      </w:pPr>
    </w:p>
    <w:p>
      <w:pPr>
        <w:pStyle w:val="Heading4"/>
        <w:spacing w:line="240" w:lineRule="auto"/>
        <w:ind w:right="0"/>
        <w:jc w:val="both"/>
        <w:rPr>
          <w:b w:val="0"/>
          <w:bCs w:val="0"/>
        </w:rPr>
      </w:pPr>
      <w:r>
        <w:rPr/>
        <w:t>（</w:t>
      </w:r>
      <w:r>
        <w:rPr>
          <w:rFonts w:ascii="Times New Roman" w:hAnsi="Times New Roman" w:cs="Times New Roman" w:eastAsia="Times New Roman" w:hint="default"/>
        </w:rPr>
        <w:t>2</w:t>
      </w:r>
      <w:r>
        <w:rPr/>
        <w:t>）融资租赁的会计处理方法</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152" w:right="0" w:firstLine="0"/>
        <w:jc w:val="both"/>
        <w:rPr>
          <w:rFonts w:ascii="宋体" w:hAnsi="宋体" w:cs="宋体" w:eastAsia="宋体" w:hint="default"/>
          <w:sz w:val="18"/>
          <w:szCs w:val="18"/>
        </w:rPr>
      </w:pPr>
      <w:r>
        <w:rPr>
          <w:rFonts w:ascii="宋体" w:hAnsi="宋体" w:cs="宋体" w:eastAsia="宋体" w:hint="default"/>
          <w:sz w:val="18"/>
          <w:szCs w:val="18"/>
        </w:rPr>
        <w:t>不适用</w:t>
      </w:r>
    </w:p>
    <w:p>
      <w:pPr>
        <w:spacing w:line="240" w:lineRule="auto" w:before="12"/>
        <w:rPr>
          <w:rFonts w:ascii="宋体" w:hAnsi="宋体" w:cs="宋体" w:eastAsia="宋体" w:hint="default"/>
          <w:sz w:val="21"/>
          <w:szCs w:val="21"/>
        </w:rPr>
      </w:pPr>
    </w:p>
    <w:p>
      <w:pPr>
        <w:pStyle w:val="Heading4"/>
        <w:spacing w:line="240" w:lineRule="auto"/>
        <w:ind w:right="0"/>
        <w:jc w:val="both"/>
        <w:rPr>
          <w:b w:val="0"/>
          <w:bCs w:val="0"/>
        </w:rPr>
      </w:pPr>
      <w:r>
        <w:rPr>
          <w:rFonts w:ascii="Times New Roman" w:hAnsi="Times New Roman" w:cs="Times New Roman" w:eastAsia="Times New Roman" w:hint="default"/>
        </w:rPr>
        <w:t>32</w:t>
      </w:r>
      <w:r>
        <w:rPr/>
        <w:t>、其他重要的会计政策和会计估计</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73" w:lineRule="auto"/>
        <w:ind w:right="109" w:firstLine="422"/>
        <w:jc w:val="left"/>
      </w:pPr>
      <w:r>
        <w:rPr>
          <w:spacing w:val="-2"/>
        </w:rPr>
        <w:t>本集团根据历史经验和其它因素，包括对未来事项的合理预期，对所采用的重要会计估计和关键假设</w:t>
      </w:r>
      <w:r>
        <w:rPr>
          <w:w w:val="100"/>
        </w:rPr>
        <w:t> </w:t>
      </w:r>
      <w:r>
        <w:rPr/>
        <w:t>进行持续的评价。</w:t>
      </w:r>
    </w:p>
    <w:p>
      <w:pPr>
        <w:spacing w:after="0" w:line="273" w:lineRule="auto"/>
        <w:jc w:val="left"/>
        <w:sectPr>
          <w:pgSz w:w="11900" w:h="16840"/>
          <w:pgMar w:header="872" w:footer="984" w:top="1060" w:bottom="1180" w:left="980" w:right="900"/>
        </w:sectPr>
      </w:pPr>
    </w:p>
    <w:p>
      <w:pPr>
        <w:spacing w:line="240" w:lineRule="auto" w:before="12"/>
        <w:rPr>
          <w:rFonts w:ascii="宋体" w:hAnsi="宋体" w:cs="宋体" w:eastAsia="宋体" w:hint="default"/>
          <w:sz w:val="24"/>
          <w:szCs w:val="24"/>
        </w:rPr>
      </w:pPr>
    </w:p>
    <w:p>
      <w:pPr>
        <w:pStyle w:val="BodyText"/>
        <w:spacing w:line="460" w:lineRule="auto" w:before="36"/>
        <w:ind w:right="109"/>
        <w:jc w:val="left"/>
      </w:pPr>
      <w:r>
        <w:rPr>
          <w:spacing w:val="-2"/>
        </w:rPr>
        <w:t>很可能导致下一会计年度资产和负债的账面价值出现重大调整风险的重要会计估计和关键假设列示如下：</w:t>
      </w:r>
      <w:r>
        <w:rPr>
          <w:spacing w:val="-15"/>
        </w:rPr>
        <w:t> </w:t>
      </w:r>
      <w:r>
        <w:rPr>
          <w:spacing w:val="-15"/>
        </w:rPr>
      </w:r>
      <w:r>
        <w:rPr/>
        <w:t>商誉减值</w:t>
      </w:r>
    </w:p>
    <w:p>
      <w:pPr>
        <w:pStyle w:val="BodyText"/>
        <w:spacing w:line="273" w:lineRule="auto" w:before="60"/>
        <w:ind w:right="109" w:firstLine="422"/>
        <w:jc w:val="left"/>
      </w:pPr>
      <w:r>
        <w:rPr/>
        <w:t>本集团至少每年评估商誉是否发生减值。这要求对分配了商誉的资产组的使用价值进行估计。估计使</w:t>
      </w:r>
      <w:r>
        <w:rPr>
          <w:w w:val="100"/>
        </w:rPr>
        <w:t> </w:t>
      </w:r>
      <w:r>
        <w:rPr>
          <w:spacing w:val="-4"/>
        </w:rPr>
        <w:t>用价值时，本集团需要估计未来来自资产组的现金流量，同时选择恰当的折现率计算未来现金流量的现值。</w:t>
      </w:r>
    </w:p>
    <w:p>
      <w:pPr>
        <w:pStyle w:val="BodyText"/>
        <w:spacing w:line="528" w:lineRule="exact" w:before="46"/>
        <w:ind w:left="575" w:right="109" w:hanging="423"/>
        <w:jc w:val="left"/>
      </w:pPr>
      <w:r>
        <w:rPr/>
        <w:t>递延所得税资产</w:t>
      </w:r>
      <w:r>
        <w:rPr>
          <w:spacing w:val="-102"/>
        </w:rPr>
        <w:t> </w:t>
      </w:r>
      <w:r>
        <w:rPr>
          <w:spacing w:val="-102"/>
        </w:rPr>
      </w:r>
      <w:r>
        <w:rPr>
          <w:spacing w:val="-2"/>
        </w:rPr>
        <w:t>在很有可能有足够的应纳税利润来抵扣亏损的限度内，应就所有未利用的税务亏损确认递延所得税资</w:t>
      </w:r>
    </w:p>
    <w:p>
      <w:pPr>
        <w:pStyle w:val="BodyText"/>
        <w:spacing w:line="236" w:lineRule="exact"/>
        <w:ind w:right="109"/>
        <w:jc w:val="left"/>
      </w:pPr>
      <w:r>
        <w:rPr/>
        <w:t>产。这需要管理层运用大量的判断来估计未来应纳税利润发生的时间和金额，结合纳税筹划策略，以决定</w:t>
      </w:r>
    </w:p>
    <w:p>
      <w:pPr>
        <w:pStyle w:val="BodyText"/>
        <w:spacing w:line="240" w:lineRule="auto" w:before="37"/>
        <w:ind w:right="109"/>
        <w:jc w:val="left"/>
      </w:pPr>
      <w:r>
        <w:rPr/>
        <w:t>应确认的递延所得税资产的金额。</w:t>
      </w:r>
    </w:p>
    <w:p>
      <w:pPr>
        <w:spacing w:line="240" w:lineRule="auto" w:before="11"/>
        <w:rPr>
          <w:rFonts w:ascii="宋体" w:hAnsi="宋体" w:cs="宋体" w:eastAsia="宋体" w:hint="default"/>
          <w:sz w:val="20"/>
          <w:szCs w:val="20"/>
        </w:rPr>
      </w:pPr>
    </w:p>
    <w:p>
      <w:pPr>
        <w:pStyle w:val="Heading4"/>
        <w:spacing w:line="240" w:lineRule="auto"/>
        <w:ind w:right="109"/>
        <w:jc w:val="left"/>
        <w:rPr>
          <w:b w:val="0"/>
          <w:bCs w:val="0"/>
        </w:rPr>
      </w:pPr>
      <w:r>
        <w:rPr>
          <w:rFonts w:ascii="Times New Roman" w:hAnsi="Times New Roman" w:cs="Times New Roman" w:eastAsia="Times New Roman" w:hint="default"/>
        </w:rPr>
        <w:t>33</w:t>
      </w:r>
      <w:r>
        <w:rPr/>
        <w:t>、重要会计政策和会计估计变更</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109"/>
        <w:jc w:val="left"/>
        <w:rPr>
          <w:b w:val="0"/>
          <w:bCs w:val="0"/>
        </w:rPr>
      </w:pPr>
      <w:r>
        <w:rPr/>
        <w:t>（</w:t>
      </w:r>
      <w:r>
        <w:rPr>
          <w:rFonts w:ascii="Times New Roman" w:hAnsi="Times New Roman" w:cs="Times New Roman" w:eastAsia="Times New Roman" w:hint="default"/>
        </w:rPr>
        <w:t>1</w:t>
      </w:r>
      <w:r>
        <w:rPr/>
        <w:t>）重要会计政策变更</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109"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1"/>
          <w:szCs w:val="21"/>
        </w:rPr>
      </w:pPr>
    </w:p>
    <w:p>
      <w:pPr>
        <w:pStyle w:val="Heading4"/>
        <w:spacing w:line="240" w:lineRule="auto"/>
        <w:ind w:right="109"/>
        <w:jc w:val="left"/>
        <w:rPr>
          <w:b w:val="0"/>
          <w:bCs w:val="0"/>
        </w:rPr>
      </w:pPr>
      <w:r>
        <w:rPr/>
        <w:t>（</w:t>
      </w:r>
      <w:r>
        <w:rPr>
          <w:rFonts w:ascii="Times New Roman" w:hAnsi="Times New Roman" w:cs="Times New Roman" w:eastAsia="Times New Roman" w:hint="default"/>
        </w:rPr>
        <w:t>2</w:t>
      </w:r>
      <w:r>
        <w:rPr/>
        <w:t>）重要会计估计变更</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109"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7"/>
        <w:rPr>
          <w:rFonts w:ascii="宋体" w:hAnsi="宋体" w:cs="宋体" w:eastAsia="宋体" w:hint="default"/>
          <w:sz w:val="21"/>
          <w:szCs w:val="21"/>
        </w:rPr>
      </w:pPr>
    </w:p>
    <w:p>
      <w:pPr>
        <w:pStyle w:val="Heading4"/>
        <w:spacing w:line="240" w:lineRule="auto"/>
        <w:ind w:right="109"/>
        <w:jc w:val="left"/>
        <w:rPr>
          <w:b w:val="0"/>
          <w:bCs w:val="0"/>
        </w:rPr>
      </w:pPr>
      <w:r>
        <w:rPr>
          <w:rFonts w:ascii="Times New Roman" w:hAnsi="Times New Roman" w:cs="Times New Roman" w:eastAsia="Times New Roman" w:hint="default"/>
        </w:rPr>
        <w:t>34</w:t>
      </w:r>
      <w:r>
        <w:rPr/>
        <w:t>、其他</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152" w:right="109" w:firstLine="0"/>
        <w:jc w:val="left"/>
        <w:rPr>
          <w:rFonts w:ascii="宋体" w:hAnsi="宋体" w:cs="宋体" w:eastAsia="宋体" w:hint="default"/>
          <w:sz w:val="18"/>
          <w:szCs w:val="18"/>
        </w:rPr>
      </w:pPr>
      <w:r>
        <w:rPr>
          <w:rFonts w:ascii="宋体" w:hAnsi="宋体" w:cs="宋体" w:eastAsia="宋体" w:hint="default"/>
          <w:w w:val="101"/>
          <w:sz w:val="18"/>
          <w:szCs w:val="18"/>
        </w:rPr>
        <w:t>无</w:t>
      </w:r>
      <w:r>
        <w:rPr>
          <w:rFonts w:ascii="宋体" w:hAnsi="宋体" w:cs="宋体" w:eastAsia="宋体" w:hint="default"/>
          <w:sz w:val="18"/>
          <w:szCs w:val="18"/>
        </w:rPr>
      </w:r>
    </w:p>
    <w:p>
      <w:pPr>
        <w:spacing w:line="240" w:lineRule="auto" w:before="11"/>
        <w:rPr>
          <w:rFonts w:ascii="宋体" w:hAnsi="宋体" w:cs="宋体" w:eastAsia="宋体" w:hint="default"/>
          <w:sz w:val="18"/>
          <w:szCs w:val="18"/>
        </w:rPr>
      </w:pPr>
    </w:p>
    <w:p>
      <w:pPr>
        <w:pStyle w:val="Heading2"/>
        <w:spacing w:line="240" w:lineRule="auto"/>
        <w:ind w:right="109"/>
        <w:jc w:val="left"/>
        <w:rPr>
          <w:b w:val="0"/>
          <w:bCs w:val="0"/>
        </w:rPr>
      </w:pPr>
      <w:r>
        <w:rPr/>
        <w:t>六、税项</w:t>
      </w:r>
      <w:r>
        <w:rPr>
          <w:b w:val="0"/>
          <w:bCs w:val="0"/>
        </w:rPr>
      </w:r>
    </w:p>
    <w:p>
      <w:pPr>
        <w:spacing w:line="240" w:lineRule="auto" w:before="5"/>
        <w:rPr>
          <w:rFonts w:ascii="Microsoft JhengHei" w:hAnsi="Microsoft JhengHei" w:cs="Microsoft JhengHei" w:eastAsia="Microsoft JhengHei" w:hint="default"/>
          <w:b/>
          <w:bCs/>
          <w:sz w:val="13"/>
          <w:szCs w:val="13"/>
        </w:rPr>
      </w:pPr>
    </w:p>
    <w:p>
      <w:pPr>
        <w:pStyle w:val="Heading4"/>
        <w:spacing w:line="240" w:lineRule="auto"/>
        <w:ind w:right="109"/>
        <w:jc w:val="left"/>
        <w:rPr>
          <w:b w:val="0"/>
          <w:bCs w:val="0"/>
        </w:rPr>
      </w:pPr>
      <w:r>
        <w:rPr>
          <w:rFonts w:ascii="Times New Roman" w:hAnsi="Times New Roman" w:cs="Times New Roman" w:eastAsia="Times New Roman" w:hint="default"/>
        </w:rPr>
        <w:t>1</w:t>
      </w:r>
      <w:r>
        <w:rPr/>
        <w:t>、主要税种及税率</w:t>
      </w:r>
      <w:r>
        <w:rPr>
          <w:b w:val="0"/>
          <w:bCs w:val="0"/>
        </w:rPr>
      </w:r>
    </w:p>
    <w:p>
      <w:pPr>
        <w:spacing w:line="240" w:lineRule="auto" w:before="17"/>
        <w:rPr>
          <w:rFonts w:ascii="Microsoft JhengHei" w:hAnsi="Microsoft JhengHei" w:cs="Microsoft JhengHei" w:eastAsia="Microsoft JhengHei" w:hint="default"/>
          <w:b/>
          <w:bCs/>
          <w:sz w:val="18"/>
          <w:szCs w:val="18"/>
        </w:rPr>
      </w:pPr>
    </w:p>
    <w:tbl>
      <w:tblPr>
        <w:tblW w:w="0" w:type="auto"/>
        <w:jc w:val="left"/>
        <w:tblInd w:w="160" w:type="dxa"/>
        <w:tblLayout w:type="fixed"/>
        <w:tblCellMar>
          <w:top w:w="0" w:type="dxa"/>
          <w:left w:w="0" w:type="dxa"/>
          <w:bottom w:w="0" w:type="dxa"/>
          <w:right w:w="0" w:type="dxa"/>
        </w:tblCellMar>
        <w:tblLook w:val="01E0"/>
      </w:tblPr>
      <w:tblGrid>
        <w:gridCol w:w="3166"/>
        <w:gridCol w:w="3202"/>
        <w:gridCol w:w="3192"/>
      </w:tblGrid>
      <w:tr>
        <w:trPr>
          <w:trHeight w:val="398"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税种</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53"/>
              <w:ind w:left="28" w:right="0"/>
              <w:jc w:val="left"/>
              <w:rPr>
                <w:rFonts w:ascii="宋体" w:hAnsi="宋体" w:cs="宋体" w:eastAsia="宋体" w:hint="default"/>
                <w:sz w:val="18"/>
                <w:szCs w:val="18"/>
              </w:rPr>
            </w:pPr>
            <w:r>
              <w:rPr>
                <w:rFonts w:ascii="宋体" w:hAnsi="宋体" w:cs="宋体" w:eastAsia="宋体" w:hint="default"/>
                <w:sz w:val="18"/>
                <w:szCs w:val="18"/>
              </w:rPr>
              <w:t>应税收入</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17%,13%</w:t>
            </w:r>
            <w:r>
              <w:rPr>
                <w:rFonts w:ascii="宋体" w:hAnsi="宋体" w:cs="宋体" w:eastAsia="宋体" w:hint="default"/>
                <w:sz w:val="18"/>
                <w:szCs w:val="18"/>
              </w:rPr>
              <w:t>，</w:t>
            </w:r>
            <w:r>
              <w:rPr>
                <w:rFonts w:ascii="Times New Roman" w:hAnsi="Times New Roman" w:cs="Times New Roman" w:eastAsia="Times New Roman" w:hint="default"/>
                <w:sz w:val="18"/>
                <w:szCs w:val="18"/>
              </w:rPr>
              <w:t>6%,3%</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53"/>
              <w:ind w:left="28" w:right="0"/>
              <w:jc w:val="left"/>
              <w:rPr>
                <w:rFonts w:ascii="宋体" w:hAnsi="宋体" w:cs="宋体" w:eastAsia="宋体" w:hint="default"/>
                <w:sz w:val="18"/>
                <w:szCs w:val="18"/>
              </w:rPr>
            </w:pPr>
            <w:r>
              <w:rPr>
                <w:rFonts w:ascii="宋体" w:hAnsi="宋体" w:cs="宋体" w:eastAsia="宋体" w:hint="default"/>
                <w:sz w:val="18"/>
                <w:szCs w:val="18"/>
              </w:rPr>
              <w:t>应税收入</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5%</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城市维护建设税</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53"/>
              <w:ind w:left="28" w:right="0"/>
              <w:jc w:val="left"/>
              <w:rPr>
                <w:rFonts w:ascii="宋体" w:hAnsi="宋体" w:cs="宋体" w:eastAsia="宋体" w:hint="default"/>
                <w:sz w:val="18"/>
                <w:szCs w:val="18"/>
              </w:rPr>
            </w:pPr>
            <w:r>
              <w:rPr>
                <w:rFonts w:ascii="宋体" w:hAnsi="宋体" w:cs="宋体" w:eastAsia="宋体" w:hint="default"/>
                <w:sz w:val="18"/>
                <w:szCs w:val="18"/>
              </w:rPr>
              <w:t>应纳流转税额</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7%</w:t>
            </w:r>
          </w:p>
        </w:tc>
      </w:tr>
      <w:tr>
        <w:trPr>
          <w:trHeight w:val="398"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53"/>
              <w:ind w:left="28" w:right="0"/>
              <w:jc w:val="left"/>
              <w:rPr>
                <w:rFonts w:ascii="宋体" w:hAnsi="宋体" w:cs="宋体" w:eastAsia="宋体" w:hint="default"/>
                <w:sz w:val="18"/>
                <w:szCs w:val="18"/>
              </w:rPr>
            </w:pPr>
            <w:r>
              <w:rPr>
                <w:rFonts w:ascii="宋体" w:hAnsi="宋体" w:cs="宋体" w:eastAsia="宋体" w:hint="default"/>
                <w:spacing w:val="-3"/>
                <w:sz w:val="18"/>
                <w:szCs w:val="18"/>
              </w:rPr>
              <w:t>按应纳税所得额计征</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15%,25%,12.5%</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33" w:right="0"/>
              <w:jc w:val="left"/>
              <w:rPr>
                <w:rFonts w:ascii="宋体" w:hAnsi="宋体" w:cs="宋体" w:eastAsia="宋体" w:hint="default"/>
                <w:sz w:val="18"/>
                <w:szCs w:val="18"/>
              </w:rPr>
            </w:pPr>
            <w:r>
              <w:rPr>
                <w:rFonts w:ascii="宋体" w:hAnsi="宋体" w:cs="宋体" w:eastAsia="宋体" w:hint="default"/>
                <w:sz w:val="18"/>
                <w:szCs w:val="18"/>
              </w:rPr>
              <w:t>应纳流转税额</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3%</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地方教育费附加</w:t>
            </w:r>
          </w:p>
        </w:tc>
        <w:tc>
          <w:tcPr>
            <w:tcW w:w="3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33" w:right="0"/>
              <w:jc w:val="left"/>
              <w:rPr>
                <w:rFonts w:ascii="宋体" w:hAnsi="宋体" w:cs="宋体" w:eastAsia="宋体" w:hint="default"/>
                <w:sz w:val="18"/>
                <w:szCs w:val="18"/>
              </w:rPr>
            </w:pPr>
            <w:r>
              <w:rPr>
                <w:rFonts w:ascii="宋体" w:hAnsi="宋体" w:cs="宋体" w:eastAsia="宋体" w:hint="default"/>
                <w:sz w:val="18"/>
                <w:szCs w:val="18"/>
              </w:rPr>
              <w:t>应纳流转税额</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2%</w:t>
            </w:r>
          </w:p>
        </w:tc>
      </w:tr>
    </w:tbl>
    <w:p>
      <w:pPr>
        <w:spacing w:before="53"/>
        <w:ind w:left="152" w:right="109" w:firstLine="0"/>
        <w:jc w:val="left"/>
        <w:rPr>
          <w:rFonts w:ascii="宋体" w:hAnsi="宋体" w:cs="宋体" w:eastAsia="宋体" w:hint="default"/>
          <w:sz w:val="18"/>
          <w:szCs w:val="18"/>
        </w:rPr>
      </w:pPr>
      <w:r>
        <w:rPr>
          <w:rFonts w:ascii="宋体" w:hAnsi="宋体" w:cs="宋体" w:eastAsia="宋体" w:hint="default"/>
          <w:spacing w:val="-3"/>
          <w:sz w:val="18"/>
          <w:szCs w:val="18"/>
        </w:rPr>
        <w:t>存在不同企业所得税税率纳税主体的，披露情况说明</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781"/>
        <w:gridCol w:w="4786"/>
      </w:tblGrid>
      <w:tr>
        <w:trPr>
          <w:trHeight w:val="398" w:hRule="exact"/>
        </w:trPr>
        <w:tc>
          <w:tcPr>
            <w:tcW w:w="4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3" w:hRule="exact"/>
        </w:trPr>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鸿博股份有限公司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15</w:t>
            </w:r>
          </w:p>
        </w:tc>
      </w:tr>
      <w:tr>
        <w:trPr>
          <w:trHeight w:val="403" w:hRule="exact"/>
        </w:trPr>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无锡双龙信息纸有限公司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25</w:t>
            </w:r>
          </w:p>
        </w:tc>
      </w:tr>
    </w:tbl>
    <w:p>
      <w:pPr>
        <w:spacing w:after="0" w:line="240" w:lineRule="auto"/>
        <w:jc w:val="left"/>
        <w:rPr>
          <w:rFonts w:ascii="Times New Roman" w:hAnsi="Times New Roman" w:cs="Times New Roman" w:eastAsia="Times New Roman" w:hint="default"/>
          <w:sz w:val="18"/>
          <w:szCs w:val="18"/>
        </w:rPr>
        <w:sectPr>
          <w:pgSz w:w="11900" w:h="16840"/>
          <w:pgMar w:header="872" w:footer="984" w:top="1060" w:bottom="1180" w:left="980" w:right="90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4781"/>
        <w:gridCol w:w="4786"/>
      </w:tblGrid>
      <w:tr>
        <w:trPr>
          <w:trHeight w:val="403" w:hRule="exact"/>
        </w:trPr>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重庆市鸿海印务有限公司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15</w:t>
            </w:r>
          </w:p>
        </w:tc>
      </w:tr>
      <w:tr>
        <w:trPr>
          <w:trHeight w:val="398" w:hRule="exact"/>
        </w:trPr>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鸿博昊天科技有限公司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钻研（北京）国际文化传媒有限公司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福州港龙贸易有限公司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鸿博（福建）数据网络科技股份有限公司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12.5</w:t>
            </w:r>
          </w:p>
        </w:tc>
      </w:tr>
      <w:tr>
        <w:trPr>
          <w:trHeight w:val="398" w:hRule="exact"/>
        </w:trPr>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福建鸿博致远信息科技有限公司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r>
      <w:tr>
        <w:trPr>
          <w:trHeight w:val="403" w:hRule="exact"/>
        </w:trPr>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广州彩创网络技术有限公司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15</w:t>
            </w:r>
          </w:p>
        </w:tc>
      </w:tr>
      <w:tr>
        <w:trPr>
          <w:trHeight w:val="403" w:hRule="exact"/>
        </w:trPr>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北京科信盛彩投资有限公司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四川鸿海印务有限公司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15</w:t>
            </w:r>
          </w:p>
        </w:tc>
      </w:tr>
      <w:tr>
        <w:trPr>
          <w:trHeight w:val="398" w:hRule="exact"/>
        </w:trPr>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北京昊天国彩印刷有限公司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北京中科彩技术有限公司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3" w:right="0"/>
              <w:jc w:val="left"/>
              <w:rPr>
                <w:rFonts w:ascii="Times New Roman" w:hAnsi="Times New Roman" w:cs="Times New Roman" w:eastAsia="Times New Roman" w:hint="default"/>
                <w:sz w:val="18"/>
                <w:szCs w:val="18"/>
              </w:rPr>
            </w:pPr>
            <w:r>
              <w:rPr>
                <w:rFonts w:ascii="Times New Roman"/>
                <w:sz w:val="18"/>
              </w:rPr>
              <w:t>15</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rFonts w:ascii="Times New Roman" w:hAnsi="Times New Roman" w:cs="Times New Roman" w:eastAsia="Times New Roman" w:hint="default"/>
        </w:rPr>
        <w:t>2</w:t>
      </w:r>
      <w:r>
        <w:rPr/>
        <w:t>、税收优惠</w:t>
      </w:r>
      <w:r>
        <w:rPr>
          <w:b w:val="0"/>
          <w:bCs w:val="0"/>
        </w:rPr>
      </w:r>
    </w:p>
    <w:p>
      <w:pPr>
        <w:spacing w:line="240" w:lineRule="auto" w:before="2"/>
        <w:rPr>
          <w:rFonts w:ascii="Microsoft JhengHei" w:hAnsi="Microsoft JhengHei" w:cs="Microsoft JhengHei" w:eastAsia="Microsoft JhengHei" w:hint="default"/>
          <w:b/>
          <w:bCs/>
          <w:sz w:val="18"/>
          <w:szCs w:val="18"/>
        </w:rPr>
      </w:pPr>
    </w:p>
    <w:p>
      <w:pPr>
        <w:pStyle w:val="BodyText"/>
        <w:spacing w:line="240" w:lineRule="auto"/>
        <w:ind w:left="575" w:right="0"/>
        <w:jc w:val="left"/>
      </w:pPr>
      <w:r>
        <w:rPr/>
        <w:t>（1）增值税优惠</w:t>
      </w:r>
    </w:p>
    <w:p>
      <w:pPr>
        <w:spacing w:line="240" w:lineRule="auto" w:before="5"/>
        <w:rPr>
          <w:rFonts w:ascii="宋体" w:hAnsi="宋体" w:cs="宋体" w:eastAsia="宋体" w:hint="default"/>
          <w:sz w:val="19"/>
          <w:szCs w:val="19"/>
        </w:rPr>
      </w:pPr>
    </w:p>
    <w:p>
      <w:pPr>
        <w:pStyle w:val="BodyText"/>
        <w:spacing w:line="273" w:lineRule="auto"/>
        <w:ind w:right="142" w:firstLine="422"/>
        <w:jc w:val="both"/>
      </w:pPr>
      <w:r>
        <w:rPr/>
        <w:t>①</w:t>
      </w:r>
      <w:r>
        <w:rPr>
          <w:spacing w:val="78"/>
        </w:rPr>
        <w:t> </w:t>
      </w:r>
      <w:r>
        <w:rPr>
          <w:spacing w:val="-5"/>
        </w:rPr>
        <w:t>本公司为福利企业，根据财政部和国家税务总局《关于促进残疾人就业税收优惠政策的通知》（财</w:t>
      </w:r>
      <w:r>
        <w:rPr>
          <w:w w:val="100"/>
        </w:rPr>
        <w:t> </w:t>
      </w:r>
      <w:r>
        <w:rPr>
          <w:spacing w:val="-2"/>
        </w:rPr>
        <w:t>税字［2007］92号）的规定，报告期本公司享受增值税优惠政策为按照实际安置残疾人的人数，实行限额</w:t>
      </w:r>
      <w:r>
        <w:rPr>
          <w:spacing w:val="-37"/>
        </w:rPr>
        <w:t> </w:t>
      </w:r>
      <w:r>
        <w:rPr>
          <w:spacing w:val="-37"/>
        </w:rPr>
      </w:r>
      <w:r>
        <w:rPr/>
        <w:t>即征即退增值税。按照规定每位残疾人年度最高退税额为35,000元/人。</w:t>
      </w:r>
    </w:p>
    <w:p>
      <w:pPr>
        <w:spacing w:line="240" w:lineRule="auto" w:before="1"/>
        <w:rPr>
          <w:rFonts w:ascii="宋体" w:hAnsi="宋体" w:cs="宋体" w:eastAsia="宋体" w:hint="default"/>
          <w:sz w:val="17"/>
          <w:szCs w:val="17"/>
        </w:rPr>
      </w:pPr>
    </w:p>
    <w:p>
      <w:pPr>
        <w:pStyle w:val="BodyText"/>
        <w:spacing w:line="240" w:lineRule="auto"/>
        <w:ind w:left="575" w:right="0"/>
        <w:jc w:val="left"/>
      </w:pPr>
      <w:r>
        <w:rPr/>
        <w:t>（2）所得税优惠</w:t>
      </w:r>
    </w:p>
    <w:p>
      <w:pPr>
        <w:spacing w:line="240" w:lineRule="auto" w:before="5"/>
        <w:rPr>
          <w:rFonts w:ascii="宋体" w:hAnsi="宋体" w:cs="宋体" w:eastAsia="宋体" w:hint="default"/>
          <w:sz w:val="19"/>
          <w:szCs w:val="19"/>
        </w:rPr>
      </w:pPr>
    </w:p>
    <w:p>
      <w:pPr>
        <w:pStyle w:val="BodyText"/>
        <w:spacing w:line="273" w:lineRule="auto"/>
        <w:ind w:right="142" w:firstLine="422"/>
        <w:jc w:val="both"/>
      </w:pPr>
      <w:r>
        <w:rPr/>
        <w:t>①</w:t>
      </w:r>
      <w:r>
        <w:rPr>
          <w:spacing w:val="60"/>
        </w:rPr>
        <w:t> </w:t>
      </w:r>
      <w:r>
        <w:rPr/>
        <w:t>根据《高新技术企业认定管理办法》及《中华人民共和国企业所得税法》等有关规定，本集团母</w:t>
      </w:r>
      <w:r>
        <w:rPr>
          <w:w w:val="100"/>
        </w:rPr>
        <w:t> </w:t>
      </w:r>
      <w:r>
        <w:rPr>
          <w:spacing w:val="-2"/>
        </w:rPr>
        <w:t>公司鸿博股份有限公司于2014年被认定为高新技术企业，并取得编号为“GR201435000129”高新技术企业</w:t>
      </w:r>
      <w:r>
        <w:rPr>
          <w:spacing w:val="-17"/>
        </w:rPr>
        <w:t> </w:t>
      </w:r>
      <w:r>
        <w:rPr>
          <w:spacing w:val="-17"/>
        </w:rPr>
      </w:r>
      <w:r>
        <w:rPr/>
        <w:t>证书，于2014年至2016年企业所得税按15%的税率征收；子公司北京中科彩技术有限公司于2013年被认定</w:t>
      </w:r>
      <w:r>
        <w:rPr>
          <w:spacing w:val="-33"/>
        </w:rPr>
        <w:t> </w:t>
      </w:r>
      <w:r>
        <w:rPr>
          <w:spacing w:val="-33"/>
        </w:rPr>
      </w:r>
      <w:r>
        <w:rPr>
          <w:spacing w:val="-2"/>
        </w:rPr>
        <w:t>为高新技术企业，并取得编号为“GF201311000282”高新技术企业证书，于2013年至2015年企业所得税按</w:t>
      </w:r>
      <w:r>
        <w:rPr>
          <w:spacing w:val="-14"/>
        </w:rPr>
        <w:t> </w:t>
      </w:r>
      <w:r>
        <w:rPr>
          <w:spacing w:val="-14"/>
        </w:rPr>
      </w:r>
      <w:r>
        <w:rPr/>
        <w:t>15%</w:t>
      </w:r>
      <w:r>
        <w:rPr>
          <w:spacing w:val="-66"/>
        </w:rPr>
        <w:t> </w:t>
      </w:r>
      <w:r>
        <w:rPr>
          <w:spacing w:val="17"/>
        </w:rPr>
        <w:t>的税率征收；</w:t>
      </w:r>
      <w:r>
        <w:rPr>
          <w:spacing w:val="-74"/>
        </w:rPr>
        <w:t> </w:t>
      </w:r>
      <w:r>
        <w:rPr>
          <w:spacing w:val="19"/>
        </w:rPr>
        <w:t>子公司广州彩创网络技术有限公司</w:t>
      </w:r>
      <w:r>
        <w:rPr>
          <w:spacing w:val="-64"/>
        </w:rPr>
        <w:t> </w:t>
      </w:r>
      <w:r>
        <w:rPr/>
        <w:t>2014</w:t>
      </w:r>
      <w:r>
        <w:rPr>
          <w:spacing w:val="-74"/>
        </w:rPr>
        <w:t> </w:t>
      </w:r>
      <w:r>
        <w:rPr>
          <w:spacing w:val="19"/>
        </w:rPr>
        <w:t>年被认定为高新技术企业，</w:t>
      </w:r>
      <w:r>
        <w:rPr>
          <w:spacing w:val="-66"/>
        </w:rPr>
        <w:t> </w:t>
      </w:r>
      <w:r>
        <w:rPr>
          <w:spacing w:val="16"/>
        </w:rPr>
        <w:t>证书编号：</w:t>
      </w:r>
      <w:r>
        <w:rPr>
          <w:spacing w:val="-85"/>
        </w:rPr>
        <w:t> </w:t>
      </w:r>
      <w:r>
        <w:rPr>
          <w:spacing w:val="-85"/>
        </w:rPr>
      </w:r>
      <w:r>
        <w:rPr/>
        <w:t>GR201444001390，本公司2014年至2016年企业所得税按15%的税率征收。</w:t>
      </w:r>
    </w:p>
    <w:p>
      <w:pPr>
        <w:spacing w:line="240" w:lineRule="auto" w:before="1"/>
        <w:rPr>
          <w:rFonts w:ascii="宋体" w:hAnsi="宋体" w:cs="宋体" w:eastAsia="宋体" w:hint="default"/>
          <w:sz w:val="17"/>
          <w:szCs w:val="17"/>
        </w:rPr>
      </w:pPr>
    </w:p>
    <w:p>
      <w:pPr>
        <w:pStyle w:val="BodyText"/>
        <w:spacing w:line="273" w:lineRule="auto"/>
        <w:ind w:right="142" w:firstLine="422"/>
        <w:jc w:val="both"/>
      </w:pPr>
      <w:r>
        <w:rPr/>
        <w:t>②</w:t>
      </w:r>
      <w:r>
        <w:rPr>
          <w:spacing w:val="60"/>
        </w:rPr>
        <w:t> </w:t>
      </w:r>
      <w:r>
        <w:rPr/>
        <w:t>根据财政部和国家税务总局《关于安置残疾人员就业有关企业所得税优惠政策问题的通知》（财</w:t>
      </w:r>
      <w:r>
        <w:rPr>
          <w:w w:val="100"/>
        </w:rPr>
        <w:t> </w:t>
      </w:r>
      <w:r>
        <w:rPr>
          <w:spacing w:val="-2"/>
        </w:rPr>
        <w:t>税字［2009］70号）的规定，报告期本公司企业所得税的优惠政策为按在税前列支残疾人工资的基础上加</w:t>
      </w:r>
      <w:r>
        <w:rPr>
          <w:spacing w:val="-30"/>
        </w:rPr>
        <w:t> </w:t>
      </w:r>
      <w:r>
        <w:rPr>
          <w:spacing w:val="-30"/>
        </w:rPr>
      </w:r>
      <w:r>
        <w:rPr/>
        <w:t>计100%扣除。</w:t>
      </w:r>
    </w:p>
    <w:p>
      <w:pPr>
        <w:spacing w:line="240" w:lineRule="auto" w:before="1"/>
        <w:rPr>
          <w:rFonts w:ascii="宋体" w:hAnsi="宋体" w:cs="宋体" w:eastAsia="宋体" w:hint="default"/>
          <w:sz w:val="17"/>
          <w:szCs w:val="17"/>
        </w:rPr>
      </w:pPr>
    </w:p>
    <w:p>
      <w:pPr>
        <w:pStyle w:val="BodyText"/>
        <w:spacing w:line="273" w:lineRule="auto"/>
        <w:ind w:right="142" w:firstLine="422"/>
        <w:jc w:val="both"/>
      </w:pPr>
      <w:r>
        <w:rPr/>
        <w:t>③</w:t>
      </w:r>
      <w:r>
        <w:rPr>
          <w:spacing w:val="60"/>
        </w:rPr>
        <w:t> </w:t>
      </w:r>
      <w:r>
        <w:rPr/>
        <w:t>根据财政部、国家税务总局及海关总署联合发文的《关于深入实施西部大开发战略有关税收政策</w:t>
      </w:r>
      <w:r>
        <w:rPr>
          <w:w w:val="100"/>
        </w:rPr>
        <w:t> </w:t>
      </w:r>
      <w:r>
        <w:rPr>
          <w:spacing w:val="-2"/>
        </w:rPr>
        <w:t>问题的通知》（财税［2011］58号）第二条的规定，子公司重庆市鸿海印务有限公司及孙公司四川鸿海印</w:t>
      </w:r>
      <w:r>
        <w:rPr>
          <w:spacing w:val="-29"/>
        </w:rPr>
        <w:t> </w:t>
      </w:r>
      <w:r>
        <w:rPr>
          <w:spacing w:val="-29"/>
        </w:rPr>
      </w:r>
      <w:r>
        <w:rPr/>
        <w:t>务有限公司2011年至2020年期间的企业所得税按15%的税率征收。</w:t>
      </w:r>
    </w:p>
    <w:p>
      <w:pPr>
        <w:spacing w:line="240" w:lineRule="auto" w:before="1"/>
        <w:rPr>
          <w:rFonts w:ascii="宋体" w:hAnsi="宋体" w:cs="宋体" w:eastAsia="宋体" w:hint="default"/>
          <w:sz w:val="17"/>
          <w:szCs w:val="17"/>
        </w:rPr>
      </w:pPr>
    </w:p>
    <w:p>
      <w:pPr>
        <w:pStyle w:val="BodyText"/>
        <w:spacing w:line="273" w:lineRule="auto"/>
        <w:ind w:right="142" w:firstLine="422"/>
        <w:jc w:val="both"/>
      </w:pPr>
      <w:r>
        <w:rPr/>
        <w:t>④</w:t>
      </w:r>
      <w:r>
        <w:rPr>
          <w:spacing w:val="60"/>
        </w:rPr>
        <w:t> </w:t>
      </w:r>
      <w:r>
        <w:rPr/>
        <w:t>子公司鸿博（福建）数据网络科技股份有限公司符合《鼓励软件产业和集成电路产业若干政策》</w:t>
      </w:r>
      <w:r>
        <w:rPr>
          <w:w w:val="100"/>
        </w:rPr>
        <w:t> </w:t>
      </w:r>
      <w:r>
        <w:rPr>
          <w:spacing w:val="-2"/>
        </w:rPr>
        <w:t>和《软件企业认定标准及管理办法》的有关规定，被认定软件企业，证书编号：闽R-2011-0611,，自赢利</w:t>
      </w:r>
      <w:r>
        <w:rPr>
          <w:spacing w:val="-24"/>
        </w:rPr>
        <w:t> </w:t>
      </w:r>
      <w:r>
        <w:rPr>
          <w:spacing w:val="-24"/>
        </w:rPr>
      </w:r>
      <w:r>
        <w:rPr/>
        <w:t>年度起所得税享受两免三减半税收优惠，2013年至2014年免征所得税，2015年按12.5%的税率征收。</w:t>
      </w:r>
    </w:p>
    <w:p>
      <w:pPr>
        <w:spacing w:line="240" w:lineRule="auto" w:before="1"/>
        <w:rPr>
          <w:rFonts w:ascii="宋体" w:hAnsi="宋体" w:cs="宋体" w:eastAsia="宋体" w:hint="default"/>
          <w:sz w:val="17"/>
          <w:szCs w:val="17"/>
        </w:rPr>
      </w:pPr>
    </w:p>
    <w:p>
      <w:pPr>
        <w:pStyle w:val="BodyText"/>
        <w:spacing w:line="273" w:lineRule="auto"/>
        <w:ind w:right="146" w:firstLine="422"/>
        <w:jc w:val="both"/>
      </w:pPr>
      <w:r>
        <w:rPr/>
        <w:t>⑤</w:t>
      </w:r>
      <w:r>
        <w:rPr>
          <w:spacing w:val="66"/>
        </w:rPr>
        <w:t> </w:t>
      </w:r>
      <w:r>
        <w:rPr/>
        <w:t>子公司无锡双龙信息纸有限公司于2015年被认定为高新技术企业，并于2015年10月10日取得编号</w:t>
      </w:r>
      <w:r>
        <w:rPr>
          <w:w w:val="100"/>
        </w:rPr>
        <w:t> </w:t>
      </w:r>
      <w:r>
        <w:rPr>
          <w:spacing w:val="-2"/>
        </w:rPr>
        <w:t>为“GR201532001808”高新技术企业证书，有效期自2015年10月至2017年10月。截至报告日，仍未取得当</w:t>
      </w:r>
    </w:p>
    <w:p>
      <w:pPr>
        <w:spacing w:after="0" w:line="273" w:lineRule="auto"/>
        <w:jc w:val="both"/>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BodyText"/>
        <w:spacing w:line="240" w:lineRule="auto" w:before="36"/>
        <w:ind w:right="0"/>
        <w:jc w:val="left"/>
      </w:pPr>
      <w:r>
        <w:rPr/>
        <w:t>地税务局备案核准，2015年度暂按25%所得税率执行。</w:t>
      </w:r>
    </w:p>
    <w:p>
      <w:pPr>
        <w:spacing w:line="240" w:lineRule="auto" w:before="5"/>
        <w:rPr>
          <w:rFonts w:ascii="宋体" w:hAnsi="宋体" w:cs="宋体" w:eastAsia="宋体" w:hint="default"/>
          <w:sz w:val="19"/>
          <w:szCs w:val="19"/>
        </w:rPr>
      </w:pPr>
    </w:p>
    <w:p>
      <w:pPr>
        <w:pStyle w:val="BodyText"/>
        <w:spacing w:line="273" w:lineRule="auto"/>
        <w:ind w:right="151" w:firstLine="422"/>
        <w:jc w:val="both"/>
      </w:pPr>
      <w:r>
        <w:rPr/>
        <w:t>⑥</w:t>
      </w:r>
      <w:r>
        <w:rPr>
          <w:spacing w:val="66"/>
        </w:rPr>
        <w:t> </w:t>
      </w:r>
      <w:r>
        <w:rPr/>
        <w:t>子公司福建鸿博致远信息科技有限公司符合《鼓励软件产业和集成电路产业若干政策》和《软件</w:t>
      </w:r>
      <w:r>
        <w:rPr>
          <w:w w:val="100"/>
        </w:rPr>
        <w:t> </w:t>
      </w:r>
      <w:r>
        <w:rPr/>
        <w:t>企业认定标准及管理办法》的有关规定，被认定软件企业，证书编号：闽R-2012-0008，自赢利年度起所</w:t>
      </w:r>
      <w:r>
        <w:rPr>
          <w:spacing w:val="-33"/>
        </w:rPr>
        <w:t> </w:t>
      </w:r>
      <w:r>
        <w:rPr>
          <w:spacing w:val="-33"/>
        </w:rPr>
      </w:r>
      <w:r>
        <w:rPr/>
        <w:t>得税享受两免三减半税收优惠。</w:t>
      </w:r>
    </w:p>
    <w:p>
      <w:pPr>
        <w:spacing w:line="240" w:lineRule="auto" w:before="8"/>
        <w:rPr>
          <w:rFonts w:ascii="宋体" w:hAnsi="宋体" w:cs="宋体" w:eastAsia="宋体" w:hint="default"/>
          <w:sz w:val="18"/>
          <w:szCs w:val="18"/>
        </w:rPr>
      </w:pPr>
    </w:p>
    <w:p>
      <w:pPr>
        <w:pStyle w:val="Heading4"/>
        <w:spacing w:line="240" w:lineRule="auto"/>
        <w:ind w:right="0"/>
        <w:jc w:val="left"/>
        <w:rPr>
          <w:b w:val="0"/>
          <w:bCs w:val="0"/>
        </w:rPr>
      </w:pPr>
      <w:r>
        <w:rPr>
          <w:rFonts w:ascii="Times New Roman" w:hAnsi="Times New Roman" w:cs="Times New Roman" w:eastAsia="Times New Roman" w:hint="default"/>
        </w:rPr>
        <w:t>3</w:t>
      </w:r>
      <w:r>
        <w:rPr/>
        <w:t>、其他</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40" w:lineRule="auto"/>
        <w:ind w:right="0"/>
        <w:jc w:val="left"/>
      </w:pPr>
      <w:r>
        <w:rPr>
          <w:w w:val="100"/>
        </w:rPr>
        <w:t>无</w:t>
      </w:r>
    </w:p>
    <w:p>
      <w:pPr>
        <w:spacing w:line="240" w:lineRule="auto" w:before="11"/>
        <w:rPr>
          <w:rFonts w:ascii="宋体" w:hAnsi="宋体" w:cs="宋体" w:eastAsia="宋体" w:hint="default"/>
          <w:sz w:val="17"/>
          <w:szCs w:val="17"/>
        </w:rPr>
      </w:pPr>
    </w:p>
    <w:p>
      <w:pPr>
        <w:pStyle w:val="Heading2"/>
        <w:spacing w:line="240" w:lineRule="auto"/>
        <w:ind w:right="0"/>
        <w:jc w:val="left"/>
        <w:rPr>
          <w:b w:val="0"/>
          <w:bCs w:val="0"/>
        </w:rPr>
      </w:pPr>
      <w:r>
        <w:rPr/>
        <w:t>七、合并财务报表项目注释</w:t>
      </w:r>
      <w:r>
        <w:rPr>
          <w:b w:val="0"/>
          <w:bCs w:val="0"/>
        </w:rPr>
      </w:r>
    </w:p>
    <w:p>
      <w:pPr>
        <w:spacing w:line="240" w:lineRule="auto" w:before="10"/>
        <w:rPr>
          <w:rFonts w:ascii="Microsoft JhengHei" w:hAnsi="Microsoft JhengHei" w:cs="Microsoft JhengHei" w:eastAsia="Microsoft JhengHei" w:hint="default"/>
          <w:b/>
          <w:bCs/>
          <w:sz w:val="13"/>
          <w:szCs w:val="13"/>
        </w:rPr>
      </w:pPr>
    </w:p>
    <w:p>
      <w:pPr>
        <w:pStyle w:val="Heading4"/>
        <w:spacing w:line="240" w:lineRule="auto"/>
        <w:ind w:right="0"/>
        <w:jc w:val="left"/>
        <w:rPr>
          <w:b w:val="0"/>
          <w:bCs w:val="0"/>
        </w:rPr>
      </w:pPr>
      <w:r>
        <w:rPr>
          <w:rFonts w:ascii="Times New Roman" w:hAnsi="Times New Roman" w:cs="Times New Roman" w:eastAsia="Times New Roman" w:hint="default"/>
        </w:rPr>
        <w:t>1</w:t>
      </w:r>
      <w:r>
        <w:rPr/>
        <w:t>、货币资金</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6"/>
        <w:gridCol w:w="3202"/>
        <w:gridCol w:w="3192"/>
      </w:tblGrid>
      <w:tr>
        <w:trPr>
          <w:trHeight w:val="398"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20,317.07</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14,954.40</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421,896,141.42</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127,639,639.95</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90,254,170.12</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29,202,502.60</w:t>
            </w:r>
          </w:p>
        </w:tc>
      </w:tr>
      <w:tr>
        <w:trPr>
          <w:trHeight w:val="398"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512,170,628.61</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156,857,096.95</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18"/>
          <w:szCs w:val="18"/>
        </w:rPr>
      </w:pPr>
    </w:p>
    <w:p>
      <w:pPr>
        <w:pStyle w:val="BodyText"/>
        <w:spacing w:line="273" w:lineRule="auto"/>
        <w:ind w:right="0" w:firstLine="422"/>
        <w:jc w:val="left"/>
      </w:pPr>
      <w:r>
        <w:rPr>
          <w:spacing w:val="-2"/>
        </w:rPr>
        <w:t>年末其他货币资金为银行承兑汇票保证金、保函保证金、不可撤销信用证保证金存款。本集团在编制</w:t>
      </w:r>
      <w:r>
        <w:rPr>
          <w:w w:val="100"/>
        </w:rPr>
        <w:t> </w:t>
      </w:r>
      <w:r>
        <w:rPr/>
        <w:t>现金流量表时不将其作为现金。</w:t>
      </w:r>
    </w:p>
    <w:p>
      <w:pPr>
        <w:spacing w:line="240" w:lineRule="auto" w:before="8"/>
        <w:rPr>
          <w:rFonts w:ascii="宋体" w:hAnsi="宋体" w:cs="宋体" w:eastAsia="宋体" w:hint="default"/>
          <w:sz w:val="18"/>
          <w:szCs w:val="18"/>
        </w:rPr>
      </w:pPr>
    </w:p>
    <w:p>
      <w:pPr>
        <w:pStyle w:val="Heading4"/>
        <w:spacing w:line="240" w:lineRule="auto"/>
        <w:ind w:right="0"/>
        <w:jc w:val="left"/>
        <w:rPr>
          <w:b w:val="0"/>
          <w:bCs w:val="0"/>
        </w:rPr>
      </w:pPr>
      <w:r>
        <w:rPr>
          <w:rFonts w:ascii="Times New Roman" w:hAnsi="Times New Roman" w:cs="Times New Roman" w:eastAsia="Times New Roman" w:hint="default"/>
        </w:rPr>
        <w:t>2</w:t>
      </w:r>
      <w:r>
        <w:rPr/>
        <w:t>、以公允价值计量且其变动计入当期损益的金融资产</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3</w:t>
      </w:r>
      <w:r>
        <w:rPr/>
        <w:t>、衍生金融资产</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4</w:t>
      </w:r>
      <w:r>
        <w:rPr/>
        <w:t>、应收票据</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）应收票据分类列示</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6"/>
        <w:gridCol w:w="3202"/>
        <w:gridCol w:w="3192"/>
      </w:tblGrid>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1,933,009.64</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1,152,954.00</w:t>
            </w:r>
          </w:p>
        </w:tc>
      </w:tr>
    </w:tbl>
    <w:p>
      <w:pPr>
        <w:spacing w:after="0" w:line="240" w:lineRule="auto"/>
        <w:jc w:val="right"/>
        <w:rPr>
          <w:rFonts w:ascii="Times New Roman" w:hAnsi="Times New Roman" w:cs="Times New Roman" w:eastAsia="Times New Roman" w:hint="default"/>
          <w:sz w:val="18"/>
          <w:szCs w:val="18"/>
        </w:rPr>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1,933,009.64</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1,152,954.00</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）期末公司已质押的应收票据</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7"/>
          <w:szCs w:val="7"/>
        </w:rPr>
      </w:pPr>
    </w:p>
    <w:p>
      <w:pPr>
        <w:spacing w:line="422" w:lineRule="exact"/>
        <w:ind w:left="148"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8pt;height:21.15pt;mso-position-horizontal-relative:char;mso-position-vertical-relative:line" coordorigin="0,0" coordsize="9576,423">
            <v:group style="position:absolute;left:22;top:19;width:2;height:389" coordorigin="22,19" coordsize="2,389">
              <v:shape style="position:absolute;left:22;top:19;width:2;height:389" coordorigin="22,19" coordsize="0,389" path="m22,19l22,408e" filled="false" stroked="true" strokeweight="1.2pt" strokecolor="#d2d2d2">
                <v:path arrowok="t"/>
              </v:shape>
            </v:group>
            <v:group style="position:absolute;left:4774;top:19;width:2;height:389" coordorigin="4774,19" coordsize="2,389">
              <v:shape style="position:absolute;left:4774;top:19;width:2;height:389" coordorigin="4774,19" coordsize="0,389" path="m4774,19l4774,408e" filled="false" stroked="true" strokeweight="1.2pt" strokecolor="#d2d2d2">
                <v:path arrowok="t"/>
              </v:shape>
            </v:group>
            <v:group style="position:absolute;left:34;top:14;width:4728;height:394" coordorigin="34,14" coordsize="4728,394">
              <v:shape style="position:absolute;left:34;top:14;width:4728;height:394" coordorigin="34,14" coordsize="4728,394" path="m34,408l4762,408,4762,14,34,14,34,408xe" filled="true" fillcolor="#d2d2d2" stroked="false">
                <v:path arrowok="t"/>
                <v:fill type="solid"/>
              </v:shape>
            </v:group>
            <v:group style="position:absolute;left:4807;top:19;width:2;height:389" coordorigin="4807,19" coordsize="2,389">
              <v:shape style="position:absolute;left:4807;top:19;width:2;height:389" coordorigin="4807,19" coordsize="0,389" path="m4807,19l4807,408e" filled="false" stroked="true" strokeweight="1.2pt" strokecolor="#d2d2d2">
                <v:path arrowok="t"/>
              </v:shape>
            </v:group>
            <v:group style="position:absolute;left:9557;top:19;width:2;height:389" coordorigin="9557,19" coordsize="2,389">
              <v:shape style="position:absolute;left:9557;top:19;width:2;height:389" coordorigin="9557,19" coordsize="0,389" path="m9557,19l9557,408e" filled="false" stroked="true" strokeweight=".96pt" strokecolor="#d2d2d2">
                <v:path arrowok="t"/>
              </v:shape>
            </v:group>
            <v:group style="position:absolute;left:4819;top:14;width:4728;height:394" coordorigin="4819,14" coordsize="4728,394">
              <v:shape style="position:absolute;left:4819;top:14;width:4728;height:394" coordorigin="4819,14" coordsize="4728,394" path="m4819,408l9547,408,9547,14,4819,14,4819,408xe" filled="true" fillcolor="#d2d2d2" stroked="false">
                <v:path arrowok="t"/>
                <v:fill type="solid"/>
              </v:shape>
            </v:group>
            <v:group style="position:absolute;left:10;top:10;width:4776;height:2" coordorigin="10,10" coordsize="4776,2">
              <v:shape style="position:absolute;left:10;top:10;width:4776;height:2" coordorigin="10,10" coordsize="4776,0" path="m10,10l4786,10e" filled="false" stroked="true" strokeweight=".48pt" strokecolor="#000000">
                <v:path arrowok="t"/>
              </v:shape>
            </v:group>
            <v:group style="position:absolute;left:4795;top:10;width:4772;height:2" coordorigin="4795,10" coordsize="4772,2">
              <v:shape style="position:absolute;left:4795;top:10;width:4772;height:2" coordorigin="4795,10" coordsize="4772,0" path="m4795,10l9566,10e" filled="false" stroked="true" strokeweight=".48pt" strokecolor="#000000">
                <v:path arrowok="t"/>
              </v:shape>
            </v:group>
            <v:group style="position:absolute;left:5;top:5;width:2;height:413" coordorigin="5,5" coordsize="2,413">
              <v:shape style="position:absolute;left:5;top:5;width:2;height:413" coordorigin="5,5" coordsize="0,413" path="m5,5l5,418e" filled="false" stroked="true" strokeweight=".48pt" strokecolor="#000000">
                <v:path arrowok="t"/>
              </v:shape>
            </v:group>
            <v:group style="position:absolute;left:10;top:413;width:4776;height:2" coordorigin="10,413" coordsize="4776,2">
              <v:shape style="position:absolute;left:10;top:413;width:4776;height:2" coordorigin="10,413" coordsize="4776,0" path="m10,413l4786,413e" filled="false" stroked="true" strokeweight=".48pt" strokecolor="#000000">
                <v:path arrowok="t"/>
              </v:shape>
            </v:group>
            <v:group style="position:absolute;left:4790;top:5;width:2;height:413" coordorigin="4790,5" coordsize="2,413">
              <v:shape style="position:absolute;left:4790;top:5;width:2;height:413" coordorigin="4790,5" coordsize="0,413" path="m4790,5l4790,418e" filled="false" stroked="true" strokeweight=".48pt" strokecolor="#000000">
                <v:path arrowok="t"/>
              </v:shape>
            </v:group>
            <v:group style="position:absolute;left:4795;top:413;width:4772;height:2" coordorigin="4795,413" coordsize="4772,2">
              <v:shape style="position:absolute;left:4795;top:413;width:4772;height:2" coordorigin="4795,413" coordsize="4772,0" path="m4795,413l9566,413e" filled="false" stroked="true" strokeweight=".48pt" strokecolor="#000000">
                <v:path arrowok="t"/>
              </v:shape>
            </v:group>
            <v:group style="position:absolute;left:9571;top:5;width:2;height:413" coordorigin="9571,5" coordsize="2,413">
              <v:shape style="position:absolute;left:9571;top:5;width:2;height:413" coordorigin="9571,5" coordsize="0,413" path="m9571,5l9571,418e" filled="false" stroked="true" strokeweight=".48pt" strokecolor="#000000">
                <v:path arrowok="t"/>
              </v:shape>
              <v:shape style="position:absolute;left:2213;top:122;width:365;height:183" type="#_x0000_t202" filled="false" stroked="false">
                <v:textbox inset="0,0,0,0">
                  <w:txbxContent>
                    <w:p>
                      <w:pPr>
                        <w:spacing w:line="18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790;top:10;width:4781;height:404" type="#_x0000_t202" filled="false" stroked="false">
                <v:textbox inset="0,0,0,0">
                  <w:txbxContent>
                    <w:p>
                      <w:pPr>
                        <w:spacing w:before="58"/>
                        <w:ind w:left="4" w:right="0" w:firstLine="0"/>
                        <w:jc w:val="center"/>
                        <w:rPr>
                          <w:rFonts w:ascii="宋体" w:hAnsi="宋体" w:cs="宋体" w:eastAsia="宋体" w:hint="default"/>
                          <w:sz w:val="18"/>
                          <w:szCs w:val="18"/>
                        </w:rPr>
                      </w:pPr>
                      <w:r>
                        <w:rPr>
                          <w:rFonts w:ascii="宋体" w:hAnsi="宋体" w:cs="宋体" w:eastAsia="宋体" w:hint="default"/>
                          <w:spacing w:val="-3"/>
                          <w:sz w:val="18"/>
                          <w:szCs w:val="18"/>
                        </w:rPr>
                        <w:t>期末已质押金额</w:t>
                      </w:r>
                    </w:p>
                  </w:txbxContent>
                </v:textbox>
                <w10:wrap type="none"/>
              </v:shape>
            </v:group>
          </v:group>
        </w:pict>
      </w:r>
      <w:r>
        <w:rPr>
          <w:rFonts w:ascii="宋体" w:hAnsi="宋体" w:cs="宋体" w:eastAsia="宋体" w:hint="default"/>
          <w:position w:val="-7"/>
          <w:sz w:val="20"/>
          <w:szCs w:val="20"/>
        </w:rPr>
      </w:r>
    </w:p>
    <w:p>
      <w:pPr>
        <w:spacing w:line="240" w:lineRule="auto" w:before="11"/>
        <w:rPr>
          <w:rFonts w:ascii="宋体" w:hAnsi="宋体" w:cs="宋体" w:eastAsia="宋体" w:hint="default"/>
          <w:sz w:val="18"/>
          <w:szCs w:val="18"/>
        </w:rPr>
      </w:pPr>
    </w:p>
    <w:p>
      <w:pPr>
        <w:pStyle w:val="Heading4"/>
        <w:spacing w:line="335" w:lineRule="exact"/>
        <w:ind w:right="0"/>
        <w:jc w:val="left"/>
        <w:rPr>
          <w:b w:val="0"/>
          <w:bCs w:val="0"/>
        </w:rPr>
      </w:pPr>
      <w:r>
        <w:rPr/>
        <w:t>（</w:t>
      </w:r>
      <w:r>
        <w:rPr>
          <w:rFonts w:ascii="Times New Roman" w:hAnsi="Times New Roman" w:cs="Times New Roman" w:eastAsia="Times New Roman" w:hint="default"/>
        </w:rPr>
        <w:t>3</w:t>
      </w:r>
      <w:r>
        <w:rPr/>
        <w:t>）期末公司已背书或贴现且在资产负债表日尚未到期的应收票据</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6"/>
        <w:gridCol w:w="3202"/>
        <w:gridCol w:w="3192"/>
      </w:tblGrid>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78"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77" w:right="0"/>
              <w:jc w:val="left"/>
              <w:rPr>
                <w:rFonts w:ascii="宋体" w:hAnsi="宋体" w:cs="宋体" w:eastAsia="宋体" w:hint="default"/>
                <w:sz w:val="18"/>
                <w:szCs w:val="18"/>
              </w:rPr>
            </w:pPr>
            <w:r>
              <w:rPr>
                <w:rFonts w:ascii="宋体" w:hAnsi="宋体" w:cs="宋体" w:eastAsia="宋体" w:hint="default"/>
                <w:spacing w:val="-3"/>
                <w:sz w:val="18"/>
                <w:szCs w:val="18"/>
              </w:rPr>
              <w:t>期末未终止确认金额</w:t>
            </w:r>
          </w:p>
        </w:tc>
      </w:tr>
      <w:tr>
        <w:trPr>
          <w:trHeight w:val="398"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3,214,735.98</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3,214,735.98</w:t>
            </w:r>
          </w:p>
        </w:tc>
        <w:tc>
          <w:tcPr>
            <w:tcW w:w="3192"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4</w:t>
      </w:r>
      <w:r>
        <w:rPr/>
        <w:t>）期末公司因出票人未履约而将其转应收账款的票据</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p>
      <w:pPr>
        <w:spacing w:line="422" w:lineRule="exact"/>
        <w:ind w:left="148"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8pt;height:21.15pt;mso-position-horizontal-relative:char;mso-position-vertical-relative:line" coordorigin="0,0" coordsize="9576,423">
            <v:group style="position:absolute;left:10;top:405;width:4776;height:2" coordorigin="10,405" coordsize="4776,2">
              <v:shape style="position:absolute;left:10;top:405;width:4776;height:2" coordorigin="10,405" coordsize="4776,0" path="m10,405l4786,405e" filled="false" stroked="true" strokeweight=".3pt" strokecolor="#d2d2d2">
                <v:path arrowok="t"/>
              </v:shape>
            </v:group>
            <v:group style="position:absolute;left:22;top:14;width:2;height:388" coordorigin="22,14" coordsize="2,388">
              <v:shape style="position:absolute;left:22;top:14;width:2;height:388" coordorigin="22,14" coordsize="0,388" path="m22,14l22,402e" filled="false" stroked="true" strokeweight="1.2pt" strokecolor="#d2d2d2">
                <v:path arrowok="t"/>
              </v:shape>
            </v:group>
            <v:group style="position:absolute;left:4774;top:14;width:2;height:389" coordorigin="4774,14" coordsize="2,389">
              <v:shape style="position:absolute;left:4774;top:14;width:2;height:389" coordorigin="4774,14" coordsize="0,389" path="m4774,14l4774,403e" filled="false" stroked="true" strokeweight="1.2pt" strokecolor="#d2d2d2">
                <v:path arrowok="t"/>
              </v:shape>
            </v:group>
            <v:group style="position:absolute;left:34;top:14;width:4728;height:389" coordorigin="34,14" coordsize="4728,389">
              <v:shape style="position:absolute;left:34;top:14;width:4728;height:389" coordorigin="34,14" coordsize="4728,389" path="m34,403l4762,403,4762,14,34,14,34,403xe" filled="true" fillcolor="#d2d2d2" stroked="false">
                <v:path arrowok="t"/>
                <v:fill type="solid"/>
              </v:shape>
            </v:group>
            <v:group style="position:absolute;left:4795;top:405;width:4772;height:2" coordorigin="4795,405" coordsize="4772,2">
              <v:shape style="position:absolute;left:4795;top:405;width:4772;height:2" coordorigin="4795,405" coordsize="4772,0" path="m4795,405l9566,405e" filled="false" stroked="true" strokeweight=".3pt" strokecolor="#d2d2d2">
                <v:path arrowok="t"/>
              </v:shape>
            </v:group>
            <v:group style="position:absolute;left:4807;top:14;width:2;height:388" coordorigin="4807,14" coordsize="2,388">
              <v:shape style="position:absolute;left:4807;top:14;width:2;height:388" coordorigin="4807,14" coordsize="0,388" path="m4807,14l4807,402e" filled="false" stroked="true" strokeweight="1.2pt" strokecolor="#d2d2d2">
                <v:path arrowok="t"/>
              </v:shape>
            </v:group>
            <v:group style="position:absolute;left:9557;top:14;width:2;height:389" coordorigin="9557,14" coordsize="2,389">
              <v:shape style="position:absolute;left:9557;top:14;width:2;height:389" coordorigin="9557,14" coordsize="0,389" path="m9557,14l9557,403e" filled="false" stroked="true" strokeweight=".96pt" strokecolor="#d2d2d2">
                <v:path arrowok="t"/>
              </v:shape>
            </v:group>
            <v:group style="position:absolute;left:4819;top:14;width:4728;height:389" coordorigin="4819,14" coordsize="4728,389">
              <v:shape style="position:absolute;left:4819;top:14;width:4728;height:389" coordorigin="4819,14" coordsize="4728,389" path="m4819,403l9547,403,9547,14,4819,14,4819,403xe" filled="true" fillcolor="#d2d2d2" stroked="false">
                <v:path arrowok="t"/>
                <v:fill type="solid"/>
              </v:shape>
            </v:group>
            <v:group style="position:absolute;left:10;top:10;width:4776;height:2" coordorigin="10,10" coordsize="4776,2">
              <v:shape style="position:absolute;left:10;top:10;width:4776;height:2" coordorigin="10,10" coordsize="4776,0" path="m10,10l4786,10e" filled="false" stroked="true" strokeweight=".48pt" strokecolor="#000000">
                <v:path arrowok="t"/>
              </v:shape>
            </v:group>
            <v:group style="position:absolute;left:4795;top:10;width:4772;height:2" coordorigin="4795,10" coordsize="4772,2">
              <v:shape style="position:absolute;left:4795;top:10;width:4772;height:2" coordorigin="4795,10" coordsize="4772,0" path="m4795,10l9566,10e" filled="false" stroked="true" strokeweight=".48pt" strokecolor="#000000">
                <v:path arrowok="t"/>
              </v:shape>
            </v:group>
            <v:group style="position:absolute;left:5;top:5;width:2;height:413" coordorigin="5,5" coordsize="2,413">
              <v:shape style="position:absolute;left:5;top:5;width:2;height:413" coordorigin="5,5" coordsize="0,413" path="m5,5l5,418e" filled="false" stroked="true" strokeweight=".48pt" strokecolor="#000000">
                <v:path arrowok="t"/>
              </v:shape>
            </v:group>
            <v:group style="position:absolute;left:10;top:413;width:4776;height:2" coordorigin="10,413" coordsize="4776,2">
              <v:shape style="position:absolute;left:10;top:413;width:4776;height:2" coordorigin="10,413" coordsize="4776,0" path="m10,413l4786,413e" filled="false" stroked="true" strokeweight=".48pt" strokecolor="#000000">
                <v:path arrowok="t"/>
              </v:shape>
            </v:group>
            <v:group style="position:absolute;left:4790;top:5;width:2;height:413" coordorigin="4790,5" coordsize="2,413">
              <v:shape style="position:absolute;left:4790;top:5;width:2;height:413" coordorigin="4790,5" coordsize="0,413" path="m4790,5l4790,418e" filled="false" stroked="true" strokeweight=".48pt" strokecolor="#000000">
                <v:path arrowok="t"/>
              </v:shape>
            </v:group>
            <v:group style="position:absolute;left:4795;top:413;width:4772;height:2" coordorigin="4795,413" coordsize="4772,2">
              <v:shape style="position:absolute;left:4795;top:413;width:4772;height:2" coordorigin="4795,413" coordsize="4772,0" path="m4795,413l9566,413e" filled="false" stroked="true" strokeweight=".48pt" strokecolor="#000000">
                <v:path arrowok="t"/>
              </v:shape>
            </v:group>
            <v:group style="position:absolute;left:9571;top:5;width:2;height:413" coordorigin="9571,5" coordsize="2,413">
              <v:shape style="position:absolute;left:9571;top:5;width:2;height:413" coordorigin="9571,5" coordsize="0,413" path="m9571,5l9571,418e" filled="false" stroked="true" strokeweight=".48pt" strokecolor="#000000">
                <v:path arrowok="t"/>
              </v:shape>
              <v:shape style="position:absolute;left:2213;top:122;width:365;height:183" type="#_x0000_t202" filled="false" stroked="false">
                <v:textbox inset="0,0,0,0">
                  <w:txbxContent>
                    <w:p>
                      <w:pPr>
                        <w:spacing w:line="18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790;top:10;width:4781;height:394" type="#_x0000_t202" filled="false" stroked="false">
                <v:textbox inset="0,0,0,0">
                  <w:txbxContent>
                    <w:p>
                      <w:pPr>
                        <w:spacing w:before="58"/>
                        <w:ind w:left="1579" w:right="0" w:firstLine="0"/>
                        <w:jc w:val="left"/>
                        <w:rPr>
                          <w:rFonts w:ascii="宋体" w:hAnsi="宋体" w:cs="宋体" w:eastAsia="宋体" w:hint="default"/>
                          <w:sz w:val="18"/>
                          <w:szCs w:val="18"/>
                        </w:rPr>
                      </w:pPr>
                      <w:r>
                        <w:rPr>
                          <w:rFonts w:ascii="宋体" w:hAnsi="宋体" w:cs="宋体" w:eastAsia="宋体" w:hint="default"/>
                          <w:spacing w:val="-3"/>
                          <w:sz w:val="18"/>
                          <w:szCs w:val="18"/>
                        </w:rPr>
                        <w:t>期末转应收账款金额</w:t>
                      </w:r>
                    </w:p>
                  </w:txbxContent>
                </v:textbox>
                <w10:wrap type="none"/>
              </v:shape>
            </v:group>
          </v:group>
        </w:pict>
      </w:r>
      <w:r>
        <w:rPr>
          <w:rFonts w:ascii="宋体" w:hAnsi="宋体" w:cs="宋体" w:eastAsia="宋体" w:hint="default"/>
          <w:position w:val="-7"/>
          <w:sz w:val="20"/>
          <w:szCs w:val="20"/>
        </w:rPr>
      </w:r>
    </w:p>
    <w:p>
      <w:pPr>
        <w:spacing w:before="49"/>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5</w:t>
      </w:r>
      <w:r>
        <w:rPr/>
        <w:t>、应收账款</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）应收账款分类披露</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610"/>
        <w:gridCol w:w="773"/>
        <w:gridCol w:w="763"/>
        <w:gridCol w:w="763"/>
        <w:gridCol w:w="763"/>
        <w:gridCol w:w="787"/>
        <w:gridCol w:w="653"/>
        <w:gridCol w:w="763"/>
        <w:gridCol w:w="816"/>
        <w:gridCol w:w="931"/>
        <w:gridCol w:w="931"/>
      </w:tblGrid>
      <w:tr>
        <w:trPr>
          <w:trHeight w:val="398" w:hRule="exact"/>
        </w:trPr>
        <w:tc>
          <w:tcPr>
            <w:tcW w:w="1610" w:type="dxa"/>
            <w:vMerge w:val="restart"/>
            <w:tcBorders>
              <w:top w:val="single" w:sz="4" w:space="0" w:color="000000"/>
              <w:left w:val="single" w:sz="4" w:space="0" w:color="000000"/>
              <w:right w:val="single" w:sz="4" w:space="0" w:color="000000"/>
            </w:tcBorders>
            <w:shd w:val="clear" w:color="auto" w:fill="D2D2D2"/>
          </w:tcPr>
          <w:p>
            <w:pPr/>
          </w:p>
        </w:tc>
        <w:tc>
          <w:tcPr>
            <w:tcW w:w="385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58" w:hRule="exact"/>
        </w:trPr>
        <w:tc>
          <w:tcPr>
            <w:tcW w:w="1610" w:type="dxa"/>
            <w:vMerge/>
            <w:tcBorders>
              <w:left w:val="single" w:sz="4" w:space="0" w:color="000000"/>
              <w:bottom w:val="nil" w:sz="6" w:space="0" w:color="auto"/>
              <w:right w:val="single" w:sz="4" w:space="0" w:color="000000"/>
            </w:tcBorders>
            <w:shd w:val="clear" w:color="auto" w:fill="D2D2D2"/>
          </w:tcPr>
          <w:p>
            <w:pPr/>
          </w:p>
        </w:tc>
        <w:tc>
          <w:tcPr>
            <w:tcW w:w="153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40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9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7"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40"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50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2D2D2"/>
          </w:tcPr>
          <w:p>
            <w:pPr/>
          </w:p>
        </w:tc>
      </w:tr>
      <w:tr>
        <w:trPr>
          <w:trHeight w:val="250" w:hRule="exact"/>
        </w:trPr>
        <w:tc>
          <w:tcPr>
            <w:tcW w:w="161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536" w:type="dxa"/>
            <w:gridSpan w:val="2"/>
            <w:vMerge/>
            <w:tcBorders>
              <w:left w:val="single" w:sz="4" w:space="0" w:color="000000"/>
              <w:bottom w:val="single" w:sz="4" w:space="0" w:color="000000"/>
              <w:right w:val="single" w:sz="4" w:space="0" w:color="000000"/>
            </w:tcBorders>
            <w:shd w:val="clear" w:color="auto" w:fill="D2D2D2"/>
          </w:tcPr>
          <w:p>
            <w:pPr/>
          </w:p>
        </w:tc>
        <w:tc>
          <w:tcPr>
            <w:tcW w:w="1526" w:type="dxa"/>
            <w:gridSpan w:val="2"/>
            <w:vMerge/>
            <w:tcBorders>
              <w:left w:val="single" w:sz="4" w:space="0" w:color="000000"/>
              <w:bottom w:val="single" w:sz="4" w:space="0" w:color="000000"/>
              <w:right w:val="single" w:sz="4" w:space="0" w:color="000000"/>
            </w:tcBorders>
            <w:shd w:val="clear" w:color="auto" w:fill="D2D2D2"/>
          </w:tcPr>
          <w:p>
            <w:pPr/>
          </w:p>
        </w:tc>
        <w:tc>
          <w:tcPr>
            <w:tcW w:w="787"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7" w:type="dxa"/>
            <w:gridSpan w:val="2"/>
            <w:vMerge/>
            <w:tcBorders>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155" w:hRule="exact"/>
        </w:trPr>
        <w:tc>
          <w:tcPr>
            <w:tcW w:w="1610" w:type="dxa"/>
            <w:vMerge/>
            <w:tcBorders>
              <w:left w:val="single" w:sz="4" w:space="0" w:color="000000"/>
              <w:bottom w:val="single" w:sz="6" w:space="0" w:color="FFFFFF"/>
              <w:right w:val="single" w:sz="4" w:space="0" w:color="000000"/>
            </w:tcBorders>
            <w:shd w:val="clear" w:color="auto" w:fill="D2D2D2"/>
          </w:tcPr>
          <w:p>
            <w:pPr/>
          </w:p>
        </w:tc>
        <w:tc>
          <w:tcPr>
            <w:tcW w:w="773" w:type="dxa"/>
            <w:tcBorders>
              <w:top w:val="single" w:sz="4" w:space="0" w:color="000000"/>
              <w:left w:val="single" w:sz="4" w:space="0" w:color="000000"/>
              <w:bottom w:val="single" w:sz="6"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6"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6" w:space="0" w:color="FFFFFF"/>
              <w:right w:val="single" w:sz="4" w:space="0" w:color="000000"/>
            </w:tcBorders>
            <w:shd w:val="clear" w:color="auto" w:fill="D2D2D2"/>
          </w:tcPr>
          <w:p>
            <w:pPr/>
          </w:p>
        </w:tc>
        <w:tc>
          <w:tcPr>
            <w:tcW w:w="76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283" w:right="103" w:hanging="178"/>
              <w:jc w:val="left"/>
              <w:rPr>
                <w:rFonts w:ascii="宋体" w:hAnsi="宋体" w:cs="宋体" w:eastAsia="宋体" w:hint="default"/>
                <w:sz w:val="18"/>
                <w:szCs w:val="18"/>
              </w:rPr>
            </w:pPr>
            <w:r>
              <w:rPr>
                <w:rFonts w:ascii="宋体" w:hAnsi="宋体" w:cs="宋体" w:eastAsia="宋体" w:hint="default"/>
                <w:sz w:val="18"/>
                <w:szCs w:val="18"/>
              </w:rPr>
              <w:t>计提比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例</w:t>
            </w:r>
          </w:p>
        </w:tc>
        <w:tc>
          <w:tcPr>
            <w:tcW w:w="78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3"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tcBorders>
              <w:top w:val="single" w:sz="4" w:space="0" w:color="000000"/>
              <w:left w:val="single" w:sz="4" w:space="0" w:color="000000"/>
              <w:bottom w:val="nil" w:sz="6" w:space="0" w:color="auto"/>
              <w:right w:val="single" w:sz="4" w:space="0" w:color="000000"/>
            </w:tcBorders>
            <w:shd w:val="clear" w:color="auto" w:fill="D2D2D2"/>
          </w:tcPr>
          <w:p>
            <w:pPr/>
          </w:p>
        </w:tc>
        <w:tc>
          <w:tcPr>
            <w:tcW w:w="816" w:type="dxa"/>
            <w:tcBorders>
              <w:top w:val="single" w:sz="4" w:space="0" w:color="000000"/>
              <w:left w:val="single" w:sz="4" w:space="0" w:color="000000"/>
              <w:bottom w:val="nil" w:sz="6" w:space="0" w:color="auto"/>
              <w:right w:val="single" w:sz="4" w:space="0" w:color="000000"/>
            </w:tcBorders>
            <w:shd w:val="clear" w:color="auto" w:fill="D2D2D2"/>
          </w:tcPr>
          <w:p>
            <w:pPr/>
          </w:p>
        </w:tc>
        <w:tc>
          <w:tcPr>
            <w:tcW w:w="931" w:type="dxa"/>
            <w:tcBorders>
              <w:top w:val="single" w:sz="4" w:space="0" w:color="000000"/>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1" w:hRule="exact"/>
        </w:trPr>
        <w:tc>
          <w:tcPr>
            <w:tcW w:w="1610" w:type="dxa"/>
            <w:vMerge w:val="restart"/>
            <w:tcBorders>
              <w:top w:val="single" w:sz="6" w:space="0" w:color="FFFFFF"/>
              <w:left w:val="single" w:sz="4" w:space="0" w:color="000000"/>
              <w:right w:val="single" w:sz="4" w:space="0" w:color="000000"/>
            </w:tcBorders>
            <w:shd w:val="clear" w:color="auto" w:fill="D2D2D2"/>
          </w:tcPr>
          <w:p>
            <w:pPr/>
          </w:p>
        </w:tc>
        <w:tc>
          <w:tcPr>
            <w:tcW w:w="773" w:type="dxa"/>
            <w:vMerge w:val="restart"/>
            <w:tcBorders>
              <w:top w:val="single" w:sz="6" w:space="0" w:color="FFFFFF"/>
              <w:left w:val="single" w:sz="4" w:space="0" w:color="000000"/>
              <w:right w:val="single" w:sz="4" w:space="0" w:color="000000"/>
            </w:tcBorders>
            <w:shd w:val="clear" w:color="auto" w:fill="D2D2D2"/>
          </w:tcPr>
          <w:p>
            <w:pPr>
              <w:pStyle w:val="TableParagraph"/>
              <w:spacing w:line="240" w:lineRule="auto" w:before="50"/>
              <w:ind w:left="20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val="restart"/>
            <w:tcBorders>
              <w:top w:val="single" w:sz="6" w:space="0" w:color="FFFFFF"/>
              <w:left w:val="single" w:sz="4" w:space="0" w:color="000000"/>
              <w:right w:val="single" w:sz="4" w:space="0" w:color="000000"/>
            </w:tcBorders>
            <w:shd w:val="clear" w:color="auto" w:fill="D2D2D2"/>
          </w:tcPr>
          <w:p>
            <w:pPr>
              <w:pStyle w:val="TableParagraph"/>
              <w:spacing w:line="240" w:lineRule="auto" w:before="50"/>
              <w:ind w:left="192"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3" w:type="dxa"/>
            <w:vMerge w:val="restart"/>
            <w:tcBorders>
              <w:top w:val="single" w:sz="6" w:space="0" w:color="FFFFFF"/>
              <w:left w:val="single" w:sz="4" w:space="0" w:color="000000"/>
              <w:right w:val="single" w:sz="4" w:space="0" w:color="000000"/>
            </w:tcBorders>
            <w:shd w:val="clear" w:color="auto" w:fill="D2D2D2"/>
          </w:tcPr>
          <w:p>
            <w:pPr>
              <w:pStyle w:val="TableParagraph"/>
              <w:spacing w:line="240" w:lineRule="auto" w:before="50"/>
              <w:ind w:left="19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tcBorders>
              <w:left w:val="single" w:sz="4" w:space="0" w:color="000000"/>
              <w:right w:val="single" w:sz="4" w:space="0" w:color="000000"/>
            </w:tcBorders>
            <w:shd w:val="clear" w:color="auto" w:fill="D2D2D2"/>
          </w:tcPr>
          <w:p>
            <w:pPr/>
          </w:p>
        </w:tc>
        <w:tc>
          <w:tcPr>
            <w:tcW w:w="787" w:type="dxa"/>
            <w:vMerge/>
            <w:tcBorders>
              <w:left w:val="single" w:sz="4" w:space="0" w:color="000000"/>
              <w:bottom w:val="nil" w:sz="6" w:space="0" w:color="auto"/>
              <w:right w:val="single" w:sz="4" w:space="0" w:color="000000"/>
            </w:tcBorders>
            <w:shd w:val="clear" w:color="auto" w:fill="D2D2D2"/>
          </w:tcPr>
          <w:p>
            <w:pPr/>
          </w:p>
        </w:tc>
        <w:tc>
          <w:tcPr>
            <w:tcW w:w="65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7"/>
              <w:ind w:left="139"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7"/>
              <w:ind w:left="192"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7"/>
              <w:ind w:left="22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7"/>
              <w:ind w:left="95"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207" w:hRule="exact"/>
        </w:trPr>
        <w:tc>
          <w:tcPr>
            <w:tcW w:w="1610" w:type="dxa"/>
            <w:vMerge/>
            <w:tcBorders>
              <w:left w:val="single" w:sz="4" w:space="0" w:color="000000"/>
              <w:right w:val="single" w:sz="4" w:space="0" w:color="000000"/>
            </w:tcBorders>
            <w:shd w:val="clear" w:color="auto" w:fill="D2D2D2"/>
          </w:tcPr>
          <w:p>
            <w:pPr/>
          </w:p>
        </w:tc>
        <w:tc>
          <w:tcPr>
            <w:tcW w:w="77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right w:val="single" w:sz="4" w:space="0" w:color="000000"/>
            </w:tcBorders>
            <w:shd w:val="clear" w:color="auto" w:fill="D2D2D2"/>
          </w:tcPr>
          <w:p>
            <w:pPr/>
          </w:p>
        </w:tc>
        <w:tc>
          <w:tcPr>
            <w:tcW w:w="787" w:type="dxa"/>
            <w:vMerge w:val="restart"/>
            <w:tcBorders>
              <w:top w:val="nil" w:sz="6" w:space="0" w:color="auto"/>
              <w:left w:val="single" w:sz="4" w:space="0" w:color="000000"/>
              <w:right w:val="single" w:sz="4" w:space="0" w:color="000000"/>
            </w:tcBorders>
            <w:shd w:val="clear" w:color="auto" w:fill="D2D2D2"/>
          </w:tcPr>
          <w:p>
            <w:pPr/>
          </w:p>
        </w:tc>
        <w:tc>
          <w:tcPr>
            <w:tcW w:w="65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816" w:type="dxa"/>
            <w:vMerge/>
            <w:tcBorders>
              <w:left w:val="single" w:sz="4" w:space="0" w:color="000000"/>
              <w:bottom w:val="nil" w:sz="6" w:space="0" w:color="auto"/>
              <w:right w:val="single" w:sz="4" w:space="0" w:color="000000"/>
            </w:tcBorders>
            <w:shd w:val="clear" w:color="auto" w:fill="D2D2D2"/>
          </w:tcPr>
          <w:p>
            <w:pPr/>
          </w:p>
        </w:tc>
        <w:tc>
          <w:tcPr>
            <w:tcW w:w="931" w:type="dxa"/>
            <w:vMerge/>
            <w:tcBorders>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
        </w:tc>
      </w:tr>
      <w:tr>
        <w:trPr>
          <w:trHeight w:val="163" w:hRule="exact"/>
        </w:trPr>
        <w:tc>
          <w:tcPr>
            <w:tcW w:w="1610" w:type="dxa"/>
            <w:vMerge/>
            <w:tcBorders>
              <w:left w:val="single" w:sz="4" w:space="0" w:color="000000"/>
              <w:bottom w:val="single" w:sz="4" w:space="0" w:color="000000"/>
              <w:right w:val="single" w:sz="4" w:space="0" w:color="000000"/>
            </w:tcBorders>
            <w:shd w:val="clear" w:color="auto" w:fill="D2D2D2"/>
          </w:tcPr>
          <w:p>
            <w:pPr/>
          </w:p>
        </w:tc>
        <w:tc>
          <w:tcPr>
            <w:tcW w:w="77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4" w:space="0" w:color="000000"/>
              <w:bottom w:val="single" w:sz="4" w:space="0" w:color="000000"/>
              <w:right w:val="single" w:sz="4" w:space="0" w:color="000000"/>
            </w:tcBorders>
            <w:shd w:val="clear" w:color="auto" w:fill="D2D2D2"/>
          </w:tcPr>
          <w:p>
            <w:pPr/>
          </w:p>
        </w:tc>
        <w:tc>
          <w:tcPr>
            <w:tcW w:w="787" w:type="dxa"/>
            <w:vMerge/>
            <w:tcBorders>
              <w:left w:val="single" w:sz="4" w:space="0" w:color="000000"/>
              <w:bottom w:val="single" w:sz="4" w:space="0" w:color="000000"/>
              <w:right w:val="single" w:sz="4" w:space="0" w:color="000000"/>
            </w:tcBorders>
            <w:shd w:val="clear" w:color="auto" w:fill="D2D2D2"/>
          </w:tcPr>
          <w:p>
            <w:pPr/>
          </w:p>
        </w:tc>
        <w:tc>
          <w:tcPr>
            <w:tcW w:w="65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816" w:type="dxa"/>
            <w:tcBorders>
              <w:top w:val="nil" w:sz="6" w:space="0" w:color="auto"/>
              <w:left w:val="single" w:sz="4" w:space="0" w:color="000000"/>
              <w:bottom w:val="single" w:sz="4" w:space="0" w:color="000000"/>
              <w:right w:val="single" w:sz="4" w:space="0" w:color="000000"/>
            </w:tcBorders>
            <w:shd w:val="clear" w:color="auto" w:fill="D2D2D2"/>
          </w:tcPr>
          <w:p>
            <w:pPr/>
          </w:p>
        </w:tc>
        <w:tc>
          <w:tcPr>
            <w:tcW w:w="931" w:type="dxa"/>
            <w:tcBorders>
              <w:top w:val="nil" w:sz="6" w:space="0" w:color="auto"/>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1022" w:hRule="exact"/>
        </w:trPr>
        <w:tc>
          <w:tcPr>
            <w:tcW w:w="1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2" w:right="142"/>
              <w:jc w:val="both"/>
              <w:rPr>
                <w:rFonts w:ascii="宋体" w:hAnsi="宋体" w:cs="宋体" w:eastAsia="宋体" w:hint="default"/>
                <w:sz w:val="18"/>
                <w:szCs w:val="18"/>
              </w:rPr>
            </w:pPr>
            <w:r>
              <w:rPr>
                <w:rFonts w:ascii="宋体" w:hAnsi="宋体" w:cs="宋体" w:eastAsia="宋体" w:hint="default"/>
                <w:spacing w:val="-2"/>
                <w:sz w:val="18"/>
                <w:szCs w:val="18"/>
              </w:rPr>
              <w:t>按信用风险特征组</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2"/>
                <w:sz w:val="18"/>
                <w:szCs w:val="18"/>
              </w:rPr>
              <w:t>合计提坏账准备的</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应收账款</w:t>
            </w:r>
          </w:p>
        </w:tc>
        <w:tc>
          <w:tcPr>
            <w:tcW w:w="77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79" w:right="0"/>
              <w:jc w:val="center"/>
              <w:rPr>
                <w:rFonts w:ascii="Times New Roman" w:hAnsi="Times New Roman" w:cs="Times New Roman" w:eastAsia="Times New Roman" w:hint="default"/>
                <w:sz w:val="18"/>
                <w:szCs w:val="18"/>
              </w:rPr>
            </w:pPr>
            <w:r>
              <w:rPr>
                <w:rFonts w:ascii="Times New Roman"/>
                <w:sz w:val="18"/>
              </w:rPr>
              <w:t>198,963,</w:t>
            </w:r>
          </w:p>
          <w:p>
            <w:pPr>
              <w:pStyle w:val="TableParagraph"/>
              <w:spacing w:line="240" w:lineRule="auto" w:before="105"/>
              <w:ind w:left="206" w:right="0"/>
              <w:jc w:val="center"/>
              <w:rPr>
                <w:rFonts w:ascii="Times New Roman" w:hAnsi="Times New Roman" w:cs="Times New Roman" w:eastAsia="Times New Roman" w:hint="default"/>
                <w:sz w:val="18"/>
                <w:szCs w:val="18"/>
              </w:rPr>
            </w:pPr>
            <w:r>
              <w:rPr>
                <w:rFonts w:ascii="Times New Roman"/>
                <w:sz w:val="18"/>
              </w:rPr>
              <w:t>106.92</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97.58%</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11,609,5</w:t>
            </w:r>
          </w:p>
          <w:p>
            <w:pPr>
              <w:pStyle w:val="TableParagraph"/>
              <w:spacing w:line="240" w:lineRule="auto" w:before="105"/>
              <w:ind w:left="321" w:right="0"/>
              <w:jc w:val="left"/>
              <w:rPr>
                <w:rFonts w:ascii="Times New Roman" w:hAnsi="Times New Roman" w:cs="Times New Roman" w:eastAsia="Times New Roman" w:hint="default"/>
                <w:sz w:val="18"/>
                <w:szCs w:val="18"/>
              </w:rPr>
            </w:pPr>
            <w:r>
              <w:rPr>
                <w:rFonts w:ascii="Times New Roman"/>
                <w:sz w:val="18"/>
              </w:rPr>
              <w:t>00.04</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5.84%</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187,353,6</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06.88</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170,981</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,588.87</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100.00%</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10,578,46</w:t>
            </w:r>
          </w:p>
          <w:p>
            <w:pPr>
              <w:pStyle w:val="TableParagraph"/>
              <w:spacing w:line="240" w:lineRule="auto" w:before="105"/>
              <w:ind w:left="460" w:right="0"/>
              <w:jc w:val="left"/>
              <w:rPr>
                <w:rFonts w:ascii="Times New Roman" w:hAnsi="Times New Roman" w:cs="Times New Roman" w:eastAsia="Times New Roman" w:hint="default"/>
                <w:sz w:val="18"/>
                <w:szCs w:val="18"/>
              </w:rPr>
            </w:pPr>
            <w:r>
              <w:rPr>
                <w:rFonts w:ascii="Times New Roman"/>
                <w:sz w:val="18"/>
              </w:rPr>
              <w:t>8.96</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427" w:right="0"/>
              <w:jc w:val="left"/>
              <w:rPr>
                <w:rFonts w:ascii="Times New Roman" w:hAnsi="Times New Roman" w:cs="Times New Roman" w:eastAsia="Times New Roman" w:hint="default"/>
                <w:sz w:val="18"/>
                <w:szCs w:val="18"/>
              </w:rPr>
            </w:pPr>
            <w:r>
              <w:rPr>
                <w:rFonts w:ascii="Times New Roman"/>
                <w:sz w:val="18"/>
              </w:rPr>
              <w:t>6.19%</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160,403,11</w:t>
            </w:r>
          </w:p>
          <w:p>
            <w:pPr>
              <w:pStyle w:val="TableParagraph"/>
              <w:spacing w:line="240" w:lineRule="auto" w:before="105"/>
              <w:ind w:left="580" w:right="0"/>
              <w:jc w:val="left"/>
              <w:rPr>
                <w:rFonts w:ascii="Times New Roman" w:hAnsi="Times New Roman" w:cs="Times New Roman" w:eastAsia="Times New Roman" w:hint="default"/>
                <w:sz w:val="18"/>
                <w:szCs w:val="18"/>
              </w:rPr>
            </w:pPr>
            <w:r>
              <w:rPr>
                <w:rFonts w:ascii="Times New Roman"/>
                <w:sz w:val="18"/>
              </w:rPr>
              <w:t>9.91</w:t>
            </w:r>
          </w:p>
        </w:tc>
      </w:tr>
      <w:tr>
        <w:trPr>
          <w:trHeight w:val="1027" w:hRule="exact"/>
        </w:trPr>
        <w:tc>
          <w:tcPr>
            <w:tcW w:w="1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2" w:right="142"/>
              <w:jc w:val="both"/>
              <w:rPr>
                <w:rFonts w:ascii="宋体" w:hAnsi="宋体" w:cs="宋体" w:eastAsia="宋体" w:hint="default"/>
                <w:sz w:val="18"/>
                <w:szCs w:val="18"/>
              </w:rPr>
            </w:pPr>
            <w:r>
              <w:rPr>
                <w:rFonts w:ascii="宋体" w:hAnsi="宋体" w:cs="宋体" w:eastAsia="宋体" w:hint="default"/>
                <w:spacing w:val="-2"/>
                <w:sz w:val="18"/>
                <w:szCs w:val="18"/>
              </w:rPr>
              <w:t>单项金额不重大但</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2"/>
                <w:sz w:val="18"/>
                <w:szCs w:val="18"/>
              </w:rPr>
              <w:t>单独计提坏账准备</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的应收账款</w:t>
            </w:r>
          </w:p>
        </w:tc>
        <w:tc>
          <w:tcPr>
            <w:tcW w:w="77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4,931,74</w:t>
            </w:r>
          </w:p>
          <w:p>
            <w:pPr>
              <w:pStyle w:val="TableParagraph"/>
              <w:spacing w:line="240" w:lineRule="auto" w:before="110"/>
              <w:ind w:left="407" w:right="0"/>
              <w:jc w:val="left"/>
              <w:rPr>
                <w:rFonts w:ascii="Times New Roman" w:hAnsi="Times New Roman" w:cs="Times New Roman" w:eastAsia="Times New Roman" w:hint="default"/>
                <w:sz w:val="18"/>
                <w:szCs w:val="18"/>
              </w:rPr>
            </w:pPr>
            <w:r>
              <w:rPr>
                <w:rFonts w:ascii="Times New Roman"/>
                <w:sz w:val="18"/>
              </w:rPr>
              <w:t>7.70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2.42%</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4,299,14</w:t>
            </w:r>
          </w:p>
          <w:p>
            <w:pPr>
              <w:pStyle w:val="TableParagraph"/>
              <w:spacing w:line="240" w:lineRule="auto" w:before="110"/>
              <w:ind w:left="407" w:right="0"/>
              <w:jc w:val="left"/>
              <w:rPr>
                <w:rFonts w:ascii="Times New Roman" w:hAnsi="Times New Roman" w:cs="Times New Roman" w:eastAsia="Times New Roman" w:hint="default"/>
                <w:sz w:val="18"/>
                <w:szCs w:val="18"/>
              </w:rPr>
            </w:pPr>
            <w:r>
              <w:rPr>
                <w:rFonts w:ascii="Times New Roman"/>
                <w:sz w:val="18"/>
              </w:rPr>
              <w:t>7.70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87.17%</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632,600.0</w:t>
            </w:r>
          </w:p>
          <w:p>
            <w:pPr>
              <w:pStyle w:val="TableParagraph"/>
              <w:spacing w:line="240" w:lineRule="auto" w:before="110"/>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653"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816"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58" w:hRule="exact"/>
        </w:trPr>
        <w:tc>
          <w:tcPr>
            <w:tcW w:w="1610" w:type="dxa"/>
            <w:tcBorders>
              <w:top w:val="single" w:sz="4" w:space="0" w:color="000000"/>
              <w:left w:val="single" w:sz="4" w:space="0" w:color="000000"/>
              <w:bottom w:val="nil" w:sz="6" w:space="0" w:color="auto"/>
              <w:right w:val="single" w:sz="4" w:space="0" w:color="000000"/>
            </w:tcBorders>
            <w:shd w:val="clear" w:color="auto" w:fill="D2D2D2"/>
          </w:tcPr>
          <w:p>
            <w:pPr/>
          </w:p>
        </w:tc>
        <w:tc>
          <w:tcPr>
            <w:tcW w:w="773" w:type="dxa"/>
            <w:vMerge w:val="restart"/>
            <w:tcBorders>
              <w:top w:val="single" w:sz="4" w:space="0" w:color="000000"/>
              <w:left w:val="single" w:sz="8" w:space="0" w:color="D2D2D2"/>
              <w:right w:val="single" w:sz="4" w:space="0" w:color="000000"/>
            </w:tcBorders>
          </w:tcPr>
          <w:p>
            <w:pPr>
              <w:pStyle w:val="TableParagraph"/>
              <w:spacing w:line="240" w:lineRule="auto" w:before="96"/>
              <w:ind w:left="83" w:right="0"/>
              <w:jc w:val="center"/>
              <w:rPr>
                <w:rFonts w:ascii="Times New Roman" w:hAnsi="Times New Roman" w:cs="Times New Roman" w:eastAsia="Times New Roman" w:hint="default"/>
                <w:sz w:val="18"/>
                <w:szCs w:val="18"/>
              </w:rPr>
            </w:pPr>
            <w:r>
              <w:rPr>
                <w:rFonts w:ascii="Times New Roman"/>
                <w:sz w:val="18"/>
              </w:rPr>
              <w:t>203,894,</w:t>
            </w:r>
          </w:p>
          <w:p>
            <w:pPr>
              <w:pStyle w:val="TableParagraph"/>
              <w:spacing w:line="240" w:lineRule="auto" w:before="105"/>
              <w:ind w:left="211" w:right="0"/>
              <w:jc w:val="center"/>
              <w:rPr>
                <w:rFonts w:ascii="Times New Roman" w:hAnsi="Times New Roman" w:cs="Times New Roman" w:eastAsia="Times New Roman" w:hint="default"/>
                <w:sz w:val="18"/>
                <w:szCs w:val="18"/>
              </w:rPr>
            </w:pPr>
            <w:r>
              <w:rPr>
                <w:rFonts w:ascii="Times New Roman"/>
                <w:sz w:val="18"/>
              </w:rPr>
              <w:t>854.62</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100.00%</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15,908,6</w:t>
            </w:r>
          </w:p>
          <w:p>
            <w:pPr>
              <w:pStyle w:val="TableParagraph"/>
              <w:spacing w:line="240" w:lineRule="auto" w:before="105"/>
              <w:ind w:left="321" w:right="0"/>
              <w:jc w:val="left"/>
              <w:rPr>
                <w:rFonts w:ascii="Times New Roman" w:hAnsi="Times New Roman" w:cs="Times New Roman" w:eastAsia="Times New Roman" w:hint="default"/>
                <w:sz w:val="18"/>
                <w:szCs w:val="18"/>
              </w:rPr>
            </w:pPr>
            <w:r>
              <w:rPr>
                <w:rFonts w:ascii="Times New Roman"/>
                <w:sz w:val="18"/>
              </w:rPr>
              <w:t>47.74</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59" w:right="0"/>
              <w:jc w:val="left"/>
              <w:rPr>
                <w:rFonts w:ascii="Times New Roman" w:hAnsi="Times New Roman" w:cs="Times New Roman" w:eastAsia="Times New Roman" w:hint="default"/>
                <w:sz w:val="18"/>
                <w:szCs w:val="18"/>
              </w:rPr>
            </w:pPr>
            <w:r>
              <w:rPr>
                <w:rFonts w:ascii="Times New Roman"/>
                <w:sz w:val="18"/>
              </w:rPr>
              <w:t>7.80%</w:t>
            </w:r>
          </w:p>
        </w:tc>
        <w:tc>
          <w:tcPr>
            <w:tcW w:w="787" w:type="dxa"/>
            <w:vMerge w:val="restart"/>
            <w:tcBorders>
              <w:top w:val="single" w:sz="4" w:space="0" w:color="000000"/>
              <w:left w:val="single" w:sz="4" w:space="0" w:color="000000"/>
              <w:right w:val="single" w:sz="4" w:space="0" w:color="000000"/>
            </w:tcBorders>
          </w:tcPr>
          <w:p>
            <w:pPr>
              <w:pStyle w:val="TableParagraph"/>
              <w:spacing w:line="240" w:lineRule="auto" w:before="96"/>
              <w:ind w:left="38" w:right="0"/>
              <w:jc w:val="left"/>
              <w:rPr>
                <w:rFonts w:ascii="Times New Roman" w:hAnsi="Times New Roman" w:cs="Times New Roman" w:eastAsia="Times New Roman" w:hint="default"/>
                <w:sz w:val="18"/>
                <w:szCs w:val="18"/>
              </w:rPr>
            </w:pPr>
            <w:r>
              <w:rPr>
                <w:rFonts w:ascii="Times New Roman"/>
                <w:sz w:val="18"/>
              </w:rPr>
              <w:t>187,986,2</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06.88</w:t>
            </w:r>
          </w:p>
        </w:tc>
        <w:tc>
          <w:tcPr>
            <w:tcW w:w="653" w:type="dxa"/>
            <w:vMerge w:val="restart"/>
            <w:tcBorders>
              <w:top w:val="single" w:sz="4" w:space="0" w:color="000000"/>
              <w:left w:val="single" w:sz="4" w:space="0" w:color="000000"/>
              <w:right w:val="single" w:sz="4" w:space="0" w:color="000000"/>
            </w:tcBorders>
          </w:tcPr>
          <w:p>
            <w:pPr>
              <w:pStyle w:val="TableParagraph"/>
              <w:spacing w:line="240" w:lineRule="auto" w:before="96"/>
              <w:ind w:left="38" w:right="0"/>
              <w:jc w:val="left"/>
              <w:rPr>
                <w:rFonts w:ascii="Times New Roman" w:hAnsi="Times New Roman" w:cs="Times New Roman" w:eastAsia="Times New Roman" w:hint="default"/>
                <w:sz w:val="18"/>
                <w:szCs w:val="18"/>
              </w:rPr>
            </w:pPr>
            <w:r>
              <w:rPr>
                <w:rFonts w:ascii="Times New Roman"/>
                <w:sz w:val="18"/>
              </w:rPr>
              <w:t>170,981</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,588.87</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100.00%</w:t>
            </w:r>
          </w:p>
        </w:tc>
        <w:tc>
          <w:tcPr>
            <w:tcW w:w="816" w:type="dxa"/>
            <w:vMerge w:val="restart"/>
            <w:tcBorders>
              <w:top w:val="single" w:sz="4" w:space="0" w:color="000000"/>
              <w:left w:val="single" w:sz="4" w:space="0" w:color="000000"/>
              <w:right w:val="single" w:sz="4" w:space="0" w:color="000000"/>
            </w:tcBorders>
          </w:tcPr>
          <w:p>
            <w:pPr>
              <w:pStyle w:val="TableParagraph"/>
              <w:spacing w:line="240" w:lineRule="auto" w:before="96"/>
              <w:ind w:left="62" w:right="0"/>
              <w:jc w:val="left"/>
              <w:rPr>
                <w:rFonts w:ascii="Times New Roman" w:hAnsi="Times New Roman" w:cs="Times New Roman" w:eastAsia="Times New Roman" w:hint="default"/>
                <w:sz w:val="18"/>
                <w:szCs w:val="18"/>
              </w:rPr>
            </w:pPr>
            <w:r>
              <w:rPr>
                <w:rFonts w:ascii="Times New Roman"/>
                <w:sz w:val="18"/>
              </w:rPr>
              <w:t>10,578,46</w:t>
            </w:r>
          </w:p>
          <w:p>
            <w:pPr>
              <w:pStyle w:val="TableParagraph"/>
              <w:spacing w:line="240" w:lineRule="auto" w:before="105"/>
              <w:ind w:left="460" w:right="0"/>
              <w:jc w:val="left"/>
              <w:rPr>
                <w:rFonts w:ascii="Times New Roman" w:hAnsi="Times New Roman" w:cs="Times New Roman" w:eastAsia="Times New Roman" w:hint="default"/>
                <w:sz w:val="18"/>
                <w:szCs w:val="18"/>
              </w:rPr>
            </w:pPr>
            <w:r>
              <w:rPr>
                <w:rFonts w:ascii="Times New Roman"/>
                <w:sz w:val="18"/>
              </w:rPr>
              <w:t>8.96</w:t>
            </w: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27" w:right="0"/>
              <w:jc w:val="left"/>
              <w:rPr>
                <w:rFonts w:ascii="Times New Roman" w:hAnsi="Times New Roman" w:cs="Times New Roman" w:eastAsia="Times New Roman" w:hint="default"/>
                <w:sz w:val="18"/>
                <w:szCs w:val="18"/>
              </w:rPr>
            </w:pPr>
            <w:r>
              <w:rPr>
                <w:rFonts w:ascii="Times New Roman"/>
                <w:sz w:val="18"/>
              </w:rPr>
              <w:t>6.19%</w:t>
            </w: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160,403,11</w:t>
            </w:r>
          </w:p>
          <w:p>
            <w:pPr>
              <w:pStyle w:val="TableParagraph"/>
              <w:spacing w:line="240" w:lineRule="auto" w:before="105"/>
              <w:ind w:left="580" w:right="0"/>
              <w:jc w:val="left"/>
              <w:rPr>
                <w:rFonts w:ascii="Times New Roman" w:hAnsi="Times New Roman" w:cs="Times New Roman" w:eastAsia="Times New Roman" w:hint="default"/>
                <w:sz w:val="18"/>
                <w:szCs w:val="18"/>
              </w:rPr>
            </w:pPr>
            <w:r>
              <w:rPr>
                <w:rFonts w:ascii="Times New Roman"/>
                <w:sz w:val="18"/>
              </w:rPr>
              <w:t>9.91</w:t>
            </w:r>
          </w:p>
        </w:tc>
      </w:tr>
      <w:tr>
        <w:trPr>
          <w:trHeight w:val="394" w:hRule="exact"/>
        </w:trPr>
        <w:tc>
          <w:tcPr>
            <w:tcW w:w="161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4"/>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3" w:type="dxa"/>
            <w:vMerge/>
            <w:tcBorders>
              <w:left w:val="single" w:sz="8" w:space="0" w:color="D2D2D2"/>
              <w:right w:val="single" w:sz="4" w:space="0" w:color="000000"/>
            </w:tcBorders>
          </w:tcPr>
          <w:p>
            <w:pPr/>
          </w:p>
        </w:tc>
        <w:tc>
          <w:tcPr>
            <w:tcW w:w="763"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87" w:type="dxa"/>
            <w:vMerge/>
            <w:tcBorders>
              <w:left w:val="single" w:sz="4" w:space="0" w:color="000000"/>
              <w:right w:val="single" w:sz="4" w:space="0" w:color="000000"/>
            </w:tcBorders>
          </w:tcPr>
          <w:p>
            <w:pPr/>
          </w:p>
        </w:tc>
        <w:tc>
          <w:tcPr>
            <w:tcW w:w="653"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816"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3" w:hRule="exact"/>
        </w:trPr>
        <w:tc>
          <w:tcPr>
            <w:tcW w:w="1610" w:type="dxa"/>
            <w:tcBorders>
              <w:top w:val="nil" w:sz="6" w:space="0" w:color="auto"/>
              <w:left w:val="single" w:sz="4" w:space="0" w:color="000000"/>
              <w:bottom w:val="single" w:sz="4" w:space="0" w:color="000000"/>
              <w:right w:val="single" w:sz="4" w:space="0" w:color="000000"/>
            </w:tcBorders>
            <w:shd w:val="clear" w:color="auto" w:fill="D2D2D2"/>
          </w:tcPr>
          <w:p>
            <w:pPr/>
          </w:p>
        </w:tc>
        <w:tc>
          <w:tcPr>
            <w:tcW w:w="773" w:type="dxa"/>
            <w:vMerge/>
            <w:tcBorders>
              <w:left w:val="single" w:sz="8" w:space="0" w:color="D2D2D2"/>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87" w:type="dxa"/>
            <w:vMerge/>
            <w:tcBorders>
              <w:left w:val="single" w:sz="4" w:space="0" w:color="000000"/>
              <w:bottom w:val="single" w:sz="4" w:space="0" w:color="000000"/>
              <w:right w:val="single" w:sz="4" w:space="0" w:color="000000"/>
            </w:tcBorders>
          </w:tcPr>
          <w:p>
            <w:pPr/>
          </w:p>
        </w:tc>
        <w:tc>
          <w:tcPr>
            <w:tcW w:w="653"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816"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期末单项金额重大并单项计提坏账准备的应收账款：</w:t>
      </w:r>
    </w:p>
    <w:p>
      <w:pPr>
        <w:spacing w:line="338" w:lineRule="auto" w:before="119"/>
        <w:ind w:left="152" w:right="528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组合中，按账龄分析法计提坏账准备的应收账款：</w:t>
      </w:r>
    </w:p>
    <w:p>
      <w:pPr>
        <w:spacing w:after="0" w:line="338" w:lineRule="auto"/>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6"/>
        <w:rPr>
          <w:rFonts w:ascii="宋体" w:hAnsi="宋体" w:cs="宋体" w:eastAsia="宋体" w:hint="default"/>
          <w:sz w:val="26"/>
          <w:szCs w:val="26"/>
        </w:rPr>
      </w:pPr>
    </w:p>
    <w:p>
      <w:pPr>
        <w:spacing w:before="46"/>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不适用</w:t>
      </w:r>
    </w:p>
    <w:p>
      <w:pPr>
        <w:spacing w:before="101"/>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380"/>
        <w:gridCol w:w="2394"/>
        <w:gridCol w:w="2392"/>
        <w:gridCol w:w="2389"/>
      </w:tblGrid>
      <w:tr>
        <w:trPr>
          <w:trHeight w:val="196" w:hRule="exact"/>
        </w:trPr>
        <w:tc>
          <w:tcPr>
            <w:tcW w:w="2380" w:type="dxa"/>
            <w:tcBorders>
              <w:top w:val="single" w:sz="4" w:space="0" w:color="000000"/>
              <w:left w:val="single" w:sz="4" w:space="0" w:color="000000"/>
              <w:bottom w:val="nil" w:sz="6" w:space="0" w:color="auto"/>
              <w:right w:val="single" w:sz="4" w:space="0" w:color="000000"/>
            </w:tcBorders>
            <w:shd w:val="clear" w:color="auto" w:fill="D2D2D2"/>
          </w:tcPr>
          <w:p>
            <w:pPr/>
          </w:p>
        </w:tc>
        <w:tc>
          <w:tcPr>
            <w:tcW w:w="7175"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7" w:hRule="exact"/>
        </w:trPr>
        <w:tc>
          <w:tcPr>
            <w:tcW w:w="238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right="11"/>
              <w:jc w:val="center"/>
              <w:rPr>
                <w:rFonts w:ascii="宋体" w:hAnsi="宋体" w:cs="宋体" w:eastAsia="宋体" w:hint="default"/>
                <w:sz w:val="18"/>
                <w:szCs w:val="18"/>
              </w:rPr>
            </w:pPr>
            <w:r>
              <w:rPr>
                <w:rFonts w:ascii="宋体" w:hAnsi="宋体" w:cs="宋体" w:eastAsia="宋体" w:hint="default"/>
                <w:sz w:val="18"/>
                <w:szCs w:val="18"/>
              </w:rPr>
              <w:t>账龄</w:t>
            </w:r>
          </w:p>
        </w:tc>
        <w:tc>
          <w:tcPr>
            <w:tcW w:w="7175" w:type="dxa"/>
            <w:gridSpan w:val="3"/>
            <w:vMerge/>
            <w:tcBorders>
              <w:left w:val="single" w:sz="4" w:space="0" w:color="000000"/>
              <w:bottom w:val="single" w:sz="4" w:space="0" w:color="000000"/>
              <w:right w:val="single" w:sz="4" w:space="0" w:color="000000"/>
            </w:tcBorders>
            <w:shd w:val="clear" w:color="auto" w:fill="D2D2D2"/>
          </w:tcPr>
          <w:p>
            <w:pPr/>
          </w:p>
        </w:tc>
      </w:tr>
      <w:tr>
        <w:trPr>
          <w:trHeight w:val="192" w:hRule="exact"/>
        </w:trPr>
        <w:tc>
          <w:tcPr>
            <w:tcW w:w="2380" w:type="dxa"/>
            <w:vMerge/>
            <w:tcBorders>
              <w:left w:val="single" w:sz="4" w:space="0" w:color="000000"/>
              <w:bottom w:val="nil" w:sz="6" w:space="0" w:color="auto"/>
              <w:right w:val="single" w:sz="4" w:space="0" w:color="000000"/>
            </w:tcBorders>
            <w:shd w:val="clear" w:color="auto" w:fill="D2D2D2"/>
          </w:tcPr>
          <w:p>
            <w:pPr/>
          </w:p>
        </w:tc>
        <w:tc>
          <w:tcPr>
            <w:tcW w:w="23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right="1"/>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8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21" w:hRule="exact"/>
        </w:trPr>
        <w:tc>
          <w:tcPr>
            <w:tcW w:w="2380"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4"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c>
          <w:tcPr>
            <w:tcW w:w="2389" w:type="dxa"/>
            <w:vMerge/>
            <w:tcBorders>
              <w:left w:val="single" w:sz="4" w:space="0" w:color="000000"/>
              <w:bottom w:val="single" w:sz="4" w:space="0" w:color="000000"/>
              <w:right w:val="single" w:sz="4" w:space="0" w:color="000000"/>
            </w:tcBorders>
            <w:shd w:val="clear" w:color="auto" w:fill="D2D2D2"/>
          </w:tcPr>
          <w:p>
            <w:pPr/>
          </w:p>
        </w:tc>
      </w:tr>
      <w:tr>
        <w:trPr>
          <w:trHeight w:val="398" w:hRule="exact"/>
        </w:trPr>
        <w:tc>
          <w:tcPr>
            <w:tcW w:w="9554"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年以内分项</w:t>
            </w:r>
          </w:p>
        </w:tc>
      </w:tr>
      <w:tr>
        <w:trPr>
          <w:trHeight w:val="403" w:hRule="exact"/>
        </w:trPr>
        <w:tc>
          <w:tcPr>
            <w:tcW w:w="2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年以内小计</w:t>
            </w:r>
          </w:p>
        </w:tc>
        <w:tc>
          <w:tcPr>
            <w:tcW w:w="2394"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187,519,916.28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9,375,995.78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5.00%</w:t>
            </w:r>
          </w:p>
        </w:tc>
      </w:tr>
      <w:tr>
        <w:trPr>
          <w:trHeight w:val="398" w:hRule="exact"/>
        </w:trPr>
        <w:tc>
          <w:tcPr>
            <w:tcW w:w="2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2394"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3,035,318.49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303,531.84</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10.00%</w:t>
            </w:r>
          </w:p>
        </w:tc>
      </w:tr>
      <w:tr>
        <w:trPr>
          <w:trHeight w:val="403" w:hRule="exact"/>
        </w:trPr>
        <w:tc>
          <w:tcPr>
            <w:tcW w:w="2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2394"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7,980,295.63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1,596,059.13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20.00%</w:t>
            </w:r>
          </w:p>
        </w:tc>
      </w:tr>
      <w:tr>
        <w:trPr>
          <w:trHeight w:val="403" w:hRule="exact"/>
        </w:trPr>
        <w:tc>
          <w:tcPr>
            <w:tcW w:w="2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年</w:t>
            </w:r>
          </w:p>
        </w:tc>
        <w:tc>
          <w:tcPr>
            <w:tcW w:w="2394"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122,351.65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61,175.83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50.00%</w:t>
            </w:r>
          </w:p>
        </w:tc>
      </w:tr>
      <w:tr>
        <w:trPr>
          <w:trHeight w:val="403" w:hRule="exact"/>
        </w:trPr>
        <w:tc>
          <w:tcPr>
            <w:tcW w:w="2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年</w:t>
            </w:r>
          </w:p>
        </w:tc>
        <w:tc>
          <w:tcPr>
            <w:tcW w:w="2394"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162,434.57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129,947.66</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80.00%</w:t>
            </w:r>
          </w:p>
        </w:tc>
      </w:tr>
      <w:tr>
        <w:trPr>
          <w:trHeight w:val="398" w:hRule="exact"/>
        </w:trPr>
        <w:tc>
          <w:tcPr>
            <w:tcW w:w="2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2394"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142,789.80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142,789.80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2"/>
                <w:sz w:val="18"/>
              </w:rPr>
              <w:t>100.00%</w:t>
            </w:r>
          </w:p>
        </w:tc>
      </w:tr>
      <w:tr>
        <w:trPr>
          <w:trHeight w:val="403" w:hRule="exact"/>
        </w:trPr>
        <w:tc>
          <w:tcPr>
            <w:tcW w:w="2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4"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198,963,106.42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2"/>
                <w:sz w:val="18"/>
              </w:rPr>
              <w:t>11,609,500.04</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5.84%</w:t>
            </w:r>
          </w:p>
        </w:tc>
      </w:tr>
    </w:tbl>
    <w:p>
      <w:pPr>
        <w:spacing w:line="362" w:lineRule="auto" w:before="53"/>
        <w:ind w:left="152" w:right="5284" w:firstLine="0"/>
        <w:jc w:val="left"/>
        <w:rPr>
          <w:rFonts w:ascii="宋体" w:hAnsi="宋体" w:cs="宋体" w:eastAsia="宋体" w:hint="default"/>
          <w:sz w:val="18"/>
          <w:szCs w:val="18"/>
        </w:rPr>
      </w:pPr>
      <w:r>
        <w:rPr>
          <w:rFonts w:ascii="宋体" w:hAnsi="宋体" w:cs="宋体" w:eastAsia="宋体" w:hint="default"/>
          <w:spacing w:val="-3"/>
          <w:sz w:val="18"/>
          <w:szCs w:val="18"/>
        </w:rPr>
        <w:t>确定该组合依据的说明：</w:t>
      </w:r>
      <w:r>
        <w:rPr>
          <w:rFonts w:ascii="宋体" w:hAnsi="宋体" w:cs="宋体" w:eastAsia="宋体" w:hint="default"/>
          <w:spacing w:val="-57"/>
          <w:sz w:val="18"/>
          <w:szCs w:val="18"/>
        </w:rPr>
        <w:t> </w:t>
      </w:r>
      <w:r>
        <w:rPr>
          <w:rFonts w:ascii="宋体" w:hAnsi="宋体" w:cs="宋体" w:eastAsia="宋体" w:hint="default"/>
          <w:spacing w:val="-57"/>
          <w:sz w:val="18"/>
          <w:szCs w:val="18"/>
        </w:rPr>
      </w:r>
      <w:r>
        <w:rPr>
          <w:rFonts w:ascii="宋体" w:hAnsi="宋体" w:cs="宋体" w:eastAsia="宋体" w:hint="default"/>
          <w:spacing w:val="-3"/>
          <w:sz w:val="18"/>
          <w:szCs w:val="18"/>
        </w:rPr>
        <w:t>组合中，采用余额百分比法计提坏账准备的应收账款：</w:t>
      </w:r>
    </w:p>
    <w:p>
      <w:pPr>
        <w:spacing w:line="333" w:lineRule="auto" w:before="23"/>
        <w:ind w:left="152" w:right="5284" w:firstLine="0"/>
        <w:jc w:val="left"/>
        <w:rPr>
          <w:rFonts w:ascii="宋体" w:hAnsi="宋体" w:cs="宋体" w:eastAsia="宋体" w:hint="default"/>
          <w:sz w:val="21"/>
          <w:szCs w:val="21"/>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组合中，采用其他方法计提坏账准备的应收账款：</w:t>
      </w:r>
      <w:r>
        <w:rPr>
          <w:rFonts w:ascii="宋体" w:hAnsi="宋体" w:cs="宋体" w:eastAsia="宋体" w:hint="default"/>
          <w:spacing w:val="-23"/>
          <w:sz w:val="18"/>
          <w:szCs w:val="18"/>
        </w:rPr>
        <w:t> </w:t>
      </w:r>
      <w:r>
        <w:rPr>
          <w:rFonts w:ascii="宋体" w:hAnsi="宋体" w:cs="宋体" w:eastAsia="宋体" w:hint="default"/>
          <w:spacing w:val="-23"/>
          <w:sz w:val="18"/>
          <w:szCs w:val="18"/>
        </w:rPr>
      </w:r>
      <w:r>
        <w:rPr>
          <w:rFonts w:ascii="宋体" w:hAnsi="宋体" w:cs="宋体" w:eastAsia="宋体" w:hint="default"/>
          <w:sz w:val="21"/>
          <w:szCs w:val="21"/>
        </w:rPr>
        <w:t>不适用</w:t>
      </w:r>
    </w:p>
    <w:p>
      <w:pPr>
        <w:spacing w:line="240" w:lineRule="auto" w:before="8"/>
        <w:rPr>
          <w:rFonts w:ascii="宋体" w:hAnsi="宋体" w:cs="宋体" w:eastAsia="宋体" w:hint="default"/>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after="0" w:line="240" w:lineRule="auto"/>
        <w:rPr>
          <w:rFonts w:ascii="Microsoft JhengHei" w:hAnsi="Microsoft JhengHei" w:cs="Microsoft JhengHei" w:eastAsia="Microsoft JhengHei" w:hint="default"/>
          <w:sz w:val="16"/>
          <w:szCs w:val="16"/>
        </w:rPr>
        <w:sectPr>
          <w:pgSz w:w="11900" w:h="16840"/>
          <w:pgMar w:header="872" w:footer="984" w:top="1060" w:bottom="1180" w:left="980" w:right="980"/>
        </w:sectPr>
      </w:pPr>
    </w:p>
    <w:p>
      <w:pPr>
        <w:spacing w:line="343" w:lineRule="auto" w:before="46"/>
        <w:ind w:left="152" w:right="-10"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 </w:t>
      </w:r>
      <w:r>
        <w:rPr>
          <w:rFonts w:ascii="Times New Roman" w:hAnsi="Times New Roman" w:cs="Times New Roman" w:eastAsia="Times New Roman" w:hint="default"/>
          <w:sz w:val="18"/>
          <w:szCs w:val="18"/>
        </w:rPr>
        <w:t>2,565,997.66 </w:t>
      </w:r>
      <w:r>
        <w:rPr>
          <w:rFonts w:ascii="宋体" w:hAnsi="宋体" w:cs="宋体" w:eastAsia="宋体" w:hint="default"/>
          <w:spacing w:val="-3"/>
          <w:sz w:val="18"/>
          <w:szCs w:val="18"/>
        </w:rPr>
        <w:t>元；本期收回或转回坏账准备金额元。</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3"/>
          <w:sz w:val="18"/>
          <w:szCs w:val="18"/>
        </w:rPr>
        <w:t>其中本期坏账准备收回或转回金额重要的：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00" w:h="16840"/>
          <w:pgMar w:top="1060" w:bottom="1180" w:left="980" w:right="980"/>
          <w:cols w:num="2" w:equalWidth="0">
            <w:col w:w="6052" w:space="2770"/>
            <w:col w:w="1118"/>
          </w:cols>
        </w:sectPr>
      </w:pP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60" w:right="0"/>
              <w:jc w:val="left"/>
              <w:rPr>
                <w:rFonts w:ascii="宋体" w:hAnsi="宋体" w:cs="宋体" w:eastAsia="宋体" w:hint="default"/>
                <w:sz w:val="18"/>
                <w:szCs w:val="18"/>
              </w:rPr>
            </w:pPr>
            <w:r>
              <w:rPr>
                <w:rFonts w:ascii="宋体" w:hAnsi="宋体" w:cs="宋体" w:eastAsia="宋体" w:hint="default"/>
                <w:spacing w:val="-3"/>
                <w:sz w:val="18"/>
                <w:szCs w:val="18"/>
              </w:rPr>
              <w:t>收回或转回金额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3</w:t>
      </w:r>
      <w:r>
        <w:rPr/>
        <w:t>）本期实际核销的应收账款情况</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786"/>
        <w:gridCol w:w="4781"/>
      </w:tblGrid>
      <w:tr>
        <w:trPr>
          <w:trHeight w:val="398" w:hRule="exact"/>
        </w:trPr>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4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3"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323,358.07</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其中重要的应收账款核销情况：</w:t>
      </w:r>
    </w:p>
    <w:p>
      <w:pPr>
        <w:spacing w:before="119"/>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98"/>
        <w:gridCol w:w="1594"/>
        <w:gridCol w:w="1594"/>
        <w:gridCol w:w="1594"/>
        <w:gridCol w:w="1594"/>
        <w:gridCol w:w="1594"/>
      </w:tblGrid>
      <w:tr>
        <w:trPr>
          <w:trHeight w:val="715" w:hRule="exact"/>
        </w:trPr>
        <w:tc>
          <w:tcPr>
            <w:tcW w:w="1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4"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22"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27"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58" w:right="0"/>
              <w:jc w:val="left"/>
              <w:rPr>
                <w:rFonts w:ascii="宋体" w:hAnsi="宋体" w:cs="宋体" w:eastAsia="宋体" w:hint="default"/>
                <w:sz w:val="18"/>
                <w:szCs w:val="18"/>
              </w:rPr>
            </w:pPr>
            <w:r>
              <w:rPr>
                <w:rFonts w:ascii="宋体" w:hAnsi="宋体" w:cs="宋体" w:eastAsia="宋体" w:hint="default"/>
                <w:spacing w:val="-3"/>
                <w:sz w:val="18"/>
                <w:szCs w:val="18"/>
              </w:rPr>
              <w:t>履行的核销程序</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518" w:right="65" w:hanging="447"/>
              <w:jc w:val="left"/>
              <w:rPr>
                <w:rFonts w:ascii="宋体" w:hAnsi="宋体" w:cs="宋体" w:eastAsia="宋体" w:hint="default"/>
                <w:sz w:val="18"/>
                <w:szCs w:val="18"/>
              </w:rPr>
            </w:pPr>
            <w:r>
              <w:rPr>
                <w:rFonts w:ascii="宋体" w:hAnsi="宋体" w:cs="宋体" w:eastAsia="宋体" w:hint="default"/>
                <w:spacing w:val="-2"/>
                <w:sz w:val="18"/>
                <w:szCs w:val="18"/>
              </w:rPr>
              <w:t>款项是否由关联交</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易产生</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应收账款核销说明：</w:t>
      </w:r>
    </w:p>
    <w:p>
      <w:pPr>
        <w:spacing w:after="0"/>
        <w:jc w:val="left"/>
        <w:rPr>
          <w:rFonts w:ascii="宋体" w:hAnsi="宋体" w:cs="宋体" w:eastAsia="宋体" w:hint="default"/>
          <w:sz w:val="18"/>
          <w:szCs w:val="18"/>
        </w:rPr>
        <w:sectPr>
          <w:type w:val="continuous"/>
          <w:pgSz w:w="11900" w:h="16840"/>
          <w:pgMar w:top="1060" w:bottom="1180" w:left="980" w:right="980"/>
        </w:sectPr>
      </w:pPr>
    </w:p>
    <w:p>
      <w:pPr>
        <w:spacing w:line="240" w:lineRule="auto" w:before="12"/>
        <w:rPr>
          <w:rFonts w:ascii="宋体" w:hAnsi="宋体" w:cs="宋体" w:eastAsia="宋体" w:hint="default"/>
          <w:sz w:val="24"/>
          <w:szCs w:val="24"/>
        </w:rPr>
      </w:pPr>
    </w:p>
    <w:p>
      <w:pPr>
        <w:pStyle w:val="Heading4"/>
        <w:spacing w:line="335" w:lineRule="exact"/>
        <w:ind w:right="0"/>
        <w:jc w:val="left"/>
        <w:rPr>
          <w:b w:val="0"/>
          <w:bCs w:val="0"/>
        </w:rPr>
      </w:pP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after="0" w:line="240" w:lineRule="auto"/>
        <w:rPr>
          <w:rFonts w:ascii="Microsoft JhengHei" w:hAnsi="Microsoft JhengHei" w:cs="Microsoft JhengHei" w:eastAsia="Microsoft JhengHei" w:hint="default"/>
          <w:sz w:val="16"/>
          <w:szCs w:val="16"/>
        </w:rPr>
        <w:sectPr>
          <w:pgSz w:w="11900" w:h="16840"/>
          <w:pgMar w:header="872" w:footer="984" w:top="1060" w:bottom="1180" w:left="980" w:right="980"/>
        </w:sectPr>
      </w:pPr>
    </w:p>
    <w:p>
      <w:pPr>
        <w:spacing w:line="240" w:lineRule="auto" w:before="17"/>
        <w:rPr>
          <w:rFonts w:ascii="Microsoft JhengHei" w:hAnsi="Microsoft JhengHei" w:cs="Microsoft JhengHei" w:eastAsia="Microsoft JhengHei" w:hint="default"/>
          <w:b/>
          <w:bCs/>
          <w:sz w:val="18"/>
          <w:szCs w:val="18"/>
        </w:rPr>
      </w:pPr>
    </w:p>
    <w:p>
      <w:pPr>
        <w:tabs>
          <w:tab w:pos="4247" w:val="left" w:leader="none"/>
        </w:tabs>
        <w:spacing w:line="313" w:lineRule="exact" w:before="0"/>
        <w:ind w:left="0" w:right="0" w:firstLine="0"/>
        <w:jc w:val="righ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单位名称</w:t>
        <w:tab/>
        <w:t>应收账款</w:t>
      </w:r>
      <w:r>
        <w:rPr>
          <w:rFonts w:ascii="Microsoft JhengHei" w:hAnsi="Microsoft JhengHei" w:cs="Microsoft JhengHei" w:eastAsia="Microsoft JhengHei" w:hint="default"/>
          <w:sz w:val="18"/>
          <w:szCs w:val="18"/>
        </w:rPr>
      </w:r>
    </w:p>
    <w:p>
      <w:pPr>
        <w:spacing w:line="313" w:lineRule="exact" w:before="0"/>
        <w:ind w:left="0" w:right="0" w:firstLine="0"/>
        <w:jc w:val="righ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期末余额</w:t>
      </w:r>
      <w:r>
        <w:rPr>
          <w:rFonts w:ascii="Microsoft JhengHei" w:hAnsi="Microsoft JhengHei" w:cs="Microsoft JhengHei" w:eastAsia="Microsoft JhengHei" w:hint="default"/>
          <w:sz w:val="18"/>
          <w:szCs w:val="18"/>
        </w:rPr>
      </w:r>
    </w:p>
    <w:p>
      <w:pPr>
        <w:spacing w:before="46"/>
        <w:ind w:left="1544"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单位：</w:t>
      </w:r>
      <w:r>
        <w:rPr>
          <w:rFonts w:ascii="宋体" w:hAnsi="宋体" w:cs="宋体" w:eastAsia="宋体" w:hint="default"/>
          <w:spacing w:val="-14"/>
          <w:sz w:val="18"/>
          <w:szCs w:val="18"/>
        </w:rPr>
        <w:t> </w:t>
      </w:r>
      <w:r>
        <w:rPr>
          <w:rFonts w:ascii="宋体" w:hAnsi="宋体" w:cs="宋体" w:eastAsia="宋体" w:hint="default"/>
          <w:sz w:val="18"/>
          <w:szCs w:val="18"/>
        </w:rPr>
        <w:t>元</w:t>
      </w:r>
    </w:p>
    <w:p>
      <w:pPr>
        <w:spacing w:line="313" w:lineRule="exact" w:before="48"/>
        <w:ind w:left="0" w:right="103" w:firstLine="0"/>
        <w:jc w:val="right"/>
        <w:rPr>
          <w:rFonts w:ascii="Microsoft JhengHei" w:hAnsi="Microsoft JhengHei" w:cs="Microsoft JhengHei" w:eastAsia="Microsoft JhengHei" w:hint="default"/>
          <w:sz w:val="18"/>
          <w:szCs w:val="18"/>
        </w:rPr>
      </w:pPr>
      <w:r>
        <w:rPr/>
        <w:pict>
          <v:group style="position:absolute;margin-left:56.16pt;margin-top:3.295232pt;width:464.65pt;height:1pt;mso-position-horizontal-relative:page;mso-position-vertical-relative:paragraph;z-index:-1069264" coordorigin="1123,66" coordsize="9293,20">
            <v:group style="position:absolute;left:1133;top:76;width:2933;height:2" coordorigin="1133,76" coordsize="2933,2">
              <v:shape style="position:absolute;left:1133;top:76;width:2933;height:2" coordorigin="1133,76" coordsize="2933,0" path="m1133,76l4066,76e" filled="false" stroked="true" strokeweight=".96pt" strokecolor="#000000">
                <v:path arrowok="t"/>
              </v:shape>
            </v:group>
            <v:group style="position:absolute;left:4066;top:76;width:20;height:2" coordorigin="4066,76" coordsize="20,2">
              <v:shape style="position:absolute;left:4066;top:76;width:20;height:2" coordorigin="4066,76" coordsize="20,0" path="m4066,76l4085,76e" filled="false" stroked="true" strokeweight=".96pt" strokecolor="#000000">
                <v:path arrowok="t"/>
              </v:shape>
            </v:group>
            <v:group style="position:absolute;left:4085;top:76;width:2252;height:2" coordorigin="4085,76" coordsize="2252,2">
              <v:shape style="position:absolute;left:4085;top:76;width:2252;height:2" coordorigin="4085,76" coordsize="2252,0" path="m4085,76l6336,76e" filled="false" stroked="true" strokeweight=".96pt" strokecolor="#000000">
                <v:path arrowok="t"/>
              </v:shape>
            </v:group>
            <v:group style="position:absolute;left:6336;top:76;width:20;height:2" coordorigin="6336,76" coordsize="20,2">
              <v:shape style="position:absolute;left:6336;top:76;width:20;height:2" coordorigin="6336,76" coordsize="20,0" path="m6336,76l6355,76e" filled="false" stroked="true" strokeweight=".96pt" strokecolor="#000000">
                <v:path arrowok="t"/>
              </v:shape>
            </v:group>
            <v:group style="position:absolute;left:6355;top:76;width:2247;height:2" coordorigin="6355,76" coordsize="2247,2">
              <v:shape style="position:absolute;left:6355;top:76;width:2247;height:2" coordorigin="6355,76" coordsize="2247,0" path="m6355,76l8602,76e" filled="false" stroked="true" strokeweight=".96pt" strokecolor="#000000">
                <v:path arrowok="t"/>
              </v:shape>
            </v:group>
            <v:group style="position:absolute;left:8602;top:76;width:20;height:2" coordorigin="8602,76" coordsize="20,2">
              <v:shape style="position:absolute;left:8602;top:76;width:20;height:2" coordorigin="8602,76" coordsize="20,0" path="m8602,76l8621,76e" filled="false" stroked="true" strokeweight=".96pt" strokecolor="#000000">
                <v:path arrowok="t"/>
              </v:shape>
            </v:group>
            <v:group style="position:absolute;left:8621;top:76;width:1786;height:2" coordorigin="8621,76" coordsize="1786,2">
              <v:shape style="position:absolute;left:8621;top:76;width:1786;height:2" coordorigin="8621,76" coordsize="1786,0" path="m8621,76l10406,76e" filled="false" stroked="true" strokeweight=".96pt" strokecolor="#000000">
                <v:path arrowok="t"/>
              </v:shape>
            </v:group>
            <w10:wrap type="none"/>
          </v:group>
        </w:pict>
      </w:r>
      <w:r>
        <w:rPr>
          <w:rFonts w:ascii="Microsoft JhengHei" w:hAnsi="Microsoft JhengHei" w:cs="Microsoft JhengHei" w:eastAsia="Microsoft JhengHei" w:hint="default"/>
          <w:b/>
          <w:bCs/>
          <w:spacing w:val="-2"/>
          <w:sz w:val="18"/>
          <w:szCs w:val="18"/>
        </w:rPr>
        <w:t>占应收账款期末余额合计数</w:t>
      </w:r>
      <w:r>
        <w:rPr>
          <w:rFonts w:ascii="Microsoft JhengHei" w:hAnsi="Microsoft JhengHei" w:cs="Microsoft JhengHei" w:eastAsia="Microsoft JhengHei" w:hint="default"/>
          <w:spacing w:val="-2"/>
          <w:sz w:val="18"/>
          <w:szCs w:val="18"/>
        </w:rPr>
      </w:r>
    </w:p>
    <w:p>
      <w:pPr>
        <w:spacing w:line="313" w:lineRule="exact" w:before="0"/>
        <w:ind w:left="0" w:right="108" w:firstLine="0"/>
        <w:jc w:val="righ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w w:val="90"/>
          <w:sz w:val="18"/>
          <w:szCs w:val="18"/>
        </w:rPr>
        <w:t>的比例%</w:t>
      </w:r>
      <w:r>
        <w:rPr>
          <w:rFonts w:ascii="Microsoft JhengHei" w:hAnsi="Microsoft JhengHei" w:cs="Microsoft JhengHei" w:eastAsia="Microsoft JhengHei" w:hint="default"/>
          <w:sz w:val="18"/>
          <w:szCs w:val="18"/>
        </w:rPr>
      </w:r>
    </w:p>
    <w:p>
      <w:pPr>
        <w:spacing w:line="240" w:lineRule="auto" w:before="17"/>
        <w:rPr>
          <w:rFonts w:ascii="Microsoft JhengHei" w:hAnsi="Microsoft JhengHei" w:cs="Microsoft JhengHei" w:eastAsia="Microsoft JhengHei" w:hint="default"/>
          <w:b/>
          <w:bCs/>
          <w:sz w:val="18"/>
          <w:szCs w:val="18"/>
        </w:rPr>
      </w:pPr>
      <w:r>
        <w:rPr/>
        <w:br w:type="column"/>
      </w:r>
      <w:r>
        <w:rPr>
          <w:rFonts w:ascii="Microsoft JhengHei"/>
          <w:b/>
          <w:sz w:val="18"/>
        </w:rPr>
      </w:r>
    </w:p>
    <w:p>
      <w:pPr>
        <w:spacing w:before="0"/>
        <w:ind w:left="373" w:right="508" w:firstLine="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坏账准备</w:t>
      </w:r>
      <w:r>
        <w:rPr>
          <w:rFonts w:ascii="Microsoft JhengHei" w:hAnsi="Microsoft JhengHei" w:cs="Microsoft JhengHei" w:eastAsia="Microsoft JhengHei" w:hint="default"/>
          <w:b/>
          <w:bCs/>
          <w:spacing w:val="-36"/>
          <w:sz w:val="18"/>
          <w:szCs w:val="18"/>
        </w:rPr>
        <w:t> </w:t>
      </w:r>
      <w:r>
        <w:rPr>
          <w:rFonts w:ascii="Microsoft JhengHei" w:hAnsi="Microsoft JhengHei" w:cs="Microsoft JhengHei" w:eastAsia="Microsoft JhengHei" w:hint="default"/>
          <w:b/>
          <w:bCs/>
          <w:sz w:val="18"/>
          <w:szCs w:val="18"/>
        </w:rPr>
        <w:t>期末余额</w:t>
      </w:r>
      <w:r>
        <w:rPr>
          <w:rFonts w:ascii="Microsoft JhengHei" w:hAnsi="Microsoft JhengHei" w:cs="Microsoft JhengHei" w:eastAsia="Microsoft JhengHei" w:hint="default"/>
          <w:sz w:val="18"/>
          <w:szCs w:val="18"/>
        </w:rPr>
      </w:r>
    </w:p>
    <w:p>
      <w:pPr>
        <w:spacing w:after="0"/>
        <w:jc w:val="left"/>
        <w:rPr>
          <w:rFonts w:ascii="Microsoft JhengHei" w:hAnsi="Microsoft JhengHei" w:cs="Microsoft JhengHei" w:eastAsia="Microsoft JhengHei" w:hint="default"/>
          <w:sz w:val="18"/>
          <w:szCs w:val="18"/>
        </w:rPr>
        <w:sectPr>
          <w:type w:val="continuous"/>
          <w:pgSz w:w="11900" w:h="16840"/>
          <w:pgMar w:top="1060" w:bottom="1180" w:left="980" w:right="980"/>
          <w:cols w:num="3" w:equalWidth="0">
            <w:col w:w="5352" w:space="40"/>
            <w:col w:w="2341" w:space="586"/>
            <w:col w:w="1621"/>
          </w:cols>
        </w:sectPr>
      </w:pPr>
    </w:p>
    <w:p>
      <w:pPr>
        <w:spacing w:line="240" w:lineRule="auto" w:before="12"/>
        <w:rPr>
          <w:rFonts w:ascii="Microsoft JhengHei" w:hAnsi="Microsoft JhengHei" w:cs="Microsoft JhengHei" w:eastAsia="Microsoft JhengHei" w:hint="default"/>
          <w:b/>
          <w:bCs/>
          <w:sz w:val="3"/>
          <w:szCs w:val="3"/>
        </w:rPr>
      </w:pPr>
    </w:p>
    <w:tbl>
      <w:tblPr>
        <w:tblW w:w="0" w:type="auto"/>
        <w:jc w:val="left"/>
        <w:tblInd w:w="152" w:type="dxa"/>
        <w:tblLayout w:type="fixed"/>
        <w:tblCellMar>
          <w:top w:w="0" w:type="dxa"/>
          <w:left w:w="0" w:type="dxa"/>
          <w:bottom w:w="0" w:type="dxa"/>
          <w:right w:w="0" w:type="dxa"/>
        </w:tblCellMar>
        <w:tblLook w:val="01E0"/>
      </w:tblPr>
      <w:tblGrid>
        <w:gridCol w:w="2218"/>
        <w:gridCol w:w="3821"/>
        <w:gridCol w:w="1783"/>
        <w:gridCol w:w="1452"/>
      </w:tblGrid>
      <w:tr>
        <w:trPr>
          <w:trHeight w:val="350" w:hRule="exact"/>
        </w:trPr>
        <w:tc>
          <w:tcPr>
            <w:tcW w:w="2218"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9" w:right="0"/>
              <w:jc w:val="left"/>
              <w:rPr>
                <w:rFonts w:ascii="宋体" w:hAnsi="宋体" w:cs="宋体" w:eastAsia="宋体" w:hint="default"/>
                <w:sz w:val="18"/>
                <w:szCs w:val="18"/>
              </w:rPr>
            </w:pPr>
            <w:r>
              <w:rPr>
                <w:rFonts w:ascii="宋体" w:hAnsi="宋体" w:cs="宋体" w:eastAsia="宋体" w:hint="default"/>
                <w:sz w:val="18"/>
                <w:szCs w:val="18"/>
              </w:rPr>
              <w:t>客户A</w:t>
            </w:r>
          </w:p>
        </w:tc>
        <w:tc>
          <w:tcPr>
            <w:tcW w:w="3821"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972"/>
              <w:jc w:val="right"/>
              <w:rPr>
                <w:rFonts w:ascii="宋体" w:hAnsi="宋体" w:cs="宋体" w:eastAsia="宋体" w:hint="default"/>
                <w:sz w:val="18"/>
                <w:szCs w:val="18"/>
              </w:rPr>
            </w:pPr>
            <w:r>
              <w:rPr>
                <w:rFonts w:ascii="宋体"/>
                <w:spacing w:val="-1"/>
                <w:sz w:val="18"/>
              </w:rPr>
              <w:t>61,750,783.88</w:t>
            </w:r>
          </w:p>
        </w:tc>
        <w:tc>
          <w:tcPr>
            <w:tcW w:w="1783"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350"/>
              <w:jc w:val="right"/>
              <w:rPr>
                <w:rFonts w:ascii="宋体" w:hAnsi="宋体" w:cs="宋体" w:eastAsia="宋体" w:hint="default"/>
                <w:sz w:val="18"/>
                <w:szCs w:val="18"/>
              </w:rPr>
            </w:pPr>
            <w:r>
              <w:rPr>
                <w:rFonts w:ascii="宋体"/>
                <w:sz w:val="18"/>
              </w:rPr>
              <w:t>30.29</w:t>
            </w:r>
          </w:p>
        </w:tc>
        <w:tc>
          <w:tcPr>
            <w:tcW w:w="1452"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2"/>
              <w:jc w:val="right"/>
              <w:rPr>
                <w:rFonts w:ascii="宋体" w:hAnsi="宋体" w:cs="宋体" w:eastAsia="宋体" w:hint="default"/>
                <w:sz w:val="18"/>
                <w:szCs w:val="18"/>
              </w:rPr>
            </w:pPr>
            <w:r>
              <w:rPr>
                <w:rFonts w:ascii="宋体"/>
                <w:spacing w:val="-1"/>
                <w:sz w:val="18"/>
              </w:rPr>
              <w:t>3,087,539.19</w:t>
            </w:r>
          </w:p>
        </w:tc>
      </w:tr>
      <w:tr>
        <w:trPr>
          <w:trHeight w:val="355" w:hRule="exact"/>
        </w:trPr>
        <w:tc>
          <w:tcPr>
            <w:tcW w:w="2218"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9" w:right="0"/>
              <w:jc w:val="left"/>
              <w:rPr>
                <w:rFonts w:ascii="宋体" w:hAnsi="宋体" w:cs="宋体" w:eastAsia="宋体" w:hint="default"/>
                <w:sz w:val="18"/>
                <w:szCs w:val="18"/>
              </w:rPr>
            </w:pPr>
            <w:r>
              <w:rPr>
                <w:rFonts w:ascii="宋体" w:hAnsi="宋体" w:cs="宋体" w:eastAsia="宋体" w:hint="default"/>
                <w:sz w:val="18"/>
                <w:szCs w:val="18"/>
              </w:rPr>
              <w:t>客户B</w:t>
            </w:r>
          </w:p>
        </w:tc>
        <w:tc>
          <w:tcPr>
            <w:tcW w:w="3821"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972"/>
              <w:jc w:val="right"/>
              <w:rPr>
                <w:rFonts w:ascii="宋体" w:hAnsi="宋体" w:cs="宋体" w:eastAsia="宋体" w:hint="default"/>
                <w:sz w:val="18"/>
                <w:szCs w:val="18"/>
              </w:rPr>
            </w:pPr>
            <w:r>
              <w:rPr>
                <w:rFonts w:ascii="宋体"/>
                <w:spacing w:val="-1"/>
                <w:sz w:val="18"/>
              </w:rPr>
              <w:t>15,840,000.00</w:t>
            </w:r>
          </w:p>
        </w:tc>
        <w:tc>
          <w:tcPr>
            <w:tcW w:w="1783"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350"/>
              <w:jc w:val="right"/>
              <w:rPr>
                <w:rFonts w:ascii="宋体" w:hAnsi="宋体" w:cs="宋体" w:eastAsia="宋体" w:hint="default"/>
                <w:sz w:val="18"/>
                <w:szCs w:val="18"/>
              </w:rPr>
            </w:pPr>
            <w:r>
              <w:rPr>
                <w:rFonts w:ascii="宋体"/>
                <w:sz w:val="18"/>
              </w:rPr>
              <w:t>7.77</w:t>
            </w:r>
          </w:p>
        </w:tc>
        <w:tc>
          <w:tcPr>
            <w:tcW w:w="1452"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2"/>
              <w:jc w:val="right"/>
              <w:rPr>
                <w:rFonts w:ascii="宋体" w:hAnsi="宋体" w:cs="宋体" w:eastAsia="宋体" w:hint="default"/>
                <w:sz w:val="18"/>
                <w:szCs w:val="18"/>
              </w:rPr>
            </w:pPr>
            <w:r>
              <w:rPr>
                <w:rFonts w:ascii="宋体"/>
                <w:spacing w:val="-1"/>
                <w:sz w:val="18"/>
              </w:rPr>
              <w:t>792,000.00</w:t>
            </w:r>
          </w:p>
        </w:tc>
      </w:tr>
      <w:tr>
        <w:trPr>
          <w:trHeight w:val="350" w:hRule="exact"/>
        </w:trPr>
        <w:tc>
          <w:tcPr>
            <w:tcW w:w="2218"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9" w:right="0"/>
              <w:jc w:val="left"/>
              <w:rPr>
                <w:rFonts w:ascii="宋体" w:hAnsi="宋体" w:cs="宋体" w:eastAsia="宋体" w:hint="default"/>
                <w:sz w:val="18"/>
                <w:szCs w:val="18"/>
              </w:rPr>
            </w:pPr>
            <w:r>
              <w:rPr>
                <w:rFonts w:ascii="宋体" w:hAnsi="宋体" w:cs="宋体" w:eastAsia="宋体" w:hint="default"/>
                <w:sz w:val="18"/>
                <w:szCs w:val="18"/>
              </w:rPr>
              <w:t>客户C</w:t>
            </w:r>
          </w:p>
        </w:tc>
        <w:tc>
          <w:tcPr>
            <w:tcW w:w="3821"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972"/>
              <w:jc w:val="right"/>
              <w:rPr>
                <w:rFonts w:ascii="宋体" w:hAnsi="宋体" w:cs="宋体" w:eastAsia="宋体" w:hint="default"/>
                <w:sz w:val="18"/>
                <w:szCs w:val="18"/>
              </w:rPr>
            </w:pPr>
            <w:r>
              <w:rPr>
                <w:rFonts w:ascii="宋体"/>
                <w:spacing w:val="-1"/>
                <w:sz w:val="18"/>
              </w:rPr>
              <w:t>8,587,179.20</w:t>
            </w:r>
          </w:p>
        </w:tc>
        <w:tc>
          <w:tcPr>
            <w:tcW w:w="1783"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350"/>
              <w:jc w:val="right"/>
              <w:rPr>
                <w:rFonts w:ascii="宋体" w:hAnsi="宋体" w:cs="宋体" w:eastAsia="宋体" w:hint="default"/>
                <w:sz w:val="18"/>
                <w:szCs w:val="18"/>
              </w:rPr>
            </w:pPr>
            <w:r>
              <w:rPr>
                <w:rFonts w:ascii="宋体"/>
                <w:sz w:val="18"/>
              </w:rPr>
              <w:t>4.21</w:t>
            </w:r>
          </w:p>
        </w:tc>
        <w:tc>
          <w:tcPr>
            <w:tcW w:w="1452"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2"/>
              <w:jc w:val="right"/>
              <w:rPr>
                <w:rFonts w:ascii="宋体" w:hAnsi="宋体" w:cs="宋体" w:eastAsia="宋体" w:hint="default"/>
                <w:sz w:val="18"/>
                <w:szCs w:val="18"/>
              </w:rPr>
            </w:pPr>
            <w:r>
              <w:rPr>
                <w:rFonts w:ascii="宋体"/>
                <w:spacing w:val="-1"/>
                <w:sz w:val="18"/>
              </w:rPr>
              <w:t>429,358.96</w:t>
            </w:r>
          </w:p>
        </w:tc>
      </w:tr>
      <w:tr>
        <w:trPr>
          <w:trHeight w:val="350" w:hRule="exact"/>
        </w:trPr>
        <w:tc>
          <w:tcPr>
            <w:tcW w:w="2218"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9" w:right="0"/>
              <w:jc w:val="left"/>
              <w:rPr>
                <w:rFonts w:ascii="宋体" w:hAnsi="宋体" w:cs="宋体" w:eastAsia="宋体" w:hint="default"/>
                <w:sz w:val="18"/>
                <w:szCs w:val="18"/>
              </w:rPr>
            </w:pPr>
            <w:r>
              <w:rPr>
                <w:rFonts w:ascii="宋体" w:hAnsi="宋体" w:cs="宋体" w:eastAsia="宋体" w:hint="default"/>
                <w:sz w:val="18"/>
                <w:szCs w:val="18"/>
              </w:rPr>
              <w:t>客户D</w:t>
            </w:r>
          </w:p>
        </w:tc>
        <w:tc>
          <w:tcPr>
            <w:tcW w:w="3821"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972"/>
              <w:jc w:val="right"/>
              <w:rPr>
                <w:rFonts w:ascii="宋体" w:hAnsi="宋体" w:cs="宋体" w:eastAsia="宋体" w:hint="default"/>
                <w:sz w:val="18"/>
                <w:szCs w:val="18"/>
              </w:rPr>
            </w:pPr>
            <w:r>
              <w:rPr>
                <w:rFonts w:ascii="宋体"/>
                <w:spacing w:val="-1"/>
                <w:sz w:val="18"/>
              </w:rPr>
              <w:t>5,849,072.30</w:t>
            </w:r>
          </w:p>
        </w:tc>
        <w:tc>
          <w:tcPr>
            <w:tcW w:w="1783"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350"/>
              <w:jc w:val="right"/>
              <w:rPr>
                <w:rFonts w:ascii="宋体" w:hAnsi="宋体" w:cs="宋体" w:eastAsia="宋体" w:hint="default"/>
                <w:sz w:val="18"/>
                <w:szCs w:val="18"/>
              </w:rPr>
            </w:pPr>
            <w:r>
              <w:rPr>
                <w:rFonts w:ascii="宋体"/>
                <w:sz w:val="18"/>
              </w:rPr>
              <w:t>2.87</w:t>
            </w:r>
          </w:p>
        </w:tc>
        <w:tc>
          <w:tcPr>
            <w:tcW w:w="1452"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2"/>
              <w:jc w:val="right"/>
              <w:rPr>
                <w:rFonts w:ascii="宋体" w:hAnsi="宋体" w:cs="宋体" w:eastAsia="宋体" w:hint="default"/>
                <w:sz w:val="18"/>
                <w:szCs w:val="18"/>
              </w:rPr>
            </w:pPr>
            <w:r>
              <w:rPr>
                <w:rFonts w:ascii="宋体"/>
                <w:spacing w:val="-1"/>
                <w:sz w:val="18"/>
              </w:rPr>
              <w:t>292,453.62</w:t>
            </w:r>
          </w:p>
        </w:tc>
      </w:tr>
      <w:tr>
        <w:trPr>
          <w:trHeight w:val="355" w:hRule="exact"/>
        </w:trPr>
        <w:tc>
          <w:tcPr>
            <w:tcW w:w="2218"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9" w:right="0"/>
              <w:jc w:val="left"/>
              <w:rPr>
                <w:rFonts w:ascii="宋体" w:hAnsi="宋体" w:cs="宋体" w:eastAsia="宋体" w:hint="default"/>
                <w:sz w:val="18"/>
                <w:szCs w:val="18"/>
              </w:rPr>
            </w:pPr>
            <w:r>
              <w:rPr>
                <w:rFonts w:ascii="宋体" w:hAnsi="宋体" w:cs="宋体" w:eastAsia="宋体" w:hint="default"/>
                <w:sz w:val="18"/>
                <w:szCs w:val="18"/>
              </w:rPr>
              <w:t>客户E</w:t>
            </w:r>
          </w:p>
        </w:tc>
        <w:tc>
          <w:tcPr>
            <w:tcW w:w="3821"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972"/>
              <w:jc w:val="right"/>
              <w:rPr>
                <w:rFonts w:ascii="宋体" w:hAnsi="宋体" w:cs="宋体" w:eastAsia="宋体" w:hint="default"/>
                <w:sz w:val="18"/>
                <w:szCs w:val="18"/>
              </w:rPr>
            </w:pPr>
            <w:r>
              <w:rPr>
                <w:rFonts w:ascii="宋体"/>
                <w:spacing w:val="-1"/>
                <w:sz w:val="18"/>
              </w:rPr>
              <w:t>5,514,000.00</w:t>
            </w:r>
          </w:p>
        </w:tc>
        <w:tc>
          <w:tcPr>
            <w:tcW w:w="1783"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350"/>
              <w:jc w:val="right"/>
              <w:rPr>
                <w:rFonts w:ascii="宋体" w:hAnsi="宋体" w:cs="宋体" w:eastAsia="宋体" w:hint="default"/>
                <w:sz w:val="18"/>
                <w:szCs w:val="18"/>
              </w:rPr>
            </w:pPr>
            <w:r>
              <w:rPr>
                <w:rFonts w:ascii="宋体"/>
                <w:sz w:val="18"/>
              </w:rPr>
              <w:t>2.70</w:t>
            </w:r>
          </w:p>
        </w:tc>
        <w:tc>
          <w:tcPr>
            <w:tcW w:w="1452"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2"/>
              <w:jc w:val="right"/>
              <w:rPr>
                <w:rFonts w:ascii="宋体" w:hAnsi="宋体" w:cs="宋体" w:eastAsia="宋体" w:hint="default"/>
                <w:sz w:val="18"/>
                <w:szCs w:val="18"/>
              </w:rPr>
            </w:pPr>
            <w:r>
              <w:rPr>
                <w:rFonts w:ascii="宋体"/>
                <w:spacing w:val="-1"/>
                <w:sz w:val="18"/>
              </w:rPr>
              <w:t>275,700.00</w:t>
            </w:r>
          </w:p>
        </w:tc>
      </w:tr>
      <w:tr>
        <w:trPr>
          <w:trHeight w:val="350" w:hRule="exact"/>
        </w:trPr>
        <w:tc>
          <w:tcPr>
            <w:tcW w:w="2218" w:type="dxa"/>
            <w:tcBorders>
              <w:top w:val="single" w:sz="8" w:space="0" w:color="000000"/>
              <w:left w:val="nil" w:sz="6" w:space="0" w:color="auto"/>
              <w:bottom w:val="single" w:sz="8" w:space="0" w:color="000000"/>
              <w:right w:val="nil" w:sz="6" w:space="0" w:color="auto"/>
            </w:tcBorders>
          </w:tcPr>
          <w:p>
            <w:pPr>
              <w:pStyle w:val="TableParagraph"/>
              <w:spacing w:line="276" w:lineRule="exact"/>
              <w:ind w:left="9"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   </w:t>
            </w:r>
            <w:r>
              <w:rPr>
                <w:rFonts w:ascii="Microsoft JhengHei" w:hAnsi="Microsoft JhengHei" w:cs="Microsoft JhengHei" w:eastAsia="Microsoft JhengHei" w:hint="default"/>
                <w:b/>
                <w:bCs/>
                <w:spacing w:val="6"/>
                <w:sz w:val="18"/>
                <w:szCs w:val="18"/>
              </w:rPr>
              <w:t> </w:t>
            </w:r>
            <w:r>
              <w:rPr>
                <w:rFonts w:ascii="Microsoft JhengHei" w:hAnsi="Microsoft JhengHei" w:cs="Microsoft JhengHei" w:eastAsia="Microsoft JhengHei" w:hint="default"/>
                <w:b/>
                <w:bCs/>
                <w:sz w:val="18"/>
                <w:szCs w:val="18"/>
              </w:rPr>
              <w:t>计</w:t>
            </w:r>
            <w:r>
              <w:rPr>
                <w:rFonts w:ascii="Microsoft JhengHei" w:hAnsi="Microsoft JhengHei" w:cs="Microsoft JhengHei" w:eastAsia="Microsoft JhengHei" w:hint="default"/>
                <w:sz w:val="18"/>
                <w:szCs w:val="18"/>
              </w:rPr>
            </w:r>
          </w:p>
        </w:tc>
        <w:tc>
          <w:tcPr>
            <w:tcW w:w="3821" w:type="dxa"/>
            <w:tcBorders>
              <w:top w:val="single" w:sz="8" w:space="0" w:color="000000"/>
              <w:left w:val="nil" w:sz="6" w:space="0" w:color="auto"/>
              <w:bottom w:val="single" w:sz="8" w:space="0" w:color="000000"/>
              <w:right w:val="nil" w:sz="6" w:space="0" w:color="auto"/>
            </w:tcBorders>
          </w:tcPr>
          <w:p>
            <w:pPr>
              <w:pStyle w:val="TableParagraph"/>
              <w:spacing w:line="276" w:lineRule="exact"/>
              <w:ind w:right="972"/>
              <w:jc w:val="right"/>
              <w:rPr>
                <w:rFonts w:ascii="Microsoft JhengHei" w:hAnsi="Microsoft JhengHei" w:cs="Microsoft JhengHei" w:eastAsia="Microsoft JhengHei" w:hint="default"/>
                <w:sz w:val="18"/>
                <w:szCs w:val="18"/>
              </w:rPr>
            </w:pPr>
            <w:r>
              <w:rPr>
                <w:rFonts w:ascii="Microsoft JhengHei"/>
                <w:b/>
                <w:w w:val="95"/>
                <w:sz w:val="18"/>
              </w:rPr>
              <w:t>97,541,035.38</w:t>
            </w:r>
            <w:r>
              <w:rPr>
                <w:rFonts w:ascii="Microsoft JhengHei"/>
                <w:sz w:val="18"/>
              </w:rPr>
            </w:r>
          </w:p>
        </w:tc>
        <w:tc>
          <w:tcPr>
            <w:tcW w:w="1783" w:type="dxa"/>
            <w:tcBorders>
              <w:top w:val="single" w:sz="8" w:space="0" w:color="000000"/>
              <w:left w:val="nil" w:sz="6" w:space="0" w:color="auto"/>
              <w:bottom w:val="single" w:sz="8" w:space="0" w:color="000000"/>
              <w:right w:val="nil" w:sz="6" w:space="0" w:color="auto"/>
            </w:tcBorders>
          </w:tcPr>
          <w:p>
            <w:pPr>
              <w:pStyle w:val="TableParagraph"/>
              <w:spacing w:line="276" w:lineRule="exact"/>
              <w:ind w:right="350"/>
              <w:jc w:val="right"/>
              <w:rPr>
                <w:rFonts w:ascii="Microsoft JhengHei" w:hAnsi="Microsoft JhengHei" w:cs="Microsoft JhengHei" w:eastAsia="Microsoft JhengHei" w:hint="default"/>
                <w:sz w:val="18"/>
                <w:szCs w:val="18"/>
              </w:rPr>
            </w:pPr>
            <w:r>
              <w:rPr>
                <w:rFonts w:ascii="Microsoft JhengHei"/>
                <w:b/>
                <w:w w:val="95"/>
                <w:sz w:val="18"/>
              </w:rPr>
              <w:t>47.84</w:t>
            </w:r>
            <w:r>
              <w:rPr>
                <w:rFonts w:ascii="Microsoft JhengHei"/>
                <w:sz w:val="18"/>
              </w:rPr>
            </w:r>
          </w:p>
        </w:tc>
        <w:tc>
          <w:tcPr>
            <w:tcW w:w="1452" w:type="dxa"/>
            <w:tcBorders>
              <w:top w:val="single" w:sz="8" w:space="0" w:color="000000"/>
              <w:left w:val="nil" w:sz="6" w:space="0" w:color="auto"/>
              <w:bottom w:val="single" w:sz="8" w:space="0" w:color="000000"/>
              <w:right w:val="nil" w:sz="6" w:space="0" w:color="auto"/>
            </w:tcBorders>
          </w:tcPr>
          <w:p>
            <w:pPr>
              <w:pStyle w:val="TableParagraph"/>
              <w:spacing w:line="276" w:lineRule="exact"/>
              <w:ind w:right="3"/>
              <w:jc w:val="right"/>
              <w:rPr>
                <w:rFonts w:ascii="Microsoft JhengHei" w:hAnsi="Microsoft JhengHei" w:cs="Microsoft JhengHei" w:eastAsia="Microsoft JhengHei" w:hint="default"/>
                <w:sz w:val="18"/>
                <w:szCs w:val="18"/>
              </w:rPr>
            </w:pPr>
            <w:r>
              <w:rPr>
                <w:rFonts w:ascii="Microsoft JhengHei"/>
                <w:b/>
                <w:w w:val="95"/>
                <w:sz w:val="18"/>
              </w:rPr>
              <w:t>4,877,051.77</w:t>
            </w:r>
            <w:r>
              <w:rPr>
                <w:rFonts w:ascii="Microsoft JhengHei"/>
                <w:sz w:val="18"/>
              </w:rPr>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14"/>
        <w:rPr>
          <w:rFonts w:ascii="Microsoft JhengHei" w:hAnsi="Microsoft JhengHei" w:cs="Microsoft JhengHei" w:eastAsia="Microsoft JhengHei" w:hint="default"/>
          <w:b/>
          <w:bCs/>
          <w:sz w:val="11"/>
          <w:szCs w:val="11"/>
        </w:rPr>
      </w:pPr>
    </w:p>
    <w:p>
      <w:pPr>
        <w:pStyle w:val="Heading4"/>
        <w:spacing w:line="335" w:lineRule="exact"/>
        <w:ind w:right="0"/>
        <w:jc w:val="left"/>
        <w:rPr>
          <w:b w:val="0"/>
          <w:bCs w:val="0"/>
        </w:rPr>
      </w:pPr>
      <w:r>
        <w:rPr/>
        <w:t>（</w:t>
      </w:r>
      <w:r>
        <w:rPr>
          <w:rFonts w:ascii="Times New Roman" w:hAnsi="Times New Roman" w:cs="Times New Roman" w:eastAsia="Times New Roman" w:hint="default"/>
        </w:rPr>
        <w:t>5</w:t>
      </w:r>
      <w:r>
        <w:rPr/>
        <w:t>）因金融资产转移而终止确认的应收账款</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6</w:t>
      </w:r>
      <w:r>
        <w:rPr/>
        <w:t>）转移应收账款且继续涉入形成的资产、负债金额</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6</w:t>
      </w:r>
      <w:r>
        <w:rPr/>
        <w:t>、预付款项</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）预付款项按账龄列示</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89"/>
        <w:gridCol w:w="1925"/>
        <w:gridCol w:w="1915"/>
        <w:gridCol w:w="1915"/>
        <w:gridCol w:w="1915"/>
      </w:tblGrid>
      <w:tr>
        <w:trPr>
          <w:trHeight w:val="197" w:hRule="exact"/>
        </w:trPr>
        <w:tc>
          <w:tcPr>
            <w:tcW w:w="18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84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6" w:hRule="exact"/>
        </w:trPr>
        <w:tc>
          <w:tcPr>
            <w:tcW w:w="18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840" w:type="dxa"/>
            <w:gridSpan w:val="2"/>
            <w:vMerge/>
            <w:tcBorders>
              <w:left w:val="single" w:sz="4" w:space="0" w:color="000000"/>
              <w:bottom w:val="single" w:sz="4" w:space="0" w:color="000000"/>
              <w:right w:val="single" w:sz="4" w:space="0" w:color="000000"/>
            </w:tcBorders>
            <w:shd w:val="clear" w:color="auto" w:fill="D2D2D2"/>
          </w:tcPr>
          <w:p>
            <w:pPr/>
          </w:p>
        </w:tc>
        <w:tc>
          <w:tcPr>
            <w:tcW w:w="3830" w:type="dxa"/>
            <w:gridSpan w:val="2"/>
            <w:vMerge/>
            <w:tcBorders>
              <w:left w:val="single" w:sz="4" w:space="0" w:color="000000"/>
              <w:bottom w:val="single" w:sz="4" w:space="0" w:color="000000"/>
              <w:right w:val="single" w:sz="4" w:space="0" w:color="000000"/>
            </w:tcBorders>
            <w:shd w:val="clear" w:color="auto" w:fill="D2D2D2"/>
          </w:tcPr>
          <w:p>
            <w:pPr/>
          </w:p>
        </w:tc>
      </w:tr>
      <w:tr>
        <w:trPr>
          <w:trHeight w:val="192" w:hRule="exact"/>
        </w:trPr>
        <w:tc>
          <w:tcPr>
            <w:tcW w:w="1889" w:type="dxa"/>
            <w:vMerge/>
            <w:tcBorders>
              <w:left w:val="single" w:sz="4" w:space="0" w:color="000000"/>
              <w:bottom w:val="nil" w:sz="6" w:space="0" w:color="auto"/>
              <w:right w:val="single" w:sz="4" w:space="0" w:color="000000"/>
            </w:tcBorders>
            <w:shd w:val="clear" w:color="auto" w:fill="D2D2D2"/>
          </w:tcPr>
          <w:p>
            <w:pPr/>
          </w:p>
        </w:tc>
        <w:tc>
          <w:tcPr>
            <w:tcW w:w="192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比例</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216" w:hRule="exact"/>
        </w:trPr>
        <w:tc>
          <w:tcPr>
            <w:tcW w:w="18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5"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925"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5,917,089.43</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72.56%</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5,241,665.86</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50.15%</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1925"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234,757.09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2.88%</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2,331,708.50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22.30%</w:t>
            </w:r>
          </w:p>
        </w:tc>
      </w:tr>
      <w:tr>
        <w:trPr>
          <w:trHeight w:val="398"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1925"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503,312.09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6.17%</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785,405.10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7.51%</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1925"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1,499,422.10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18.39%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2,095,374.76</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20.04%</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5" w:type="dxa"/>
            <w:tcBorders>
              <w:top w:val="single" w:sz="4" w:space="0" w:color="000000"/>
              <w:left w:val="single" w:sz="8" w:space="0" w:color="D2D2D2"/>
              <w:bottom w:val="single" w:sz="4" w:space="0" w:color="000000"/>
              <w:right w:val="single" w:sz="10" w:space="0" w:color="D2D2D2"/>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8,154,580.71</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w:t>
            </w:r>
          </w:p>
        </w:tc>
        <w:tc>
          <w:tcPr>
            <w:tcW w:w="1915" w:type="dxa"/>
            <w:tcBorders>
              <w:top w:val="single" w:sz="4" w:space="0" w:color="000000"/>
              <w:left w:val="single" w:sz="10" w:space="0" w:color="D2D2D2"/>
              <w:bottom w:val="single" w:sz="4" w:space="0" w:color="000000"/>
              <w:right w:val="single" w:sz="10" w:space="0" w:color="D2D2D2"/>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10,454,154.22</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账龄超过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9"/>
          <w:sz w:val="18"/>
          <w:szCs w:val="18"/>
        </w:rPr>
        <w:t> </w:t>
      </w:r>
      <w:r>
        <w:rPr>
          <w:rFonts w:ascii="宋体" w:hAnsi="宋体" w:cs="宋体" w:eastAsia="宋体" w:hint="default"/>
          <w:spacing w:val="-3"/>
          <w:sz w:val="18"/>
          <w:szCs w:val="18"/>
        </w:rPr>
        <w:t>年且金额重要的预付款项未及时结算原因的说明：</w:t>
      </w:r>
    </w:p>
    <w:p>
      <w:pPr>
        <w:spacing w:line="240" w:lineRule="auto" w:before="6"/>
        <w:rPr>
          <w:rFonts w:ascii="宋体" w:hAnsi="宋体" w:cs="宋体" w:eastAsia="宋体" w:hint="default"/>
          <w:sz w:val="20"/>
          <w:szCs w:val="20"/>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）按预付对象归集的期末余额前五名的预付款情况</w:t>
      </w:r>
      <w:r>
        <w:rPr>
          <w:b w:val="0"/>
          <w:bCs w:val="0"/>
        </w:rPr>
      </w:r>
    </w:p>
    <w:p>
      <w:pPr>
        <w:spacing w:line="240" w:lineRule="auto" w:before="5"/>
        <w:rPr>
          <w:rFonts w:ascii="Microsoft JhengHei" w:hAnsi="Microsoft JhengHei" w:cs="Microsoft JhengHei" w:eastAsia="Microsoft JhengHei" w:hint="default"/>
          <w:b/>
          <w:bCs/>
          <w:sz w:val="16"/>
          <w:szCs w:val="16"/>
        </w:rPr>
      </w:pPr>
    </w:p>
    <w:p>
      <w:pPr>
        <w:tabs>
          <w:tab w:pos="4309" w:val="left" w:leader="none"/>
          <w:tab w:pos="6339" w:val="left" w:leader="none"/>
        </w:tabs>
        <w:spacing w:before="0"/>
        <w:ind w:left="7285" w:right="1246" w:hanging="5708"/>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单位名称</w:t>
        <w:tab/>
      </w:r>
      <w:r>
        <w:rPr>
          <w:rFonts w:ascii="Microsoft JhengHei" w:hAnsi="Microsoft JhengHei" w:cs="Microsoft JhengHei" w:eastAsia="Microsoft JhengHei" w:hint="default"/>
          <w:b/>
          <w:bCs/>
          <w:spacing w:val="-2"/>
          <w:sz w:val="18"/>
          <w:szCs w:val="18"/>
        </w:rPr>
        <w:t>预付款项期末余额</w:t>
        <w:tab/>
        <w:t>占预付款项期末余额合计数的</w:t>
      </w:r>
      <w:r>
        <w:rPr>
          <w:rFonts w:ascii="Microsoft JhengHei" w:hAnsi="Microsoft JhengHei" w:cs="Microsoft JhengHei" w:eastAsia="Microsoft JhengHei" w:hint="default"/>
          <w:b/>
          <w:bCs/>
          <w:spacing w:val="-9"/>
          <w:sz w:val="18"/>
          <w:szCs w:val="18"/>
        </w:rPr>
        <w:t> </w:t>
      </w:r>
      <w:r>
        <w:rPr>
          <w:rFonts w:ascii="Microsoft JhengHei" w:hAnsi="Microsoft JhengHei" w:cs="Microsoft JhengHei" w:eastAsia="Microsoft JhengHei" w:hint="default"/>
          <w:b/>
          <w:bCs/>
          <w:spacing w:val="-9"/>
          <w:sz w:val="18"/>
          <w:szCs w:val="18"/>
        </w:rPr>
      </w:r>
      <w:r>
        <w:rPr>
          <w:rFonts w:ascii="Microsoft JhengHei" w:hAnsi="Microsoft JhengHei" w:cs="Microsoft JhengHei" w:eastAsia="Microsoft JhengHei" w:hint="default"/>
          <w:b/>
          <w:bCs/>
          <w:sz w:val="18"/>
          <w:szCs w:val="18"/>
        </w:rPr>
        <w:t>比例%</w:t>
      </w:r>
      <w:r>
        <w:rPr>
          <w:rFonts w:ascii="Microsoft JhengHei" w:hAnsi="Microsoft JhengHei" w:cs="Microsoft JhengHei" w:eastAsia="Microsoft JhengHei" w:hint="default"/>
          <w:sz w:val="18"/>
          <w:szCs w:val="18"/>
        </w:rPr>
      </w:r>
    </w:p>
    <w:tbl>
      <w:tblPr>
        <w:tblW w:w="0" w:type="auto"/>
        <w:jc w:val="left"/>
        <w:tblInd w:w="117" w:type="dxa"/>
        <w:tblLayout w:type="fixed"/>
        <w:tblCellMar>
          <w:top w:w="0" w:type="dxa"/>
          <w:left w:w="0" w:type="dxa"/>
          <w:bottom w:w="0" w:type="dxa"/>
          <w:right w:w="0" w:type="dxa"/>
        </w:tblCellMar>
        <w:tblLook w:val="01E0"/>
      </w:tblPr>
      <w:tblGrid>
        <w:gridCol w:w="3738"/>
        <w:gridCol w:w="3326"/>
        <w:gridCol w:w="1549"/>
      </w:tblGrid>
      <w:tr>
        <w:trPr>
          <w:trHeight w:val="337" w:hRule="exact"/>
        </w:trPr>
        <w:tc>
          <w:tcPr>
            <w:tcW w:w="3738"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18"/>
                <w:szCs w:val="18"/>
              </w:rPr>
            </w:pPr>
            <w:r>
              <w:rPr>
                <w:rFonts w:ascii="宋体" w:hAnsi="宋体" w:cs="宋体" w:eastAsia="宋体" w:hint="default"/>
                <w:spacing w:val="-3"/>
                <w:sz w:val="18"/>
                <w:szCs w:val="18"/>
              </w:rPr>
              <w:t>北京博大开拓热力有限公司</w:t>
            </w:r>
          </w:p>
        </w:tc>
        <w:tc>
          <w:tcPr>
            <w:tcW w:w="3326"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061"/>
              <w:jc w:val="right"/>
              <w:rPr>
                <w:rFonts w:ascii="宋体" w:hAnsi="宋体" w:cs="宋体" w:eastAsia="宋体" w:hint="default"/>
                <w:sz w:val="18"/>
                <w:szCs w:val="18"/>
              </w:rPr>
            </w:pPr>
            <w:r>
              <w:rPr>
                <w:rFonts w:ascii="宋体"/>
                <w:spacing w:val="-1"/>
                <w:sz w:val="18"/>
              </w:rPr>
              <w:t>864,820.60</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3"/>
              <w:jc w:val="right"/>
              <w:rPr>
                <w:rFonts w:ascii="宋体" w:hAnsi="宋体" w:cs="宋体" w:eastAsia="宋体" w:hint="default"/>
                <w:sz w:val="18"/>
                <w:szCs w:val="18"/>
              </w:rPr>
            </w:pPr>
            <w:r>
              <w:rPr>
                <w:rFonts w:ascii="宋体"/>
                <w:spacing w:val="-1"/>
                <w:sz w:val="18"/>
              </w:rPr>
              <w:t>10.61</w:t>
            </w:r>
          </w:p>
        </w:tc>
      </w:tr>
      <w:tr>
        <w:trPr>
          <w:trHeight w:val="312" w:hRule="exact"/>
        </w:trPr>
        <w:tc>
          <w:tcPr>
            <w:tcW w:w="373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z w:val="18"/>
                <w:szCs w:val="18"/>
              </w:rPr>
              <w:t>上海汉宏纸业有限公司</w:t>
            </w:r>
          </w:p>
        </w:tc>
        <w:tc>
          <w:tcPr>
            <w:tcW w:w="332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61"/>
              <w:jc w:val="right"/>
              <w:rPr>
                <w:rFonts w:ascii="宋体" w:hAnsi="宋体" w:cs="宋体" w:eastAsia="宋体" w:hint="default"/>
                <w:sz w:val="18"/>
                <w:szCs w:val="18"/>
              </w:rPr>
            </w:pPr>
            <w:r>
              <w:rPr>
                <w:rFonts w:ascii="宋体"/>
                <w:spacing w:val="-1"/>
                <w:sz w:val="18"/>
              </w:rPr>
              <w:t>825,136.19</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
              <w:jc w:val="right"/>
              <w:rPr>
                <w:rFonts w:ascii="宋体" w:hAnsi="宋体" w:cs="宋体" w:eastAsia="宋体" w:hint="default"/>
                <w:sz w:val="18"/>
                <w:szCs w:val="18"/>
              </w:rPr>
            </w:pPr>
            <w:r>
              <w:rPr>
                <w:rFonts w:ascii="宋体"/>
                <w:spacing w:val="-1"/>
                <w:sz w:val="18"/>
              </w:rPr>
              <w:t>10.12</w:t>
            </w:r>
          </w:p>
        </w:tc>
      </w:tr>
      <w:tr>
        <w:trPr>
          <w:trHeight w:val="312" w:hRule="exact"/>
        </w:trPr>
        <w:tc>
          <w:tcPr>
            <w:tcW w:w="373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pacing w:val="-3"/>
                <w:sz w:val="18"/>
                <w:szCs w:val="18"/>
              </w:rPr>
              <w:t>国网北京市电力公司</w:t>
            </w:r>
          </w:p>
        </w:tc>
        <w:tc>
          <w:tcPr>
            <w:tcW w:w="332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61"/>
              <w:jc w:val="right"/>
              <w:rPr>
                <w:rFonts w:ascii="宋体" w:hAnsi="宋体" w:cs="宋体" w:eastAsia="宋体" w:hint="default"/>
                <w:sz w:val="18"/>
                <w:szCs w:val="18"/>
              </w:rPr>
            </w:pPr>
            <w:r>
              <w:rPr>
                <w:rFonts w:ascii="宋体"/>
                <w:spacing w:val="-1"/>
                <w:sz w:val="18"/>
              </w:rPr>
              <w:t>595,399.00</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
              <w:jc w:val="right"/>
              <w:rPr>
                <w:rFonts w:ascii="宋体" w:hAnsi="宋体" w:cs="宋体" w:eastAsia="宋体" w:hint="default"/>
                <w:sz w:val="18"/>
                <w:szCs w:val="18"/>
              </w:rPr>
            </w:pPr>
            <w:r>
              <w:rPr>
                <w:rFonts w:ascii="宋体"/>
                <w:spacing w:val="-2"/>
                <w:sz w:val="18"/>
              </w:rPr>
              <w:t>7.30</w:t>
            </w:r>
          </w:p>
        </w:tc>
      </w:tr>
      <w:tr>
        <w:trPr>
          <w:trHeight w:val="347" w:hRule="exact"/>
        </w:trPr>
        <w:tc>
          <w:tcPr>
            <w:tcW w:w="373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pacing w:val="-3"/>
                <w:sz w:val="18"/>
                <w:szCs w:val="18"/>
              </w:rPr>
              <w:t>广州市明森机电设备有限公司</w:t>
            </w:r>
          </w:p>
        </w:tc>
        <w:tc>
          <w:tcPr>
            <w:tcW w:w="332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61"/>
              <w:jc w:val="right"/>
              <w:rPr>
                <w:rFonts w:ascii="宋体" w:hAnsi="宋体" w:cs="宋体" w:eastAsia="宋体" w:hint="default"/>
                <w:sz w:val="18"/>
                <w:szCs w:val="18"/>
              </w:rPr>
            </w:pPr>
            <w:r>
              <w:rPr>
                <w:rFonts w:ascii="宋体"/>
                <w:spacing w:val="-1"/>
                <w:sz w:val="18"/>
              </w:rPr>
              <w:t>510,000.00</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
              <w:jc w:val="right"/>
              <w:rPr>
                <w:rFonts w:ascii="宋体" w:hAnsi="宋体" w:cs="宋体" w:eastAsia="宋体" w:hint="default"/>
                <w:sz w:val="18"/>
                <w:szCs w:val="18"/>
              </w:rPr>
            </w:pPr>
            <w:r>
              <w:rPr>
                <w:rFonts w:ascii="宋体"/>
                <w:spacing w:val="-2"/>
                <w:sz w:val="18"/>
              </w:rPr>
              <w:t>6.25</w:t>
            </w:r>
          </w:p>
        </w:tc>
      </w:tr>
    </w:tbl>
    <w:p>
      <w:pPr>
        <w:spacing w:after="0" w:line="240" w:lineRule="auto"/>
        <w:jc w:val="right"/>
        <w:rPr>
          <w:rFonts w:ascii="宋体" w:hAnsi="宋体" w:cs="宋体" w:eastAsia="宋体" w:hint="default"/>
          <w:sz w:val="18"/>
          <w:szCs w:val="18"/>
        </w:rPr>
        <w:sectPr>
          <w:type w:val="continuous"/>
          <w:pgSz w:w="11900" w:h="16840"/>
          <w:pgMar w:top="1060" w:bottom="1180" w:left="980" w:right="980"/>
        </w:sectPr>
      </w:pPr>
    </w:p>
    <w:p>
      <w:pPr>
        <w:spacing w:line="240" w:lineRule="auto" w:before="11"/>
        <w:rPr>
          <w:rFonts w:ascii="Microsoft JhengHei" w:hAnsi="Microsoft JhengHei" w:cs="Microsoft JhengHei" w:eastAsia="Microsoft JhengHei" w:hint="default"/>
          <w:b/>
          <w:bCs/>
          <w:sz w:val="19"/>
          <w:szCs w:val="19"/>
        </w:rPr>
      </w:pPr>
    </w:p>
    <w:p>
      <w:pPr>
        <w:tabs>
          <w:tab w:pos="5216" w:val="left" w:leader="none"/>
          <w:tab w:pos="8696" w:val="right" w:leader="none"/>
        </w:tabs>
        <w:spacing w:before="46"/>
        <w:ind w:left="152" w:right="0" w:firstLine="0"/>
        <w:jc w:val="left"/>
        <w:rPr>
          <w:rFonts w:ascii="宋体" w:hAnsi="宋体" w:cs="宋体" w:eastAsia="宋体" w:hint="default"/>
          <w:sz w:val="18"/>
          <w:szCs w:val="18"/>
        </w:rPr>
      </w:pPr>
      <w:r>
        <w:rPr>
          <w:rFonts w:ascii="宋体" w:hAnsi="宋体" w:cs="宋体" w:eastAsia="宋体" w:hint="default"/>
          <w:spacing w:val="-2"/>
          <w:sz w:val="18"/>
          <w:szCs w:val="18"/>
        </w:rPr>
        <w:t>中国天津海关</w:t>
        <w:tab/>
      </w:r>
      <w:r>
        <w:rPr>
          <w:rFonts w:ascii="宋体" w:hAnsi="宋体" w:cs="宋体" w:eastAsia="宋体" w:hint="default"/>
          <w:spacing w:val="-1"/>
          <w:sz w:val="18"/>
          <w:szCs w:val="18"/>
        </w:rPr>
        <w:t>354,537.94</w:t>
      </w:r>
      <w:r>
        <w:rPr>
          <w:rFonts w:ascii="Times New Roman" w:hAnsi="Times New Roman" w:cs="Times New Roman" w:eastAsia="Times New Roman" w:hint="default"/>
          <w:spacing w:val="-1"/>
          <w:sz w:val="18"/>
          <w:szCs w:val="18"/>
        </w:rPr>
        <w:tab/>
      </w:r>
      <w:r>
        <w:rPr>
          <w:rFonts w:ascii="宋体" w:hAnsi="宋体" w:cs="宋体" w:eastAsia="宋体" w:hint="default"/>
          <w:spacing w:val="-2"/>
          <w:sz w:val="18"/>
          <w:szCs w:val="18"/>
        </w:rPr>
        <w:t>4.35</w:t>
      </w:r>
    </w:p>
    <w:p>
      <w:pPr>
        <w:tabs>
          <w:tab w:pos="4626" w:val="left" w:leader="none"/>
          <w:tab w:pos="8283" w:val="right" w:leader="none"/>
        </w:tabs>
        <w:spacing w:before="19"/>
        <w:ind w:left="1669" w:right="0" w:firstLine="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   </w:t>
      </w:r>
      <w:r>
        <w:rPr>
          <w:rFonts w:ascii="Microsoft JhengHei" w:hAnsi="Microsoft JhengHei" w:cs="Microsoft JhengHei" w:eastAsia="Microsoft JhengHei" w:hint="default"/>
          <w:b/>
          <w:bCs/>
          <w:spacing w:val="6"/>
          <w:sz w:val="18"/>
          <w:szCs w:val="18"/>
        </w:rPr>
        <w:t> </w:t>
      </w:r>
      <w:r>
        <w:rPr>
          <w:rFonts w:ascii="Microsoft JhengHei" w:hAnsi="Microsoft JhengHei" w:cs="Microsoft JhengHei" w:eastAsia="Microsoft JhengHei" w:hint="default"/>
          <w:b/>
          <w:bCs/>
          <w:sz w:val="18"/>
          <w:szCs w:val="18"/>
        </w:rPr>
        <w:t>计</w:t>
        <w:tab/>
        <w:t>3,149,893.73</w:t>
      </w:r>
      <w:r>
        <w:rPr>
          <w:rFonts w:ascii="Times New Roman" w:hAnsi="Times New Roman" w:cs="Times New Roman" w:eastAsia="Times New Roman" w:hint="default"/>
          <w:sz w:val="18"/>
          <w:szCs w:val="18"/>
        </w:rPr>
        <w:tab/>
      </w:r>
      <w:r>
        <w:rPr>
          <w:rFonts w:ascii="Microsoft JhengHei" w:hAnsi="Microsoft JhengHei" w:cs="Microsoft JhengHei" w:eastAsia="Microsoft JhengHei" w:hint="default"/>
          <w:b/>
          <w:bCs/>
          <w:sz w:val="18"/>
          <w:szCs w:val="18"/>
        </w:rPr>
        <w:t>38.63</w:t>
      </w:r>
      <w:r>
        <w:rPr>
          <w:rFonts w:ascii="Microsoft JhengHei" w:hAnsi="Microsoft JhengHei" w:cs="Microsoft JhengHei" w:eastAsia="Microsoft JhengHei" w:hint="default"/>
          <w:sz w:val="18"/>
          <w:szCs w:val="18"/>
        </w:rPr>
      </w:r>
    </w:p>
    <w:p>
      <w:pPr>
        <w:spacing w:before="99"/>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7</w:t>
      </w:r>
      <w:r>
        <w:rPr/>
        <w:t>、应收利息</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）应收利息分类</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92"/>
        <w:gridCol w:w="3187"/>
        <w:gridCol w:w="3192"/>
      </w:tblGrid>
      <w:tr>
        <w:trPr>
          <w:trHeight w:val="401"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5"/>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）重要逾期利息</w:t>
      </w:r>
      <w:r>
        <w:rPr>
          <w:b w:val="0"/>
          <w:bCs w:val="0"/>
        </w:rPr>
      </w:r>
    </w:p>
    <w:p>
      <w:pPr>
        <w:spacing w:line="240" w:lineRule="auto" w:before="12"/>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1915"/>
        <w:gridCol w:w="1915"/>
        <w:gridCol w:w="1910"/>
        <w:gridCol w:w="1915"/>
        <w:gridCol w:w="1915"/>
      </w:tblGrid>
      <w:tr>
        <w:trPr>
          <w:trHeight w:val="715" w:hRule="exact"/>
        </w:trPr>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590"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59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585"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590" w:right="0"/>
              <w:jc w:val="left"/>
              <w:rPr>
                <w:rFonts w:ascii="宋体" w:hAnsi="宋体" w:cs="宋体" w:eastAsia="宋体" w:hint="default"/>
                <w:sz w:val="18"/>
                <w:szCs w:val="18"/>
              </w:rPr>
            </w:pPr>
            <w:r>
              <w:rPr>
                <w:rFonts w:ascii="宋体" w:hAnsi="宋体" w:cs="宋体" w:eastAsia="宋体" w:hint="default"/>
                <w:sz w:val="18"/>
                <w:szCs w:val="18"/>
              </w:rPr>
              <w:t>逾期原因</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767" w:right="46" w:hanging="716"/>
              <w:jc w:val="left"/>
              <w:rPr>
                <w:rFonts w:ascii="宋体" w:hAnsi="宋体" w:cs="宋体" w:eastAsia="宋体" w:hint="default"/>
                <w:sz w:val="18"/>
                <w:szCs w:val="18"/>
              </w:rPr>
            </w:pPr>
            <w:r>
              <w:rPr>
                <w:rFonts w:ascii="宋体" w:hAnsi="宋体" w:cs="宋体" w:eastAsia="宋体" w:hint="default"/>
                <w:spacing w:val="-2"/>
                <w:sz w:val="18"/>
                <w:szCs w:val="18"/>
              </w:rPr>
              <w:t>是否发生减值及其判断</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依据</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8</w:t>
      </w:r>
      <w:r>
        <w:rPr/>
        <w:t>、应收股利</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）应收股利</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92"/>
        <w:gridCol w:w="3187"/>
        <w:gridCol w:w="3192"/>
      </w:tblGrid>
      <w:tr>
        <w:trPr>
          <w:trHeight w:val="403"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0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）重要的账龄超过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年的应收股利</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5"/>
        <w:gridCol w:w="1915"/>
        <w:gridCol w:w="1910"/>
        <w:gridCol w:w="1915"/>
        <w:gridCol w:w="1915"/>
      </w:tblGrid>
      <w:tr>
        <w:trPr>
          <w:trHeight w:val="715" w:hRule="exact"/>
        </w:trPr>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账龄</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未收回的原因</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767" w:right="46" w:hanging="716"/>
              <w:jc w:val="left"/>
              <w:rPr>
                <w:rFonts w:ascii="宋体" w:hAnsi="宋体" w:cs="宋体" w:eastAsia="宋体" w:hint="default"/>
                <w:sz w:val="18"/>
                <w:szCs w:val="18"/>
              </w:rPr>
            </w:pPr>
            <w:r>
              <w:rPr>
                <w:rFonts w:ascii="宋体" w:hAnsi="宋体" w:cs="宋体" w:eastAsia="宋体" w:hint="default"/>
                <w:spacing w:val="-2"/>
                <w:sz w:val="18"/>
                <w:szCs w:val="18"/>
              </w:rPr>
              <w:t>是否发生减值及其判断</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依据</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9</w:t>
      </w:r>
      <w:r>
        <w:rPr/>
        <w:t>、其他应收款</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）其他应收款分类披露</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632"/>
        <w:gridCol w:w="763"/>
        <w:gridCol w:w="763"/>
        <w:gridCol w:w="763"/>
        <w:gridCol w:w="754"/>
        <w:gridCol w:w="809"/>
        <w:gridCol w:w="641"/>
        <w:gridCol w:w="763"/>
        <w:gridCol w:w="816"/>
        <w:gridCol w:w="919"/>
        <w:gridCol w:w="943"/>
      </w:tblGrid>
      <w:tr>
        <w:trPr>
          <w:trHeight w:val="398" w:hRule="exact"/>
        </w:trPr>
        <w:tc>
          <w:tcPr>
            <w:tcW w:w="1632" w:type="dxa"/>
            <w:vMerge w:val="restart"/>
            <w:tcBorders>
              <w:top w:val="single" w:sz="4" w:space="0" w:color="000000"/>
              <w:left w:val="single" w:sz="4" w:space="0" w:color="000000"/>
              <w:right w:val="single" w:sz="4" w:space="0" w:color="000000"/>
            </w:tcBorders>
            <w:shd w:val="clear" w:color="auto" w:fill="D2D2D2"/>
          </w:tcPr>
          <w:p>
            <w:pPr/>
          </w:p>
        </w:tc>
        <w:tc>
          <w:tcPr>
            <w:tcW w:w="3852"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4"/>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82"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58" w:hRule="exact"/>
        </w:trPr>
        <w:tc>
          <w:tcPr>
            <w:tcW w:w="1632" w:type="dxa"/>
            <w:vMerge/>
            <w:tcBorders>
              <w:left w:val="single" w:sz="4" w:space="0" w:color="000000"/>
              <w:bottom w:val="nil" w:sz="6" w:space="0" w:color="auto"/>
              <w:right w:val="single" w:sz="4" w:space="0" w:color="000000"/>
            </w:tcBorders>
            <w:shd w:val="clear" w:color="auto" w:fill="D2D2D2"/>
          </w:tcPr>
          <w:p>
            <w:pPr/>
          </w:p>
        </w:tc>
        <w:tc>
          <w:tcPr>
            <w:tcW w:w="15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9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1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9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809" w:type="dxa"/>
            <w:vMerge w:val="restart"/>
            <w:tcBorders>
              <w:top w:val="single" w:sz="4" w:space="0" w:color="000000"/>
              <w:left w:val="single" w:sz="4" w:space="0" w:color="000000"/>
              <w:right w:val="single" w:sz="4" w:space="0" w:color="000000"/>
            </w:tcBorders>
            <w:shd w:val="clear" w:color="auto" w:fill="D2D2D2"/>
          </w:tcPr>
          <w:p>
            <w:pPr/>
          </w:p>
        </w:tc>
        <w:tc>
          <w:tcPr>
            <w:tcW w:w="140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2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50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43" w:type="dxa"/>
            <w:vMerge w:val="restart"/>
            <w:tcBorders>
              <w:top w:val="single" w:sz="4" w:space="0" w:color="000000"/>
              <w:left w:val="single" w:sz="4" w:space="0" w:color="000000"/>
              <w:right w:val="single" w:sz="4" w:space="0" w:color="000000"/>
            </w:tcBorders>
            <w:shd w:val="clear" w:color="auto" w:fill="D2D2D2"/>
          </w:tcPr>
          <w:p>
            <w:pPr/>
          </w:p>
        </w:tc>
      </w:tr>
      <w:tr>
        <w:trPr>
          <w:trHeight w:val="250" w:hRule="exact"/>
        </w:trPr>
        <w:tc>
          <w:tcPr>
            <w:tcW w:w="16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526" w:type="dxa"/>
            <w:gridSpan w:val="2"/>
            <w:vMerge/>
            <w:tcBorders>
              <w:left w:val="single" w:sz="4" w:space="0" w:color="000000"/>
              <w:bottom w:val="single" w:sz="4" w:space="0" w:color="000000"/>
              <w:right w:val="single" w:sz="4" w:space="0" w:color="000000"/>
            </w:tcBorders>
            <w:shd w:val="clear" w:color="auto" w:fill="D2D2D2"/>
          </w:tcPr>
          <w:p>
            <w:pPr/>
          </w:p>
        </w:tc>
        <w:tc>
          <w:tcPr>
            <w:tcW w:w="1517" w:type="dxa"/>
            <w:gridSpan w:val="2"/>
            <w:vMerge/>
            <w:tcBorders>
              <w:left w:val="single" w:sz="4" w:space="0" w:color="000000"/>
              <w:bottom w:val="single" w:sz="4" w:space="0" w:color="000000"/>
              <w:right w:val="single" w:sz="4" w:space="0" w:color="000000"/>
            </w:tcBorders>
            <w:shd w:val="clear" w:color="auto" w:fill="D2D2D2"/>
          </w:tcPr>
          <w:p>
            <w:pPr/>
          </w:p>
        </w:tc>
        <w:tc>
          <w:tcPr>
            <w:tcW w:w="809" w:type="dxa"/>
            <w:vMerge/>
            <w:tcBorders>
              <w:left w:val="single" w:sz="4" w:space="0" w:color="000000"/>
              <w:bottom w:val="nil" w:sz="6" w:space="0" w:color="auto"/>
              <w:right w:val="single" w:sz="4" w:space="0" w:color="000000"/>
            </w:tcBorders>
            <w:shd w:val="clear" w:color="auto" w:fill="D2D2D2"/>
          </w:tcPr>
          <w:p>
            <w:pPr/>
          </w:p>
        </w:tc>
        <w:tc>
          <w:tcPr>
            <w:tcW w:w="1404" w:type="dxa"/>
            <w:gridSpan w:val="2"/>
            <w:vMerge/>
            <w:tcBorders>
              <w:left w:val="single" w:sz="4" w:space="0" w:color="000000"/>
              <w:bottom w:val="single" w:sz="4" w:space="0" w:color="000000"/>
              <w:right w:val="single" w:sz="4" w:space="0" w:color="000000"/>
            </w:tcBorders>
            <w:shd w:val="clear" w:color="auto" w:fill="D2D2D2"/>
          </w:tcPr>
          <w:p>
            <w:pPr/>
          </w:p>
        </w:tc>
        <w:tc>
          <w:tcPr>
            <w:tcW w:w="1735" w:type="dxa"/>
            <w:gridSpan w:val="2"/>
            <w:vMerge/>
            <w:tcBorders>
              <w:left w:val="single" w:sz="4" w:space="0" w:color="000000"/>
              <w:bottom w:val="single" w:sz="4" w:space="0" w:color="000000"/>
              <w:right w:val="single" w:sz="4" w:space="0" w:color="000000"/>
            </w:tcBorders>
            <w:shd w:val="clear" w:color="auto" w:fill="D2D2D2"/>
          </w:tcPr>
          <w:p>
            <w:pPr/>
          </w:p>
        </w:tc>
        <w:tc>
          <w:tcPr>
            <w:tcW w:w="943" w:type="dxa"/>
            <w:vMerge/>
            <w:tcBorders>
              <w:left w:val="single" w:sz="4" w:space="0" w:color="000000"/>
              <w:bottom w:val="nil" w:sz="6" w:space="0" w:color="auto"/>
              <w:right w:val="single" w:sz="4" w:space="0" w:color="000000"/>
            </w:tcBorders>
            <w:shd w:val="clear" w:color="auto" w:fill="D2D2D2"/>
          </w:tcPr>
          <w:p>
            <w:pPr/>
          </w:p>
        </w:tc>
      </w:tr>
      <w:tr>
        <w:trPr>
          <w:trHeight w:val="155" w:hRule="exact"/>
        </w:trPr>
        <w:tc>
          <w:tcPr>
            <w:tcW w:w="1632" w:type="dxa"/>
            <w:vMerge/>
            <w:tcBorders>
              <w:left w:val="single" w:sz="4" w:space="0" w:color="000000"/>
              <w:bottom w:val="single" w:sz="6"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6"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6"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6" w:space="0" w:color="FFFFFF"/>
              <w:right w:val="single" w:sz="4" w:space="0" w:color="000000"/>
            </w:tcBorders>
            <w:shd w:val="clear" w:color="auto" w:fill="D2D2D2"/>
          </w:tcPr>
          <w:p>
            <w:pPr/>
          </w:p>
        </w:tc>
        <w:tc>
          <w:tcPr>
            <w:tcW w:w="75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283" w:right="94" w:hanging="178"/>
              <w:jc w:val="left"/>
              <w:rPr>
                <w:rFonts w:ascii="宋体" w:hAnsi="宋体" w:cs="宋体" w:eastAsia="宋体" w:hint="default"/>
                <w:sz w:val="18"/>
                <w:szCs w:val="18"/>
              </w:rPr>
            </w:pPr>
            <w:r>
              <w:rPr>
                <w:rFonts w:ascii="宋体" w:hAnsi="宋体" w:cs="宋体" w:eastAsia="宋体" w:hint="default"/>
                <w:sz w:val="18"/>
                <w:szCs w:val="18"/>
              </w:rPr>
              <w:t>计提比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例</w:t>
            </w:r>
          </w:p>
        </w:tc>
        <w:tc>
          <w:tcPr>
            <w:tcW w:w="80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
              <w:ind w:left="3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41"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tcBorders>
              <w:top w:val="single" w:sz="4" w:space="0" w:color="000000"/>
              <w:left w:val="single" w:sz="4" w:space="0" w:color="000000"/>
              <w:bottom w:val="nil" w:sz="6" w:space="0" w:color="auto"/>
              <w:right w:val="single" w:sz="4" w:space="0" w:color="000000"/>
            </w:tcBorders>
            <w:shd w:val="clear" w:color="auto" w:fill="D2D2D2"/>
          </w:tcPr>
          <w:p>
            <w:pPr/>
          </w:p>
        </w:tc>
        <w:tc>
          <w:tcPr>
            <w:tcW w:w="816" w:type="dxa"/>
            <w:tcBorders>
              <w:top w:val="single" w:sz="4" w:space="0" w:color="000000"/>
              <w:left w:val="single" w:sz="4" w:space="0" w:color="000000"/>
              <w:bottom w:val="nil" w:sz="6" w:space="0" w:color="auto"/>
              <w:right w:val="single" w:sz="4" w:space="0" w:color="000000"/>
            </w:tcBorders>
            <w:shd w:val="clear" w:color="auto" w:fill="D2D2D2"/>
          </w:tcPr>
          <w:p>
            <w:pPr/>
          </w:p>
        </w:tc>
        <w:tc>
          <w:tcPr>
            <w:tcW w:w="919" w:type="dxa"/>
            <w:tcBorders>
              <w:top w:val="single" w:sz="4" w:space="0" w:color="000000"/>
              <w:left w:val="single" w:sz="4" w:space="0" w:color="000000"/>
              <w:bottom w:val="nil" w:sz="6" w:space="0" w:color="auto"/>
              <w:right w:val="single" w:sz="4" w:space="0" w:color="000000"/>
            </w:tcBorders>
            <w:shd w:val="clear" w:color="auto" w:fill="D2D2D2"/>
          </w:tcPr>
          <w:p>
            <w:pPr/>
          </w:p>
        </w:tc>
        <w:tc>
          <w:tcPr>
            <w:tcW w:w="94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
              <w:ind w:left="112"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1" w:hRule="exact"/>
        </w:trPr>
        <w:tc>
          <w:tcPr>
            <w:tcW w:w="1632" w:type="dxa"/>
            <w:vMerge w:val="restart"/>
            <w:tcBorders>
              <w:top w:val="single" w:sz="6" w:space="0" w:color="FFFFFF"/>
              <w:left w:val="single" w:sz="4" w:space="0" w:color="000000"/>
              <w:right w:val="single" w:sz="4" w:space="0" w:color="000000"/>
            </w:tcBorders>
            <w:shd w:val="clear" w:color="auto" w:fill="D2D2D2"/>
          </w:tcPr>
          <w:p>
            <w:pPr/>
          </w:p>
        </w:tc>
        <w:tc>
          <w:tcPr>
            <w:tcW w:w="763" w:type="dxa"/>
            <w:vMerge w:val="restart"/>
            <w:tcBorders>
              <w:top w:val="single" w:sz="6" w:space="0" w:color="FFFFFF"/>
              <w:left w:val="single" w:sz="4" w:space="0" w:color="000000"/>
              <w:right w:val="single" w:sz="4" w:space="0" w:color="000000"/>
            </w:tcBorders>
            <w:shd w:val="clear" w:color="auto" w:fill="D2D2D2"/>
          </w:tcPr>
          <w:p>
            <w:pPr>
              <w:pStyle w:val="TableParagraph"/>
              <w:spacing w:line="240" w:lineRule="auto" w:before="50"/>
              <w:ind w:left="19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val="restart"/>
            <w:tcBorders>
              <w:top w:val="single" w:sz="6" w:space="0" w:color="FFFFFF"/>
              <w:left w:val="single" w:sz="4" w:space="0" w:color="000000"/>
              <w:right w:val="single" w:sz="4" w:space="0" w:color="000000"/>
            </w:tcBorders>
            <w:shd w:val="clear" w:color="auto" w:fill="D2D2D2"/>
          </w:tcPr>
          <w:p>
            <w:pPr>
              <w:pStyle w:val="TableParagraph"/>
              <w:spacing w:line="240" w:lineRule="auto" w:before="50"/>
              <w:ind w:left="192"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3" w:type="dxa"/>
            <w:vMerge w:val="restart"/>
            <w:tcBorders>
              <w:top w:val="single" w:sz="6" w:space="0" w:color="FFFFFF"/>
              <w:left w:val="single" w:sz="4" w:space="0" w:color="000000"/>
              <w:right w:val="single" w:sz="4" w:space="0" w:color="000000"/>
            </w:tcBorders>
            <w:shd w:val="clear" w:color="auto" w:fill="D2D2D2"/>
          </w:tcPr>
          <w:p>
            <w:pPr>
              <w:pStyle w:val="TableParagraph"/>
              <w:spacing w:line="240" w:lineRule="auto" w:before="50"/>
              <w:ind w:left="19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54" w:type="dxa"/>
            <w:vMerge/>
            <w:tcBorders>
              <w:left w:val="single" w:sz="4" w:space="0" w:color="000000"/>
              <w:right w:val="single" w:sz="4" w:space="0" w:color="000000"/>
            </w:tcBorders>
            <w:shd w:val="clear" w:color="auto" w:fill="D2D2D2"/>
          </w:tcPr>
          <w:p>
            <w:pPr/>
          </w:p>
        </w:tc>
        <w:tc>
          <w:tcPr>
            <w:tcW w:w="809" w:type="dxa"/>
            <w:vMerge/>
            <w:tcBorders>
              <w:left w:val="single" w:sz="4" w:space="0" w:color="000000"/>
              <w:bottom w:val="nil" w:sz="6" w:space="0" w:color="auto"/>
              <w:right w:val="single" w:sz="4" w:space="0" w:color="000000"/>
            </w:tcBorders>
            <w:shd w:val="clear" w:color="auto" w:fill="D2D2D2"/>
          </w:tcPr>
          <w:p>
            <w:pPr/>
          </w:p>
        </w:tc>
        <w:tc>
          <w:tcPr>
            <w:tcW w:w="64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7"/>
              <w:ind w:left="12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7"/>
              <w:ind w:left="192"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7"/>
              <w:ind w:left="22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1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7"/>
              <w:ind w:left="95"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43"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32" w:type="dxa"/>
            <w:vMerge/>
            <w:tcBorders>
              <w:left w:val="single" w:sz="4" w:space="0" w:color="000000"/>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54" w:type="dxa"/>
            <w:vMerge/>
            <w:tcBorders>
              <w:left w:val="single" w:sz="4" w:space="0" w:color="000000"/>
              <w:right w:val="single" w:sz="4" w:space="0" w:color="000000"/>
            </w:tcBorders>
            <w:shd w:val="clear" w:color="auto" w:fill="D2D2D2"/>
          </w:tcPr>
          <w:p>
            <w:pPr/>
          </w:p>
        </w:tc>
        <w:tc>
          <w:tcPr>
            <w:tcW w:w="809" w:type="dxa"/>
            <w:vMerge w:val="restart"/>
            <w:tcBorders>
              <w:top w:val="nil" w:sz="6" w:space="0" w:color="auto"/>
              <w:left w:val="single" w:sz="4" w:space="0" w:color="000000"/>
              <w:right w:val="single" w:sz="4" w:space="0" w:color="000000"/>
            </w:tcBorders>
            <w:shd w:val="clear" w:color="auto" w:fill="D2D2D2"/>
          </w:tcPr>
          <w:p>
            <w:pPr/>
          </w:p>
        </w:tc>
        <w:tc>
          <w:tcPr>
            <w:tcW w:w="641"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816" w:type="dxa"/>
            <w:vMerge/>
            <w:tcBorders>
              <w:left w:val="single" w:sz="4" w:space="0" w:color="000000"/>
              <w:bottom w:val="nil" w:sz="6" w:space="0" w:color="auto"/>
              <w:right w:val="single" w:sz="4" w:space="0" w:color="000000"/>
            </w:tcBorders>
            <w:shd w:val="clear" w:color="auto" w:fill="D2D2D2"/>
          </w:tcPr>
          <w:p>
            <w:pPr/>
          </w:p>
        </w:tc>
        <w:tc>
          <w:tcPr>
            <w:tcW w:w="919" w:type="dxa"/>
            <w:vMerge/>
            <w:tcBorders>
              <w:left w:val="single" w:sz="4" w:space="0" w:color="000000"/>
              <w:bottom w:val="nil" w:sz="6" w:space="0" w:color="auto"/>
              <w:right w:val="single" w:sz="4" w:space="0" w:color="000000"/>
            </w:tcBorders>
            <w:shd w:val="clear" w:color="auto" w:fill="D2D2D2"/>
          </w:tcPr>
          <w:p>
            <w:pPr/>
          </w:p>
        </w:tc>
        <w:tc>
          <w:tcPr>
            <w:tcW w:w="943" w:type="dxa"/>
            <w:vMerge w:val="restart"/>
            <w:tcBorders>
              <w:top w:val="nil" w:sz="6" w:space="0" w:color="auto"/>
              <w:left w:val="single" w:sz="4" w:space="0" w:color="000000"/>
              <w:right w:val="single" w:sz="4" w:space="0" w:color="000000"/>
            </w:tcBorders>
            <w:shd w:val="clear" w:color="auto" w:fill="D2D2D2"/>
          </w:tcPr>
          <w:p>
            <w:pPr/>
          </w:p>
        </w:tc>
      </w:tr>
      <w:tr>
        <w:trPr>
          <w:trHeight w:val="168" w:hRule="exact"/>
        </w:trPr>
        <w:tc>
          <w:tcPr>
            <w:tcW w:w="1632"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54" w:type="dxa"/>
            <w:vMerge/>
            <w:tcBorders>
              <w:left w:val="single" w:sz="4" w:space="0" w:color="000000"/>
              <w:bottom w:val="single" w:sz="4" w:space="0" w:color="000000"/>
              <w:right w:val="single" w:sz="4" w:space="0" w:color="000000"/>
            </w:tcBorders>
            <w:shd w:val="clear" w:color="auto" w:fill="D2D2D2"/>
          </w:tcPr>
          <w:p>
            <w:pPr/>
          </w:p>
        </w:tc>
        <w:tc>
          <w:tcPr>
            <w:tcW w:w="809" w:type="dxa"/>
            <w:vMerge/>
            <w:tcBorders>
              <w:left w:val="single" w:sz="4" w:space="0" w:color="000000"/>
              <w:bottom w:val="single" w:sz="4" w:space="0" w:color="000000"/>
              <w:right w:val="single" w:sz="4" w:space="0" w:color="000000"/>
            </w:tcBorders>
            <w:shd w:val="clear" w:color="auto" w:fill="D2D2D2"/>
          </w:tcPr>
          <w:p>
            <w:pPr/>
          </w:p>
        </w:tc>
        <w:tc>
          <w:tcPr>
            <w:tcW w:w="641"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816" w:type="dxa"/>
            <w:tcBorders>
              <w:top w:val="nil" w:sz="6" w:space="0" w:color="auto"/>
              <w:left w:val="single" w:sz="4" w:space="0" w:color="000000"/>
              <w:bottom w:val="single" w:sz="4" w:space="0" w:color="000000"/>
              <w:right w:val="single" w:sz="4" w:space="0" w:color="000000"/>
            </w:tcBorders>
            <w:shd w:val="clear" w:color="auto" w:fill="D2D2D2"/>
          </w:tcPr>
          <w:p>
            <w:pPr/>
          </w:p>
        </w:tc>
        <w:tc>
          <w:tcPr>
            <w:tcW w:w="919" w:type="dxa"/>
            <w:tcBorders>
              <w:top w:val="nil" w:sz="6" w:space="0" w:color="auto"/>
              <w:left w:val="single" w:sz="4" w:space="0" w:color="000000"/>
              <w:bottom w:val="single" w:sz="4" w:space="0" w:color="000000"/>
              <w:right w:val="single" w:sz="4" w:space="0" w:color="000000"/>
            </w:tcBorders>
            <w:shd w:val="clear" w:color="auto" w:fill="D2D2D2"/>
          </w:tcPr>
          <w:p>
            <w:pPr/>
          </w:p>
        </w:tc>
        <w:tc>
          <w:tcPr>
            <w:tcW w:w="943" w:type="dxa"/>
            <w:vMerge/>
            <w:tcBorders>
              <w:left w:val="single" w:sz="4" w:space="0" w:color="000000"/>
              <w:bottom w:val="single" w:sz="4" w:space="0" w:color="000000"/>
              <w:right w:val="single" w:sz="4" w:space="0" w:color="000000"/>
            </w:tcBorders>
            <w:shd w:val="clear" w:color="auto" w:fill="D2D2D2"/>
          </w:tcPr>
          <w:p>
            <w:pPr/>
          </w:p>
        </w:tc>
      </w:tr>
      <w:tr>
        <w:trPr>
          <w:trHeight w:val="398" w:hRule="exact"/>
        </w:trPr>
        <w:tc>
          <w:tcPr>
            <w:tcW w:w="16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3"/>
              <w:ind w:left="24" w:right="0"/>
              <w:jc w:val="left"/>
              <w:rPr>
                <w:rFonts w:ascii="宋体" w:hAnsi="宋体" w:cs="宋体" w:eastAsia="宋体" w:hint="default"/>
                <w:sz w:val="18"/>
                <w:szCs w:val="18"/>
              </w:rPr>
            </w:pPr>
            <w:r>
              <w:rPr>
                <w:rFonts w:ascii="宋体" w:hAnsi="宋体" w:cs="宋体" w:eastAsia="宋体" w:hint="default"/>
                <w:sz w:val="18"/>
                <w:szCs w:val="18"/>
              </w:rPr>
              <w:t>单项金额重大并单</w:t>
            </w:r>
          </w:p>
        </w:tc>
        <w:tc>
          <w:tcPr>
            <w:tcW w:w="76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15"/>
              <w:ind w:left="91" w:right="0"/>
              <w:jc w:val="left"/>
              <w:rPr>
                <w:rFonts w:ascii="Times New Roman" w:hAnsi="Times New Roman" w:cs="Times New Roman" w:eastAsia="Times New Roman" w:hint="default"/>
                <w:sz w:val="18"/>
                <w:szCs w:val="18"/>
              </w:rPr>
            </w:pPr>
            <w:r>
              <w:rPr>
                <w:rFonts w:ascii="Times New Roman"/>
                <w:sz w:val="18"/>
              </w:rPr>
              <w:t>25,683,2</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68" w:right="0"/>
              <w:jc w:val="left"/>
              <w:rPr>
                <w:rFonts w:ascii="Times New Roman" w:hAnsi="Times New Roman" w:cs="Times New Roman" w:eastAsia="Times New Roman" w:hint="default"/>
                <w:sz w:val="18"/>
                <w:szCs w:val="18"/>
              </w:rPr>
            </w:pPr>
            <w:r>
              <w:rPr>
                <w:rFonts w:ascii="Times New Roman"/>
                <w:sz w:val="18"/>
              </w:rPr>
              <w:t>28.38%</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00" w:right="0"/>
              <w:jc w:val="left"/>
              <w:rPr>
                <w:rFonts w:ascii="Times New Roman" w:hAnsi="Times New Roman" w:cs="Times New Roman" w:eastAsia="Times New Roman" w:hint="default"/>
                <w:sz w:val="18"/>
                <w:szCs w:val="18"/>
              </w:rPr>
            </w:pPr>
            <w:r>
              <w:rPr>
                <w:rFonts w:ascii="Times New Roman"/>
                <w:sz w:val="18"/>
              </w:rPr>
              <w:t>13,142,6</w:t>
            </w:r>
          </w:p>
        </w:tc>
        <w:tc>
          <w:tcPr>
            <w:tcW w:w="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68" w:right="0"/>
              <w:jc w:val="left"/>
              <w:rPr>
                <w:rFonts w:ascii="Times New Roman" w:hAnsi="Times New Roman" w:cs="Times New Roman" w:eastAsia="Times New Roman" w:hint="default"/>
                <w:sz w:val="18"/>
                <w:szCs w:val="18"/>
              </w:rPr>
            </w:pPr>
            <w:r>
              <w:rPr>
                <w:rFonts w:ascii="Times New Roman"/>
                <w:sz w:val="18"/>
              </w:rPr>
              <w:t>51.17%</w:t>
            </w:r>
          </w:p>
        </w:tc>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48" w:right="0"/>
              <w:jc w:val="left"/>
              <w:rPr>
                <w:rFonts w:ascii="Times New Roman" w:hAnsi="Times New Roman" w:cs="Times New Roman" w:eastAsia="Times New Roman" w:hint="default"/>
                <w:sz w:val="18"/>
                <w:szCs w:val="18"/>
              </w:rPr>
            </w:pPr>
            <w:r>
              <w:rPr>
                <w:rFonts w:ascii="Times New Roman"/>
                <w:sz w:val="18"/>
              </w:rPr>
              <w:t>12,540,60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74" w:right="0"/>
              <w:jc w:val="left"/>
              <w:rPr>
                <w:rFonts w:ascii="Times New Roman" w:hAnsi="Times New Roman" w:cs="Times New Roman" w:eastAsia="Times New Roman" w:hint="default"/>
                <w:sz w:val="18"/>
                <w:szCs w:val="18"/>
              </w:rPr>
            </w:pPr>
            <w:r>
              <w:rPr>
                <w:rFonts w:ascii="Times New Roman"/>
                <w:sz w:val="18"/>
              </w:rPr>
              <w:t>38,643,</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67" w:right="0"/>
              <w:jc w:val="left"/>
              <w:rPr>
                <w:rFonts w:ascii="Times New Roman" w:hAnsi="Times New Roman" w:cs="Times New Roman" w:eastAsia="Times New Roman" w:hint="default"/>
                <w:sz w:val="18"/>
                <w:szCs w:val="18"/>
              </w:rPr>
            </w:pPr>
            <w:r>
              <w:rPr>
                <w:rFonts w:ascii="Times New Roman"/>
                <w:sz w:val="18"/>
              </w:rPr>
              <w:t>28.77%</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62" w:right="0"/>
              <w:jc w:val="left"/>
              <w:rPr>
                <w:rFonts w:ascii="Times New Roman" w:hAnsi="Times New Roman" w:cs="Times New Roman" w:eastAsia="Times New Roman" w:hint="default"/>
                <w:sz w:val="18"/>
                <w:szCs w:val="18"/>
              </w:rPr>
            </w:pPr>
            <w:r>
              <w:rPr>
                <w:rFonts w:ascii="Times New Roman"/>
                <w:sz w:val="18"/>
              </w:rPr>
              <w:t>14,093,23</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35" w:right="0"/>
              <w:jc w:val="left"/>
              <w:rPr>
                <w:rFonts w:ascii="Times New Roman" w:hAnsi="Times New Roman" w:cs="Times New Roman" w:eastAsia="Times New Roman" w:hint="default"/>
                <w:sz w:val="18"/>
                <w:szCs w:val="18"/>
              </w:rPr>
            </w:pPr>
            <w:r>
              <w:rPr>
                <w:rFonts w:ascii="Times New Roman"/>
                <w:sz w:val="18"/>
              </w:rPr>
              <w:t>36.47%</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60" w:right="0"/>
              <w:jc w:val="left"/>
              <w:rPr>
                <w:rFonts w:ascii="Times New Roman" w:hAnsi="Times New Roman" w:cs="Times New Roman" w:eastAsia="Times New Roman" w:hint="default"/>
                <w:sz w:val="18"/>
                <w:szCs w:val="18"/>
              </w:rPr>
            </w:pPr>
            <w:r>
              <w:rPr>
                <w:rFonts w:ascii="Times New Roman"/>
                <w:sz w:val="18"/>
              </w:rPr>
              <w:t>24,550,149.</w:t>
            </w:r>
          </w:p>
        </w:tc>
      </w:tr>
    </w:tbl>
    <w:p>
      <w:pPr>
        <w:spacing w:after="0" w:line="240" w:lineRule="auto"/>
        <w:jc w:val="left"/>
        <w:rPr>
          <w:rFonts w:ascii="Times New Roman" w:hAnsi="Times New Roman" w:cs="Times New Roman" w:eastAsia="Times New Roman" w:hint="default"/>
          <w:sz w:val="18"/>
          <w:szCs w:val="18"/>
        </w:rPr>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632"/>
        <w:gridCol w:w="763"/>
        <w:gridCol w:w="763"/>
        <w:gridCol w:w="763"/>
        <w:gridCol w:w="763"/>
        <w:gridCol w:w="787"/>
        <w:gridCol w:w="653"/>
        <w:gridCol w:w="763"/>
        <w:gridCol w:w="816"/>
        <w:gridCol w:w="931"/>
        <w:gridCol w:w="931"/>
      </w:tblGrid>
      <w:tr>
        <w:trPr>
          <w:trHeight w:val="672" w:hRule="exact"/>
        </w:trPr>
        <w:tc>
          <w:tcPr>
            <w:tcW w:w="16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10"/>
              <w:ind w:left="24" w:right="151"/>
              <w:jc w:val="left"/>
              <w:rPr>
                <w:rFonts w:ascii="宋体" w:hAnsi="宋体" w:cs="宋体" w:eastAsia="宋体" w:hint="default"/>
                <w:sz w:val="18"/>
                <w:szCs w:val="18"/>
              </w:rPr>
            </w:pPr>
            <w:r>
              <w:rPr>
                <w:rFonts w:ascii="宋体" w:hAnsi="宋体" w:cs="宋体" w:eastAsia="宋体" w:hint="default"/>
                <w:spacing w:val="-2"/>
                <w:sz w:val="18"/>
                <w:szCs w:val="18"/>
              </w:rPr>
              <w:t>独计提坏账准备的</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其他应收款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2"/>
              <w:jc w:val="right"/>
              <w:rPr>
                <w:rFonts w:ascii="Times New Roman" w:hAnsi="Times New Roman" w:cs="Times New Roman" w:eastAsia="Times New Roman" w:hint="default"/>
                <w:sz w:val="18"/>
                <w:szCs w:val="18"/>
              </w:rPr>
            </w:pPr>
            <w:r>
              <w:rPr>
                <w:rFonts w:ascii="Times New Roman"/>
                <w:spacing w:val="-1"/>
                <w:sz w:val="18"/>
              </w:rPr>
              <w:t>42.97</w:t>
            </w:r>
          </w:p>
        </w:tc>
        <w:tc>
          <w:tcPr>
            <w:tcW w:w="763"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2"/>
              <w:jc w:val="right"/>
              <w:rPr>
                <w:rFonts w:ascii="Times New Roman" w:hAnsi="Times New Roman" w:cs="Times New Roman" w:eastAsia="Times New Roman" w:hint="default"/>
                <w:sz w:val="18"/>
                <w:szCs w:val="18"/>
              </w:rPr>
            </w:pPr>
            <w:r>
              <w:rPr>
                <w:rFonts w:ascii="Times New Roman"/>
                <w:spacing w:val="-1"/>
                <w:sz w:val="18"/>
              </w:rPr>
              <w:t>39.08</w:t>
            </w:r>
          </w:p>
        </w:tc>
        <w:tc>
          <w:tcPr>
            <w:tcW w:w="763"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436" w:right="0"/>
              <w:jc w:val="left"/>
              <w:rPr>
                <w:rFonts w:ascii="Times New Roman" w:hAnsi="Times New Roman" w:cs="Times New Roman" w:eastAsia="Times New Roman" w:hint="default"/>
                <w:sz w:val="18"/>
                <w:szCs w:val="18"/>
              </w:rPr>
            </w:pPr>
            <w:r>
              <w:rPr>
                <w:rFonts w:ascii="Times New Roman"/>
                <w:sz w:val="18"/>
              </w:rPr>
              <w:t>3.89</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24" w:right="0"/>
              <w:jc w:val="left"/>
              <w:rPr>
                <w:rFonts w:ascii="Times New Roman" w:hAnsi="Times New Roman" w:cs="Times New Roman" w:eastAsia="Times New Roman" w:hint="default"/>
                <w:sz w:val="18"/>
                <w:szCs w:val="18"/>
              </w:rPr>
            </w:pPr>
            <w:r>
              <w:rPr>
                <w:rFonts w:ascii="Times New Roman"/>
                <w:sz w:val="18"/>
              </w:rPr>
              <w:t>384.24</w:t>
            </w:r>
          </w:p>
        </w:tc>
        <w:tc>
          <w:tcPr>
            <w:tcW w:w="763" w:type="dxa"/>
            <w:tcBorders>
              <w:top w:val="single" w:sz="4" w:space="0" w:color="000000"/>
              <w:left w:val="single" w:sz="4" w:space="0" w:color="000000"/>
              <w:bottom w:val="single" w:sz="4" w:space="0" w:color="000000"/>
              <w:right w:val="single" w:sz="4" w:space="0" w:color="000000"/>
            </w:tcBorders>
          </w:tcPr>
          <w:p>
            <w:pP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460" w:right="0"/>
              <w:jc w:val="left"/>
              <w:rPr>
                <w:rFonts w:ascii="Times New Roman" w:hAnsi="Times New Roman" w:cs="Times New Roman" w:eastAsia="Times New Roman" w:hint="default"/>
                <w:sz w:val="18"/>
                <w:szCs w:val="18"/>
              </w:rPr>
            </w:pPr>
            <w:r>
              <w:rPr>
                <w:rFonts w:ascii="Times New Roman"/>
                <w:sz w:val="18"/>
              </w:rPr>
              <w:t>4.72</w:t>
            </w:r>
          </w:p>
        </w:tc>
        <w:tc>
          <w:tcPr>
            <w:tcW w:w="931"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7"/>
              <w:jc w:val="right"/>
              <w:rPr>
                <w:rFonts w:ascii="Times New Roman" w:hAnsi="Times New Roman" w:cs="Times New Roman" w:eastAsia="Times New Roman" w:hint="default"/>
                <w:sz w:val="18"/>
                <w:szCs w:val="18"/>
              </w:rPr>
            </w:pPr>
            <w:r>
              <w:rPr>
                <w:rFonts w:ascii="Times New Roman"/>
                <w:sz w:val="18"/>
              </w:rPr>
              <w:t>52</w:t>
            </w:r>
          </w:p>
        </w:tc>
      </w:tr>
      <w:tr>
        <w:trPr>
          <w:trHeight w:val="1027" w:hRule="exact"/>
        </w:trPr>
        <w:tc>
          <w:tcPr>
            <w:tcW w:w="16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24" w:right="151"/>
              <w:jc w:val="both"/>
              <w:rPr>
                <w:rFonts w:ascii="宋体" w:hAnsi="宋体" w:cs="宋体" w:eastAsia="宋体" w:hint="default"/>
                <w:sz w:val="18"/>
                <w:szCs w:val="18"/>
              </w:rPr>
            </w:pPr>
            <w:r>
              <w:rPr>
                <w:rFonts w:ascii="宋体" w:hAnsi="宋体" w:cs="宋体" w:eastAsia="宋体" w:hint="default"/>
                <w:spacing w:val="-2"/>
                <w:sz w:val="18"/>
                <w:szCs w:val="18"/>
              </w:rPr>
              <w:t>按信用风险特征组</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2"/>
                <w:sz w:val="18"/>
                <w:szCs w:val="18"/>
              </w:rPr>
              <w:t>合计提坏账准备的</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其他应收款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64,817,7</w:t>
            </w:r>
          </w:p>
          <w:p>
            <w:pPr>
              <w:pStyle w:val="TableParagraph"/>
              <w:spacing w:line="240" w:lineRule="auto" w:before="110"/>
              <w:ind w:left="321" w:right="0"/>
              <w:jc w:val="left"/>
              <w:rPr>
                <w:rFonts w:ascii="Times New Roman" w:hAnsi="Times New Roman" w:cs="Times New Roman" w:eastAsia="Times New Roman" w:hint="default"/>
                <w:sz w:val="18"/>
                <w:szCs w:val="18"/>
              </w:rPr>
            </w:pPr>
            <w:r>
              <w:rPr>
                <w:rFonts w:ascii="Times New Roman"/>
                <w:sz w:val="18"/>
              </w:rPr>
              <w:t>76.32</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71.62%</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4,750,20</w:t>
            </w:r>
          </w:p>
          <w:p>
            <w:pPr>
              <w:pStyle w:val="TableParagraph"/>
              <w:spacing w:line="240" w:lineRule="auto" w:before="110"/>
              <w:ind w:left="407" w:right="0"/>
              <w:jc w:val="left"/>
              <w:rPr>
                <w:rFonts w:ascii="Times New Roman" w:hAnsi="Times New Roman" w:cs="Times New Roman" w:eastAsia="Times New Roman" w:hint="default"/>
                <w:sz w:val="18"/>
                <w:szCs w:val="18"/>
              </w:rPr>
            </w:pPr>
            <w:r>
              <w:rPr>
                <w:rFonts w:ascii="Times New Roman"/>
                <w:sz w:val="18"/>
              </w:rPr>
              <w:t>8.46</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7.33%</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60,067,56</w:t>
            </w:r>
          </w:p>
          <w:p>
            <w:pPr>
              <w:pStyle w:val="TableParagraph"/>
              <w:spacing w:line="240" w:lineRule="auto" w:before="110"/>
              <w:ind w:left="436" w:right="0"/>
              <w:jc w:val="left"/>
              <w:rPr>
                <w:rFonts w:ascii="Times New Roman" w:hAnsi="Times New Roman" w:cs="Times New Roman" w:eastAsia="Times New Roman" w:hint="default"/>
                <w:sz w:val="18"/>
                <w:szCs w:val="18"/>
              </w:rPr>
            </w:pPr>
            <w:r>
              <w:rPr>
                <w:rFonts w:ascii="Times New Roman"/>
                <w:sz w:val="18"/>
              </w:rPr>
              <w:t>7.86</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95,671,</w:t>
            </w:r>
          </w:p>
          <w:p>
            <w:pPr>
              <w:pStyle w:val="TableParagraph"/>
              <w:spacing w:line="240" w:lineRule="auto" w:before="110"/>
              <w:ind w:left="124" w:right="0"/>
              <w:jc w:val="left"/>
              <w:rPr>
                <w:rFonts w:ascii="Times New Roman" w:hAnsi="Times New Roman" w:cs="Times New Roman" w:eastAsia="Times New Roman" w:hint="default"/>
                <w:sz w:val="18"/>
                <w:szCs w:val="18"/>
              </w:rPr>
            </w:pPr>
            <w:r>
              <w:rPr>
                <w:rFonts w:ascii="Times New Roman"/>
                <w:sz w:val="18"/>
              </w:rPr>
              <w:t>838.38</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71.23%</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3,723,126</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sz w:val="18"/>
              </w:rPr>
              <w:t>.34</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3.89%</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1"/>
                <w:sz w:val="18"/>
              </w:rPr>
              <w:t>91,948,712.</w:t>
            </w:r>
          </w:p>
          <w:p>
            <w:pPr>
              <w:pStyle w:val="TableParagraph"/>
              <w:spacing w:line="240" w:lineRule="auto" w:before="110"/>
              <w:ind w:right="17"/>
              <w:jc w:val="right"/>
              <w:rPr>
                <w:rFonts w:ascii="Times New Roman" w:hAnsi="Times New Roman" w:cs="Times New Roman" w:eastAsia="Times New Roman" w:hint="default"/>
                <w:sz w:val="18"/>
                <w:szCs w:val="18"/>
              </w:rPr>
            </w:pPr>
            <w:r>
              <w:rPr>
                <w:rFonts w:ascii="Times New Roman"/>
                <w:sz w:val="18"/>
              </w:rPr>
              <w:t>04</w:t>
            </w:r>
          </w:p>
        </w:tc>
      </w:tr>
      <w:tr>
        <w:trPr>
          <w:trHeight w:val="357" w:hRule="exact"/>
        </w:trPr>
        <w:tc>
          <w:tcPr>
            <w:tcW w:w="1632"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单项金额不重大但</w:t>
            </w:r>
          </w:p>
        </w:tc>
        <w:tc>
          <w:tcPr>
            <w:tcW w:w="763" w:type="dxa"/>
            <w:tcBorders>
              <w:top w:val="single" w:sz="4" w:space="0" w:color="000000"/>
              <w:left w:val="single" w:sz="4" w:space="0" w:color="000000"/>
              <w:bottom w:val="nil" w:sz="6" w:space="0" w:color="auto"/>
              <w:right w:val="single" w:sz="4" w:space="0" w:color="000000"/>
            </w:tcBorders>
          </w:tcPr>
          <w:p>
            <w:pPr/>
          </w:p>
        </w:tc>
        <w:tc>
          <w:tcPr>
            <w:tcW w:w="763" w:type="dxa"/>
            <w:tcBorders>
              <w:top w:val="single" w:sz="4" w:space="0" w:color="000000"/>
              <w:left w:val="single" w:sz="4" w:space="0" w:color="000000"/>
              <w:bottom w:val="nil" w:sz="6" w:space="0" w:color="auto"/>
              <w:right w:val="single" w:sz="4" w:space="0" w:color="000000"/>
            </w:tcBorders>
          </w:tcPr>
          <w:p>
            <w:pPr/>
          </w:p>
        </w:tc>
        <w:tc>
          <w:tcPr>
            <w:tcW w:w="763" w:type="dxa"/>
            <w:tcBorders>
              <w:top w:val="single" w:sz="4" w:space="0" w:color="000000"/>
              <w:left w:val="single" w:sz="4" w:space="0" w:color="000000"/>
              <w:bottom w:val="nil" w:sz="6" w:space="0" w:color="auto"/>
              <w:right w:val="single" w:sz="4" w:space="0" w:color="000000"/>
            </w:tcBorders>
          </w:tcPr>
          <w:p>
            <w:pPr/>
          </w:p>
        </w:tc>
        <w:tc>
          <w:tcPr>
            <w:tcW w:w="763" w:type="dxa"/>
            <w:tcBorders>
              <w:top w:val="single" w:sz="4" w:space="0" w:color="000000"/>
              <w:left w:val="single" w:sz="4" w:space="0" w:color="000000"/>
              <w:bottom w:val="nil" w:sz="6" w:space="0" w:color="auto"/>
              <w:right w:val="single" w:sz="4" w:space="0" w:color="000000"/>
            </w:tcBorders>
          </w:tcPr>
          <w:p>
            <w:pPr/>
          </w:p>
        </w:tc>
        <w:tc>
          <w:tcPr>
            <w:tcW w:w="787" w:type="dxa"/>
            <w:vMerge w:val="restart"/>
            <w:tcBorders>
              <w:top w:val="single" w:sz="4" w:space="0" w:color="000000"/>
              <w:left w:val="single" w:sz="4" w:space="0" w:color="000000"/>
              <w:right w:val="single" w:sz="4" w:space="0" w:color="000000"/>
            </w:tcBorders>
          </w:tcPr>
          <w:p>
            <w:pPr/>
          </w:p>
        </w:tc>
        <w:tc>
          <w:tcPr>
            <w:tcW w:w="653" w:type="dxa"/>
            <w:vMerge w:val="restart"/>
            <w:tcBorders>
              <w:top w:val="single" w:sz="4" w:space="0" w:color="000000"/>
              <w:left w:val="single" w:sz="4" w:space="0" w:color="000000"/>
              <w:right w:val="single" w:sz="4" w:space="0" w:color="000000"/>
            </w:tcBorders>
          </w:tcPr>
          <w:p>
            <w:pPr/>
          </w:p>
        </w:tc>
        <w:tc>
          <w:tcPr>
            <w:tcW w:w="763" w:type="dxa"/>
            <w:vMerge w:val="restart"/>
            <w:tcBorders>
              <w:top w:val="single" w:sz="4" w:space="0" w:color="000000"/>
              <w:left w:val="single" w:sz="4" w:space="0" w:color="000000"/>
              <w:right w:val="single" w:sz="4" w:space="0" w:color="000000"/>
            </w:tcBorders>
          </w:tcPr>
          <w:p>
            <w:pPr/>
          </w:p>
        </w:tc>
        <w:tc>
          <w:tcPr>
            <w:tcW w:w="816" w:type="dxa"/>
            <w:vMerge w:val="restart"/>
            <w:tcBorders>
              <w:top w:val="single" w:sz="4" w:space="0" w:color="000000"/>
              <w:left w:val="single" w:sz="4" w:space="0" w:color="000000"/>
              <w:right w:val="single" w:sz="4" w:space="0" w:color="000000"/>
            </w:tcBorders>
          </w:tcPr>
          <w:p>
            <w:pPr/>
          </w:p>
        </w:tc>
        <w:tc>
          <w:tcPr>
            <w:tcW w:w="931" w:type="dxa"/>
            <w:vMerge w:val="restart"/>
            <w:tcBorders>
              <w:top w:val="single" w:sz="4" w:space="0" w:color="000000"/>
              <w:left w:val="single" w:sz="4" w:space="0" w:color="000000"/>
              <w:right w:val="single" w:sz="4" w:space="0" w:color="000000"/>
            </w:tcBorders>
          </w:tcPr>
          <w:p>
            <w:pPr/>
          </w:p>
        </w:tc>
        <w:tc>
          <w:tcPr>
            <w:tcW w:w="931" w:type="dxa"/>
            <w:vMerge w:val="restart"/>
            <w:tcBorders>
              <w:top w:val="single" w:sz="4" w:space="0" w:color="000000"/>
              <w:left w:val="single" w:sz="4" w:space="0" w:color="000000"/>
              <w:right w:val="single" w:sz="4" w:space="0" w:color="000000"/>
            </w:tcBorders>
          </w:tcPr>
          <w:p>
            <w:pPr/>
          </w:p>
        </w:tc>
      </w:tr>
      <w:tr>
        <w:trPr>
          <w:trHeight w:val="319" w:hRule="exact"/>
        </w:trPr>
        <w:tc>
          <w:tcPr>
            <w:tcW w:w="163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left="24" w:right="0"/>
              <w:jc w:val="left"/>
              <w:rPr>
                <w:rFonts w:ascii="宋体" w:hAnsi="宋体" w:cs="宋体" w:eastAsia="宋体" w:hint="default"/>
                <w:sz w:val="18"/>
                <w:szCs w:val="18"/>
              </w:rPr>
            </w:pPr>
            <w:r>
              <w:rPr>
                <w:rFonts w:ascii="宋体" w:hAnsi="宋体" w:cs="宋体" w:eastAsia="宋体" w:hint="default"/>
                <w:sz w:val="18"/>
                <w:szCs w:val="18"/>
              </w:rPr>
              <w:t>单独计提坏账准备</w:t>
            </w:r>
          </w:p>
        </w:tc>
        <w:tc>
          <w:tcPr>
            <w:tcW w:w="763"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22"/>
              <w:jc w:val="right"/>
              <w:rPr>
                <w:rFonts w:ascii="Times New Roman" w:hAnsi="Times New Roman" w:cs="Times New Roman" w:eastAsia="Times New Roman" w:hint="default"/>
                <w:sz w:val="18"/>
                <w:szCs w:val="18"/>
              </w:rPr>
            </w:pPr>
            <w:r>
              <w:rPr>
                <w:rFonts w:ascii="Times New Roman"/>
                <w:spacing w:val="-1"/>
                <w:sz w:val="18"/>
              </w:rPr>
              <w:t>7,500.00</w:t>
            </w:r>
          </w:p>
        </w:tc>
        <w:tc>
          <w:tcPr>
            <w:tcW w:w="763"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23"/>
              <w:jc w:val="right"/>
              <w:rPr>
                <w:rFonts w:ascii="Times New Roman" w:hAnsi="Times New Roman" w:cs="Times New Roman" w:eastAsia="Times New Roman" w:hint="default"/>
                <w:sz w:val="18"/>
                <w:szCs w:val="18"/>
              </w:rPr>
            </w:pPr>
            <w:r>
              <w:rPr>
                <w:rFonts w:ascii="Times New Roman"/>
                <w:spacing w:val="-1"/>
                <w:sz w:val="18"/>
              </w:rPr>
              <w:t>0.01%</w:t>
            </w:r>
          </w:p>
        </w:tc>
        <w:tc>
          <w:tcPr>
            <w:tcW w:w="763"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22"/>
              <w:jc w:val="right"/>
              <w:rPr>
                <w:rFonts w:ascii="Times New Roman" w:hAnsi="Times New Roman" w:cs="Times New Roman" w:eastAsia="Times New Roman" w:hint="default"/>
                <w:sz w:val="18"/>
                <w:szCs w:val="18"/>
              </w:rPr>
            </w:pPr>
            <w:r>
              <w:rPr>
                <w:rFonts w:ascii="Times New Roman"/>
                <w:spacing w:val="-1"/>
                <w:sz w:val="18"/>
              </w:rPr>
              <w:t>7,500.00</w:t>
            </w:r>
          </w:p>
        </w:tc>
        <w:tc>
          <w:tcPr>
            <w:tcW w:w="763"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23"/>
              <w:jc w:val="right"/>
              <w:rPr>
                <w:rFonts w:ascii="Times New Roman" w:hAnsi="Times New Roman" w:cs="Times New Roman" w:eastAsia="Times New Roman" w:hint="default"/>
                <w:sz w:val="18"/>
                <w:szCs w:val="18"/>
              </w:rPr>
            </w:pPr>
            <w:r>
              <w:rPr>
                <w:rFonts w:ascii="Times New Roman"/>
                <w:spacing w:val="-2"/>
                <w:sz w:val="18"/>
              </w:rPr>
              <w:t>100.00%</w:t>
            </w:r>
          </w:p>
        </w:tc>
        <w:tc>
          <w:tcPr>
            <w:tcW w:w="787" w:type="dxa"/>
            <w:vMerge/>
            <w:tcBorders>
              <w:left w:val="single" w:sz="4" w:space="0" w:color="000000"/>
              <w:right w:val="single" w:sz="4" w:space="0" w:color="000000"/>
            </w:tcBorders>
          </w:tcPr>
          <w:p>
            <w:pPr/>
          </w:p>
        </w:tc>
        <w:tc>
          <w:tcPr>
            <w:tcW w:w="653"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816"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351" w:hRule="exact"/>
        </w:trPr>
        <w:tc>
          <w:tcPr>
            <w:tcW w:w="1632"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sz w:val="18"/>
                <w:szCs w:val="18"/>
              </w:rPr>
              <w:t>的其他应收款</w:t>
            </w:r>
          </w:p>
        </w:tc>
        <w:tc>
          <w:tcPr>
            <w:tcW w:w="763" w:type="dxa"/>
            <w:tcBorders>
              <w:top w:val="nil" w:sz="6" w:space="0" w:color="auto"/>
              <w:left w:val="single" w:sz="4" w:space="0" w:color="000000"/>
              <w:bottom w:val="single" w:sz="4" w:space="0" w:color="000000"/>
              <w:right w:val="single" w:sz="4" w:space="0" w:color="000000"/>
            </w:tcBorders>
          </w:tcPr>
          <w:p>
            <w:pPr/>
          </w:p>
        </w:tc>
        <w:tc>
          <w:tcPr>
            <w:tcW w:w="763" w:type="dxa"/>
            <w:tcBorders>
              <w:top w:val="nil" w:sz="6" w:space="0" w:color="auto"/>
              <w:left w:val="single" w:sz="4" w:space="0" w:color="000000"/>
              <w:bottom w:val="single" w:sz="4" w:space="0" w:color="000000"/>
              <w:right w:val="single" w:sz="4" w:space="0" w:color="000000"/>
            </w:tcBorders>
          </w:tcPr>
          <w:p>
            <w:pPr/>
          </w:p>
        </w:tc>
        <w:tc>
          <w:tcPr>
            <w:tcW w:w="763" w:type="dxa"/>
            <w:tcBorders>
              <w:top w:val="nil" w:sz="6" w:space="0" w:color="auto"/>
              <w:left w:val="single" w:sz="4" w:space="0" w:color="000000"/>
              <w:bottom w:val="single" w:sz="4" w:space="0" w:color="000000"/>
              <w:right w:val="single" w:sz="4" w:space="0" w:color="000000"/>
            </w:tcBorders>
          </w:tcPr>
          <w:p>
            <w:pPr/>
          </w:p>
        </w:tc>
        <w:tc>
          <w:tcPr>
            <w:tcW w:w="763" w:type="dxa"/>
            <w:tcBorders>
              <w:top w:val="nil" w:sz="6" w:space="0" w:color="auto"/>
              <w:left w:val="single" w:sz="4" w:space="0" w:color="000000"/>
              <w:bottom w:val="single" w:sz="4" w:space="0" w:color="000000"/>
              <w:right w:val="single" w:sz="4" w:space="0" w:color="000000"/>
            </w:tcBorders>
          </w:tcPr>
          <w:p>
            <w:pPr/>
          </w:p>
        </w:tc>
        <w:tc>
          <w:tcPr>
            <w:tcW w:w="787" w:type="dxa"/>
            <w:vMerge/>
            <w:tcBorders>
              <w:left w:val="single" w:sz="4" w:space="0" w:color="000000"/>
              <w:bottom w:val="single" w:sz="4" w:space="0" w:color="000000"/>
              <w:right w:val="single" w:sz="4" w:space="0" w:color="000000"/>
            </w:tcBorders>
          </w:tcPr>
          <w:p>
            <w:pPr/>
          </w:p>
        </w:tc>
        <w:tc>
          <w:tcPr>
            <w:tcW w:w="653"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816"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r>
        <w:trPr>
          <w:trHeight w:val="715" w:hRule="exact"/>
        </w:trPr>
        <w:tc>
          <w:tcPr>
            <w:tcW w:w="16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90,508,5</w:t>
            </w:r>
          </w:p>
          <w:p>
            <w:pPr>
              <w:pStyle w:val="TableParagraph"/>
              <w:spacing w:line="240" w:lineRule="auto" w:before="105"/>
              <w:ind w:left="321" w:right="0"/>
              <w:jc w:val="left"/>
              <w:rPr>
                <w:rFonts w:ascii="Times New Roman" w:hAnsi="Times New Roman" w:cs="Times New Roman" w:eastAsia="Times New Roman" w:hint="default"/>
                <w:sz w:val="18"/>
                <w:szCs w:val="18"/>
              </w:rPr>
            </w:pPr>
            <w:r>
              <w:rPr>
                <w:rFonts w:ascii="Times New Roman"/>
                <w:sz w:val="18"/>
              </w:rPr>
              <w:t>19.29</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2"/>
                <w:sz w:val="18"/>
              </w:rPr>
              <w:t>100.00%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17,900,3</w:t>
            </w:r>
          </w:p>
          <w:p>
            <w:pPr>
              <w:pStyle w:val="TableParagraph"/>
              <w:spacing w:line="240" w:lineRule="auto" w:before="105"/>
              <w:ind w:left="321" w:right="0"/>
              <w:jc w:val="left"/>
              <w:rPr>
                <w:rFonts w:ascii="Times New Roman" w:hAnsi="Times New Roman" w:cs="Times New Roman" w:eastAsia="Times New Roman" w:hint="default"/>
                <w:sz w:val="18"/>
                <w:szCs w:val="18"/>
              </w:rPr>
            </w:pPr>
            <w:r>
              <w:rPr>
                <w:rFonts w:ascii="Times New Roman"/>
                <w:sz w:val="18"/>
              </w:rPr>
              <w:t>47.54</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19.78%</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8" w:right="0"/>
              <w:jc w:val="left"/>
              <w:rPr>
                <w:rFonts w:ascii="Times New Roman" w:hAnsi="Times New Roman" w:cs="Times New Roman" w:eastAsia="Times New Roman" w:hint="default"/>
                <w:sz w:val="18"/>
                <w:szCs w:val="18"/>
              </w:rPr>
            </w:pPr>
            <w:r>
              <w:rPr>
                <w:rFonts w:ascii="Times New Roman"/>
                <w:sz w:val="18"/>
              </w:rPr>
              <w:t>72,608,17</w:t>
            </w:r>
          </w:p>
          <w:p>
            <w:pPr>
              <w:pStyle w:val="TableParagraph"/>
              <w:spacing w:line="240" w:lineRule="auto" w:before="105"/>
              <w:ind w:left="436" w:right="0"/>
              <w:jc w:val="left"/>
              <w:rPr>
                <w:rFonts w:ascii="Times New Roman" w:hAnsi="Times New Roman" w:cs="Times New Roman" w:eastAsia="Times New Roman" w:hint="default"/>
                <w:sz w:val="18"/>
                <w:szCs w:val="18"/>
              </w:rPr>
            </w:pPr>
            <w:r>
              <w:rPr>
                <w:rFonts w:ascii="Times New Roman"/>
                <w:sz w:val="18"/>
              </w:rPr>
              <w:t>1.75</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8" w:right="0"/>
              <w:jc w:val="left"/>
              <w:rPr>
                <w:rFonts w:ascii="Times New Roman" w:hAnsi="Times New Roman" w:cs="Times New Roman" w:eastAsia="Times New Roman" w:hint="default"/>
                <w:sz w:val="18"/>
                <w:szCs w:val="18"/>
              </w:rPr>
            </w:pPr>
            <w:r>
              <w:rPr>
                <w:rFonts w:ascii="Times New Roman"/>
                <w:sz w:val="18"/>
              </w:rPr>
              <w:t>134,315</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,222.62</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2"/>
                <w:sz w:val="18"/>
              </w:rPr>
              <w:t>100.00%</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62" w:right="0"/>
              <w:jc w:val="left"/>
              <w:rPr>
                <w:rFonts w:ascii="Times New Roman" w:hAnsi="Times New Roman" w:cs="Times New Roman" w:eastAsia="Times New Roman" w:hint="default"/>
                <w:sz w:val="18"/>
                <w:szCs w:val="18"/>
              </w:rPr>
            </w:pPr>
            <w:r>
              <w:rPr>
                <w:rFonts w:ascii="Times New Roman"/>
                <w:sz w:val="18"/>
              </w:rPr>
              <w:t>17,816,36</w:t>
            </w:r>
          </w:p>
          <w:p>
            <w:pPr>
              <w:pStyle w:val="TableParagraph"/>
              <w:spacing w:line="240" w:lineRule="auto" w:before="105"/>
              <w:ind w:left="460" w:right="0"/>
              <w:jc w:val="left"/>
              <w:rPr>
                <w:rFonts w:ascii="Times New Roman" w:hAnsi="Times New Roman" w:cs="Times New Roman" w:eastAsia="Times New Roman" w:hint="default"/>
                <w:sz w:val="18"/>
                <w:szCs w:val="18"/>
              </w:rPr>
            </w:pPr>
            <w:r>
              <w:rPr>
                <w:rFonts w:ascii="Times New Roman"/>
                <w:sz w:val="18"/>
              </w:rPr>
              <w:t>1.06</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13.26%</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116,498,86</w:t>
            </w:r>
          </w:p>
          <w:p>
            <w:pPr>
              <w:pStyle w:val="TableParagraph"/>
              <w:spacing w:line="240" w:lineRule="auto" w:before="105"/>
              <w:ind w:left="580" w:right="0"/>
              <w:jc w:val="left"/>
              <w:rPr>
                <w:rFonts w:ascii="Times New Roman" w:hAnsi="Times New Roman" w:cs="Times New Roman" w:eastAsia="Times New Roman" w:hint="default"/>
                <w:sz w:val="18"/>
                <w:szCs w:val="18"/>
              </w:rPr>
            </w:pPr>
            <w:r>
              <w:rPr>
                <w:rFonts w:ascii="Times New Roman"/>
                <w:sz w:val="18"/>
              </w:rPr>
              <w:t>1.56</w:t>
            </w:r>
          </w:p>
        </w:tc>
      </w:tr>
    </w:tbl>
    <w:p>
      <w:pPr>
        <w:spacing w:after="0" w:line="240" w:lineRule="auto"/>
        <w:jc w:val="left"/>
        <w:rPr>
          <w:rFonts w:ascii="Times New Roman" w:hAnsi="Times New Roman" w:cs="Times New Roman" w:eastAsia="Times New Roman" w:hint="default"/>
          <w:sz w:val="18"/>
          <w:szCs w:val="18"/>
        </w:rPr>
        <w:sectPr>
          <w:pgSz w:w="11900" w:h="16840"/>
          <w:pgMar w:header="872" w:footer="984" w:top="1060" w:bottom="1180" w:left="980" w:right="980"/>
        </w:sectPr>
      </w:pPr>
    </w:p>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期末单项金额重大并单项计提坏账准备的其他应收款：</w:t>
      </w:r>
    </w:p>
    <w:p>
      <w:pPr>
        <w:spacing w:before="115"/>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22"/>
          <w:szCs w:val="22"/>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00" w:h="16840"/>
          <w:pgMar w:top="1060" w:bottom="1180" w:left="980" w:right="980"/>
          <w:cols w:num="2" w:equalWidth="0">
            <w:col w:w="4478" w:space="4344"/>
            <w:col w:w="1118"/>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spacing w:before="46"/>
        <w:ind w:left="0" w:right="170" w:firstLine="0"/>
        <w:jc w:val="right"/>
        <w:rPr>
          <w:rFonts w:ascii="宋体" w:hAnsi="宋体" w:cs="宋体" w:eastAsia="宋体" w:hint="default"/>
          <w:sz w:val="18"/>
          <w:szCs w:val="18"/>
        </w:rPr>
      </w:pPr>
      <w:r>
        <w:rPr/>
        <w:pict>
          <v:shape style="position:absolute;margin-left:56.400002pt;margin-top:-228.388275pt;width:479.3pt;height:268.1pt;mso-position-horizontal-relative:page;mso-position-vertical-relative:paragraph;z-index:16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10"/>
                    <w:gridCol w:w="1915"/>
                    <w:gridCol w:w="1915"/>
                    <w:gridCol w:w="1915"/>
                    <w:gridCol w:w="1915"/>
                  </w:tblGrid>
                  <w:tr>
                    <w:trPr>
                      <w:trHeight w:val="403" w:hRule="exact"/>
                    </w:trPr>
                    <w:tc>
                      <w:tcPr>
                        <w:tcW w:w="191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48" w:right="0"/>
                          <w:jc w:val="left"/>
                          <w:rPr>
                            <w:rFonts w:ascii="宋体" w:hAnsi="宋体" w:cs="宋体" w:eastAsia="宋体" w:hint="default"/>
                            <w:sz w:val="18"/>
                            <w:szCs w:val="18"/>
                          </w:rPr>
                        </w:pPr>
                        <w:r>
                          <w:rPr>
                            <w:rFonts w:ascii="宋体" w:hAnsi="宋体" w:cs="宋体" w:eastAsia="宋体" w:hint="default"/>
                            <w:sz w:val="18"/>
                            <w:szCs w:val="18"/>
                          </w:rPr>
                          <w:t>其他应收款（按单位）</w:t>
                        </w:r>
                      </w:p>
                    </w:tc>
                    <w:tc>
                      <w:tcPr>
                        <w:tcW w:w="7661"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910" w:type="dxa"/>
                        <w:vMerge/>
                        <w:tcBorders>
                          <w:left w:val="single" w:sz="4" w:space="0" w:color="000000"/>
                          <w:bottom w:val="single" w:sz="4" w:space="0" w:color="000000"/>
                          <w:right w:val="single" w:sz="4" w:space="0" w:color="000000"/>
                        </w:tcBorders>
                        <w:shd w:val="clear" w:color="auto" w:fill="D2D2D2"/>
                      </w:tcPr>
                      <w:p>
                        <w:pP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99"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计提理由</w:t>
                        </w:r>
                      </w:p>
                    </w:tc>
                  </w:tr>
                  <w:tr>
                    <w:trPr>
                      <w:trHeight w:val="357" w:hRule="exact"/>
                    </w:trPr>
                    <w:tc>
                      <w:tcPr>
                        <w:tcW w:w="1910" w:type="dxa"/>
                        <w:tcBorders>
                          <w:top w:val="single" w:sz="4" w:space="0" w:color="000000"/>
                          <w:left w:val="single" w:sz="4" w:space="0" w:color="000000"/>
                          <w:bottom w:val="nil" w:sz="6" w:space="0" w:color="auto"/>
                          <w:right w:val="single" w:sz="4" w:space="0" w:color="000000"/>
                        </w:tcBorders>
                      </w:tcPr>
                      <w:p>
                        <w:pPr/>
                      </w:p>
                    </w:tc>
                    <w:tc>
                      <w:tcPr>
                        <w:tcW w:w="1915" w:type="dxa"/>
                        <w:tcBorders>
                          <w:top w:val="single" w:sz="4" w:space="0" w:color="000000"/>
                          <w:left w:val="single" w:sz="4" w:space="0" w:color="000000"/>
                          <w:bottom w:val="nil" w:sz="6" w:space="0" w:color="auto"/>
                          <w:right w:val="single" w:sz="4" w:space="0" w:color="000000"/>
                        </w:tcBorders>
                      </w:tcPr>
                      <w:p>
                        <w:pPr/>
                      </w:p>
                    </w:tc>
                    <w:tc>
                      <w:tcPr>
                        <w:tcW w:w="1915" w:type="dxa"/>
                        <w:tcBorders>
                          <w:top w:val="single" w:sz="4" w:space="0" w:color="000000"/>
                          <w:left w:val="single" w:sz="4" w:space="0" w:color="000000"/>
                          <w:bottom w:val="nil" w:sz="6" w:space="0" w:color="auto"/>
                          <w:right w:val="single" w:sz="4" w:space="0" w:color="000000"/>
                        </w:tcBorders>
                      </w:tcPr>
                      <w:p>
                        <w:pPr/>
                      </w:p>
                    </w:tc>
                    <w:tc>
                      <w:tcPr>
                        <w:tcW w:w="1915" w:type="dxa"/>
                        <w:tcBorders>
                          <w:top w:val="single" w:sz="4" w:space="0" w:color="000000"/>
                          <w:left w:val="single" w:sz="4" w:space="0" w:color="000000"/>
                          <w:bottom w:val="nil" w:sz="6" w:space="0" w:color="auto"/>
                          <w:right w:val="single" w:sz="4" w:space="0" w:color="000000"/>
                        </w:tcBorders>
                      </w:tcPr>
                      <w:p>
                        <w:pPr/>
                      </w:p>
                    </w:tc>
                    <w:tc>
                      <w:tcPr>
                        <w:tcW w:w="191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本集团全资子公司鸿博</w:t>
                        </w:r>
                      </w:p>
                    </w:tc>
                  </w:tr>
                  <w:tr>
                    <w:trPr>
                      <w:trHeight w:val="310" w:hRule="exact"/>
                    </w:trPr>
                    <w:tc>
                      <w:tcPr>
                        <w:tcW w:w="1910"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昊天科技有限公司（以</w:t>
                        </w:r>
                      </w:p>
                    </w:tc>
                  </w:tr>
                  <w:tr>
                    <w:trPr>
                      <w:trHeight w:val="317" w:hRule="exact"/>
                    </w:trPr>
                    <w:tc>
                      <w:tcPr>
                        <w:tcW w:w="1910"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w w:val="101"/>
                            <w:sz w:val="18"/>
                            <w:szCs w:val="18"/>
                          </w:rPr>
                          <w:t>下</w:t>
                        </w:r>
                        <w:r>
                          <w:rPr>
                            <w:rFonts w:ascii="宋体" w:hAnsi="宋体" w:cs="宋体" w:eastAsia="宋体" w:hint="default"/>
                            <w:spacing w:val="-5"/>
                            <w:w w:val="101"/>
                            <w:sz w:val="18"/>
                            <w:szCs w:val="18"/>
                          </w:rPr>
                          <w:t>简</w:t>
                        </w:r>
                        <w:r>
                          <w:rPr>
                            <w:rFonts w:ascii="宋体" w:hAnsi="宋体" w:cs="宋体" w:eastAsia="宋体" w:hint="default"/>
                            <w:w w:val="101"/>
                            <w:sz w:val="18"/>
                            <w:szCs w:val="18"/>
                          </w:rPr>
                          <w:t>称</w:t>
                        </w:r>
                        <w:r>
                          <w:rPr>
                            <w:rFonts w:ascii="Times New Roman" w:hAnsi="Times New Roman" w:cs="Times New Roman" w:eastAsia="Times New Roman" w:hint="default"/>
                            <w:w w:val="101"/>
                            <w:sz w:val="18"/>
                            <w:szCs w:val="18"/>
                          </w:rPr>
                          <w:t>“</w:t>
                        </w:r>
                        <w:r>
                          <w:rPr>
                            <w:rFonts w:ascii="宋体" w:hAnsi="宋体" w:cs="宋体" w:eastAsia="宋体" w:hint="default"/>
                            <w:spacing w:val="-5"/>
                            <w:w w:val="101"/>
                            <w:sz w:val="18"/>
                            <w:szCs w:val="18"/>
                          </w:rPr>
                          <w:t>鸿</w:t>
                        </w:r>
                        <w:r>
                          <w:rPr>
                            <w:rFonts w:ascii="宋体" w:hAnsi="宋体" w:cs="宋体" w:eastAsia="宋体" w:hint="default"/>
                            <w:w w:val="101"/>
                            <w:sz w:val="18"/>
                            <w:szCs w:val="18"/>
                          </w:rPr>
                          <w:t>博</w:t>
                        </w:r>
                        <w:r>
                          <w:rPr>
                            <w:rFonts w:ascii="宋体" w:hAnsi="宋体" w:cs="宋体" w:eastAsia="宋体" w:hint="default"/>
                            <w:spacing w:val="-5"/>
                            <w:w w:val="101"/>
                            <w:sz w:val="18"/>
                            <w:szCs w:val="18"/>
                          </w:rPr>
                          <w:t>昊</w:t>
                        </w:r>
                        <w:r>
                          <w:rPr>
                            <w:rFonts w:ascii="宋体" w:hAnsi="宋体" w:cs="宋体" w:eastAsia="宋体" w:hint="default"/>
                            <w:w w:val="101"/>
                            <w:sz w:val="18"/>
                            <w:szCs w:val="18"/>
                          </w:rPr>
                          <w:t>天</w:t>
                        </w:r>
                        <w:r>
                          <w:rPr>
                            <w:rFonts w:ascii="Times New Roman" w:hAnsi="Times New Roman" w:cs="Times New Roman" w:eastAsia="Times New Roman" w:hint="default"/>
                            <w:spacing w:val="-5"/>
                            <w:w w:val="101"/>
                            <w:sz w:val="18"/>
                            <w:szCs w:val="18"/>
                          </w:rPr>
                          <w:t>”</w:t>
                        </w:r>
                        <w:r>
                          <w:rPr>
                            <w:rFonts w:ascii="宋体" w:hAnsi="宋体" w:cs="宋体" w:eastAsia="宋体" w:hint="default"/>
                            <w:spacing w:val="-91"/>
                            <w:w w:val="101"/>
                            <w:sz w:val="18"/>
                            <w:szCs w:val="18"/>
                          </w:rPr>
                          <w:t>）</w:t>
                        </w:r>
                        <w:r>
                          <w:rPr>
                            <w:rFonts w:ascii="宋体" w:hAnsi="宋体" w:cs="宋体" w:eastAsia="宋体" w:hint="default"/>
                            <w:spacing w:val="-15"/>
                            <w:w w:val="101"/>
                            <w:sz w:val="18"/>
                            <w:szCs w:val="18"/>
                          </w:rPr>
                          <w:t>、</w:t>
                        </w:r>
                        <w:r>
                          <w:rPr>
                            <w:rFonts w:ascii="宋体" w:hAnsi="宋体" w:cs="宋体" w:eastAsia="宋体" w:hint="default"/>
                            <w:w w:val="101"/>
                            <w:sz w:val="18"/>
                            <w:szCs w:val="18"/>
                          </w:rPr>
                          <w:t>全</w:t>
                        </w:r>
                        <w:r>
                          <w:rPr>
                            <w:rFonts w:ascii="宋体" w:hAnsi="宋体" w:cs="宋体" w:eastAsia="宋体" w:hint="default"/>
                            <w:sz w:val="18"/>
                            <w:szCs w:val="18"/>
                          </w:rPr>
                        </w:r>
                      </w:p>
                    </w:tc>
                  </w:tr>
                  <w:tr>
                    <w:trPr>
                      <w:trHeight w:val="307" w:hRule="exact"/>
                    </w:trPr>
                    <w:tc>
                      <w:tcPr>
                        <w:tcW w:w="1910"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资孙公司北京昊天国彩</w:t>
                        </w:r>
                      </w:p>
                    </w:tc>
                  </w:tr>
                  <w:tr>
                    <w:trPr>
                      <w:trHeight w:val="312" w:hRule="exact"/>
                    </w:trPr>
                    <w:tc>
                      <w:tcPr>
                        <w:tcW w:w="1910"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印刷有限公司（以下简</w:t>
                        </w:r>
                      </w:p>
                    </w:tc>
                  </w:tr>
                  <w:tr>
                    <w:trPr>
                      <w:trHeight w:val="317" w:hRule="exact"/>
                    </w:trPr>
                    <w:tc>
                      <w:tcPr>
                        <w:tcW w:w="1910"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称</w:t>
                        </w:r>
                        <w:r>
                          <w:rPr>
                            <w:rFonts w:ascii="Times New Roman" w:hAnsi="Times New Roman" w:cs="Times New Roman" w:eastAsia="Times New Roman" w:hint="default"/>
                            <w:sz w:val="18"/>
                            <w:szCs w:val="18"/>
                          </w:rPr>
                          <w:t>“</w:t>
                        </w:r>
                        <w:r>
                          <w:rPr>
                            <w:rFonts w:ascii="宋体" w:hAnsi="宋体" w:cs="宋体" w:eastAsia="宋体" w:hint="default"/>
                            <w:sz w:val="18"/>
                            <w:szCs w:val="18"/>
                          </w:rPr>
                          <w:t>昊天国彩</w:t>
                        </w:r>
                        <w:r>
                          <w:rPr>
                            <w:rFonts w:ascii="Times New Roman" w:hAnsi="Times New Roman" w:cs="Times New Roman" w:eastAsia="Times New Roman" w:hint="default"/>
                            <w:sz w:val="18"/>
                            <w:szCs w:val="18"/>
                          </w:rPr>
                          <w:t>“</w:t>
                        </w:r>
                        <w:r>
                          <w:rPr>
                            <w:rFonts w:ascii="宋体" w:hAnsi="宋体" w:cs="宋体" w:eastAsia="宋体" w:hint="default"/>
                            <w:sz w:val="18"/>
                            <w:szCs w:val="18"/>
                          </w:rPr>
                          <w:t>）起诉北</w:t>
                        </w:r>
                      </w:p>
                    </w:tc>
                  </w:tr>
                  <w:tr>
                    <w:trPr>
                      <w:trHeight w:val="314" w:hRule="exact"/>
                    </w:trPr>
                    <w:tc>
                      <w:tcPr>
                        <w:tcW w:w="191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北京国彩印刷有限公司</w:t>
                        </w:r>
                      </w:p>
                    </w:tc>
                    <w:tc>
                      <w:tcPr>
                        <w:tcW w:w="191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18"/>
                            <w:szCs w:val="18"/>
                          </w:rPr>
                        </w:pPr>
                        <w:r>
                          <w:rPr>
                            <w:rFonts w:ascii="Times New Roman"/>
                            <w:spacing w:val="-1"/>
                            <w:sz w:val="18"/>
                          </w:rPr>
                          <w:t>25,683,242.97</w:t>
                        </w:r>
                      </w:p>
                    </w:tc>
                    <w:tc>
                      <w:tcPr>
                        <w:tcW w:w="191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18"/>
                            <w:szCs w:val="18"/>
                          </w:rPr>
                        </w:pPr>
                        <w:r>
                          <w:rPr>
                            <w:rFonts w:ascii="Times New Roman"/>
                            <w:spacing w:val="-1"/>
                            <w:sz w:val="18"/>
                          </w:rPr>
                          <w:t>13,142,639.08</w:t>
                        </w:r>
                      </w:p>
                    </w:tc>
                    <w:tc>
                      <w:tcPr>
                        <w:tcW w:w="191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23"/>
                          <w:jc w:val="right"/>
                          <w:rPr>
                            <w:rFonts w:ascii="Times New Roman" w:hAnsi="Times New Roman" w:cs="Times New Roman" w:eastAsia="Times New Roman" w:hint="default"/>
                            <w:sz w:val="18"/>
                            <w:szCs w:val="18"/>
                          </w:rPr>
                        </w:pPr>
                        <w:r>
                          <w:rPr>
                            <w:rFonts w:ascii="Times New Roman"/>
                            <w:spacing w:val="-1"/>
                            <w:sz w:val="18"/>
                          </w:rPr>
                          <w:t>51.17%</w:t>
                        </w:r>
                      </w:p>
                    </w:tc>
                    <w:tc>
                      <w:tcPr>
                        <w:tcW w:w="191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pacing w:val="-3"/>
                            <w:sz w:val="18"/>
                            <w:szCs w:val="18"/>
                          </w:rPr>
                          <w:t>京国彩印刷有限公司</w:t>
                        </w:r>
                      </w:p>
                    </w:tc>
                  </w:tr>
                  <w:tr>
                    <w:trPr>
                      <w:trHeight w:val="310" w:hRule="exact"/>
                    </w:trPr>
                    <w:tc>
                      <w:tcPr>
                        <w:tcW w:w="1910"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宋体" w:hAnsi="宋体" w:cs="宋体" w:eastAsia="宋体" w:hint="default"/>
                            <w:sz w:val="18"/>
                            <w:szCs w:val="18"/>
                          </w:rPr>
                        </w:pPr>
                        <w:r>
                          <w:rPr>
                            <w:rFonts w:ascii="宋体" w:hAnsi="宋体" w:cs="宋体" w:eastAsia="宋体" w:hint="default"/>
                            <w:sz w:val="18"/>
                            <w:szCs w:val="18"/>
                          </w:rPr>
                          <w:t>（以下简称</w:t>
                        </w:r>
                        <w:r>
                          <w:rPr>
                            <w:rFonts w:ascii="Times New Roman" w:hAnsi="Times New Roman" w:cs="Times New Roman" w:eastAsia="Times New Roman" w:hint="default"/>
                            <w:sz w:val="18"/>
                            <w:szCs w:val="18"/>
                          </w:rPr>
                          <w:t>“</w:t>
                        </w:r>
                        <w:r>
                          <w:rPr>
                            <w:rFonts w:ascii="宋体" w:hAnsi="宋体" w:cs="宋体" w:eastAsia="宋体" w:hint="default"/>
                            <w:sz w:val="18"/>
                            <w:szCs w:val="18"/>
                          </w:rPr>
                          <w:t>北京国彩</w:t>
                        </w:r>
                      </w:p>
                    </w:tc>
                  </w:tr>
                  <w:tr>
                    <w:trPr>
                      <w:trHeight w:val="312" w:hRule="exact"/>
                    </w:trPr>
                    <w:tc>
                      <w:tcPr>
                        <w:tcW w:w="1910"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）租赁合同纠纷一案，</w:t>
                        </w:r>
                      </w:p>
                    </w:tc>
                  </w:tr>
                  <w:tr>
                    <w:trPr>
                      <w:trHeight w:val="307" w:hRule="exact"/>
                    </w:trPr>
                    <w:tc>
                      <w:tcPr>
                        <w:tcW w:w="1910"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根据终审判决结果，计</w:t>
                        </w:r>
                      </w:p>
                    </w:tc>
                  </w:tr>
                  <w:tr>
                    <w:trPr>
                      <w:trHeight w:val="312" w:hRule="exact"/>
                    </w:trPr>
                    <w:tc>
                      <w:tcPr>
                        <w:tcW w:w="1910"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提坏账准备金额。案件</w:t>
                        </w:r>
                      </w:p>
                    </w:tc>
                  </w:tr>
                  <w:tr>
                    <w:trPr>
                      <w:trHeight w:val="319" w:hRule="exact"/>
                    </w:trPr>
                    <w:tc>
                      <w:tcPr>
                        <w:tcW w:w="1910"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
                    </w:tc>
                    <w:tc>
                      <w:tcPr>
                        <w:tcW w:w="191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pacing w:val="-4"/>
                            <w:sz w:val="18"/>
                            <w:szCs w:val="18"/>
                          </w:rPr>
                          <w:t>诉讼情况详见</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十四、承</w:t>
                        </w:r>
                      </w:p>
                    </w:tc>
                  </w:tr>
                  <w:tr>
                    <w:trPr>
                      <w:trHeight w:val="349" w:hRule="exact"/>
                    </w:trPr>
                    <w:tc>
                      <w:tcPr>
                        <w:tcW w:w="1910" w:type="dxa"/>
                        <w:tcBorders>
                          <w:top w:val="nil" w:sz="6" w:space="0" w:color="auto"/>
                          <w:left w:val="single" w:sz="4" w:space="0" w:color="000000"/>
                          <w:bottom w:val="single" w:sz="4" w:space="0" w:color="000000"/>
                          <w:right w:val="single" w:sz="4" w:space="0" w:color="000000"/>
                        </w:tcBorders>
                      </w:tcPr>
                      <w:p>
                        <w:pPr/>
                      </w:p>
                    </w:tc>
                    <w:tc>
                      <w:tcPr>
                        <w:tcW w:w="1915" w:type="dxa"/>
                        <w:tcBorders>
                          <w:top w:val="nil" w:sz="6" w:space="0" w:color="auto"/>
                          <w:left w:val="single" w:sz="4" w:space="0" w:color="000000"/>
                          <w:bottom w:val="single" w:sz="4" w:space="0" w:color="000000"/>
                          <w:right w:val="single" w:sz="4" w:space="0" w:color="000000"/>
                        </w:tcBorders>
                      </w:tcPr>
                      <w:p>
                        <w:pPr/>
                      </w:p>
                    </w:tc>
                    <w:tc>
                      <w:tcPr>
                        <w:tcW w:w="1915" w:type="dxa"/>
                        <w:tcBorders>
                          <w:top w:val="nil" w:sz="6" w:space="0" w:color="auto"/>
                          <w:left w:val="single" w:sz="4" w:space="0" w:color="000000"/>
                          <w:bottom w:val="single" w:sz="4" w:space="0" w:color="000000"/>
                          <w:right w:val="single" w:sz="4" w:space="0" w:color="000000"/>
                        </w:tcBorders>
                      </w:tcPr>
                      <w:p>
                        <w:pPr/>
                      </w:p>
                    </w:tc>
                    <w:tc>
                      <w:tcPr>
                        <w:tcW w:w="1915" w:type="dxa"/>
                        <w:tcBorders>
                          <w:top w:val="nil" w:sz="6" w:space="0" w:color="auto"/>
                          <w:left w:val="single" w:sz="4" w:space="0" w:color="000000"/>
                          <w:bottom w:val="single" w:sz="4" w:space="0" w:color="000000"/>
                          <w:right w:val="single" w:sz="4" w:space="0" w:color="000000"/>
                        </w:tcBorders>
                      </w:tcPr>
                      <w:p>
                        <w:pPr/>
                      </w:p>
                    </w:tc>
                    <w:tc>
                      <w:tcPr>
                        <w:tcW w:w="191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诺及或有事项</w:t>
                        </w:r>
                        <w:r>
                          <w:rPr>
                            <w:rFonts w:ascii="Times New Roman" w:hAnsi="Times New Roman" w:cs="Times New Roman" w:eastAsia="Times New Roman" w:hint="default"/>
                            <w:sz w:val="18"/>
                            <w:szCs w:val="18"/>
                          </w:rPr>
                          <w:t>”</w:t>
                        </w:r>
                        <w:r>
                          <w:rPr>
                            <w:rFonts w:ascii="宋体" w:hAnsi="宋体" w:cs="宋体" w:eastAsia="宋体" w:hint="default"/>
                            <w:sz w:val="18"/>
                            <w:szCs w:val="18"/>
                          </w:rPr>
                          <w:t>之</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25,683,242.97</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13,142,639.08</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w:t>
                        </w:r>
                      </w:p>
                    </w:tc>
                  </w:tr>
                </w:tbl>
                <w:p>
                  <w:pPr/>
                </w:p>
              </w:txbxContent>
            </v:textbox>
            <w10:wrap type="none"/>
          </v:shape>
        </w:pict>
      </w:r>
      <w:r>
        <w:rPr>
          <w:rFonts w:ascii="宋体" w:hAnsi="宋体" w:cs="宋体" w:eastAsia="宋体" w:hint="default"/>
          <w:w w:val="101"/>
          <w:sz w:val="18"/>
          <w:szCs w:val="18"/>
        </w:rPr>
        <w:t>）</w:t>
      </w:r>
      <w:r>
        <w:rPr>
          <w:rFonts w:ascii="宋体" w:hAnsi="宋体" w:cs="宋体" w:eastAsia="宋体" w:hint="default"/>
          <w:sz w:val="18"/>
          <w:szCs w:val="18"/>
        </w:rPr>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type w:val="continuous"/>
          <w:pgSz w:w="11900" w:h="16840"/>
          <w:pgMar w:top="1060" w:bottom="1180" w:left="980" w:right="980"/>
        </w:sectPr>
      </w:pPr>
    </w:p>
    <w:p>
      <w:pPr>
        <w:spacing w:before="46"/>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组合中，按账龄分析法计提坏账准备的其他应收款：</w:t>
      </w:r>
    </w:p>
    <w:p>
      <w:pPr>
        <w:spacing w:before="119"/>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00" w:h="16840"/>
          <w:pgMar w:top="1060" w:bottom="1180" w:left="980" w:right="980"/>
          <w:cols w:num="2" w:equalWidth="0">
            <w:col w:w="4296" w:space="4527"/>
            <w:col w:w="1117"/>
          </w:cols>
        </w:sectPr>
      </w:pP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380"/>
        <w:gridCol w:w="2394"/>
        <w:gridCol w:w="2392"/>
        <w:gridCol w:w="2389"/>
      </w:tblGrid>
      <w:tr>
        <w:trPr>
          <w:trHeight w:val="196" w:hRule="exact"/>
        </w:trPr>
        <w:tc>
          <w:tcPr>
            <w:tcW w:w="2380" w:type="dxa"/>
            <w:tcBorders>
              <w:top w:val="single" w:sz="4" w:space="0" w:color="000000"/>
              <w:left w:val="single" w:sz="4" w:space="0" w:color="000000"/>
              <w:bottom w:val="nil" w:sz="6" w:space="0" w:color="auto"/>
              <w:right w:val="single" w:sz="4" w:space="0" w:color="000000"/>
            </w:tcBorders>
            <w:shd w:val="clear" w:color="auto" w:fill="D2D2D2"/>
          </w:tcPr>
          <w:p>
            <w:pPr/>
          </w:p>
        </w:tc>
        <w:tc>
          <w:tcPr>
            <w:tcW w:w="7175"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202" w:hRule="exact"/>
        </w:trPr>
        <w:tc>
          <w:tcPr>
            <w:tcW w:w="238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right="11"/>
              <w:jc w:val="center"/>
              <w:rPr>
                <w:rFonts w:ascii="宋体" w:hAnsi="宋体" w:cs="宋体" w:eastAsia="宋体" w:hint="default"/>
                <w:sz w:val="18"/>
                <w:szCs w:val="18"/>
              </w:rPr>
            </w:pPr>
            <w:r>
              <w:rPr>
                <w:rFonts w:ascii="宋体" w:hAnsi="宋体" w:cs="宋体" w:eastAsia="宋体" w:hint="default"/>
                <w:sz w:val="18"/>
                <w:szCs w:val="18"/>
              </w:rPr>
              <w:t>账龄</w:t>
            </w:r>
          </w:p>
        </w:tc>
        <w:tc>
          <w:tcPr>
            <w:tcW w:w="7175" w:type="dxa"/>
            <w:gridSpan w:val="3"/>
            <w:vMerge/>
            <w:tcBorders>
              <w:left w:val="single" w:sz="4" w:space="0" w:color="000000"/>
              <w:bottom w:val="single" w:sz="4" w:space="0" w:color="000000"/>
              <w:right w:val="single" w:sz="4" w:space="0" w:color="000000"/>
            </w:tcBorders>
            <w:shd w:val="clear" w:color="auto" w:fill="D2D2D2"/>
          </w:tcPr>
          <w:p>
            <w:pPr/>
          </w:p>
        </w:tc>
      </w:tr>
      <w:tr>
        <w:trPr>
          <w:trHeight w:val="192" w:hRule="exact"/>
        </w:trPr>
        <w:tc>
          <w:tcPr>
            <w:tcW w:w="2380" w:type="dxa"/>
            <w:vMerge/>
            <w:tcBorders>
              <w:left w:val="single" w:sz="4" w:space="0" w:color="000000"/>
              <w:bottom w:val="nil" w:sz="6" w:space="0" w:color="auto"/>
              <w:right w:val="single" w:sz="4" w:space="0" w:color="000000"/>
            </w:tcBorders>
            <w:shd w:val="clear" w:color="auto" w:fill="D2D2D2"/>
          </w:tcPr>
          <w:p>
            <w:pPr/>
          </w:p>
        </w:tc>
        <w:tc>
          <w:tcPr>
            <w:tcW w:w="23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738"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8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21" w:hRule="exact"/>
        </w:trPr>
        <w:tc>
          <w:tcPr>
            <w:tcW w:w="2380"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4"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c>
          <w:tcPr>
            <w:tcW w:w="2389" w:type="dxa"/>
            <w:vMerge/>
            <w:tcBorders>
              <w:left w:val="single" w:sz="4" w:space="0" w:color="000000"/>
              <w:bottom w:val="single" w:sz="4" w:space="0" w:color="000000"/>
              <w:right w:val="single" w:sz="4" w:space="0" w:color="000000"/>
            </w:tcBorders>
            <w:shd w:val="clear" w:color="auto" w:fill="D2D2D2"/>
          </w:tcPr>
          <w:p>
            <w:pPr/>
          </w:p>
        </w:tc>
      </w:tr>
      <w:tr>
        <w:trPr>
          <w:trHeight w:val="398" w:hRule="exact"/>
        </w:trPr>
        <w:tc>
          <w:tcPr>
            <w:tcW w:w="9554"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年以内分项</w:t>
            </w:r>
          </w:p>
        </w:tc>
      </w:tr>
      <w:tr>
        <w:trPr>
          <w:trHeight w:val="398" w:hRule="exact"/>
        </w:trPr>
        <w:tc>
          <w:tcPr>
            <w:tcW w:w="2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年以内小计</w:t>
            </w:r>
          </w:p>
        </w:tc>
        <w:tc>
          <w:tcPr>
            <w:tcW w:w="2394"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23,319,868.84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1,165,993.44</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5.00%</w:t>
            </w:r>
          </w:p>
        </w:tc>
      </w:tr>
      <w:tr>
        <w:trPr>
          <w:trHeight w:val="403" w:hRule="exact"/>
        </w:trPr>
        <w:tc>
          <w:tcPr>
            <w:tcW w:w="2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2394"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2,395,348.12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239,534.81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10.00%</w:t>
            </w:r>
          </w:p>
        </w:tc>
      </w:tr>
      <w:tr>
        <w:trPr>
          <w:trHeight w:val="403" w:hRule="exact"/>
        </w:trPr>
        <w:tc>
          <w:tcPr>
            <w:tcW w:w="2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2394"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3,862,297.75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772,459.55</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20.00%</w:t>
            </w:r>
          </w:p>
        </w:tc>
      </w:tr>
      <w:tr>
        <w:trPr>
          <w:trHeight w:val="403" w:hRule="exact"/>
        </w:trPr>
        <w:tc>
          <w:tcPr>
            <w:tcW w:w="2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年</w:t>
            </w:r>
          </w:p>
        </w:tc>
        <w:tc>
          <w:tcPr>
            <w:tcW w:w="2394"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2,404,162.19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1,202,081.10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50.00%</w:t>
            </w:r>
          </w:p>
        </w:tc>
      </w:tr>
    </w:tbl>
    <w:p>
      <w:pPr>
        <w:spacing w:after="0" w:line="240" w:lineRule="auto"/>
        <w:jc w:val="right"/>
        <w:rPr>
          <w:rFonts w:ascii="Times New Roman" w:hAnsi="Times New Roman" w:cs="Times New Roman" w:eastAsia="Times New Roman" w:hint="default"/>
          <w:sz w:val="18"/>
          <w:szCs w:val="18"/>
        </w:rPr>
        <w:sectPr>
          <w:type w:val="continuous"/>
          <w:pgSz w:w="11900" w:h="16840"/>
          <w:pgMar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2390"/>
        <w:gridCol w:w="2395"/>
        <w:gridCol w:w="2390"/>
        <w:gridCol w:w="2390"/>
      </w:tblGrid>
      <w:tr>
        <w:trPr>
          <w:trHeight w:val="403"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年</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1,605,143.70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1,284,114.96</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80.00%</w:t>
            </w:r>
          </w:p>
        </w:tc>
      </w:tr>
      <w:tr>
        <w:trPr>
          <w:trHeight w:val="398"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86,024.60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86,024.60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2"/>
                <w:sz w:val="18"/>
              </w:rPr>
              <w:t>100.00%</w:t>
            </w:r>
          </w:p>
        </w:tc>
      </w:tr>
      <w:tr>
        <w:trPr>
          <w:trHeight w:val="403"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33,672,845.20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4,750,208.46</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3"/>
                <w:sz w:val="18"/>
              </w:rPr>
              <w:t>14.11%</w:t>
            </w:r>
          </w:p>
        </w:tc>
      </w:tr>
    </w:tbl>
    <w:p>
      <w:pPr>
        <w:spacing w:line="362" w:lineRule="auto" w:before="53"/>
        <w:ind w:left="152" w:right="5284" w:firstLine="0"/>
        <w:jc w:val="left"/>
        <w:rPr>
          <w:rFonts w:ascii="宋体" w:hAnsi="宋体" w:cs="宋体" w:eastAsia="宋体" w:hint="default"/>
          <w:sz w:val="18"/>
          <w:szCs w:val="18"/>
        </w:rPr>
      </w:pPr>
      <w:r>
        <w:rPr>
          <w:rFonts w:ascii="宋体" w:hAnsi="宋体" w:cs="宋体" w:eastAsia="宋体" w:hint="default"/>
          <w:spacing w:val="-3"/>
          <w:sz w:val="18"/>
          <w:szCs w:val="18"/>
        </w:rPr>
        <w:t>确定该组合依据的说明：</w:t>
      </w:r>
      <w:r>
        <w:rPr>
          <w:rFonts w:ascii="宋体" w:hAnsi="宋体" w:cs="宋体" w:eastAsia="宋体" w:hint="default"/>
          <w:spacing w:val="-57"/>
          <w:sz w:val="18"/>
          <w:szCs w:val="18"/>
        </w:rPr>
        <w:t> </w:t>
      </w:r>
      <w:r>
        <w:rPr>
          <w:rFonts w:ascii="宋体" w:hAnsi="宋体" w:cs="宋体" w:eastAsia="宋体" w:hint="default"/>
          <w:spacing w:val="-57"/>
          <w:sz w:val="18"/>
          <w:szCs w:val="18"/>
        </w:rPr>
      </w:r>
      <w:r>
        <w:rPr>
          <w:rFonts w:ascii="宋体" w:hAnsi="宋体" w:cs="宋体" w:eastAsia="宋体" w:hint="default"/>
          <w:spacing w:val="-3"/>
          <w:sz w:val="18"/>
          <w:szCs w:val="18"/>
        </w:rPr>
        <w:t>组合中，采用余额百分比法计提坏账准备的其他应收款：</w:t>
      </w:r>
    </w:p>
    <w:p>
      <w:pPr>
        <w:spacing w:line="343" w:lineRule="auto" w:before="23"/>
        <w:ind w:left="152" w:right="528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组合中，采用其他方法计提坏账准备的其他应收款：</w:t>
      </w:r>
    </w:p>
    <w:p>
      <w:pPr>
        <w:spacing w:before="37"/>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after="0" w:line="240" w:lineRule="auto"/>
        <w:rPr>
          <w:rFonts w:ascii="Microsoft JhengHei" w:hAnsi="Microsoft JhengHei" w:cs="Microsoft JhengHei" w:eastAsia="Microsoft JhengHei" w:hint="default"/>
          <w:sz w:val="17"/>
          <w:szCs w:val="17"/>
        </w:rPr>
        <w:sectPr>
          <w:pgSz w:w="11900" w:h="16840"/>
          <w:pgMar w:header="872" w:footer="984" w:top="1060" w:bottom="1180" w:left="980" w:right="980"/>
        </w:sectPr>
      </w:pPr>
    </w:p>
    <w:p>
      <w:pPr>
        <w:spacing w:line="343" w:lineRule="auto" w:before="46"/>
        <w:ind w:left="152" w:right="-3"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w:t>
      </w:r>
      <w:r>
        <w:rPr>
          <w:rFonts w:ascii="Times New Roman" w:hAnsi="Times New Roman" w:cs="Times New Roman" w:eastAsia="Times New Roman" w:hint="default"/>
          <w:sz w:val="18"/>
          <w:szCs w:val="18"/>
        </w:rPr>
        <w:t>-1,292,234.60</w:t>
      </w:r>
      <w:r>
        <w:rPr>
          <w:rFonts w:ascii="Times New Roman" w:hAnsi="Times New Roman" w:cs="Times New Roman" w:eastAsia="Times New Roman" w:hint="default"/>
          <w:spacing w:val="38"/>
          <w:sz w:val="18"/>
          <w:szCs w:val="18"/>
        </w:rPr>
        <w:t> </w:t>
      </w:r>
      <w:r>
        <w:rPr>
          <w:rFonts w:ascii="宋体" w:hAnsi="宋体" w:cs="宋体" w:eastAsia="宋体" w:hint="default"/>
          <w:spacing w:val="-3"/>
          <w:sz w:val="18"/>
          <w:szCs w:val="18"/>
        </w:rPr>
        <w:t>元；本期收回或转回坏账准备金额元。</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3"/>
          <w:sz w:val="18"/>
          <w:szCs w:val="18"/>
        </w:rPr>
        <w:t>其中本期坏账准备转回或收回金额重要的：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00" w:h="16840"/>
          <w:pgMar w:top="1060" w:bottom="1180" w:left="980" w:right="980"/>
          <w:cols w:num="2" w:equalWidth="0">
            <w:col w:w="6067" w:space="2756"/>
            <w:col w:w="1117"/>
          </w:cols>
        </w:sectPr>
      </w:pP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60" w:right="0"/>
              <w:jc w:val="left"/>
              <w:rPr>
                <w:rFonts w:ascii="宋体" w:hAnsi="宋体" w:cs="宋体" w:eastAsia="宋体" w:hint="default"/>
                <w:sz w:val="18"/>
                <w:szCs w:val="18"/>
              </w:rPr>
            </w:pPr>
            <w:r>
              <w:rPr>
                <w:rFonts w:ascii="宋体" w:hAnsi="宋体" w:cs="宋体" w:eastAsia="宋体" w:hint="default"/>
                <w:spacing w:val="-3"/>
                <w:sz w:val="18"/>
                <w:szCs w:val="18"/>
              </w:rPr>
              <w:t>转回或收回金额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3</w:t>
      </w:r>
      <w:r>
        <w:rPr/>
        <w:t>）本期实际核销的其他应收款情况</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p>
      <w:pPr>
        <w:spacing w:line="422" w:lineRule="exact"/>
        <w:ind w:left="148"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8pt;height:21.15pt;mso-position-horizontal-relative:char;mso-position-vertical-relative:line" coordorigin="0,0" coordsize="9576,423">
            <v:group style="position:absolute;left:22;top:14;width:2;height:389" coordorigin="22,14" coordsize="2,389">
              <v:shape style="position:absolute;left:22;top:14;width:2;height:389" coordorigin="22,14" coordsize="0,389" path="m22,14l22,403e" filled="false" stroked="true" strokeweight="1.2pt" strokecolor="#d2d2d2">
                <v:path arrowok="t"/>
              </v:shape>
            </v:group>
            <v:group style="position:absolute;left:4769;top:14;width:2;height:389" coordorigin="4769,14" coordsize="2,389">
              <v:shape style="position:absolute;left:4769;top:14;width:2;height:389" coordorigin="4769,14" coordsize="0,389" path="m4769,14l4769,403e" filled="false" stroked="true" strokeweight="1.2pt" strokecolor="#d2d2d2">
                <v:path arrowok="t"/>
              </v:shape>
            </v:group>
            <v:group style="position:absolute;left:34;top:14;width:4724;height:389" coordorigin="34,14" coordsize="4724,389">
              <v:shape style="position:absolute;left:34;top:14;width:4724;height:389" coordorigin="34,14" coordsize="4724,389" path="m34,403l4757,403,4757,14,34,14,34,403xe" filled="true" fillcolor="#d2d2d2" stroked="false">
                <v:path arrowok="t"/>
                <v:fill type="solid"/>
              </v:shape>
            </v:group>
            <v:group style="position:absolute;left:4802;top:14;width:2;height:389" coordorigin="4802,14" coordsize="2,389">
              <v:shape style="position:absolute;left:4802;top:14;width:2;height:389" coordorigin="4802,14" coordsize="0,389" path="m4802,14l4802,403e" filled="false" stroked="true" strokeweight="1.2pt" strokecolor="#d2d2d2">
                <v:path arrowok="t"/>
              </v:shape>
            </v:group>
            <v:group style="position:absolute;left:9557;top:14;width:2;height:389" coordorigin="9557,14" coordsize="2,389">
              <v:shape style="position:absolute;left:9557;top:14;width:2;height:389" coordorigin="9557,14" coordsize="0,389" path="m9557,14l9557,403e" filled="false" stroked="true" strokeweight=".96pt" strokecolor="#d2d2d2">
                <v:path arrowok="t"/>
              </v:shape>
            </v:group>
            <v:group style="position:absolute;left:4814;top:14;width:4733;height:389" coordorigin="4814,14" coordsize="4733,389">
              <v:shape style="position:absolute;left:4814;top:14;width:4733;height:389" coordorigin="4814,14" coordsize="4733,389" path="m4814,403l9547,403,9547,14,4814,14,4814,403xe" filled="true" fillcolor="#d2d2d2" stroked="false">
                <v:path arrowok="t"/>
                <v:fill type="solid"/>
              </v:shape>
            </v:group>
            <v:group style="position:absolute;left:10;top:10;width:4772;height:2" coordorigin="10,10" coordsize="4772,2">
              <v:shape style="position:absolute;left:10;top:10;width:4772;height:2" coordorigin="10,10" coordsize="4772,0" path="m10,10l4781,10e" filled="false" stroked="true" strokeweight=".48pt" strokecolor="#000000">
                <v:path arrowok="t"/>
              </v:shape>
            </v:group>
            <v:group style="position:absolute;left:4790;top:10;width:4776;height:2" coordorigin="4790,10" coordsize="4776,2">
              <v:shape style="position:absolute;left:4790;top:10;width:4776;height:2" coordorigin="4790,10" coordsize="4776,0" path="m4790,10l9566,10e" filled="false" stroked="true" strokeweight=".48pt" strokecolor="#000000">
                <v:path arrowok="t"/>
              </v:shape>
            </v:group>
            <v:group style="position:absolute;left:5;top:5;width:2;height:413" coordorigin="5,5" coordsize="2,413">
              <v:shape style="position:absolute;left:5;top:5;width:2;height:413" coordorigin="5,5" coordsize="0,413" path="m5,5l5,418e" filled="false" stroked="true" strokeweight=".48pt" strokecolor="#000000">
                <v:path arrowok="t"/>
              </v:shape>
            </v:group>
            <v:group style="position:absolute;left:10;top:413;width:4772;height:2" coordorigin="10,413" coordsize="4772,2">
              <v:shape style="position:absolute;left:10;top:413;width:4772;height:2" coordorigin="10,413" coordsize="4772,0" path="m10,413l4781,413e" filled="false" stroked="true" strokeweight=".48pt" strokecolor="#000000">
                <v:path arrowok="t"/>
              </v:shape>
            </v:group>
            <v:group style="position:absolute;left:4786;top:5;width:2;height:413" coordorigin="4786,5" coordsize="2,413">
              <v:shape style="position:absolute;left:4786;top:5;width:2;height:413" coordorigin="4786,5" coordsize="0,413" path="m4786,5l4786,418e" filled="false" stroked="true" strokeweight=".48pt" strokecolor="#000000">
                <v:path arrowok="t"/>
              </v:shape>
            </v:group>
            <v:group style="position:absolute;left:4790;top:413;width:4776;height:2" coordorigin="4790,413" coordsize="4776,2">
              <v:shape style="position:absolute;left:4790;top:413;width:4776;height:2" coordorigin="4790,413" coordsize="4776,0" path="m4790,413l9566,413e" filled="false" stroked="true" strokeweight=".48pt" strokecolor="#000000">
                <v:path arrowok="t"/>
              </v:shape>
            </v:group>
            <v:group style="position:absolute;left:9571;top:5;width:2;height:413" coordorigin="9571,5" coordsize="2,413">
              <v:shape style="position:absolute;left:9571;top:5;width:2;height:413" coordorigin="9571,5" coordsize="0,413" path="m9571,5l9571,418e" filled="false" stroked="true" strokeweight=".48pt" strokecolor="#000000">
                <v:path arrowok="t"/>
              </v:shape>
              <v:shape style="position:absolute;left:2213;top:122;width:365;height:183" type="#_x0000_t202" filled="false" stroked="false">
                <v:textbox inset="0,0,0,0">
                  <w:txbxContent>
                    <w:p>
                      <w:pPr>
                        <w:spacing w:line="18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786;top:10;width:4786;height:401" type="#_x0000_t202" filled="false" stroked="false">
                <v:textbox inset="0,0,0,0">
                  <w:txbxContent>
                    <w:p>
                      <w:pPr>
                        <w:spacing w:before="58"/>
                        <w:ind w:left="0" w:right="0" w:firstLine="0"/>
                        <w:jc w:val="center"/>
                        <w:rPr>
                          <w:rFonts w:ascii="宋体" w:hAnsi="宋体" w:cs="宋体" w:eastAsia="宋体" w:hint="default"/>
                          <w:sz w:val="18"/>
                          <w:szCs w:val="18"/>
                        </w:rPr>
                      </w:pPr>
                      <w:r>
                        <w:rPr>
                          <w:rFonts w:ascii="宋体" w:hAnsi="宋体" w:cs="宋体" w:eastAsia="宋体" w:hint="default"/>
                          <w:sz w:val="18"/>
                          <w:szCs w:val="18"/>
                        </w:rPr>
                        <w:t>核销金额</w:t>
                      </w:r>
                    </w:p>
                  </w:txbxContent>
                </v:textbox>
                <w10:wrap type="none"/>
              </v:shape>
            </v:group>
          </v:group>
        </w:pict>
      </w:r>
      <w:r>
        <w:rPr>
          <w:rFonts w:ascii="宋体" w:hAnsi="宋体" w:cs="宋体" w:eastAsia="宋体" w:hint="default"/>
          <w:position w:val="-7"/>
          <w:sz w:val="20"/>
          <w:szCs w:val="20"/>
        </w:rPr>
      </w:r>
    </w:p>
    <w:p>
      <w:pPr>
        <w:spacing w:before="49"/>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其中重要的其他应收款核销情况：</w:t>
      </w:r>
    </w:p>
    <w:p>
      <w:pPr>
        <w:spacing w:before="115"/>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94"/>
        <w:gridCol w:w="1594"/>
        <w:gridCol w:w="1594"/>
        <w:gridCol w:w="1594"/>
        <w:gridCol w:w="1598"/>
        <w:gridCol w:w="1594"/>
      </w:tblGrid>
      <w:tr>
        <w:trPr>
          <w:trHeight w:val="710"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27"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58" w:right="0"/>
              <w:jc w:val="left"/>
              <w:rPr>
                <w:rFonts w:ascii="宋体" w:hAnsi="宋体" w:cs="宋体" w:eastAsia="宋体" w:hint="default"/>
                <w:sz w:val="18"/>
                <w:szCs w:val="18"/>
              </w:rPr>
            </w:pPr>
            <w:r>
              <w:rPr>
                <w:rFonts w:ascii="宋体" w:hAnsi="宋体" w:cs="宋体" w:eastAsia="宋体" w:hint="default"/>
                <w:spacing w:val="-3"/>
                <w:sz w:val="18"/>
                <w:szCs w:val="18"/>
              </w:rPr>
              <w:t>其他应收款性质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27"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27"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pacing w:val="-3"/>
                <w:sz w:val="18"/>
                <w:szCs w:val="18"/>
              </w:rPr>
              <w:t>履行的核销程序</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518" w:right="70" w:hanging="452"/>
              <w:jc w:val="left"/>
              <w:rPr>
                <w:rFonts w:ascii="宋体" w:hAnsi="宋体" w:cs="宋体" w:eastAsia="宋体" w:hint="default"/>
                <w:sz w:val="18"/>
                <w:szCs w:val="18"/>
              </w:rPr>
            </w:pPr>
            <w:r>
              <w:rPr>
                <w:rFonts w:ascii="宋体" w:hAnsi="宋体" w:cs="宋体" w:eastAsia="宋体" w:hint="default"/>
                <w:spacing w:val="-2"/>
                <w:sz w:val="18"/>
                <w:szCs w:val="18"/>
              </w:rPr>
              <w:t>款项是否由关联交</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易产生</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其他应收款核销说明：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4</w:t>
      </w:r>
      <w:r>
        <w:rPr/>
        <w:t>）其他应收款按款项性质分类情况</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46"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46"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往来款及额度款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43,100,497.51</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99,937,482.12</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7,670,126.02</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2,423,036.85</w:t>
            </w: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保证金及押金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29,558,771.88</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13,874,990.14</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10,179,123.88</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18,079,713.51</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90,508,519.29</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134,315,222.62</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after="0"/>
        <w:jc w:val="right"/>
        <w:rPr>
          <w:rFonts w:ascii="宋体" w:hAnsi="宋体" w:cs="宋体" w:eastAsia="宋体" w:hint="default"/>
          <w:sz w:val="18"/>
          <w:szCs w:val="18"/>
        </w:rPr>
        <w:sectPr>
          <w:type w:val="continuous"/>
          <w:pgSz w:w="11900" w:h="16840"/>
          <w:pgMar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594"/>
        <w:gridCol w:w="1594"/>
        <w:gridCol w:w="1594"/>
        <w:gridCol w:w="1594"/>
        <w:gridCol w:w="1598"/>
        <w:gridCol w:w="1594"/>
      </w:tblGrid>
      <w:tr>
        <w:trPr>
          <w:trHeight w:val="715"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27"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40"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2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71" w:right="70"/>
              <w:jc w:val="left"/>
              <w:rPr>
                <w:rFonts w:ascii="宋体" w:hAnsi="宋体" w:cs="宋体" w:eastAsia="宋体" w:hint="default"/>
                <w:sz w:val="18"/>
                <w:szCs w:val="18"/>
              </w:rPr>
            </w:pPr>
            <w:r>
              <w:rPr>
                <w:rFonts w:ascii="宋体" w:hAnsi="宋体" w:cs="宋体" w:eastAsia="宋体" w:hint="default"/>
                <w:spacing w:val="-2"/>
                <w:sz w:val="18"/>
                <w:szCs w:val="18"/>
              </w:rPr>
              <w:t>占其他应收款期末</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2"/>
                <w:sz w:val="18"/>
                <w:szCs w:val="18"/>
              </w:rPr>
              <w:t>余额合计数的比例</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70"/>
              <w:jc w:val="right"/>
              <w:rPr>
                <w:rFonts w:ascii="宋体" w:hAnsi="宋体" w:cs="宋体" w:eastAsia="宋体" w:hint="default"/>
                <w:sz w:val="18"/>
                <w:szCs w:val="18"/>
              </w:rPr>
            </w:pPr>
            <w:r>
              <w:rPr>
                <w:rFonts w:ascii="宋体" w:hAnsi="宋体" w:cs="宋体" w:eastAsia="宋体" w:hint="default"/>
                <w:spacing w:val="-2"/>
                <w:sz w:val="18"/>
                <w:szCs w:val="18"/>
              </w:rPr>
              <w:t>坏账准备期末余额</w:t>
            </w:r>
          </w:p>
        </w:tc>
      </w:tr>
      <w:tr>
        <w:trPr>
          <w:trHeight w:val="710"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13"/>
              <w:jc w:val="left"/>
              <w:rPr>
                <w:rFonts w:ascii="宋体" w:hAnsi="宋体" w:cs="宋体" w:eastAsia="宋体" w:hint="default"/>
                <w:sz w:val="18"/>
                <w:szCs w:val="18"/>
              </w:rPr>
            </w:pPr>
            <w:r>
              <w:rPr>
                <w:rFonts w:ascii="宋体" w:hAnsi="宋体" w:cs="宋体" w:eastAsia="宋体" w:hint="default"/>
                <w:spacing w:val="-2"/>
                <w:sz w:val="18"/>
                <w:szCs w:val="18"/>
              </w:rPr>
              <w:t>北京国彩印刷有限</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往来款项</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25,683,242.97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28.38%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13,142,639.08</w:t>
            </w: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4" w:right="113"/>
              <w:jc w:val="left"/>
              <w:rPr>
                <w:rFonts w:ascii="宋体" w:hAnsi="宋体" w:cs="宋体" w:eastAsia="宋体" w:hint="default"/>
                <w:sz w:val="18"/>
                <w:szCs w:val="18"/>
              </w:rPr>
            </w:pPr>
            <w:r>
              <w:rPr>
                <w:rFonts w:ascii="宋体" w:hAnsi="宋体" w:cs="宋体" w:eastAsia="宋体" w:hint="default"/>
                <w:spacing w:val="-2"/>
                <w:sz w:val="18"/>
                <w:szCs w:val="18"/>
              </w:rPr>
              <w:t>湖北省福利彩票中</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心</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额度款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5,184,237.49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5.73%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2"/>
                <w:sz w:val="18"/>
              </w:rPr>
              <w:t>259,211.87</w:t>
            </w: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4" w:right="113"/>
              <w:jc w:val="left"/>
              <w:rPr>
                <w:rFonts w:ascii="宋体" w:hAnsi="宋体" w:cs="宋体" w:eastAsia="宋体" w:hint="default"/>
                <w:sz w:val="18"/>
                <w:szCs w:val="18"/>
              </w:rPr>
            </w:pPr>
            <w:r>
              <w:rPr>
                <w:rFonts w:ascii="宋体" w:hAnsi="宋体" w:cs="宋体" w:eastAsia="宋体" w:hint="default"/>
                <w:spacing w:val="-2"/>
                <w:sz w:val="18"/>
                <w:szCs w:val="18"/>
              </w:rPr>
              <w:t>深圳市世纪彩讯科</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技有限公司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w w:val="101"/>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w w:val="101"/>
                <w:sz w:val="18"/>
                <w:szCs w:val="18"/>
              </w:rPr>
              <w:t>年</w:t>
            </w:r>
            <w:r>
              <w:rPr>
                <w:rFonts w:ascii="宋体" w:hAnsi="宋体" w:cs="宋体" w:eastAsia="宋体" w:hint="default"/>
                <w:spacing w:val="-5"/>
                <w:w w:val="101"/>
                <w:sz w:val="18"/>
                <w:szCs w:val="18"/>
              </w:rPr>
              <w:t>以</w:t>
            </w:r>
            <w:r>
              <w:rPr>
                <w:rFonts w:ascii="宋体" w:hAnsi="宋体" w:cs="宋体" w:eastAsia="宋体" w:hint="default"/>
                <w:w w:val="101"/>
                <w:sz w:val="18"/>
                <w:szCs w:val="18"/>
              </w:rPr>
              <w:t>内</w:t>
            </w:r>
            <w:r>
              <w:rPr>
                <w:rFonts w:ascii="宋体" w:hAnsi="宋体" w:cs="宋体" w:eastAsia="宋体" w:hint="default"/>
                <w:spacing w:val="-47"/>
                <w:sz w:val="18"/>
                <w:szCs w:val="18"/>
              </w:rPr>
              <w:t> </w:t>
            </w:r>
            <w:r>
              <w:rPr>
                <w:rFonts w:ascii="Times New Roman" w:hAnsi="Times New Roman" w:cs="Times New Roman" w:eastAsia="Times New Roman" w:hint="default"/>
                <w:w w:val="101"/>
                <w:sz w:val="18"/>
                <w:szCs w:val="18"/>
              </w:rPr>
              <w:t>4</w:t>
            </w:r>
            <w:r>
              <w:rPr>
                <w:rFonts w:ascii="Times New Roman" w:hAnsi="Times New Roman" w:cs="Times New Roman" w:eastAsia="Times New Roman" w:hint="default"/>
                <w:spacing w:val="-5"/>
                <w:w w:val="101"/>
                <w:sz w:val="18"/>
                <w:szCs w:val="18"/>
              </w:rPr>
              <w:t>0</w:t>
            </w:r>
            <w:r>
              <w:rPr>
                <w:rFonts w:ascii="Times New Roman" w:hAnsi="Times New Roman" w:cs="Times New Roman" w:eastAsia="Times New Roman" w:hint="default"/>
                <w:w w:val="101"/>
                <w:sz w:val="18"/>
                <w:szCs w:val="18"/>
              </w:rPr>
              <w:t>0</w:t>
            </w:r>
            <w:r>
              <w:rPr>
                <w:rFonts w:ascii="Times New Roman" w:hAnsi="Times New Roman" w:cs="Times New Roman" w:eastAsia="Times New Roman" w:hint="default"/>
                <w:spacing w:val="-2"/>
                <w:sz w:val="18"/>
                <w:szCs w:val="18"/>
              </w:rPr>
              <w:t> </w:t>
            </w:r>
            <w:r>
              <w:rPr>
                <w:rFonts w:ascii="宋体" w:hAnsi="宋体" w:cs="宋体" w:eastAsia="宋体" w:hint="default"/>
                <w:spacing w:val="-5"/>
                <w:w w:val="101"/>
                <w:sz w:val="18"/>
                <w:szCs w:val="18"/>
              </w:rPr>
              <w:t>万</w:t>
            </w:r>
            <w:r>
              <w:rPr>
                <w:rFonts w:ascii="宋体" w:hAnsi="宋体" w:cs="宋体" w:eastAsia="宋体" w:hint="default"/>
                <w:spacing w:val="-92"/>
                <w:w w:val="101"/>
                <w:sz w:val="18"/>
                <w:szCs w:val="18"/>
              </w:rPr>
              <w:t>，</w:t>
            </w:r>
            <w:r>
              <w:rPr>
                <w:rFonts w:ascii="Times New Roman" w:hAnsi="Times New Roman" w:cs="Times New Roman" w:eastAsia="Times New Roman" w:hint="default"/>
                <w:w w:val="101"/>
                <w:sz w:val="18"/>
                <w:szCs w:val="18"/>
              </w:rPr>
              <w:t>1</w:t>
            </w:r>
            <w:r>
              <w:rPr>
                <w:rFonts w:ascii="Times New Roman" w:hAnsi="Times New Roman" w:cs="Times New Roman" w:eastAsia="Times New Roman" w:hint="default"/>
                <w:spacing w:val="-4"/>
                <w:w w:val="101"/>
                <w:sz w:val="18"/>
                <w:szCs w:val="18"/>
              </w:rPr>
              <w:t>-</w:t>
            </w:r>
            <w:r>
              <w:rPr>
                <w:rFonts w:ascii="Times New Roman" w:hAnsi="Times New Roman" w:cs="Times New Roman" w:eastAsia="Times New Roman" w:hint="default"/>
                <w:w w:val="101"/>
                <w:sz w:val="18"/>
                <w:szCs w:val="18"/>
              </w:rPr>
              <w:t>2</w:t>
            </w:r>
            <w:r>
              <w:rPr>
                <w:rFonts w:ascii="Times New Roman" w:hAnsi="Times New Roman" w:cs="Times New Roman" w:eastAsia="Times New Roman" w:hint="default"/>
                <w:sz w:val="18"/>
                <w:szCs w:val="18"/>
              </w:rPr>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5.52%</w:t>
            </w: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13"/>
              <w:jc w:val="left"/>
              <w:rPr>
                <w:rFonts w:ascii="宋体" w:hAnsi="宋体" w:cs="宋体" w:eastAsia="宋体" w:hint="default"/>
                <w:sz w:val="18"/>
                <w:szCs w:val="18"/>
              </w:rPr>
            </w:pPr>
            <w:r>
              <w:rPr>
                <w:rFonts w:ascii="宋体" w:hAnsi="宋体" w:cs="宋体" w:eastAsia="宋体" w:hint="default"/>
                <w:spacing w:val="-2"/>
                <w:sz w:val="18"/>
                <w:szCs w:val="18"/>
              </w:rPr>
              <w:t>北京启思睿德文科</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技有限公司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额度款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4,598,375.70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5.08%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229,918.79</w:t>
            </w:r>
          </w:p>
        </w:tc>
      </w:tr>
      <w:tr>
        <w:trPr>
          <w:trHeight w:val="710"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13"/>
              <w:jc w:val="left"/>
              <w:rPr>
                <w:rFonts w:ascii="宋体" w:hAnsi="宋体" w:cs="宋体" w:eastAsia="宋体" w:hint="default"/>
                <w:sz w:val="18"/>
                <w:szCs w:val="18"/>
              </w:rPr>
            </w:pPr>
            <w:r>
              <w:rPr>
                <w:rFonts w:ascii="宋体" w:hAnsi="宋体" w:cs="宋体" w:eastAsia="宋体" w:hint="default"/>
                <w:spacing w:val="-2"/>
                <w:sz w:val="18"/>
                <w:szCs w:val="18"/>
              </w:rPr>
              <w:t>无锡市国土资源局</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滨湖分局</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土地保证金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4,010,000.00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4.43%</w:t>
            </w: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3" w:right="0"/>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44,475,856.16</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3" w:right="0"/>
              <w:jc w:val="center"/>
              <w:rPr>
                <w:rFonts w:ascii="Times New Roman" w:hAnsi="Times New Roman" w:cs="Times New Roman" w:eastAsia="Times New Roman" w:hint="default"/>
                <w:sz w:val="18"/>
                <w:szCs w:val="18"/>
              </w:rPr>
            </w:pPr>
            <w:r>
              <w:rPr>
                <w:rFonts w:ascii="Times New Roman"/>
                <w:sz w:val="18"/>
              </w:rPr>
              <w:t>--</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49.14%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13,631,769.74</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6</w:t>
      </w:r>
      <w:r>
        <w:rPr/>
        <w:t>）涉及政府补助的应收款项</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0"/>
        <w:gridCol w:w="1915"/>
        <w:gridCol w:w="1915"/>
        <w:gridCol w:w="1915"/>
        <w:gridCol w:w="1915"/>
      </w:tblGrid>
      <w:tr>
        <w:trPr>
          <w:trHeight w:val="715"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0"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政府补助项目名称</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0" w:right="0"/>
              <w:jc w:val="left"/>
              <w:rPr>
                <w:rFonts w:ascii="宋体" w:hAnsi="宋体" w:cs="宋体" w:eastAsia="宋体" w:hint="default"/>
                <w:sz w:val="18"/>
                <w:szCs w:val="18"/>
              </w:rPr>
            </w:pPr>
            <w:r>
              <w:rPr>
                <w:rFonts w:ascii="宋体" w:hAnsi="宋体" w:cs="宋体" w:eastAsia="宋体" w:hint="default"/>
                <w:sz w:val="18"/>
                <w:szCs w:val="18"/>
              </w:rPr>
              <w:t>期末账龄</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676" w:right="50" w:hanging="629"/>
              <w:jc w:val="left"/>
              <w:rPr>
                <w:rFonts w:ascii="宋体" w:hAnsi="宋体" w:cs="宋体" w:eastAsia="宋体" w:hint="default"/>
                <w:sz w:val="18"/>
                <w:szCs w:val="18"/>
              </w:rPr>
            </w:pPr>
            <w:r>
              <w:rPr>
                <w:rFonts w:ascii="宋体" w:hAnsi="宋体" w:cs="宋体" w:eastAsia="宋体" w:hint="default"/>
                <w:spacing w:val="-2"/>
                <w:sz w:val="18"/>
                <w:szCs w:val="18"/>
              </w:rPr>
              <w:t>预计收取的时间、金额</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及依据</w:t>
            </w:r>
          </w:p>
        </w:tc>
      </w:tr>
      <w:tr>
        <w:trPr>
          <w:trHeight w:val="710" w:hRule="exact"/>
        </w:trPr>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财政部</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74"/>
              <w:jc w:val="left"/>
              <w:rPr>
                <w:rFonts w:ascii="宋体" w:hAnsi="宋体" w:cs="宋体" w:eastAsia="宋体" w:hint="default"/>
                <w:sz w:val="18"/>
                <w:szCs w:val="18"/>
              </w:rPr>
            </w:pPr>
            <w:r>
              <w:rPr>
                <w:rFonts w:ascii="宋体" w:hAnsi="宋体" w:cs="宋体" w:eastAsia="宋体" w:hint="default"/>
                <w:spacing w:val="-2"/>
                <w:sz w:val="18"/>
                <w:szCs w:val="18"/>
              </w:rPr>
              <w:t>促进残疾人就业税收优</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惠</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3,667,632.79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详见说明</w:t>
            </w: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3,667,632.79</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60" w:lineRule="exact"/>
        <w:ind w:left="0" w:right="142"/>
        <w:jc w:val="right"/>
      </w:pPr>
      <w:r>
        <w:rPr>
          <w:spacing w:val="-2"/>
        </w:rPr>
        <w:t>本集团母公司鸿博股份为福利企业，根据财政部和国家税务总局《关于促进残疾人就业税收优惠政策</w:t>
      </w:r>
    </w:p>
    <w:p>
      <w:pPr>
        <w:pStyle w:val="BodyText"/>
        <w:spacing w:line="273" w:lineRule="auto" w:before="37"/>
        <w:ind w:right="0"/>
        <w:jc w:val="left"/>
      </w:pPr>
      <w:r>
        <w:rPr>
          <w:spacing w:val="-2"/>
        </w:rPr>
        <w:t>的通知》（财税字［2007］92号）的规定，报告期本公司享受增值税优惠政策为按照实际安置残疾人的人</w:t>
      </w:r>
      <w:r>
        <w:rPr>
          <w:spacing w:val="-29"/>
        </w:rPr>
        <w:t> </w:t>
      </w:r>
      <w:r>
        <w:rPr>
          <w:spacing w:val="-29"/>
        </w:rPr>
      </w:r>
      <w:r>
        <w:rPr/>
        <w:t>数，实行限额即征即退增值税。按照规定每位残疾人年度最高退税额为35,000元/人。</w:t>
      </w:r>
    </w:p>
    <w:p>
      <w:pPr>
        <w:spacing w:line="240" w:lineRule="auto" w:before="8"/>
        <w:rPr>
          <w:rFonts w:ascii="宋体" w:hAnsi="宋体" w:cs="宋体" w:eastAsia="宋体" w:hint="default"/>
          <w:sz w:val="18"/>
          <w:szCs w:val="18"/>
        </w:rPr>
      </w:pPr>
    </w:p>
    <w:p>
      <w:pPr>
        <w:pStyle w:val="Heading4"/>
        <w:spacing w:line="240" w:lineRule="auto"/>
        <w:ind w:right="0"/>
        <w:jc w:val="left"/>
        <w:rPr>
          <w:b w:val="0"/>
          <w:bCs w:val="0"/>
        </w:rPr>
      </w:pPr>
      <w:r>
        <w:rPr/>
        <w:t>（</w:t>
      </w:r>
      <w:r>
        <w:rPr>
          <w:rFonts w:ascii="Times New Roman" w:hAnsi="Times New Roman" w:cs="Times New Roman" w:eastAsia="Times New Roman" w:hint="default"/>
        </w:rPr>
        <w:t>7</w:t>
      </w:r>
      <w:r>
        <w:rPr/>
        <w:t>）因金融资产转移而终止确认的其他应收款</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8</w:t>
      </w:r>
      <w:r>
        <w:rPr/>
        <w:t>）转移其他应收款且继续涉入形成的资产、负债金额</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10</w:t>
      </w:r>
      <w:r>
        <w:rPr/>
        <w:t>、存货</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）存货分类</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368"/>
        <w:gridCol w:w="1356"/>
        <w:gridCol w:w="1368"/>
        <w:gridCol w:w="1366"/>
        <w:gridCol w:w="1366"/>
        <w:gridCol w:w="1368"/>
        <w:gridCol w:w="1356"/>
      </w:tblGrid>
      <w:tr>
        <w:trPr>
          <w:trHeight w:val="197" w:hRule="exact"/>
        </w:trPr>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4090"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7"/>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0"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6" w:hRule="exact"/>
        </w:trPr>
        <w:tc>
          <w:tcPr>
            <w:tcW w:w="13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right="26"/>
              <w:jc w:val="center"/>
              <w:rPr>
                <w:rFonts w:ascii="宋体" w:hAnsi="宋体" w:cs="宋体" w:eastAsia="宋体" w:hint="default"/>
                <w:sz w:val="18"/>
                <w:szCs w:val="18"/>
              </w:rPr>
            </w:pPr>
            <w:r>
              <w:rPr>
                <w:rFonts w:ascii="宋体" w:hAnsi="宋体" w:cs="宋体" w:eastAsia="宋体" w:hint="default"/>
                <w:sz w:val="18"/>
                <w:szCs w:val="18"/>
              </w:rPr>
              <w:t>项目</w:t>
            </w:r>
          </w:p>
        </w:tc>
        <w:tc>
          <w:tcPr>
            <w:tcW w:w="4090" w:type="dxa"/>
            <w:gridSpan w:val="3"/>
            <w:vMerge/>
            <w:tcBorders>
              <w:left w:val="single" w:sz="4" w:space="0" w:color="000000"/>
              <w:bottom w:val="single" w:sz="4" w:space="0" w:color="000000"/>
              <w:right w:val="single" w:sz="4" w:space="0" w:color="000000"/>
            </w:tcBorders>
            <w:shd w:val="clear" w:color="auto" w:fill="D2D2D2"/>
          </w:tcPr>
          <w:p>
            <w:pPr/>
          </w:p>
        </w:tc>
        <w:tc>
          <w:tcPr>
            <w:tcW w:w="4090" w:type="dxa"/>
            <w:gridSpan w:val="3"/>
            <w:vMerge/>
            <w:tcBorders>
              <w:left w:val="single" w:sz="4" w:space="0" w:color="000000"/>
              <w:bottom w:val="single" w:sz="4" w:space="0" w:color="000000"/>
              <w:right w:val="single" w:sz="4" w:space="0" w:color="000000"/>
            </w:tcBorders>
            <w:shd w:val="clear" w:color="auto" w:fill="D2D2D2"/>
          </w:tcPr>
          <w:p>
            <w:pPr/>
          </w:p>
        </w:tc>
      </w:tr>
      <w:tr>
        <w:trPr>
          <w:trHeight w:val="192" w:hRule="exact"/>
        </w:trPr>
        <w:tc>
          <w:tcPr>
            <w:tcW w:w="1368" w:type="dxa"/>
            <w:vMerge/>
            <w:tcBorders>
              <w:left w:val="single" w:sz="4" w:space="0" w:color="000000"/>
              <w:bottom w:val="nil" w:sz="6" w:space="0" w:color="auto"/>
              <w:right w:val="single" w:sz="4" w:space="0" w:color="000000"/>
            </w:tcBorders>
            <w:shd w:val="clear" w:color="auto" w:fill="D2D2D2"/>
          </w:tcPr>
          <w:p>
            <w:pPr/>
          </w:p>
        </w:tc>
        <w:tc>
          <w:tcPr>
            <w:tcW w:w="135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0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16"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1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1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16"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5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16"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16" w:hRule="exact"/>
        </w:trPr>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5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56"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5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left="271" w:right="0"/>
              <w:jc w:val="left"/>
              <w:rPr>
                <w:rFonts w:ascii="Times New Roman" w:hAnsi="Times New Roman" w:cs="Times New Roman" w:eastAsia="Times New Roman" w:hint="default"/>
                <w:sz w:val="18"/>
                <w:szCs w:val="18"/>
              </w:rPr>
            </w:pPr>
            <w:r>
              <w:rPr>
                <w:rFonts w:ascii="Times New Roman"/>
                <w:sz w:val="18"/>
              </w:rPr>
              <w:t>61,512,403.54</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92" w:right="0"/>
              <w:jc w:val="left"/>
              <w:rPr>
                <w:rFonts w:ascii="Times New Roman" w:hAnsi="Times New Roman" w:cs="Times New Roman" w:eastAsia="Times New Roman" w:hint="default"/>
                <w:sz w:val="18"/>
                <w:szCs w:val="18"/>
              </w:rPr>
            </w:pPr>
            <w:r>
              <w:rPr>
                <w:rFonts w:ascii="Times New Roman"/>
                <w:sz w:val="18"/>
              </w:rPr>
              <w:t>61,512,403.54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90" w:right="0"/>
              <w:jc w:val="left"/>
              <w:rPr>
                <w:rFonts w:ascii="Times New Roman" w:hAnsi="Times New Roman" w:cs="Times New Roman" w:eastAsia="Times New Roman" w:hint="default"/>
                <w:sz w:val="18"/>
                <w:szCs w:val="18"/>
              </w:rPr>
            </w:pPr>
            <w:r>
              <w:rPr>
                <w:rFonts w:ascii="Times New Roman"/>
                <w:sz w:val="18"/>
              </w:rPr>
              <w:t>37,004,769.44</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92" w:right="0"/>
              <w:jc w:val="left"/>
              <w:rPr>
                <w:rFonts w:ascii="Times New Roman" w:hAnsi="Times New Roman" w:cs="Times New Roman" w:eastAsia="Times New Roman" w:hint="default"/>
                <w:sz w:val="18"/>
                <w:szCs w:val="18"/>
              </w:rPr>
            </w:pPr>
            <w:r>
              <w:rPr>
                <w:rFonts w:ascii="Times New Roman"/>
                <w:sz w:val="18"/>
              </w:rPr>
              <w:t>37,004,769.44</w:t>
            </w:r>
          </w:p>
        </w:tc>
      </w:tr>
    </w:tbl>
    <w:p>
      <w:pPr>
        <w:spacing w:after="0" w:line="240" w:lineRule="auto"/>
        <w:jc w:val="left"/>
        <w:rPr>
          <w:rFonts w:ascii="Times New Roman" w:hAnsi="Times New Roman" w:cs="Times New Roman" w:eastAsia="Times New Roman" w:hint="default"/>
          <w:sz w:val="18"/>
          <w:szCs w:val="18"/>
        </w:rPr>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1368"/>
        <w:gridCol w:w="1368"/>
        <w:gridCol w:w="1363"/>
        <w:gridCol w:w="1368"/>
        <w:gridCol w:w="1368"/>
      </w:tblGrid>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15,476,472.55</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15,476,472.55</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11,419,705.91</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11,419,705.91</w:t>
            </w:r>
          </w:p>
        </w:tc>
      </w:tr>
      <w:tr>
        <w:trPr>
          <w:trHeight w:val="398"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68,484,477.79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11,031,715.26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57,452,762.53</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71,457,736.30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5,275,813.84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66,181,922.46</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周转材料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1,074,325.09</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1,074,325.09</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925,795.44</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925,795.44</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在途物资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333,017.09</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333,017.09</w:t>
            </w:r>
          </w:p>
        </w:tc>
        <w:tc>
          <w:tcPr>
            <w:tcW w:w="136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30,786,849.85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1,033,570.97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29,753,278.88</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14,587,162.76</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14,587,162.76</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177,667,545.91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12,065,286.23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165,602,259.68</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135,395,169.85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5,275,813.84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130,119,356.01</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）存货跌价准备</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1368"/>
        <w:gridCol w:w="1368"/>
        <w:gridCol w:w="1363"/>
        <w:gridCol w:w="1368"/>
        <w:gridCol w:w="1368"/>
      </w:tblGrid>
      <w:tr>
        <w:trPr>
          <w:trHeight w:val="197" w:hRule="exact"/>
        </w:trPr>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273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820"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815"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201" w:hRule="exact"/>
        </w:trPr>
        <w:tc>
          <w:tcPr>
            <w:tcW w:w="13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31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6" w:type="dxa"/>
            <w:gridSpan w:val="2"/>
            <w:vMerge/>
            <w:tcBorders>
              <w:left w:val="single" w:sz="4" w:space="0" w:color="000000"/>
              <w:bottom w:val="single" w:sz="4" w:space="0" w:color="000000"/>
              <w:right w:val="single" w:sz="4" w:space="0" w:color="000000"/>
            </w:tcBorders>
            <w:shd w:val="clear" w:color="auto" w:fill="D2D2D2"/>
          </w:tcPr>
          <w:p>
            <w:pPr/>
          </w:p>
        </w:tc>
        <w:tc>
          <w:tcPr>
            <w:tcW w:w="2731" w:type="dxa"/>
            <w:gridSpan w:val="2"/>
            <w:vMerge/>
            <w:tcBorders>
              <w:left w:val="single" w:sz="4" w:space="0" w:color="000000"/>
              <w:bottom w:val="single" w:sz="4" w:space="0" w:color="000000"/>
              <w:right w:val="single" w:sz="4" w:space="0" w:color="000000"/>
            </w:tcBorders>
            <w:shd w:val="clear" w:color="auto" w:fill="D2D2D2"/>
          </w:tcPr>
          <w:p>
            <w:pPr/>
          </w:p>
        </w:tc>
        <w:tc>
          <w:tcPr>
            <w:tcW w:w="13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31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2" w:hRule="exact"/>
        </w:trPr>
        <w:tc>
          <w:tcPr>
            <w:tcW w:w="1368" w:type="dxa"/>
            <w:vMerge/>
            <w:tcBorders>
              <w:left w:val="single" w:sz="4" w:space="0" w:color="000000"/>
              <w:bottom w:val="nil" w:sz="6" w:space="0" w:color="auto"/>
              <w:right w:val="single" w:sz="4" w:space="0" w:color="000000"/>
            </w:tcBorders>
            <w:shd w:val="clear" w:color="auto" w:fill="D2D2D2"/>
          </w:tcPr>
          <w:p>
            <w:pPr/>
          </w:p>
        </w:tc>
        <w:tc>
          <w:tcPr>
            <w:tcW w:w="1368" w:type="dxa"/>
            <w:vMerge/>
            <w:tcBorders>
              <w:left w:val="single" w:sz="4" w:space="0" w:color="000000"/>
              <w:bottom w:val="nil" w:sz="6" w:space="0" w:color="auto"/>
              <w:right w:val="single" w:sz="4" w:space="0" w:color="000000"/>
            </w:tcBorders>
            <w:shd w:val="clear" w:color="auto" w:fill="D2D2D2"/>
          </w:tcPr>
          <w:p>
            <w:pP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计提</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其他</w:t>
            </w:r>
          </w:p>
        </w:tc>
        <w:tc>
          <w:tcPr>
            <w:tcW w:w="13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220"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vMerge/>
            <w:tcBorders>
              <w:left w:val="single" w:sz="4" w:space="0" w:color="000000"/>
              <w:bottom w:val="nil" w:sz="6" w:space="0" w:color="auto"/>
              <w:right w:val="single" w:sz="4" w:space="0" w:color="000000"/>
            </w:tcBorders>
            <w:shd w:val="clear" w:color="auto" w:fill="D2D2D2"/>
          </w:tcPr>
          <w:p>
            <w:pPr/>
          </w:p>
        </w:tc>
      </w:tr>
      <w:tr>
        <w:trPr>
          <w:trHeight w:val="216" w:hRule="exact"/>
        </w:trPr>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3"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98"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5,275,813.84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3,811,199.60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6,093,831.65</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4,149,129.83</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11,031,715.26</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1,033,570.97</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1,033,570.97</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5,275,813.84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4,844,770.57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6,093,831.65</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4,149,129.83</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12,065,286.23</w:t>
            </w:r>
          </w:p>
        </w:tc>
      </w:tr>
    </w:tbl>
    <w:p>
      <w:pPr>
        <w:spacing w:line="240" w:lineRule="auto" w:before="6"/>
        <w:rPr>
          <w:rFonts w:ascii="宋体" w:hAnsi="宋体" w:cs="宋体" w:eastAsia="宋体" w:hint="default"/>
          <w:sz w:val="6"/>
          <w:szCs w:val="6"/>
        </w:rPr>
      </w:pPr>
    </w:p>
    <w:p>
      <w:pPr>
        <w:spacing w:line="300" w:lineRule="auto" w:before="46"/>
        <w:ind w:left="152" w:right="0" w:firstLine="360"/>
        <w:jc w:val="left"/>
        <w:rPr>
          <w:rFonts w:ascii="宋体" w:hAnsi="宋体" w:cs="宋体" w:eastAsia="宋体" w:hint="default"/>
          <w:sz w:val="18"/>
          <w:szCs w:val="18"/>
        </w:rPr>
      </w:pPr>
      <w:r>
        <w:rPr>
          <w:rFonts w:ascii="宋体" w:hAnsi="宋体" w:cs="宋体" w:eastAsia="宋体" w:hint="default"/>
          <w:spacing w:val="-2"/>
          <w:sz w:val="18"/>
          <w:szCs w:val="18"/>
        </w:rPr>
        <w:t>说明：本期其他增加的产成品存货跌价</w:t>
      </w:r>
      <w:r>
        <w:rPr>
          <w:rFonts w:ascii="Times New Roman" w:hAnsi="Times New Roman" w:cs="Times New Roman" w:eastAsia="Times New Roman" w:hint="default"/>
          <w:spacing w:val="-2"/>
          <w:sz w:val="18"/>
          <w:szCs w:val="18"/>
        </w:rPr>
        <w:t>6,093,831.65</w:t>
      </w:r>
      <w:r>
        <w:rPr>
          <w:rFonts w:ascii="宋体" w:hAnsi="宋体" w:cs="宋体" w:eastAsia="宋体" w:hint="default"/>
          <w:spacing w:val="-2"/>
          <w:sz w:val="18"/>
          <w:szCs w:val="18"/>
        </w:rPr>
        <w:t>元系本期收购孙公司北京中科彩技术有限公司（以下简称中科彩公</w:t>
      </w:r>
      <w:r>
        <w:rPr>
          <w:rFonts w:ascii="宋体" w:hAnsi="宋体" w:cs="宋体" w:eastAsia="宋体" w:hint="default"/>
          <w:w w:val="101"/>
          <w:sz w:val="18"/>
          <w:szCs w:val="18"/>
        </w:rPr>
        <w:t> </w:t>
      </w:r>
      <w:r>
        <w:rPr>
          <w:rFonts w:ascii="宋体" w:hAnsi="宋体" w:cs="宋体" w:eastAsia="宋体" w:hint="default"/>
          <w:spacing w:val="-3"/>
          <w:sz w:val="18"/>
          <w:szCs w:val="18"/>
        </w:rPr>
        <w:t>司）</w:t>
      </w:r>
      <w:r>
        <w:rPr>
          <w:rFonts w:ascii="Times New Roman" w:hAnsi="Times New Roman" w:cs="Times New Roman" w:eastAsia="Times New Roman" w:hint="default"/>
          <w:spacing w:val="-3"/>
          <w:sz w:val="18"/>
          <w:szCs w:val="18"/>
        </w:rPr>
        <w:t>2015</w:t>
      </w:r>
      <w:r>
        <w:rPr>
          <w:rFonts w:ascii="宋体" w:hAnsi="宋体" w:cs="宋体" w:eastAsia="宋体" w:hint="default"/>
          <w:spacing w:val="-3"/>
          <w:sz w:val="18"/>
          <w:szCs w:val="18"/>
        </w:rPr>
        <w:t>年</w:t>
      </w:r>
      <w:r>
        <w:rPr>
          <w:rFonts w:ascii="Times New Roman" w:hAnsi="Times New Roman" w:cs="Times New Roman" w:eastAsia="Times New Roman" w:hint="default"/>
          <w:spacing w:val="-3"/>
          <w:sz w:val="18"/>
          <w:szCs w:val="18"/>
        </w:rPr>
        <w:t>12</w:t>
      </w:r>
      <w:r>
        <w:rPr>
          <w:rFonts w:ascii="宋体" w:hAnsi="宋体" w:cs="宋体" w:eastAsia="宋体" w:hint="default"/>
          <w:spacing w:val="-3"/>
          <w:sz w:val="18"/>
          <w:szCs w:val="18"/>
        </w:rPr>
        <w:t>月</w:t>
      </w:r>
      <w:r>
        <w:rPr>
          <w:rFonts w:ascii="Times New Roman" w:hAnsi="Times New Roman" w:cs="Times New Roman" w:eastAsia="Times New Roman" w:hint="default"/>
          <w:spacing w:val="-3"/>
          <w:sz w:val="18"/>
          <w:szCs w:val="18"/>
        </w:rPr>
        <w:t>31</w:t>
      </w:r>
      <w:r>
        <w:rPr>
          <w:rFonts w:ascii="宋体" w:hAnsi="宋体" w:cs="宋体" w:eastAsia="宋体" w:hint="default"/>
          <w:spacing w:val="-3"/>
          <w:sz w:val="18"/>
          <w:szCs w:val="18"/>
        </w:rPr>
        <w:t>日产成品应计提存货跌价准备金额</w:t>
      </w:r>
    </w:p>
    <w:p>
      <w:pPr>
        <w:spacing w:line="240" w:lineRule="auto" w:before="1"/>
        <w:rPr>
          <w:rFonts w:ascii="宋体" w:hAnsi="宋体" w:cs="宋体" w:eastAsia="宋体" w:hint="default"/>
          <w:sz w:val="17"/>
          <w:szCs w:val="17"/>
        </w:rPr>
      </w:pPr>
    </w:p>
    <w:p>
      <w:pPr>
        <w:pStyle w:val="Heading4"/>
        <w:spacing w:line="240" w:lineRule="auto"/>
        <w:ind w:right="0"/>
        <w:jc w:val="left"/>
        <w:rPr>
          <w:b w:val="0"/>
          <w:bCs w:val="0"/>
        </w:rPr>
      </w:pPr>
      <w:r>
        <w:rPr/>
        <w:t>（</w:t>
      </w:r>
      <w:r>
        <w:rPr>
          <w:rFonts w:ascii="Times New Roman" w:hAnsi="Times New Roman" w:cs="Times New Roman" w:eastAsia="Times New Roman" w:hint="default"/>
        </w:rPr>
        <w:t>3</w:t>
      </w:r>
      <w:r>
        <w:rPr/>
        <w:t>）存货期末余额含有借款费用资本化金额的说明</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4</w:t>
      </w:r>
      <w:r>
        <w:rPr/>
        <w:t>）期末建造合同形成的已完工未结算资产情况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7"/>
          <w:szCs w:val="7"/>
        </w:rPr>
      </w:pPr>
    </w:p>
    <w:p>
      <w:pPr>
        <w:spacing w:line="422" w:lineRule="exact"/>
        <w:ind w:left="148"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8pt;height:21.15pt;mso-position-horizontal-relative:char;mso-position-vertical-relative:line" coordorigin="0,0" coordsize="9576,423">
            <v:group style="position:absolute;left:22;top:14;width:2;height:394" coordorigin="22,14" coordsize="2,394">
              <v:shape style="position:absolute;left:22;top:14;width:2;height:394" coordorigin="22,14" coordsize="0,394" path="m22,14l22,408e" filled="false" stroked="true" strokeweight="1.2pt" strokecolor="#d2d2d2">
                <v:path arrowok="t"/>
              </v:shape>
            </v:group>
            <v:group style="position:absolute;left:4771;top:14;width:2;height:394" coordorigin="4771,14" coordsize="2,394">
              <v:shape style="position:absolute;left:4771;top:14;width:2;height:394" coordorigin="4771,14" coordsize="0,394" path="m4771,14l4771,408e" filled="false" stroked="true" strokeweight=".96pt" strokecolor="#d2d2d2">
                <v:path arrowok="t"/>
              </v:shape>
            </v:group>
            <v:group style="position:absolute;left:34;top:14;width:4728;height:394" coordorigin="34,14" coordsize="4728,394">
              <v:shape style="position:absolute;left:34;top:14;width:4728;height:394" coordorigin="34,14" coordsize="4728,394" path="m34,408l4762,408,4762,14,34,14,34,408xe" filled="true" fillcolor="#d2d2d2" stroked="false">
                <v:path arrowok="t"/>
                <v:fill type="solid"/>
              </v:shape>
            </v:group>
            <v:group style="position:absolute;left:4802;top:14;width:2;height:394" coordorigin="4802,14" coordsize="2,394">
              <v:shape style="position:absolute;left:4802;top:14;width:2;height:394" coordorigin="4802,14" coordsize="0,394" path="m4802,14l4802,408e" filled="false" stroked="true" strokeweight="1.2pt" strokecolor="#d2d2d2">
                <v:path arrowok="t"/>
              </v:shape>
            </v:group>
            <v:group style="position:absolute;left:9554;top:14;width:2;height:394" coordorigin="9554,14" coordsize="2,394">
              <v:shape style="position:absolute;left:9554;top:14;width:2;height:394" coordorigin="9554,14" coordsize="0,394" path="m9554,14l9554,408e" filled="false" stroked="true" strokeweight="1.2pt" strokecolor="#d2d2d2">
                <v:path arrowok="t"/>
              </v:shape>
            </v:group>
            <v:group style="position:absolute;left:4814;top:14;width:4728;height:394" coordorigin="4814,14" coordsize="4728,394">
              <v:shape style="position:absolute;left:4814;top:14;width:4728;height:394" coordorigin="4814,14" coordsize="4728,394" path="m4814,408l9542,408,9542,14,4814,14,4814,408xe" filled="true" fillcolor="#d2d2d2" stroked="false">
                <v:path arrowok="t"/>
                <v:fill type="solid"/>
              </v:shape>
            </v:group>
            <v:group style="position:absolute;left:10;top:10;width:4772;height:2" coordorigin="10,10" coordsize="4772,2">
              <v:shape style="position:absolute;left:10;top:10;width:4772;height:2" coordorigin="10,10" coordsize="4772,0" path="m10,10l4781,10e" filled="false" stroked="true" strokeweight=".48pt" strokecolor="#000000">
                <v:path arrowok="t"/>
              </v:shape>
            </v:group>
            <v:group style="position:absolute;left:4790;top:10;width:4776;height:2" coordorigin="4790,10" coordsize="4776,2">
              <v:shape style="position:absolute;left:4790;top:10;width:4776;height:2" coordorigin="4790,10" coordsize="4776,0" path="m4790,10l9566,10e" filled="false" stroked="true" strokeweight=".48pt" strokecolor="#000000">
                <v:path arrowok="t"/>
              </v:shape>
            </v:group>
            <v:group style="position:absolute;left:5;top:5;width:2;height:413" coordorigin="5,5" coordsize="2,413">
              <v:shape style="position:absolute;left:5;top:5;width:2;height:413" coordorigin="5,5" coordsize="0,413" path="m5,5l5,418e" filled="false" stroked="true" strokeweight=".48pt" strokecolor="#000000">
                <v:path arrowok="t"/>
              </v:shape>
            </v:group>
            <v:group style="position:absolute;left:10;top:413;width:4772;height:2" coordorigin="10,413" coordsize="4772,2">
              <v:shape style="position:absolute;left:10;top:413;width:4772;height:2" coordorigin="10,413" coordsize="4772,0" path="m10,413l4781,413e" filled="false" stroked="true" strokeweight=".48pt" strokecolor="#000000">
                <v:path arrowok="t"/>
              </v:shape>
            </v:group>
            <v:group style="position:absolute;left:4786;top:5;width:2;height:413" coordorigin="4786,5" coordsize="2,413">
              <v:shape style="position:absolute;left:4786;top:5;width:2;height:413" coordorigin="4786,5" coordsize="0,413" path="m4786,5l4786,418e" filled="false" stroked="true" strokeweight=".48pt" strokecolor="#000000">
                <v:path arrowok="t"/>
              </v:shape>
            </v:group>
            <v:group style="position:absolute;left:4790;top:413;width:4776;height:2" coordorigin="4790,413" coordsize="4776,2">
              <v:shape style="position:absolute;left:4790;top:413;width:4776;height:2" coordorigin="4790,413" coordsize="4776,0" path="m4790,413l9566,413e" filled="false" stroked="true" strokeweight=".48pt" strokecolor="#000000">
                <v:path arrowok="t"/>
              </v:shape>
            </v:group>
            <v:group style="position:absolute;left:9571;top:5;width:2;height:413" coordorigin="9571,5" coordsize="2,413">
              <v:shape style="position:absolute;left:9571;top:5;width:2;height:413" coordorigin="9571,5" coordsize="0,413" path="m9571,5l9571,418e" filled="false" stroked="true" strokeweight=".48pt" strokecolor="#000000">
                <v:path arrowok="t"/>
              </v:shape>
              <v:shape style="position:absolute;left:2213;top:122;width:365;height:183" type="#_x0000_t202" filled="false" stroked="false">
                <v:textbox inset="0,0,0,0">
                  <w:txbxContent>
                    <w:p>
                      <w:pPr>
                        <w:spacing w:line="18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6994;top:122;width:365;height:183" type="#_x0000_t202" filled="false" stroked="false">
                <v:textbox inset="0,0,0,0">
                  <w:txbxContent>
                    <w:p>
                      <w:pPr>
                        <w:spacing w:line="18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group>
          </v:group>
        </w:pict>
      </w:r>
      <w:r>
        <w:rPr>
          <w:rFonts w:ascii="宋体" w:hAnsi="宋体" w:cs="宋体" w:eastAsia="宋体" w:hint="default"/>
          <w:position w:val="-7"/>
          <w:sz w:val="20"/>
          <w:szCs w:val="20"/>
        </w:rPr>
      </w:r>
    </w:p>
    <w:p>
      <w:pPr>
        <w:spacing w:before="49"/>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11</w:t>
      </w:r>
      <w:r>
        <w:rPr/>
        <w:t>、划分为持有待售的资产</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0"/>
        <w:gridCol w:w="1915"/>
        <w:gridCol w:w="1915"/>
        <w:gridCol w:w="1915"/>
        <w:gridCol w:w="1915"/>
      </w:tblGrid>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08"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07" w:right="0"/>
              <w:jc w:val="left"/>
              <w:rPr>
                <w:rFonts w:ascii="宋体" w:hAnsi="宋体" w:cs="宋体" w:eastAsia="宋体" w:hint="default"/>
                <w:sz w:val="18"/>
                <w:szCs w:val="18"/>
              </w:rPr>
            </w:pPr>
            <w:r>
              <w:rPr>
                <w:rFonts w:ascii="宋体" w:hAnsi="宋体" w:cs="宋体" w:eastAsia="宋体" w:hint="default"/>
                <w:sz w:val="18"/>
                <w:szCs w:val="18"/>
              </w:rPr>
              <w:t>预计处置费用</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07" w:right="0"/>
              <w:jc w:val="left"/>
              <w:rPr>
                <w:rFonts w:ascii="宋体" w:hAnsi="宋体" w:cs="宋体" w:eastAsia="宋体" w:hint="default"/>
                <w:sz w:val="18"/>
                <w:szCs w:val="18"/>
              </w:rPr>
            </w:pPr>
            <w:r>
              <w:rPr>
                <w:rFonts w:ascii="宋体" w:hAnsi="宋体" w:cs="宋体" w:eastAsia="宋体" w:hint="default"/>
                <w:sz w:val="18"/>
                <w:szCs w:val="18"/>
              </w:rPr>
              <w:t>预计处置时间</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12</w:t>
      </w:r>
      <w:r>
        <w:rPr/>
        <w:t>、一年内到期的非流动资产</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Heading4"/>
        <w:spacing w:line="335" w:lineRule="exact"/>
        <w:ind w:right="0"/>
        <w:jc w:val="left"/>
        <w:rPr>
          <w:b w:val="0"/>
          <w:bCs w:val="0"/>
        </w:rPr>
      </w:pPr>
      <w:r>
        <w:rPr>
          <w:rFonts w:ascii="Times New Roman" w:hAnsi="Times New Roman" w:cs="Times New Roman" w:eastAsia="Times New Roman" w:hint="default"/>
        </w:rPr>
        <w:t>13</w:t>
      </w:r>
      <w:r>
        <w:rPr/>
        <w:t>、其他流动资产</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待抵扣进项税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9,448,404.04</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7,283,961.26</w:t>
            </w: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预缴所得税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45,386.73</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58,390.97</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9,552,181.74</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7,283,961.26</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14</w:t>
      </w:r>
      <w:r>
        <w:rPr/>
        <w:t>、可供出售金融资产</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）可供出售金融资产情况</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978"/>
        <w:gridCol w:w="1207"/>
        <w:gridCol w:w="1195"/>
        <w:gridCol w:w="1195"/>
        <w:gridCol w:w="1248"/>
        <w:gridCol w:w="1368"/>
        <w:gridCol w:w="1368"/>
      </w:tblGrid>
      <w:tr>
        <w:trPr>
          <w:trHeight w:val="196" w:hRule="exact"/>
        </w:trPr>
        <w:tc>
          <w:tcPr>
            <w:tcW w:w="1978" w:type="dxa"/>
            <w:tcBorders>
              <w:top w:val="single" w:sz="4" w:space="0" w:color="000000"/>
              <w:left w:val="single" w:sz="4" w:space="0" w:color="000000"/>
              <w:bottom w:val="nil" w:sz="6" w:space="0" w:color="auto"/>
              <w:right w:val="single" w:sz="4" w:space="0" w:color="000000"/>
            </w:tcBorders>
            <w:shd w:val="clear" w:color="auto" w:fill="D2D2D2"/>
          </w:tcPr>
          <w:p>
            <w:pPr/>
          </w:p>
        </w:tc>
        <w:tc>
          <w:tcPr>
            <w:tcW w:w="3598"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984"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7" w:hRule="exact"/>
        </w:trPr>
        <w:tc>
          <w:tcPr>
            <w:tcW w:w="197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3598" w:type="dxa"/>
            <w:gridSpan w:val="3"/>
            <w:vMerge/>
            <w:tcBorders>
              <w:left w:val="single" w:sz="4" w:space="0" w:color="000000"/>
              <w:bottom w:val="single" w:sz="4" w:space="0" w:color="000000"/>
              <w:right w:val="single" w:sz="4" w:space="0" w:color="000000"/>
            </w:tcBorders>
            <w:shd w:val="clear" w:color="auto" w:fill="D2D2D2"/>
          </w:tcPr>
          <w:p>
            <w:pPr/>
          </w:p>
        </w:tc>
        <w:tc>
          <w:tcPr>
            <w:tcW w:w="3984" w:type="dxa"/>
            <w:gridSpan w:val="3"/>
            <w:vMerge/>
            <w:tcBorders>
              <w:left w:val="single" w:sz="4" w:space="0" w:color="000000"/>
              <w:bottom w:val="single" w:sz="4" w:space="0" w:color="000000"/>
              <w:right w:val="single" w:sz="4" w:space="0" w:color="000000"/>
            </w:tcBorders>
            <w:shd w:val="clear" w:color="auto" w:fill="D2D2D2"/>
          </w:tcPr>
          <w:p>
            <w:pPr/>
          </w:p>
        </w:tc>
      </w:tr>
      <w:tr>
        <w:trPr>
          <w:trHeight w:val="192" w:hRule="exact"/>
        </w:trPr>
        <w:tc>
          <w:tcPr>
            <w:tcW w:w="1978" w:type="dxa"/>
            <w:vMerge/>
            <w:tcBorders>
              <w:left w:val="single" w:sz="4" w:space="0" w:color="000000"/>
              <w:bottom w:val="nil" w:sz="6" w:space="0" w:color="auto"/>
              <w:right w:val="single" w:sz="4" w:space="0" w:color="000000"/>
            </w:tcBorders>
            <w:shd w:val="clear" w:color="auto" w:fill="D2D2D2"/>
          </w:tcPr>
          <w:p>
            <w:pPr/>
          </w:p>
        </w:tc>
        <w:tc>
          <w:tcPr>
            <w:tcW w:w="120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2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225"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230"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24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25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16"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16"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16" w:hRule="exact"/>
        </w:trPr>
        <w:tc>
          <w:tcPr>
            <w:tcW w:w="1978" w:type="dxa"/>
            <w:tcBorders>
              <w:top w:val="nil" w:sz="6" w:space="0" w:color="auto"/>
              <w:left w:val="single" w:sz="4" w:space="0" w:color="000000"/>
              <w:bottom w:val="single" w:sz="4" w:space="0" w:color="000000"/>
              <w:right w:val="single" w:sz="4" w:space="0" w:color="000000"/>
            </w:tcBorders>
            <w:shd w:val="clear" w:color="auto" w:fill="D2D2D2"/>
          </w:tcPr>
          <w:p>
            <w:pPr/>
          </w:p>
        </w:tc>
        <w:tc>
          <w:tcPr>
            <w:tcW w:w="1207" w:type="dxa"/>
            <w:vMerge/>
            <w:tcBorders>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248"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9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可供出售债务工具：</w:t>
            </w:r>
          </w:p>
        </w:tc>
        <w:tc>
          <w:tcPr>
            <w:tcW w:w="1207" w:type="dxa"/>
            <w:tcBorders>
              <w:top w:val="single" w:sz="4" w:space="0" w:color="000000"/>
              <w:left w:val="single" w:sz="10" w:space="0" w:color="D2D2D2"/>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0.00</w:t>
            </w:r>
          </w:p>
        </w:tc>
        <w:tc>
          <w:tcPr>
            <w:tcW w:w="124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可供出售权益工具：</w:t>
            </w:r>
          </w:p>
        </w:tc>
        <w:tc>
          <w:tcPr>
            <w:tcW w:w="120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179,315,265.00</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179,315,265.00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67" w:right="0"/>
              <w:jc w:val="center"/>
              <w:rPr>
                <w:rFonts w:ascii="Times New Roman" w:hAnsi="Times New Roman" w:cs="Times New Roman" w:eastAsia="Times New Roman" w:hint="default"/>
                <w:sz w:val="18"/>
                <w:szCs w:val="18"/>
              </w:rPr>
            </w:pPr>
            <w:r>
              <w:rPr>
                <w:rFonts w:ascii="Times New Roman"/>
                <w:sz w:val="18"/>
              </w:rPr>
              <w:t>116,060,000.00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116,060,000.00</w:t>
            </w:r>
          </w:p>
        </w:tc>
      </w:tr>
      <w:tr>
        <w:trPr>
          <w:trHeight w:val="398" w:hRule="exact"/>
        </w:trPr>
        <w:tc>
          <w:tcPr>
            <w:tcW w:w="19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按公允价值计量的</w:t>
            </w:r>
          </w:p>
        </w:tc>
        <w:tc>
          <w:tcPr>
            <w:tcW w:w="1207" w:type="dxa"/>
            <w:tcBorders>
              <w:top w:val="single" w:sz="4" w:space="0" w:color="000000"/>
              <w:left w:val="single" w:sz="10" w:space="0" w:color="D2D2D2"/>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z w:val="18"/>
              </w:rPr>
              <w:t>0.00</w:t>
            </w:r>
          </w:p>
        </w:tc>
        <w:tc>
          <w:tcPr>
            <w:tcW w:w="124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按成本计量的</w:t>
            </w:r>
          </w:p>
        </w:tc>
        <w:tc>
          <w:tcPr>
            <w:tcW w:w="120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179,315,265.00</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179,315,265.00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67" w:right="0"/>
              <w:jc w:val="center"/>
              <w:rPr>
                <w:rFonts w:ascii="Times New Roman" w:hAnsi="Times New Roman" w:cs="Times New Roman" w:eastAsia="Times New Roman" w:hint="default"/>
                <w:sz w:val="18"/>
                <w:szCs w:val="18"/>
              </w:rPr>
            </w:pPr>
            <w:r>
              <w:rPr>
                <w:rFonts w:ascii="Times New Roman"/>
                <w:sz w:val="18"/>
              </w:rPr>
              <w:t>116,060,000.00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116,060,000.00</w:t>
            </w:r>
          </w:p>
        </w:tc>
      </w:tr>
      <w:tr>
        <w:trPr>
          <w:trHeight w:val="403" w:hRule="exact"/>
        </w:trPr>
        <w:tc>
          <w:tcPr>
            <w:tcW w:w="19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0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179,315,265.00</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179,315,265.00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67" w:right="0"/>
              <w:jc w:val="center"/>
              <w:rPr>
                <w:rFonts w:ascii="Times New Roman" w:hAnsi="Times New Roman" w:cs="Times New Roman" w:eastAsia="Times New Roman" w:hint="default"/>
                <w:sz w:val="18"/>
                <w:szCs w:val="18"/>
              </w:rPr>
            </w:pPr>
            <w:r>
              <w:rPr>
                <w:rFonts w:ascii="Times New Roman"/>
                <w:sz w:val="18"/>
              </w:rPr>
              <w:t>116,060,000.00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116,060,000.00</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）期末按公允价值计量的可供出售金融资产</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5"/>
        <w:gridCol w:w="1915"/>
        <w:gridCol w:w="1910"/>
        <w:gridCol w:w="1915"/>
        <w:gridCol w:w="1915"/>
      </w:tblGrid>
      <w:tr>
        <w:trPr>
          <w:trHeight w:val="398" w:hRule="exact"/>
        </w:trPr>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8" w:right="0"/>
              <w:jc w:val="left"/>
              <w:rPr>
                <w:rFonts w:ascii="宋体" w:hAnsi="宋体" w:cs="宋体" w:eastAsia="宋体" w:hint="default"/>
                <w:sz w:val="18"/>
                <w:szCs w:val="18"/>
              </w:rPr>
            </w:pPr>
            <w:r>
              <w:rPr>
                <w:rFonts w:ascii="宋体" w:hAnsi="宋体" w:cs="宋体" w:eastAsia="宋体" w:hint="default"/>
                <w:sz w:val="18"/>
                <w:szCs w:val="18"/>
              </w:rPr>
              <w:t>可供出售金融资产分类</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30"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5"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1915"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3</w:t>
      </w:r>
      <w:r>
        <w:rPr/>
        <w:t>）期末按成本计量的可供出售金融资产</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864"/>
        <w:gridCol w:w="869"/>
        <w:gridCol w:w="869"/>
        <w:gridCol w:w="874"/>
        <w:gridCol w:w="869"/>
        <w:gridCol w:w="869"/>
        <w:gridCol w:w="869"/>
        <w:gridCol w:w="874"/>
        <w:gridCol w:w="869"/>
        <w:gridCol w:w="869"/>
        <w:gridCol w:w="869"/>
      </w:tblGrid>
      <w:tr>
        <w:trPr>
          <w:trHeight w:val="403" w:hRule="exact"/>
        </w:trPr>
        <w:tc>
          <w:tcPr>
            <w:tcW w:w="86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5"/>
                <w:szCs w:val="15"/>
              </w:rPr>
            </w:pPr>
          </w:p>
          <w:p>
            <w:pPr>
              <w:pStyle w:val="TableParagraph"/>
              <w:spacing w:line="316" w:lineRule="auto"/>
              <w:ind w:left="336" w:right="60" w:hanging="269"/>
              <w:jc w:val="left"/>
              <w:rPr>
                <w:rFonts w:ascii="宋体" w:hAnsi="宋体" w:cs="宋体" w:eastAsia="宋体" w:hint="default"/>
                <w:sz w:val="18"/>
                <w:szCs w:val="18"/>
              </w:rPr>
            </w:pPr>
            <w:r>
              <w:rPr>
                <w:rFonts w:ascii="宋体" w:hAnsi="宋体" w:cs="宋体" w:eastAsia="宋体" w:hint="default"/>
                <w:sz w:val="18"/>
                <w:szCs w:val="18"/>
              </w:rPr>
              <w:t>被投资单</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位</w:t>
            </w:r>
          </w:p>
        </w:tc>
        <w:tc>
          <w:tcPr>
            <w:tcW w:w="348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348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869"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71" w:right="60"/>
              <w:jc w:val="center"/>
              <w:rPr>
                <w:rFonts w:ascii="宋体" w:hAnsi="宋体" w:cs="宋体" w:eastAsia="宋体" w:hint="default"/>
                <w:sz w:val="18"/>
                <w:szCs w:val="18"/>
              </w:rPr>
            </w:pPr>
            <w:r>
              <w:rPr>
                <w:rFonts w:ascii="宋体" w:hAnsi="宋体" w:cs="宋体" w:eastAsia="宋体" w:hint="default"/>
                <w:spacing w:val="-2"/>
                <w:sz w:val="18"/>
                <w:szCs w:val="18"/>
              </w:rPr>
              <w:t>在被投资</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单位持股</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比例</w:t>
            </w:r>
          </w:p>
        </w:tc>
        <w:tc>
          <w:tcPr>
            <w:tcW w:w="8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5"/>
                <w:szCs w:val="15"/>
              </w:rPr>
            </w:pPr>
          </w:p>
          <w:p>
            <w:pPr>
              <w:pStyle w:val="TableParagraph"/>
              <w:spacing w:line="316" w:lineRule="auto"/>
              <w:ind w:left="249" w:right="60" w:hanging="178"/>
              <w:jc w:val="left"/>
              <w:rPr>
                <w:rFonts w:ascii="宋体" w:hAnsi="宋体" w:cs="宋体" w:eastAsia="宋体" w:hint="default"/>
                <w:sz w:val="18"/>
                <w:szCs w:val="18"/>
              </w:rPr>
            </w:pPr>
            <w:r>
              <w:rPr>
                <w:rFonts w:ascii="宋体" w:hAnsi="宋体" w:cs="宋体" w:eastAsia="宋体" w:hint="default"/>
                <w:sz w:val="18"/>
                <w:szCs w:val="18"/>
              </w:rPr>
              <w:t>本期现金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红利</w:t>
            </w:r>
          </w:p>
        </w:tc>
      </w:tr>
      <w:tr>
        <w:trPr>
          <w:trHeight w:val="624" w:hRule="exact"/>
        </w:trPr>
        <w:tc>
          <w:tcPr>
            <w:tcW w:w="864" w:type="dxa"/>
            <w:vMerge/>
            <w:tcBorders>
              <w:left w:val="single" w:sz="4" w:space="0" w:color="000000"/>
              <w:bottom w:val="single" w:sz="4" w:space="0" w:color="000000"/>
              <w:right w:val="single" w:sz="4" w:space="0" w:color="000000"/>
            </w:tcBorders>
            <w:shd w:val="clear" w:color="auto" w:fill="D2D2D2"/>
          </w:tcPr>
          <w:p>
            <w:pP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8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67"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期末</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6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67"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44"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869" w:type="dxa"/>
            <w:vMerge/>
            <w:tcBorders>
              <w:left w:val="single" w:sz="4" w:space="0" w:color="000000"/>
              <w:bottom w:val="single" w:sz="4" w:space="0" w:color="000000"/>
              <w:right w:val="single" w:sz="4" w:space="0" w:color="000000"/>
            </w:tcBorders>
            <w:shd w:val="clear" w:color="auto" w:fill="D2D2D2"/>
          </w:tcPr>
          <w:p>
            <w:pPr/>
          </w:p>
        </w:tc>
        <w:tc>
          <w:tcPr>
            <w:tcW w:w="869" w:type="dxa"/>
            <w:vMerge/>
            <w:tcBorders>
              <w:left w:val="single" w:sz="4" w:space="0" w:color="000000"/>
              <w:bottom w:val="single" w:sz="4" w:space="0" w:color="000000"/>
              <w:right w:val="single" w:sz="4" w:space="0" w:color="000000"/>
            </w:tcBorders>
            <w:shd w:val="clear" w:color="auto" w:fill="D2D2D2"/>
          </w:tcPr>
          <w:p>
            <w:pPr/>
          </w:p>
        </w:tc>
      </w:tr>
      <w:tr>
        <w:trPr>
          <w:trHeight w:val="357" w:hRule="exact"/>
        </w:trPr>
        <w:tc>
          <w:tcPr>
            <w:tcW w:w="8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成都农村</w:t>
            </w: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74"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r>
      <w:tr>
        <w:trPr>
          <w:trHeight w:val="631" w:hRule="exact"/>
        </w:trPr>
        <w:tc>
          <w:tcPr>
            <w:tcW w:w="864" w:type="dxa"/>
            <w:tcBorders>
              <w:top w:val="nil" w:sz="6" w:space="0" w:color="auto"/>
              <w:left w:val="single" w:sz="4" w:space="0" w:color="000000"/>
              <w:bottom w:val="nil" w:sz="6" w:space="0" w:color="auto"/>
              <w:right w:val="single" w:sz="4" w:space="0" w:color="000000"/>
            </w:tcBorders>
          </w:tcPr>
          <w:p>
            <w:pPr>
              <w:pStyle w:val="TableParagraph"/>
              <w:spacing w:line="316" w:lineRule="auto" w:before="9"/>
              <w:ind w:left="24" w:right="103"/>
              <w:jc w:val="left"/>
              <w:rPr>
                <w:rFonts w:ascii="宋体" w:hAnsi="宋体" w:cs="宋体" w:eastAsia="宋体" w:hint="default"/>
                <w:sz w:val="18"/>
                <w:szCs w:val="18"/>
              </w:rPr>
            </w:pPr>
            <w:r>
              <w:rPr>
                <w:rFonts w:ascii="宋体" w:hAnsi="宋体" w:cs="宋体" w:eastAsia="宋体" w:hint="default"/>
                <w:sz w:val="18"/>
                <w:szCs w:val="18"/>
              </w:rPr>
              <w:t>商业银行</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股份有限</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2"/>
              <w:jc w:val="right"/>
              <w:rPr>
                <w:rFonts w:ascii="Times New Roman" w:hAnsi="Times New Roman" w:cs="Times New Roman" w:eastAsia="Times New Roman" w:hint="default"/>
                <w:sz w:val="18"/>
                <w:szCs w:val="18"/>
              </w:rPr>
            </w:pPr>
            <w:r>
              <w:rPr>
                <w:rFonts w:ascii="Times New Roman"/>
                <w:spacing w:val="-1"/>
                <w:sz w:val="18"/>
              </w:rPr>
              <w:t>82,560,000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869" w:type="dxa"/>
            <w:vMerge/>
            <w:tcBorders>
              <w:left w:val="single" w:sz="4" w:space="0" w:color="000000"/>
              <w:right w:val="single" w:sz="4" w:space="0" w:color="000000"/>
            </w:tcBorders>
          </w:tcPr>
          <w:p>
            <w:pP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7"/>
              <w:jc w:val="right"/>
              <w:rPr>
                <w:rFonts w:ascii="Times New Roman" w:hAnsi="Times New Roman" w:cs="Times New Roman" w:eastAsia="Times New Roman" w:hint="default"/>
                <w:sz w:val="18"/>
                <w:szCs w:val="18"/>
              </w:rPr>
            </w:pPr>
            <w:r>
              <w:rPr>
                <w:rFonts w:ascii="Times New Roman"/>
                <w:spacing w:val="-1"/>
                <w:sz w:val="18"/>
              </w:rPr>
              <w:t>39,744,735</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7"/>
              <w:jc w:val="right"/>
              <w:rPr>
                <w:rFonts w:ascii="Times New Roman" w:hAnsi="Times New Roman" w:cs="Times New Roman" w:eastAsia="Times New Roman" w:hint="default"/>
                <w:sz w:val="18"/>
                <w:szCs w:val="18"/>
              </w:rPr>
            </w:pPr>
            <w:r>
              <w:rPr>
                <w:rFonts w:ascii="Times New Roman"/>
                <w:spacing w:val="-1"/>
                <w:sz w:val="18"/>
              </w:rPr>
              <w:t>42,815,265</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.00</w:t>
            </w: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74"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0.30%</w:t>
            </w:r>
          </w:p>
        </w:tc>
        <w:tc>
          <w:tcPr>
            <w:tcW w:w="869" w:type="dxa"/>
            <w:vMerge/>
            <w:tcBorders>
              <w:left w:val="single" w:sz="4" w:space="0" w:color="000000"/>
              <w:right w:val="single" w:sz="4" w:space="0" w:color="000000"/>
            </w:tcBorders>
          </w:tcPr>
          <w:p>
            <w:pPr/>
          </w:p>
        </w:tc>
      </w:tr>
      <w:tr>
        <w:trPr>
          <w:trHeight w:val="351" w:hRule="exact"/>
        </w:trPr>
        <w:tc>
          <w:tcPr>
            <w:tcW w:w="86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74"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r>
      <w:tr>
        <w:trPr>
          <w:trHeight w:val="398"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24" w:right="0"/>
              <w:jc w:val="left"/>
              <w:rPr>
                <w:rFonts w:ascii="宋体" w:hAnsi="宋体" w:cs="宋体" w:eastAsia="宋体" w:hint="default"/>
                <w:sz w:val="18"/>
                <w:szCs w:val="18"/>
              </w:rPr>
            </w:pPr>
            <w:r>
              <w:rPr>
                <w:rFonts w:ascii="宋体" w:hAnsi="宋体" w:cs="宋体" w:eastAsia="宋体" w:hint="default"/>
                <w:sz w:val="18"/>
                <w:szCs w:val="18"/>
              </w:rPr>
              <w:t>泸州多成</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59" w:right="0"/>
              <w:jc w:val="center"/>
              <w:rPr>
                <w:rFonts w:ascii="Times New Roman" w:hAnsi="Times New Roman" w:cs="Times New Roman" w:eastAsia="Times New Roman" w:hint="default"/>
                <w:sz w:val="18"/>
                <w:szCs w:val="18"/>
              </w:rPr>
            </w:pPr>
            <w:r>
              <w:rPr>
                <w:rFonts w:ascii="Times New Roman"/>
                <w:sz w:val="18"/>
              </w:rPr>
              <w:t>1,000,000.</w:t>
            </w:r>
          </w:p>
        </w:tc>
        <w:tc>
          <w:tcPr>
            <w:tcW w:w="874"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50" w:right="0"/>
              <w:jc w:val="center"/>
              <w:rPr>
                <w:rFonts w:ascii="Times New Roman" w:hAnsi="Times New Roman" w:cs="Times New Roman" w:eastAsia="Times New Roman" w:hint="default"/>
                <w:sz w:val="18"/>
                <w:szCs w:val="18"/>
              </w:rPr>
            </w:pPr>
            <w:r>
              <w:rPr>
                <w:rFonts w:ascii="Times New Roman"/>
                <w:sz w:val="18"/>
              </w:rPr>
              <w:t>1,000,000.</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10.00%</w:t>
            </w:r>
          </w:p>
        </w:tc>
        <w:tc>
          <w:tcPr>
            <w:tcW w:w="86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864"/>
        <w:gridCol w:w="869"/>
        <w:gridCol w:w="869"/>
        <w:gridCol w:w="874"/>
        <w:gridCol w:w="869"/>
        <w:gridCol w:w="869"/>
        <w:gridCol w:w="869"/>
        <w:gridCol w:w="874"/>
        <w:gridCol w:w="869"/>
        <w:gridCol w:w="869"/>
        <w:gridCol w:w="869"/>
      </w:tblGrid>
      <w:tr>
        <w:trPr>
          <w:trHeight w:val="984"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4" w:right="103"/>
              <w:jc w:val="both"/>
              <w:rPr>
                <w:rFonts w:ascii="宋体" w:hAnsi="宋体" w:cs="宋体" w:eastAsia="宋体" w:hint="default"/>
                <w:sz w:val="18"/>
                <w:szCs w:val="18"/>
              </w:rPr>
            </w:pPr>
            <w:r>
              <w:rPr>
                <w:rFonts w:ascii="宋体" w:hAnsi="宋体" w:cs="宋体" w:eastAsia="宋体" w:hint="default"/>
                <w:sz w:val="18"/>
                <w:szCs w:val="18"/>
              </w:rPr>
              <w:t>供应链管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理有限公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司</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7"/>
              <w:jc w:val="right"/>
              <w:rPr>
                <w:rFonts w:ascii="Times New Roman" w:hAnsi="Times New Roman" w:cs="Times New Roman" w:eastAsia="Times New Roman" w:hint="default"/>
                <w:sz w:val="18"/>
                <w:szCs w:val="18"/>
              </w:rPr>
            </w:pPr>
            <w:r>
              <w:rPr>
                <w:rFonts w:ascii="Times New Roman"/>
                <w:sz w:val="18"/>
              </w:rPr>
              <w:t>00</w:t>
            </w:r>
          </w:p>
        </w:tc>
        <w:tc>
          <w:tcPr>
            <w:tcW w:w="874"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2"/>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r>
      <w:tr>
        <w:trPr>
          <w:trHeight w:val="359" w:hRule="exact"/>
        </w:trPr>
        <w:tc>
          <w:tcPr>
            <w:tcW w:w="8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厦门翔安</w:t>
            </w: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74" w:type="dxa"/>
            <w:vMerge w:val="restart"/>
            <w:tcBorders>
              <w:top w:val="single" w:sz="4" w:space="0" w:color="000000"/>
              <w:left w:val="single" w:sz="4" w:space="0" w:color="000000"/>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74"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r>
      <w:tr>
        <w:trPr>
          <w:trHeight w:val="634" w:hRule="exact"/>
        </w:trPr>
        <w:tc>
          <w:tcPr>
            <w:tcW w:w="864" w:type="dxa"/>
            <w:tcBorders>
              <w:top w:val="nil" w:sz="6" w:space="0" w:color="auto"/>
              <w:left w:val="single" w:sz="4" w:space="0" w:color="000000"/>
              <w:bottom w:val="nil" w:sz="6" w:space="0" w:color="auto"/>
              <w:right w:val="single" w:sz="4" w:space="0" w:color="000000"/>
            </w:tcBorders>
          </w:tcPr>
          <w:p>
            <w:pPr>
              <w:pStyle w:val="TableParagraph"/>
              <w:spacing w:line="316" w:lineRule="auto" w:before="11"/>
              <w:ind w:left="24" w:right="103"/>
              <w:jc w:val="left"/>
              <w:rPr>
                <w:rFonts w:ascii="宋体" w:hAnsi="宋体" w:cs="宋体" w:eastAsia="宋体" w:hint="default"/>
                <w:sz w:val="18"/>
                <w:szCs w:val="18"/>
              </w:rPr>
            </w:pPr>
            <w:r>
              <w:rPr>
                <w:rFonts w:ascii="宋体" w:hAnsi="宋体" w:cs="宋体" w:eastAsia="宋体" w:hint="default"/>
                <w:sz w:val="18"/>
                <w:szCs w:val="18"/>
              </w:rPr>
              <w:t>民生村镇</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银行股份</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4"/>
              <w:jc w:val="right"/>
              <w:rPr>
                <w:rFonts w:ascii="Times New Roman" w:hAnsi="Times New Roman" w:cs="Times New Roman" w:eastAsia="Times New Roman" w:hint="default"/>
                <w:sz w:val="18"/>
                <w:szCs w:val="18"/>
              </w:rPr>
            </w:pPr>
            <w:r>
              <w:rPr>
                <w:rFonts w:ascii="Times New Roman"/>
                <w:spacing w:val="-2"/>
                <w:sz w:val="18"/>
              </w:rPr>
              <w:t>3,500,000.</w:t>
            </w:r>
          </w:p>
          <w:p>
            <w:pPr>
              <w:pStyle w:val="TableParagraph"/>
              <w:spacing w:line="240" w:lineRule="auto" w:before="110"/>
              <w:ind w:right="17"/>
              <w:jc w:val="right"/>
              <w:rPr>
                <w:rFonts w:ascii="Times New Roman" w:hAnsi="Times New Roman" w:cs="Times New Roman" w:eastAsia="Times New Roman" w:hint="default"/>
                <w:sz w:val="18"/>
                <w:szCs w:val="18"/>
              </w:rPr>
            </w:pPr>
            <w:r>
              <w:rPr>
                <w:rFonts w:ascii="Times New Roman"/>
                <w:sz w:val="18"/>
              </w:rPr>
              <w:t>00</w:t>
            </w:r>
          </w:p>
        </w:tc>
        <w:tc>
          <w:tcPr>
            <w:tcW w:w="869" w:type="dxa"/>
            <w:vMerge/>
            <w:tcBorders>
              <w:left w:val="single" w:sz="4" w:space="0" w:color="000000"/>
              <w:right w:val="single" w:sz="4" w:space="0" w:color="000000"/>
            </w:tcBorders>
          </w:tcPr>
          <w:p>
            <w:pPr/>
          </w:p>
        </w:tc>
        <w:tc>
          <w:tcPr>
            <w:tcW w:w="874" w:type="dxa"/>
            <w:vMerge/>
            <w:tcBorders>
              <w:left w:val="single" w:sz="4" w:space="0" w:color="000000"/>
              <w:right w:val="single" w:sz="4" w:space="0" w:color="000000"/>
            </w:tcBorders>
          </w:tcPr>
          <w:p>
            <w:pP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9"/>
              <w:jc w:val="right"/>
              <w:rPr>
                <w:rFonts w:ascii="Times New Roman" w:hAnsi="Times New Roman" w:cs="Times New Roman" w:eastAsia="Times New Roman" w:hint="default"/>
                <w:sz w:val="18"/>
                <w:szCs w:val="18"/>
              </w:rPr>
            </w:pPr>
            <w:r>
              <w:rPr>
                <w:rFonts w:ascii="Times New Roman"/>
                <w:spacing w:val="-2"/>
                <w:sz w:val="18"/>
              </w:rPr>
              <w:t>3,500,000.</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sz w:val="18"/>
              </w:rPr>
              <w:t>00</w:t>
            </w: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74"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5.00%</w:t>
            </w:r>
          </w:p>
        </w:tc>
        <w:tc>
          <w:tcPr>
            <w:tcW w:w="869" w:type="dxa"/>
            <w:vMerge/>
            <w:tcBorders>
              <w:left w:val="single" w:sz="4" w:space="0" w:color="000000"/>
              <w:right w:val="single" w:sz="4" w:space="0" w:color="000000"/>
            </w:tcBorders>
          </w:tcPr>
          <w:p>
            <w:pPr/>
          </w:p>
        </w:tc>
      </w:tr>
      <w:tr>
        <w:trPr>
          <w:trHeight w:val="346" w:hRule="exact"/>
        </w:trPr>
        <w:tc>
          <w:tcPr>
            <w:tcW w:w="86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74" w:type="dxa"/>
            <w:vMerge/>
            <w:tcBorders>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74"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r>
      <w:tr>
        <w:trPr>
          <w:trHeight w:val="357" w:hRule="exact"/>
        </w:trPr>
        <w:tc>
          <w:tcPr>
            <w:tcW w:w="8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四川融圣</w:t>
            </w: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74" w:type="dxa"/>
            <w:vMerge w:val="restart"/>
            <w:tcBorders>
              <w:top w:val="single" w:sz="4" w:space="0" w:color="000000"/>
              <w:left w:val="single" w:sz="4" w:space="0" w:color="000000"/>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74"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r>
      <w:tr>
        <w:trPr>
          <w:trHeight w:val="631" w:hRule="exact"/>
        </w:trPr>
        <w:tc>
          <w:tcPr>
            <w:tcW w:w="864" w:type="dxa"/>
            <w:tcBorders>
              <w:top w:val="nil" w:sz="6" w:space="0" w:color="auto"/>
              <w:left w:val="single" w:sz="4" w:space="0" w:color="000000"/>
              <w:bottom w:val="nil" w:sz="6" w:space="0" w:color="auto"/>
              <w:right w:val="single" w:sz="4" w:space="0" w:color="000000"/>
            </w:tcBorders>
          </w:tcPr>
          <w:p>
            <w:pPr>
              <w:pStyle w:val="TableParagraph"/>
              <w:spacing w:line="316" w:lineRule="auto" w:before="9"/>
              <w:ind w:left="24" w:right="103"/>
              <w:jc w:val="left"/>
              <w:rPr>
                <w:rFonts w:ascii="宋体" w:hAnsi="宋体" w:cs="宋体" w:eastAsia="宋体" w:hint="default"/>
                <w:sz w:val="18"/>
                <w:szCs w:val="18"/>
              </w:rPr>
            </w:pPr>
            <w:r>
              <w:rPr>
                <w:rFonts w:ascii="宋体" w:hAnsi="宋体" w:cs="宋体" w:eastAsia="宋体" w:hint="default"/>
                <w:sz w:val="18"/>
                <w:szCs w:val="18"/>
              </w:rPr>
              <w:t>投资管理</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股份有限</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2"/>
              <w:jc w:val="right"/>
              <w:rPr>
                <w:rFonts w:ascii="Times New Roman" w:hAnsi="Times New Roman" w:cs="Times New Roman" w:eastAsia="Times New Roman" w:hint="default"/>
                <w:sz w:val="18"/>
                <w:szCs w:val="18"/>
              </w:rPr>
            </w:pPr>
            <w:r>
              <w:rPr>
                <w:rFonts w:ascii="Times New Roman"/>
                <w:spacing w:val="-1"/>
                <w:sz w:val="18"/>
              </w:rPr>
              <w:t>30,000,000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869" w:type="dxa"/>
            <w:vMerge/>
            <w:tcBorders>
              <w:left w:val="single" w:sz="4" w:space="0" w:color="000000"/>
              <w:right w:val="single" w:sz="4" w:space="0" w:color="000000"/>
            </w:tcBorders>
          </w:tcPr>
          <w:p>
            <w:pPr/>
          </w:p>
        </w:tc>
        <w:tc>
          <w:tcPr>
            <w:tcW w:w="874" w:type="dxa"/>
            <w:vMerge/>
            <w:tcBorders>
              <w:left w:val="single" w:sz="4" w:space="0" w:color="000000"/>
              <w:right w:val="single" w:sz="4" w:space="0" w:color="000000"/>
            </w:tcBorders>
          </w:tcPr>
          <w:p>
            <w:pP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7"/>
              <w:jc w:val="right"/>
              <w:rPr>
                <w:rFonts w:ascii="Times New Roman" w:hAnsi="Times New Roman" w:cs="Times New Roman" w:eastAsia="Times New Roman" w:hint="default"/>
                <w:sz w:val="18"/>
                <w:szCs w:val="18"/>
              </w:rPr>
            </w:pPr>
            <w:r>
              <w:rPr>
                <w:rFonts w:ascii="Times New Roman"/>
                <w:spacing w:val="-1"/>
                <w:sz w:val="18"/>
              </w:rPr>
              <w:t>30,000,000</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.00</w:t>
            </w: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74"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10.71%</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4"/>
              <w:jc w:val="right"/>
              <w:rPr>
                <w:rFonts w:ascii="Times New Roman" w:hAnsi="Times New Roman" w:cs="Times New Roman" w:eastAsia="Times New Roman" w:hint="default"/>
                <w:sz w:val="18"/>
                <w:szCs w:val="18"/>
              </w:rPr>
            </w:pPr>
            <w:r>
              <w:rPr>
                <w:rFonts w:ascii="Times New Roman"/>
                <w:spacing w:val="-2"/>
                <w:sz w:val="18"/>
              </w:rPr>
              <w:t>4,500,000.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r>
      <w:tr>
        <w:trPr>
          <w:trHeight w:val="351" w:hRule="exact"/>
        </w:trPr>
        <w:tc>
          <w:tcPr>
            <w:tcW w:w="86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74" w:type="dxa"/>
            <w:vMerge/>
            <w:tcBorders>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74"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8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四川天益</w:t>
            </w:r>
          </w:p>
        </w:tc>
        <w:tc>
          <w:tcPr>
            <w:tcW w:w="869" w:type="dxa"/>
            <w:vMerge w:val="restart"/>
            <w:tcBorders>
              <w:top w:val="single" w:sz="4" w:space="0" w:color="000000"/>
              <w:left w:val="single" w:sz="4" w:space="0" w:color="000000"/>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4" w:type="dxa"/>
            <w:vMerge w:val="restart"/>
            <w:tcBorders>
              <w:top w:val="single" w:sz="4" w:space="0" w:color="000000"/>
              <w:left w:val="single" w:sz="4" w:space="0" w:color="000000"/>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74"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r>
      <w:tr>
        <w:trPr>
          <w:trHeight w:val="631" w:hRule="exact"/>
        </w:trPr>
        <w:tc>
          <w:tcPr>
            <w:tcW w:w="864" w:type="dxa"/>
            <w:tcBorders>
              <w:top w:val="nil" w:sz="6" w:space="0" w:color="auto"/>
              <w:left w:val="single" w:sz="4" w:space="0" w:color="000000"/>
              <w:bottom w:val="nil" w:sz="6" w:space="0" w:color="auto"/>
              <w:right w:val="single" w:sz="4" w:space="0" w:color="000000"/>
            </w:tcBorders>
          </w:tcPr>
          <w:p>
            <w:pPr>
              <w:pStyle w:val="TableParagraph"/>
              <w:spacing w:line="316" w:lineRule="auto" w:before="9"/>
              <w:ind w:left="24" w:right="103"/>
              <w:jc w:val="left"/>
              <w:rPr>
                <w:rFonts w:ascii="宋体" w:hAnsi="宋体" w:cs="宋体" w:eastAsia="宋体" w:hint="default"/>
                <w:sz w:val="18"/>
                <w:szCs w:val="18"/>
              </w:rPr>
            </w:pPr>
            <w:r>
              <w:rPr>
                <w:rFonts w:ascii="宋体" w:hAnsi="宋体" w:cs="宋体" w:eastAsia="宋体" w:hint="default"/>
                <w:sz w:val="18"/>
                <w:szCs w:val="18"/>
              </w:rPr>
              <w:t>泰贸易有</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限责任公</w:t>
            </w:r>
          </w:p>
        </w:tc>
        <w:tc>
          <w:tcPr>
            <w:tcW w:w="869" w:type="dxa"/>
            <w:vMerge/>
            <w:tcBorders>
              <w:left w:val="single" w:sz="4" w:space="0" w:color="000000"/>
              <w:right w:val="single" w:sz="4" w:space="0" w:color="000000"/>
            </w:tcBorders>
          </w:tcPr>
          <w:p>
            <w:pP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4"/>
              <w:jc w:val="right"/>
              <w:rPr>
                <w:rFonts w:ascii="Times New Roman" w:hAnsi="Times New Roman" w:cs="Times New Roman" w:eastAsia="Times New Roman" w:hint="default"/>
                <w:sz w:val="18"/>
                <w:szCs w:val="18"/>
              </w:rPr>
            </w:pPr>
            <w:r>
              <w:rPr>
                <w:rFonts w:ascii="Times New Roman"/>
                <w:spacing w:val="-2"/>
                <w:sz w:val="18"/>
              </w:rPr>
              <w:t>2,000,000.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874" w:type="dxa"/>
            <w:vMerge/>
            <w:tcBorders>
              <w:left w:val="single" w:sz="4" w:space="0" w:color="000000"/>
              <w:right w:val="single" w:sz="4" w:space="0" w:color="000000"/>
            </w:tcBorders>
          </w:tcPr>
          <w:p>
            <w:pP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9"/>
              <w:jc w:val="right"/>
              <w:rPr>
                <w:rFonts w:ascii="Times New Roman" w:hAnsi="Times New Roman" w:cs="Times New Roman" w:eastAsia="Times New Roman" w:hint="default"/>
                <w:sz w:val="18"/>
                <w:szCs w:val="18"/>
              </w:rPr>
            </w:pPr>
            <w:r>
              <w:rPr>
                <w:rFonts w:ascii="Times New Roman"/>
                <w:spacing w:val="-2"/>
                <w:sz w:val="18"/>
              </w:rPr>
              <w:t>2,000,000.</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00</w:t>
            </w: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74"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10.00%</w:t>
            </w:r>
          </w:p>
        </w:tc>
        <w:tc>
          <w:tcPr>
            <w:tcW w:w="869" w:type="dxa"/>
            <w:vMerge/>
            <w:tcBorders>
              <w:left w:val="single" w:sz="4" w:space="0" w:color="000000"/>
              <w:right w:val="single" w:sz="4" w:space="0" w:color="000000"/>
            </w:tcBorders>
          </w:tcPr>
          <w:p>
            <w:pPr/>
          </w:p>
        </w:tc>
      </w:tr>
      <w:tr>
        <w:trPr>
          <w:trHeight w:val="351" w:hRule="exact"/>
        </w:trPr>
        <w:tc>
          <w:tcPr>
            <w:tcW w:w="86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w w:val="101"/>
                <w:sz w:val="18"/>
                <w:szCs w:val="18"/>
              </w:rPr>
              <w:t>司</w:t>
            </w:r>
            <w:r>
              <w:rPr>
                <w:rFonts w:ascii="宋体" w:hAnsi="宋体" w:cs="宋体" w:eastAsia="宋体" w:hint="default"/>
                <w:sz w:val="18"/>
                <w:szCs w:val="18"/>
              </w:rPr>
            </w:r>
          </w:p>
        </w:tc>
        <w:tc>
          <w:tcPr>
            <w:tcW w:w="869" w:type="dxa"/>
            <w:vMerge/>
            <w:tcBorders>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4" w:type="dxa"/>
            <w:vMerge/>
            <w:tcBorders>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74"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r>
      <w:tr>
        <w:trPr>
          <w:trHeight w:val="1022"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03"/>
              <w:jc w:val="both"/>
              <w:rPr>
                <w:rFonts w:ascii="宋体" w:hAnsi="宋体" w:cs="宋体" w:eastAsia="宋体" w:hint="default"/>
                <w:sz w:val="18"/>
                <w:szCs w:val="18"/>
              </w:rPr>
            </w:pPr>
            <w:r>
              <w:rPr>
                <w:rFonts w:ascii="宋体" w:hAnsi="宋体" w:cs="宋体" w:eastAsia="宋体" w:hint="default"/>
                <w:sz w:val="18"/>
                <w:szCs w:val="18"/>
              </w:rPr>
              <w:t>中证信用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增进股份</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有限公司</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100,000,00</w:t>
            </w:r>
          </w:p>
          <w:p>
            <w:pPr>
              <w:pStyle w:val="TableParagraph"/>
              <w:spacing w:line="240" w:lineRule="auto" w:before="105"/>
              <w:ind w:left="518" w:right="0"/>
              <w:jc w:val="left"/>
              <w:rPr>
                <w:rFonts w:ascii="Times New Roman" w:hAnsi="Times New Roman" w:cs="Times New Roman" w:eastAsia="Times New Roman" w:hint="default"/>
                <w:sz w:val="18"/>
                <w:szCs w:val="18"/>
              </w:rPr>
            </w:pPr>
            <w:r>
              <w:rPr>
                <w:rFonts w:ascii="Times New Roman"/>
                <w:sz w:val="18"/>
              </w:rPr>
              <w:t>0.00</w:t>
            </w:r>
          </w:p>
        </w:tc>
        <w:tc>
          <w:tcPr>
            <w:tcW w:w="874"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100,000,00</w:t>
            </w:r>
          </w:p>
          <w:p>
            <w:pPr>
              <w:pStyle w:val="TableParagraph"/>
              <w:spacing w:line="240" w:lineRule="auto" w:before="105"/>
              <w:ind w:left="513" w:right="0"/>
              <w:jc w:val="left"/>
              <w:rPr>
                <w:rFonts w:ascii="Times New Roman" w:hAnsi="Times New Roman" w:cs="Times New Roman" w:eastAsia="Times New Roman" w:hint="default"/>
                <w:sz w:val="18"/>
                <w:szCs w:val="18"/>
              </w:rPr>
            </w:pPr>
            <w:r>
              <w:rPr>
                <w:rFonts w:ascii="Times New Roman"/>
                <w:sz w:val="18"/>
              </w:rPr>
              <w:t>0.00</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2.44%</w:t>
            </w:r>
          </w:p>
        </w:tc>
        <w:tc>
          <w:tcPr>
            <w:tcW w:w="86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8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38" w:right="0"/>
              <w:jc w:val="left"/>
              <w:rPr>
                <w:rFonts w:ascii="Times New Roman" w:hAnsi="Times New Roman" w:cs="Times New Roman" w:eastAsia="Times New Roman" w:hint="default"/>
                <w:sz w:val="18"/>
                <w:szCs w:val="18"/>
              </w:rPr>
            </w:pPr>
            <w:r>
              <w:rPr>
                <w:rFonts w:ascii="Times New Roman"/>
                <w:sz w:val="18"/>
              </w:rPr>
              <w:t>116,060,00</w:t>
            </w:r>
          </w:p>
          <w:p>
            <w:pPr>
              <w:pStyle w:val="TableParagraph"/>
              <w:spacing w:line="240" w:lineRule="auto" w:before="110"/>
              <w:ind w:left="518" w:right="0"/>
              <w:jc w:val="left"/>
              <w:rPr>
                <w:rFonts w:ascii="Times New Roman" w:hAnsi="Times New Roman" w:cs="Times New Roman" w:eastAsia="Times New Roman" w:hint="default"/>
                <w:sz w:val="18"/>
                <w:szCs w:val="18"/>
              </w:rPr>
            </w:pPr>
            <w:r>
              <w:rPr>
                <w:rFonts w:ascii="Times New Roman"/>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8" w:right="0"/>
              <w:jc w:val="left"/>
              <w:rPr>
                <w:rFonts w:ascii="Times New Roman" w:hAnsi="Times New Roman" w:cs="Times New Roman" w:eastAsia="Times New Roman" w:hint="default"/>
                <w:sz w:val="18"/>
                <w:szCs w:val="18"/>
              </w:rPr>
            </w:pPr>
            <w:r>
              <w:rPr>
                <w:rFonts w:ascii="Times New Roman"/>
                <w:sz w:val="18"/>
              </w:rPr>
              <w:t>103,000,00</w:t>
            </w:r>
          </w:p>
          <w:p>
            <w:pPr>
              <w:pStyle w:val="TableParagraph"/>
              <w:spacing w:line="240" w:lineRule="auto" w:before="110"/>
              <w:ind w:left="518" w:right="0"/>
              <w:jc w:val="left"/>
              <w:rPr>
                <w:rFonts w:ascii="Times New Roman" w:hAnsi="Times New Roman" w:cs="Times New Roman" w:eastAsia="Times New Roman" w:hint="default"/>
                <w:sz w:val="18"/>
                <w:szCs w:val="18"/>
              </w:rPr>
            </w:pPr>
            <w:r>
              <w:rPr>
                <w:rFonts w:ascii="Times New Roman"/>
                <w:sz w:val="18"/>
              </w:rPr>
              <w:t>0.00</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39,744,735</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4" w:right="0"/>
              <w:jc w:val="left"/>
              <w:rPr>
                <w:rFonts w:ascii="Times New Roman" w:hAnsi="Times New Roman" w:cs="Times New Roman" w:eastAsia="Times New Roman" w:hint="default"/>
                <w:sz w:val="18"/>
                <w:szCs w:val="18"/>
              </w:rPr>
            </w:pPr>
            <w:r>
              <w:rPr>
                <w:rFonts w:ascii="Times New Roman"/>
                <w:sz w:val="18"/>
              </w:rPr>
              <w:t>179,315,26</w:t>
            </w:r>
          </w:p>
          <w:p>
            <w:pPr>
              <w:pStyle w:val="TableParagraph"/>
              <w:spacing w:line="240" w:lineRule="auto" w:before="110"/>
              <w:ind w:left="513" w:right="0"/>
              <w:jc w:val="left"/>
              <w:rPr>
                <w:rFonts w:ascii="Times New Roman" w:hAnsi="Times New Roman" w:cs="Times New Roman" w:eastAsia="Times New Roman" w:hint="default"/>
                <w:sz w:val="18"/>
                <w:szCs w:val="18"/>
              </w:rPr>
            </w:pPr>
            <w:r>
              <w:rPr>
                <w:rFonts w:ascii="Times New Roman"/>
                <w:sz w:val="18"/>
              </w:rPr>
              <w:t>5.00</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2"/>
                <w:sz w:val="18"/>
              </w:rPr>
              <w:t>4,500,000.</w:t>
            </w:r>
          </w:p>
          <w:p>
            <w:pPr>
              <w:pStyle w:val="TableParagraph"/>
              <w:spacing w:line="240" w:lineRule="auto" w:before="110"/>
              <w:ind w:right="17"/>
              <w:jc w:val="right"/>
              <w:rPr>
                <w:rFonts w:ascii="Times New Roman" w:hAnsi="Times New Roman" w:cs="Times New Roman" w:eastAsia="Times New Roman" w:hint="default"/>
                <w:sz w:val="18"/>
                <w:szCs w:val="18"/>
              </w:rPr>
            </w:pPr>
            <w:r>
              <w:rPr>
                <w:rFonts w:ascii="Times New Roman"/>
                <w:sz w:val="18"/>
              </w:rPr>
              <w:t>00</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4</w:t>
      </w:r>
      <w:r>
        <w:rPr/>
        <w:t>）报告期内可供出售金融资产减值的变动情况</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5"/>
        <w:gridCol w:w="1915"/>
        <w:gridCol w:w="1910"/>
        <w:gridCol w:w="1915"/>
        <w:gridCol w:w="1915"/>
      </w:tblGrid>
      <w:tr>
        <w:trPr>
          <w:trHeight w:val="403" w:hRule="exact"/>
        </w:trPr>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8" w:right="0"/>
              <w:jc w:val="left"/>
              <w:rPr>
                <w:rFonts w:ascii="宋体" w:hAnsi="宋体" w:cs="宋体" w:eastAsia="宋体" w:hint="default"/>
                <w:sz w:val="18"/>
                <w:szCs w:val="18"/>
              </w:rPr>
            </w:pPr>
            <w:r>
              <w:rPr>
                <w:rFonts w:ascii="宋体" w:hAnsi="宋体" w:cs="宋体" w:eastAsia="宋体" w:hint="default"/>
                <w:sz w:val="18"/>
                <w:szCs w:val="18"/>
              </w:rPr>
              <w:t>可供出售金融资产分类</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30"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5"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1915"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5</w:t>
      </w:r>
      <w:r>
        <w:rPr/>
        <w:t>）可供出售权益工具期末公允价值严重下跌或非暂时性下跌但未计提减值准备的相关说明</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1368"/>
        <w:gridCol w:w="1368"/>
        <w:gridCol w:w="1363"/>
        <w:gridCol w:w="1368"/>
        <w:gridCol w:w="1368"/>
      </w:tblGrid>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408" w:right="46" w:hanging="360"/>
              <w:jc w:val="left"/>
              <w:rPr>
                <w:rFonts w:ascii="宋体" w:hAnsi="宋体" w:cs="宋体" w:eastAsia="宋体" w:hint="default"/>
                <w:sz w:val="18"/>
                <w:szCs w:val="18"/>
              </w:rPr>
            </w:pPr>
            <w:r>
              <w:rPr>
                <w:rFonts w:ascii="宋体" w:hAnsi="宋体" w:cs="宋体" w:eastAsia="宋体" w:hint="default"/>
                <w:spacing w:val="-3"/>
                <w:sz w:val="18"/>
                <w:szCs w:val="18"/>
              </w:rPr>
              <w:t>可供出售权益工</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具项目</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6" w:right="0"/>
              <w:jc w:val="left"/>
              <w:rPr>
                <w:rFonts w:ascii="宋体" w:hAnsi="宋体" w:cs="宋体" w:eastAsia="宋体" w:hint="default"/>
                <w:sz w:val="18"/>
                <w:szCs w:val="18"/>
              </w:rPr>
            </w:pPr>
            <w:r>
              <w:rPr>
                <w:rFonts w:ascii="宋体" w:hAnsi="宋体" w:cs="宋体" w:eastAsia="宋体" w:hint="default"/>
                <w:sz w:val="18"/>
                <w:szCs w:val="18"/>
              </w:rPr>
              <w:t>投资成本</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4" w:right="0"/>
              <w:jc w:val="left"/>
              <w:rPr>
                <w:rFonts w:ascii="宋体" w:hAnsi="宋体" w:cs="宋体" w:eastAsia="宋体" w:hint="default"/>
                <w:sz w:val="18"/>
                <w:szCs w:val="18"/>
              </w:rPr>
            </w:pPr>
            <w:r>
              <w:rPr>
                <w:rFonts w:ascii="宋体" w:hAnsi="宋体" w:cs="宋体" w:eastAsia="宋体" w:hint="default"/>
                <w:sz w:val="18"/>
                <w:szCs w:val="18"/>
              </w:rPr>
              <w:t>期末公允价值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47" w:right="46"/>
              <w:jc w:val="left"/>
              <w:rPr>
                <w:rFonts w:ascii="宋体" w:hAnsi="宋体" w:cs="宋体" w:eastAsia="宋体" w:hint="default"/>
                <w:sz w:val="18"/>
                <w:szCs w:val="18"/>
              </w:rPr>
            </w:pPr>
            <w:r>
              <w:rPr>
                <w:rFonts w:ascii="宋体" w:hAnsi="宋体" w:cs="宋体" w:eastAsia="宋体" w:hint="default"/>
                <w:spacing w:val="-3"/>
                <w:sz w:val="18"/>
                <w:szCs w:val="18"/>
              </w:rPr>
              <w:t>公允价值相对于</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成本的下跌幅度</w:t>
            </w:r>
          </w:p>
        </w:tc>
        <w:tc>
          <w:tcPr>
            <w:tcW w:w="13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持续下跌时间</w:t>
            </w:r>
          </w:p>
          <w:p>
            <w:pPr>
              <w:pStyle w:val="TableParagraph"/>
              <w:spacing w:line="240" w:lineRule="auto" w:before="81"/>
              <w:ind w:right="2"/>
              <w:jc w:val="center"/>
              <w:rPr>
                <w:rFonts w:ascii="宋体" w:hAnsi="宋体" w:cs="宋体" w:eastAsia="宋体" w:hint="default"/>
                <w:sz w:val="18"/>
                <w:szCs w:val="18"/>
              </w:rPr>
            </w:pPr>
            <w:r>
              <w:rPr>
                <w:rFonts w:ascii="宋体" w:hAnsi="宋体" w:cs="宋体" w:eastAsia="宋体" w:hint="default"/>
                <w:sz w:val="18"/>
                <w:szCs w:val="18"/>
              </w:rPr>
              <w:t>（个月）</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 w:right="0"/>
              <w:jc w:val="left"/>
              <w:rPr>
                <w:rFonts w:ascii="宋体" w:hAnsi="宋体" w:cs="宋体" w:eastAsia="宋体" w:hint="default"/>
                <w:sz w:val="18"/>
                <w:szCs w:val="18"/>
              </w:rPr>
            </w:pPr>
            <w:r>
              <w:rPr>
                <w:rFonts w:ascii="宋体" w:hAnsi="宋体" w:cs="宋体" w:eastAsia="宋体" w:hint="default"/>
                <w:spacing w:val="-3"/>
                <w:sz w:val="18"/>
                <w:szCs w:val="18"/>
              </w:rPr>
              <w:t>已计提减值金额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 w:right="0"/>
              <w:jc w:val="left"/>
              <w:rPr>
                <w:rFonts w:ascii="宋体" w:hAnsi="宋体" w:cs="宋体" w:eastAsia="宋体" w:hint="default"/>
                <w:sz w:val="18"/>
                <w:szCs w:val="18"/>
              </w:rPr>
            </w:pPr>
            <w:r>
              <w:rPr>
                <w:rFonts w:ascii="宋体" w:hAnsi="宋体" w:cs="宋体" w:eastAsia="宋体" w:hint="default"/>
                <w:spacing w:val="-3"/>
                <w:sz w:val="18"/>
                <w:szCs w:val="18"/>
              </w:rPr>
              <w:t>未计提减值原因</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15</w:t>
      </w:r>
      <w:r>
        <w:rPr/>
        <w:t>、持有至到期投资</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）持有至到期投资情况</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1368"/>
        <w:gridCol w:w="1368"/>
        <w:gridCol w:w="1363"/>
        <w:gridCol w:w="1368"/>
        <w:gridCol w:w="1368"/>
      </w:tblGrid>
      <w:tr>
        <w:trPr>
          <w:trHeight w:val="401"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410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1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16"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1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1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16"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16"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after="0" w:line="240" w:lineRule="auto"/>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4"/>
        <w:rPr>
          <w:rFonts w:ascii="宋体" w:hAnsi="宋体" w:cs="宋体" w:eastAsia="宋体" w:hint="default"/>
          <w:sz w:val="25"/>
          <w:szCs w:val="25"/>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）期末重要的持有至到期投资</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0"/>
        <w:gridCol w:w="1920"/>
        <w:gridCol w:w="1910"/>
        <w:gridCol w:w="1915"/>
        <w:gridCol w:w="1915"/>
      </w:tblGrid>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债券项目</w:t>
            </w:r>
          </w:p>
        </w:tc>
        <w:tc>
          <w:tcPr>
            <w:tcW w:w="19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面值</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85" w:right="0"/>
              <w:jc w:val="left"/>
              <w:rPr>
                <w:rFonts w:ascii="宋体" w:hAnsi="宋体" w:cs="宋体" w:eastAsia="宋体" w:hint="default"/>
                <w:sz w:val="18"/>
                <w:szCs w:val="18"/>
              </w:rPr>
            </w:pPr>
            <w:r>
              <w:rPr>
                <w:rFonts w:ascii="宋体" w:hAnsi="宋体" w:cs="宋体" w:eastAsia="宋体" w:hint="default"/>
                <w:sz w:val="18"/>
                <w:szCs w:val="18"/>
              </w:rPr>
              <w:t>票面利率</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实际利率</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到期日</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3</w:t>
      </w:r>
      <w:r>
        <w:rPr/>
        <w:t>）本期重分类的持有至到期投资</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16</w:t>
      </w:r>
      <w:r>
        <w:rPr/>
        <w:t>、长期应收款</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）长期应收款情况</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402"/>
        <w:gridCol w:w="1166"/>
        <w:gridCol w:w="1171"/>
        <w:gridCol w:w="1166"/>
        <w:gridCol w:w="1166"/>
        <w:gridCol w:w="1166"/>
        <w:gridCol w:w="1166"/>
        <w:gridCol w:w="1166"/>
      </w:tblGrid>
      <w:tr>
        <w:trPr>
          <w:trHeight w:val="398" w:hRule="exact"/>
        </w:trPr>
        <w:tc>
          <w:tcPr>
            <w:tcW w:w="14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0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49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1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折现率区间</w:t>
            </w:r>
          </w:p>
        </w:tc>
      </w:tr>
      <w:tr>
        <w:trPr>
          <w:trHeight w:val="403" w:hRule="exact"/>
        </w:trPr>
        <w:tc>
          <w:tcPr>
            <w:tcW w:w="1402" w:type="dxa"/>
            <w:vMerge/>
            <w:tcBorders>
              <w:left w:val="single" w:sz="4" w:space="0" w:color="000000"/>
              <w:bottom w:val="single" w:sz="4" w:space="0" w:color="000000"/>
              <w:right w:val="single" w:sz="4" w:space="0" w:color="000000"/>
            </w:tcBorders>
            <w:shd w:val="clear" w:color="auto" w:fill="D2D2D2"/>
          </w:tcPr>
          <w:p>
            <w:pPr/>
          </w:p>
        </w:tc>
        <w:tc>
          <w:tcPr>
            <w:tcW w:w="1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1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1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11"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1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1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1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6" w:type="dxa"/>
            <w:vMerge/>
            <w:tcBorders>
              <w:left w:val="single" w:sz="4" w:space="0" w:color="000000"/>
              <w:bottom w:val="single" w:sz="4" w:space="0" w:color="000000"/>
              <w:right w:val="single" w:sz="4" w:space="0" w:color="000000"/>
            </w:tcBorders>
            <w:shd w:val="clear" w:color="auto" w:fill="D2D2D2"/>
          </w:tcPr>
          <w:p>
            <w:pP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）因金融资产转移而终止确认的长期应收款</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3</w:t>
      </w:r>
      <w:r>
        <w:rPr/>
        <w:t>）转移长期应收款且继续涉入形成的资产、负债金额</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17</w:t>
      </w:r>
      <w:r>
        <w:rPr/>
        <w:t>、长期股权投资</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797"/>
        <w:gridCol w:w="797"/>
        <w:gridCol w:w="797"/>
        <w:gridCol w:w="797"/>
        <w:gridCol w:w="797"/>
        <w:gridCol w:w="802"/>
        <w:gridCol w:w="797"/>
        <w:gridCol w:w="797"/>
        <w:gridCol w:w="797"/>
        <w:gridCol w:w="802"/>
        <w:gridCol w:w="797"/>
        <w:gridCol w:w="797"/>
      </w:tblGrid>
      <w:tr>
        <w:trPr>
          <w:trHeight w:val="403" w:hRule="exact"/>
        </w:trPr>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316" w:lineRule="auto"/>
              <w:ind w:left="302" w:right="26" w:hanging="269"/>
              <w:jc w:val="left"/>
              <w:rPr>
                <w:rFonts w:ascii="宋体" w:hAnsi="宋体" w:cs="宋体" w:eastAsia="宋体" w:hint="default"/>
                <w:sz w:val="18"/>
                <w:szCs w:val="18"/>
              </w:rPr>
            </w:pPr>
            <w:r>
              <w:rPr>
                <w:rFonts w:ascii="宋体" w:hAnsi="宋体" w:cs="宋体" w:eastAsia="宋体" w:hint="default"/>
                <w:sz w:val="18"/>
                <w:szCs w:val="18"/>
              </w:rPr>
              <w:t>被投资单</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位</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316" w:lineRule="auto"/>
              <w:ind w:left="33" w:right="26"/>
              <w:jc w:val="left"/>
              <w:rPr>
                <w:rFonts w:ascii="宋体" w:hAnsi="宋体" w:cs="宋体" w:eastAsia="宋体" w:hint="default"/>
                <w:sz w:val="18"/>
                <w:szCs w:val="18"/>
              </w:rPr>
            </w:pPr>
            <w:r>
              <w:rPr>
                <w:rFonts w:ascii="宋体" w:hAnsi="宋体" w:cs="宋体" w:eastAsia="宋体" w:hint="default"/>
                <w:sz w:val="18"/>
                <w:szCs w:val="18"/>
              </w:rPr>
              <w:t>减值准备</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期末余额</w:t>
            </w:r>
          </w:p>
        </w:tc>
      </w:tr>
      <w:tr>
        <w:trPr>
          <w:trHeight w:val="1022" w:hRule="exact"/>
        </w:trPr>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28"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33" w:right="26"/>
              <w:jc w:val="both"/>
              <w:rPr>
                <w:rFonts w:ascii="宋体" w:hAnsi="宋体" w:cs="宋体" w:eastAsia="宋体" w:hint="default"/>
                <w:sz w:val="18"/>
                <w:szCs w:val="18"/>
              </w:rPr>
            </w:pPr>
            <w:r>
              <w:rPr>
                <w:rFonts w:ascii="宋体" w:hAnsi="宋体" w:cs="宋体" w:eastAsia="宋体" w:hint="default"/>
                <w:sz w:val="18"/>
                <w:szCs w:val="18"/>
              </w:rPr>
              <w:t>权益法下</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确认的投</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资损益</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3" w:right="31"/>
              <w:jc w:val="left"/>
              <w:rPr>
                <w:rFonts w:ascii="宋体" w:hAnsi="宋体" w:cs="宋体" w:eastAsia="宋体" w:hint="default"/>
                <w:sz w:val="18"/>
                <w:szCs w:val="18"/>
              </w:rPr>
            </w:pPr>
            <w:r>
              <w:rPr>
                <w:rFonts w:ascii="宋体" w:hAnsi="宋体" w:cs="宋体" w:eastAsia="宋体" w:hint="default"/>
                <w:sz w:val="18"/>
                <w:szCs w:val="18"/>
              </w:rPr>
              <w:t>其他综合</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收益调整</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11" w:right="26" w:hanging="178"/>
              <w:jc w:val="left"/>
              <w:rPr>
                <w:rFonts w:ascii="宋体" w:hAnsi="宋体" w:cs="宋体" w:eastAsia="宋体" w:hint="default"/>
                <w:sz w:val="18"/>
                <w:szCs w:val="18"/>
              </w:rPr>
            </w:pPr>
            <w:r>
              <w:rPr>
                <w:rFonts w:ascii="宋体" w:hAnsi="宋体" w:cs="宋体" w:eastAsia="宋体" w:hint="default"/>
                <w:sz w:val="18"/>
                <w:szCs w:val="18"/>
              </w:rPr>
              <w:t>其他权益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变动</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33" w:right="26"/>
              <w:jc w:val="both"/>
              <w:rPr>
                <w:rFonts w:ascii="宋体" w:hAnsi="宋体" w:cs="宋体" w:eastAsia="宋体" w:hint="default"/>
                <w:sz w:val="18"/>
                <w:szCs w:val="18"/>
              </w:rPr>
            </w:pPr>
            <w:r>
              <w:rPr>
                <w:rFonts w:ascii="宋体" w:hAnsi="宋体" w:cs="宋体" w:eastAsia="宋体" w:hint="default"/>
                <w:sz w:val="18"/>
                <w:szCs w:val="18"/>
              </w:rPr>
              <w:t>宣告发放</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现金股利</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或利润</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11" w:right="26" w:hanging="178"/>
              <w:jc w:val="left"/>
              <w:rPr>
                <w:rFonts w:ascii="宋体" w:hAnsi="宋体" w:cs="宋体" w:eastAsia="宋体" w:hint="default"/>
                <w:sz w:val="18"/>
                <w:szCs w:val="18"/>
              </w:rPr>
            </w:pPr>
            <w:r>
              <w:rPr>
                <w:rFonts w:ascii="宋体" w:hAnsi="宋体" w:cs="宋体" w:eastAsia="宋体" w:hint="default"/>
                <w:sz w:val="18"/>
                <w:szCs w:val="18"/>
              </w:rPr>
              <w:t>计提减值</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准备</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2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9571"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3" w:hRule="exact"/>
        </w:trPr>
        <w:tc>
          <w:tcPr>
            <w:tcW w:w="9571"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18</w:t>
      </w:r>
      <w:r>
        <w:rPr/>
        <w:t>、投资性房地产</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）采用成本计量模式的投资性房地产</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不适用</w:t>
      </w:r>
    </w:p>
    <w:p>
      <w:pPr>
        <w:spacing w:before="10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0"/>
        <w:gridCol w:w="1920"/>
        <w:gridCol w:w="1910"/>
        <w:gridCol w:w="1915"/>
        <w:gridCol w:w="1915"/>
      </w:tblGrid>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1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94"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after="0" w:line="240" w:lineRule="auto"/>
        <w:jc w:val="center"/>
        <w:rPr>
          <w:rFonts w:ascii="宋体" w:hAnsi="宋体" w:cs="宋体" w:eastAsia="宋体" w:hint="default"/>
          <w:sz w:val="18"/>
          <w:szCs w:val="18"/>
        </w:rPr>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910"/>
        <w:gridCol w:w="1920"/>
        <w:gridCol w:w="1910"/>
        <w:gridCol w:w="1915"/>
        <w:gridCol w:w="1915"/>
      </w:tblGrid>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8"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期初余额</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4,511,223.39</w:t>
            </w: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4,511,223.39</w:t>
            </w: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8"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本期增加金额</w:t>
            </w: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）外购</w:t>
            </w: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45" w:right="0"/>
              <w:jc w:val="left"/>
              <w:rPr>
                <w:rFonts w:ascii="宋体" w:hAnsi="宋体" w:cs="宋体" w:eastAsia="宋体" w:hint="default"/>
                <w:sz w:val="18"/>
                <w:szCs w:val="18"/>
              </w:rPr>
            </w:pP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2</w:t>
            </w:r>
            <w:r>
              <w:rPr>
                <w:rFonts w:ascii="宋体" w:hAnsi="宋体" w:cs="宋体" w:eastAsia="宋体" w:hint="default"/>
                <w:spacing w:val="-7"/>
                <w:sz w:val="18"/>
                <w:szCs w:val="18"/>
              </w:rPr>
              <w:t>）存货</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固定资产</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在建工程转入</w:t>
            </w: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69" w:right="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）企业合并增加</w:t>
            </w: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8"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本期减少金额</w:t>
            </w: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8"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期末余额</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4,511,223.39</w:t>
            </w: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4,511,223.39</w:t>
            </w:r>
          </w:p>
        </w:tc>
      </w:tr>
      <w:tr>
        <w:trPr>
          <w:trHeight w:val="715"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70"/>
              <w:jc w:val="left"/>
              <w:rPr>
                <w:rFonts w:ascii="宋体" w:hAnsi="宋体" w:cs="宋体" w:eastAsia="宋体" w:hint="default"/>
                <w:sz w:val="18"/>
                <w:szCs w:val="18"/>
              </w:rPr>
            </w:pPr>
            <w:r>
              <w:rPr>
                <w:rFonts w:ascii="宋体" w:hAnsi="宋体" w:cs="宋体" w:eastAsia="宋体" w:hint="default"/>
                <w:spacing w:val="-2"/>
                <w:sz w:val="18"/>
                <w:szCs w:val="18"/>
              </w:rPr>
              <w:t>二、累计折旧和累计摊</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销</w:t>
            </w: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8"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期初余额</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770,709.62</w:t>
            </w: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770,709.62</w:t>
            </w: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8"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本期增加金额</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206,761.92</w:t>
            </w: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206,761.92</w:t>
            </w: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）计提或摊销</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206,761.92</w:t>
            </w: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206,761.92</w:t>
            </w: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8"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本期减少金额</w:t>
            </w: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8"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期末余额</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977,471.54</w:t>
            </w: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977,471.54</w:t>
            </w: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8"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期初余额</w:t>
            </w: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8"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本期增加金额</w:t>
            </w: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8"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、本期减少金额</w:t>
            </w: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8"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期末余额</w:t>
            </w: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92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910"/>
        <w:gridCol w:w="1920"/>
        <w:gridCol w:w="1910"/>
        <w:gridCol w:w="1915"/>
        <w:gridCol w:w="1915"/>
      </w:tblGrid>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95"/>
              <w:jc w:val="righ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期末账面价值</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3,533,751.85</w:t>
            </w: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3,533,751.85</w:t>
            </w: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95"/>
              <w:jc w:val="righ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期初账面价值</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3,740,513.77</w:t>
            </w: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3,740,513.77</w:t>
            </w:r>
          </w:p>
        </w:tc>
      </w:tr>
    </w:tbl>
    <w:p>
      <w:pPr>
        <w:spacing w:line="240" w:lineRule="auto" w:before="10"/>
        <w:rPr>
          <w:rFonts w:ascii="Times New Roman" w:hAnsi="Times New Roman" w:cs="Times New Roman" w:eastAsia="Times New Roman" w:hint="default"/>
          <w:sz w:val="21"/>
          <w:szCs w:val="21"/>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）采用公允价值计量模式的投资性房地产</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r>
        <w:rPr/>
        <w:t>（</w:t>
      </w:r>
      <w:r>
        <w:rPr>
          <w:rFonts w:ascii="Times New Roman" w:hAnsi="Times New Roman" w:cs="Times New Roman" w:eastAsia="Times New Roman" w:hint="default"/>
        </w:rPr>
        <w:t>3</w:t>
      </w:r>
      <w:r>
        <w:rPr/>
        <w:t>）未办妥产权证书的投资性房地产情况</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77" w:right="0"/>
              <w:jc w:val="left"/>
              <w:rPr>
                <w:rFonts w:ascii="宋体" w:hAnsi="宋体" w:cs="宋体" w:eastAsia="宋体" w:hint="default"/>
                <w:sz w:val="18"/>
                <w:szCs w:val="18"/>
              </w:rPr>
            </w:pPr>
            <w:r>
              <w:rPr>
                <w:rFonts w:ascii="宋体" w:hAnsi="宋体" w:cs="宋体" w:eastAsia="宋体" w:hint="default"/>
                <w:spacing w:val="-3"/>
                <w:sz w:val="18"/>
                <w:szCs w:val="18"/>
              </w:rPr>
              <w:t>未办妥产权证书原因</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19</w:t>
      </w:r>
      <w:r>
        <w:rPr/>
        <w:t>、固定资产</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）固定资产情况</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94"/>
        <w:gridCol w:w="1594"/>
        <w:gridCol w:w="1594"/>
        <w:gridCol w:w="1594"/>
        <w:gridCol w:w="1594"/>
        <w:gridCol w:w="1598"/>
      </w:tblGrid>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3"/>
              <w:ind w:left="249"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办公设备</w:t>
            </w:r>
          </w:p>
        </w:tc>
        <w:tc>
          <w:tcPr>
            <w:tcW w:w="1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398"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一、账面原值：</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258,174,506.22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2"/>
                <w:sz w:val="18"/>
              </w:rPr>
              <w:t>416,111,673.23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14,744,610.17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16,198,170.47</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705,228,960.09</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56"/>
              <w:jc w:val="righ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本期增加金额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53,014,049.85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231,037,945.68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851,822.97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6,269,647.79</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291,173,466.29</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43,500.00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19,646,373.90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347,122.97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681,383.90</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20,718,380.77</w:t>
            </w:r>
          </w:p>
        </w:tc>
      </w:tr>
      <w:tr>
        <w:trPr>
          <w:trHeight w:val="710"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24" w:right="22" w:firstLine="36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）在建工程</w:t>
            </w:r>
            <w:r>
              <w:rPr>
                <w:rFonts w:ascii="宋体" w:hAnsi="宋体" w:cs="宋体" w:eastAsia="宋体" w:hint="default"/>
                <w:w w:val="101"/>
                <w:sz w:val="18"/>
                <w:szCs w:val="18"/>
              </w:rPr>
              <w:t> </w:t>
            </w:r>
            <w:r>
              <w:rPr>
                <w:rFonts w:ascii="宋体" w:hAnsi="宋体" w:cs="宋体" w:eastAsia="宋体" w:hint="default"/>
                <w:sz w:val="18"/>
                <w:szCs w:val="18"/>
              </w:rPr>
              <w:t>转入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52,970,549.85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842,479.56</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53,813,029.41</w:t>
            </w: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24" w:right="22" w:firstLine="36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）企业合并</w:t>
            </w:r>
            <w:r>
              <w:rPr>
                <w:rFonts w:ascii="宋体" w:hAnsi="宋体" w:cs="宋体" w:eastAsia="宋体" w:hint="default"/>
                <w:w w:val="101"/>
                <w:sz w:val="18"/>
                <w:szCs w:val="18"/>
              </w:rPr>
              <w:t> </w:t>
            </w:r>
            <w:r>
              <w:rPr>
                <w:rFonts w:ascii="宋体" w:hAnsi="宋体" w:cs="宋体" w:eastAsia="宋体" w:hint="default"/>
                <w:sz w:val="18"/>
                <w:szCs w:val="18"/>
              </w:rPr>
              <w:t>增加</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210,549,092.22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504,700.00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5,588,263.89</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2"/>
                <w:sz w:val="18"/>
              </w:rPr>
              <w:t>216,642,056.11</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56"/>
              <w:jc w:val="righ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本期减少金额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1,928,277.80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849,521.00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261,310.00</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3,039,108.80</w:t>
            </w:r>
          </w:p>
        </w:tc>
      </w:tr>
      <w:tr>
        <w:trPr>
          <w:trHeight w:val="710"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w w:val="101"/>
                <w:sz w:val="18"/>
                <w:szCs w:val="18"/>
              </w:rPr>
              <w:t>废</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1,928,277.80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849,521.00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231,983.00</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3,009,781.80</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）其他减少</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29,327.00</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29,327.00</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311,188,556.07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645,221,341.11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14,746,912.14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22,206,508.26</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993,363,317.58</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42,247,210.97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138,668,764.14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10,798,459.25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8,306,343.71</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200,020,778.07</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56"/>
              <w:jc w:val="righ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本期增加金额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8,761,853.94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114,273,896.44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1,921,424.18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6,239,845.04</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131,197,019.60</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8,761,853.94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25,707,560.04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1,467,194.02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2,168,804.80</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38,105,412.80</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）其他增加</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594"/>
        <w:gridCol w:w="1594"/>
        <w:gridCol w:w="1594"/>
        <w:gridCol w:w="1594"/>
        <w:gridCol w:w="1594"/>
        <w:gridCol w:w="1598"/>
      </w:tblGrid>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）企业合并增加</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88,566,336.40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454,230.16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4,071,040.24</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93,091,606.80</w:t>
            </w:r>
          </w:p>
        </w:tc>
      </w:tr>
      <w:tr>
        <w:trPr>
          <w:trHeight w:val="398"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1,140,130.24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758,480.95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201,977.40</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2,100,588.59</w:t>
            </w: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w:t>
            </w:r>
          </w:p>
          <w:p>
            <w:pPr>
              <w:pStyle w:val="TableParagraph"/>
              <w:spacing w:line="240" w:lineRule="auto" w:before="67"/>
              <w:ind w:left="24" w:right="0"/>
              <w:jc w:val="left"/>
              <w:rPr>
                <w:rFonts w:ascii="宋体" w:hAnsi="宋体" w:cs="宋体" w:eastAsia="宋体" w:hint="default"/>
                <w:sz w:val="18"/>
                <w:szCs w:val="18"/>
              </w:rPr>
            </w:pPr>
            <w:r>
              <w:rPr>
                <w:rFonts w:ascii="宋体" w:hAnsi="宋体" w:cs="宋体" w:eastAsia="宋体" w:hint="default"/>
                <w:w w:val="101"/>
                <w:sz w:val="18"/>
                <w:szCs w:val="18"/>
              </w:rPr>
              <w:t>废</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1,140,130.24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758,480.95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185,725.85</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2,084,337.04</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）其他减少</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16,251.55</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16,251.55</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51,009,064.91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251,802,530.34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11,961,402.48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14,344,211.35</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2"/>
                <w:sz w:val="18"/>
              </w:rPr>
              <w:t>329,117,209.08</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w w:val="101"/>
                <w:sz w:val="18"/>
                <w:szCs w:val="18"/>
              </w:rPr>
              <w:t>废</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260,179,491.16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393,418,810.77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2,785,509.66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7,862,296.91</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664,246,108.50</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215,927,295.25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277,442,909.09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3,946,150.92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7,891,826.76</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505,208,182.02</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）暂时闲置的固定资产情况</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94"/>
        <w:gridCol w:w="1598"/>
        <w:gridCol w:w="1594"/>
        <w:gridCol w:w="1594"/>
        <w:gridCol w:w="1594"/>
        <w:gridCol w:w="1594"/>
      </w:tblGrid>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31"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2"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备注</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3</w:t>
      </w:r>
      <w:r>
        <w:rPr/>
        <w:t>）通过融资租赁租入的固定资产情况</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0"/>
        <w:gridCol w:w="1920"/>
        <w:gridCol w:w="1910"/>
        <w:gridCol w:w="1915"/>
        <w:gridCol w:w="1915"/>
      </w:tblGrid>
      <w:tr>
        <w:trPr>
          <w:trHeight w:val="398"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85"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4</w:t>
      </w:r>
      <w:r>
        <w:rPr/>
        <w:t>）通过经营租赁租出的固定资产</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7"/>
          <w:szCs w:val="7"/>
        </w:rPr>
      </w:pPr>
    </w:p>
    <w:p>
      <w:pPr>
        <w:spacing w:line="422" w:lineRule="exact"/>
        <w:ind w:left="148"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8pt;height:21.15pt;mso-position-horizontal-relative:char;mso-position-vertical-relative:line" coordorigin="0,0" coordsize="9576,423">
            <v:group style="position:absolute;left:22;top:14;width:2;height:394" coordorigin="22,14" coordsize="2,394">
              <v:shape style="position:absolute;left:22;top:14;width:2;height:394" coordorigin="22,14" coordsize="0,394" path="m22,14l22,408e" filled="false" stroked="true" strokeweight="1.2pt" strokecolor="#d2d2d2">
                <v:path arrowok="t"/>
              </v:shape>
            </v:group>
            <v:group style="position:absolute;left:4769;top:14;width:2;height:394" coordorigin="4769,14" coordsize="2,394">
              <v:shape style="position:absolute;left:4769;top:14;width:2;height:394" coordorigin="4769,14" coordsize="0,394" path="m4769,14l4769,408e" filled="false" stroked="true" strokeweight="1.2pt" strokecolor="#d2d2d2">
                <v:path arrowok="t"/>
              </v:shape>
            </v:group>
            <v:group style="position:absolute;left:34;top:14;width:4724;height:394" coordorigin="34,14" coordsize="4724,394">
              <v:shape style="position:absolute;left:34;top:14;width:4724;height:394" coordorigin="34,14" coordsize="4724,394" path="m34,408l4757,408,4757,14,34,14,34,408xe" filled="true" fillcolor="#d2d2d2" stroked="false">
                <v:path arrowok="t"/>
                <v:fill type="solid"/>
              </v:shape>
            </v:group>
            <v:group style="position:absolute;left:4802;top:14;width:2;height:394" coordorigin="4802,14" coordsize="2,394">
              <v:shape style="position:absolute;left:4802;top:14;width:2;height:394" coordorigin="4802,14" coordsize="0,394" path="m4802,14l4802,408e" filled="false" stroked="true" strokeweight="1.2pt" strokecolor="#d2d2d2">
                <v:path arrowok="t"/>
              </v:shape>
            </v:group>
            <v:group style="position:absolute;left:9557;top:14;width:2;height:394" coordorigin="9557,14" coordsize="2,394">
              <v:shape style="position:absolute;left:9557;top:14;width:2;height:394" coordorigin="9557,14" coordsize="0,394" path="m9557,14l9557,408e" filled="false" stroked="true" strokeweight=".96pt" strokecolor="#d2d2d2">
                <v:path arrowok="t"/>
              </v:shape>
            </v:group>
            <v:group style="position:absolute;left:4814;top:14;width:4733;height:394" coordorigin="4814,14" coordsize="4733,394">
              <v:shape style="position:absolute;left:4814;top:14;width:4733;height:394" coordorigin="4814,14" coordsize="4733,394" path="m4814,408l9547,408,9547,14,4814,14,4814,408xe" filled="true" fillcolor="#d2d2d2" stroked="false">
                <v:path arrowok="t"/>
                <v:fill type="solid"/>
              </v:shape>
            </v:group>
            <v:group style="position:absolute;left:10;top:10;width:4772;height:2" coordorigin="10,10" coordsize="4772,2">
              <v:shape style="position:absolute;left:10;top:10;width:4772;height:2" coordorigin="10,10" coordsize="4772,0" path="m10,10l4781,10e" filled="false" stroked="true" strokeweight=".48pt" strokecolor="#000000">
                <v:path arrowok="t"/>
              </v:shape>
            </v:group>
            <v:group style="position:absolute;left:4790;top:10;width:4776;height:2" coordorigin="4790,10" coordsize="4776,2">
              <v:shape style="position:absolute;left:4790;top:10;width:4776;height:2" coordorigin="4790,10" coordsize="4776,0" path="m4790,10l9566,10e" filled="false" stroked="true" strokeweight=".48pt" strokecolor="#000000">
                <v:path arrowok="t"/>
              </v:shape>
            </v:group>
            <v:group style="position:absolute;left:5;top:5;width:2;height:413" coordorigin="5,5" coordsize="2,413">
              <v:shape style="position:absolute;left:5;top:5;width:2;height:413" coordorigin="5,5" coordsize="0,413" path="m5,5l5,418e" filled="false" stroked="true" strokeweight=".48pt" strokecolor="#000000">
                <v:path arrowok="t"/>
              </v:shape>
            </v:group>
            <v:group style="position:absolute;left:10;top:413;width:4772;height:2" coordorigin="10,413" coordsize="4772,2">
              <v:shape style="position:absolute;left:10;top:413;width:4772;height:2" coordorigin="10,413" coordsize="4772,0" path="m10,413l4781,413e" filled="false" stroked="true" strokeweight=".48pt" strokecolor="#000000">
                <v:path arrowok="t"/>
              </v:shape>
            </v:group>
            <v:group style="position:absolute;left:4786;top:5;width:2;height:413" coordorigin="4786,5" coordsize="2,413">
              <v:shape style="position:absolute;left:4786;top:5;width:2;height:413" coordorigin="4786,5" coordsize="0,413" path="m4786,5l4786,418e" filled="false" stroked="true" strokeweight=".48pt" strokecolor="#000000">
                <v:path arrowok="t"/>
              </v:shape>
            </v:group>
            <v:group style="position:absolute;left:4790;top:413;width:4776;height:2" coordorigin="4790,413" coordsize="4776,2">
              <v:shape style="position:absolute;left:4790;top:413;width:4776;height:2" coordorigin="4790,413" coordsize="4776,0" path="m4790,413l9566,413e" filled="false" stroked="true" strokeweight=".48pt" strokecolor="#000000">
                <v:path arrowok="t"/>
              </v:shape>
            </v:group>
            <v:group style="position:absolute;left:9571;top:5;width:2;height:413" coordorigin="9571,5" coordsize="2,413">
              <v:shape style="position:absolute;left:9571;top:5;width:2;height:413" coordorigin="9571,5" coordsize="0,413" path="m9571,5l9571,418e" filled="false" stroked="true" strokeweight=".48pt" strokecolor="#000000">
                <v:path arrowok="t"/>
              </v:shape>
              <v:shape style="position:absolute;left:2213;top:122;width:365;height:183" type="#_x0000_t202" filled="false" stroked="false">
                <v:textbox inset="0,0,0,0">
                  <w:txbxContent>
                    <w:p>
                      <w:pPr>
                        <w:spacing w:line="18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786;top:10;width:4786;height:404" type="#_x0000_t202" filled="false" stroked="false">
                <v:textbox inset="0,0,0,0">
                  <w:txbxContent>
                    <w:p>
                      <w:pPr>
                        <w:spacing w:before="58"/>
                        <w:ind w:left="4" w:right="0" w:firstLine="0"/>
                        <w:jc w:val="center"/>
                        <w:rPr>
                          <w:rFonts w:ascii="宋体" w:hAnsi="宋体" w:cs="宋体" w:eastAsia="宋体" w:hint="default"/>
                          <w:sz w:val="18"/>
                          <w:szCs w:val="18"/>
                        </w:rPr>
                      </w:pPr>
                      <w:r>
                        <w:rPr>
                          <w:rFonts w:ascii="宋体" w:hAnsi="宋体" w:cs="宋体" w:eastAsia="宋体" w:hint="default"/>
                          <w:sz w:val="18"/>
                          <w:szCs w:val="18"/>
                        </w:rPr>
                        <w:t>期末账面价值</w:t>
                      </w:r>
                    </w:p>
                  </w:txbxContent>
                </v:textbox>
                <w10:wrap type="none"/>
              </v:shape>
            </v:group>
          </v:group>
        </w:pict>
      </w:r>
      <w:r>
        <w:rPr>
          <w:rFonts w:ascii="宋体" w:hAnsi="宋体" w:cs="宋体" w:eastAsia="宋体" w:hint="default"/>
          <w:position w:val="-7"/>
          <w:sz w:val="20"/>
          <w:szCs w:val="20"/>
        </w:rPr>
      </w:r>
    </w:p>
    <w:p>
      <w:pPr>
        <w:spacing w:after="0" w:line="422" w:lineRule="exact"/>
        <w:rPr>
          <w:rFonts w:ascii="宋体" w:hAnsi="宋体" w:cs="宋体" w:eastAsia="宋体" w:hint="default"/>
          <w:sz w:val="20"/>
          <w:szCs w:val="20"/>
        </w:rPr>
        <w:sectPr>
          <w:pgSz w:w="11900" w:h="16840"/>
          <w:pgMar w:header="872" w:footer="984" w:top="1060" w:bottom="1180" w:left="980" w:right="980"/>
        </w:sectPr>
      </w:pPr>
    </w:p>
    <w:p>
      <w:pPr>
        <w:spacing w:line="240" w:lineRule="auto" w:before="4"/>
        <w:rPr>
          <w:rFonts w:ascii="宋体" w:hAnsi="宋体" w:cs="宋体" w:eastAsia="宋体" w:hint="default"/>
          <w:sz w:val="25"/>
          <w:szCs w:val="25"/>
        </w:rPr>
      </w:pPr>
    </w:p>
    <w:p>
      <w:pPr>
        <w:pStyle w:val="Heading4"/>
        <w:spacing w:line="335" w:lineRule="exact"/>
        <w:ind w:right="0"/>
        <w:jc w:val="left"/>
        <w:rPr>
          <w:b w:val="0"/>
          <w:bCs w:val="0"/>
        </w:rPr>
      </w:pPr>
      <w:r>
        <w:rPr/>
        <w:t>（</w:t>
      </w:r>
      <w:r>
        <w:rPr>
          <w:rFonts w:ascii="Times New Roman" w:hAnsi="Times New Roman" w:cs="Times New Roman" w:eastAsia="Times New Roman" w:hint="default"/>
        </w:rPr>
        <w:t>5</w:t>
      </w:r>
      <w:r>
        <w:rPr/>
        <w:t>）未办妥产权证书的固定资产情况</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86"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房屋建筑物</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北京电子标签生产中心</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30,922,527.91</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正在办理结算</w:t>
            </w: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房屋建筑物</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北京数字化精品印刷中心</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46,911,794.13</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正在办理结算</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房屋建筑物</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北京研发楼</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48,323,568.94</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正在办理结算</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房屋建筑物</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北京实验楼</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22,044,459.50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正在办理结算</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房屋建筑物</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四川厂房、办公科研楼</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32,361,757.82</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正在办理中</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Heading3"/>
        <w:spacing w:line="240" w:lineRule="auto" w:before="140"/>
        <w:ind w:right="0" w:firstLine="0"/>
        <w:jc w:val="left"/>
      </w:pPr>
      <w:r>
        <w:rPr/>
        <w:t>（</w:t>
      </w:r>
      <w:r>
        <w:rPr>
          <w:rFonts w:ascii="Times New Roman" w:hAnsi="Times New Roman" w:cs="Times New Roman" w:eastAsia="Times New Roman" w:hint="default"/>
        </w:rPr>
        <w:t>6</w:t>
      </w:r>
      <w:r>
        <w:rPr/>
        <w:t>）期末，本集团固定资产抵押情况：</w:t>
      </w:r>
    </w:p>
    <w:p>
      <w:pPr>
        <w:spacing w:line="240" w:lineRule="auto" w:before="4"/>
        <w:rPr>
          <w:rFonts w:ascii="宋体" w:hAnsi="宋体" w:cs="宋体" w:eastAsia="宋体" w:hint="default"/>
          <w:sz w:val="15"/>
          <w:szCs w:val="15"/>
        </w:rPr>
      </w:pPr>
    </w:p>
    <w:tbl>
      <w:tblPr>
        <w:tblW w:w="0" w:type="auto"/>
        <w:jc w:val="left"/>
        <w:tblInd w:w="152" w:type="dxa"/>
        <w:tblLayout w:type="fixed"/>
        <w:tblCellMar>
          <w:top w:w="0" w:type="dxa"/>
          <w:left w:w="0" w:type="dxa"/>
          <w:bottom w:w="0" w:type="dxa"/>
          <w:right w:w="0" w:type="dxa"/>
        </w:tblCellMar>
        <w:tblLook w:val="01E0"/>
      </w:tblPr>
      <w:tblGrid>
        <w:gridCol w:w="1956"/>
        <w:gridCol w:w="1505"/>
        <w:gridCol w:w="1644"/>
        <w:gridCol w:w="1234"/>
        <w:gridCol w:w="1721"/>
        <w:gridCol w:w="1075"/>
      </w:tblGrid>
      <w:tr>
        <w:trPr>
          <w:trHeight w:val="571" w:hRule="exact"/>
        </w:trPr>
        <w:tc>
          <w:tcPr>
            <w:tcW w:w="6338" w:type="dxa"/>
            <w:gridSpan w:val="4"/>
            <w:tcBorders>
              <w:top w:val="nil" w:sz="6" w:space="0" w:color="auto"/>
              <w:left w:val="nil" w:sz="6" w:space="0" w:color="auto"/>
              <w:bottom w:val="single" w:sz="6" w:space="0" w:color="000000"/>
              <w:right w:val="nil" w:sz="6" w:space="0" w:color="auto"/>
            </w:tcBorders>
          </w:tcPr>
          <w:p>
            <w:pPr/>
          </w:p>
        </w:tc>
        <w:tc>
          <w:tcPr>
            <w:tcW w:w="1721" w:type="dxa"/>
            <w:tcBorders>
              <w:top w:val="nil" w:sz="6" w:space="0" w:color="auto"/>
              <w:left w:val="nil" w:sz="6" w:space="0" w:color="auto"/>
              <w:bottom w:val="single" w:sz="6" w:space="0" w:color="000000"/>
              <w:right w:val="nil" w:sz="6" w:space="0" w:color="auto"/>
            </w:tcBorders>
          </w:tcPr>
          <w:p>
            <w:pPr>
              <w:pStyle w:val="TableParagraph"/>
              <w:spacing w:line="240" w:lineRule="auto" w:before="46"/>
              <w:ind w:left="588" w:right="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4"/>
                <w:sz w:val="18"/>
                <w:szCs w:val="18"/>
              </w:rPr>
              <w:t> </w:t>
            </w:r>
            <w:r>
              <w:rPr>
                <w:rFonts w:ascii="宋体" w:hAnsi="宋体" w:cs="宋体" w:eastAsia="宋体" w:hint="default"/>
                <w:sz w:val="18"/>
                <w:szCs w:val="18"/>
              </w:rPr>
              <w:t>元</w:t>
            </w:r>
          </w:p>
        </w:tc>
        <w:tc>
          <w:tcPr>
            <w:tcW w:w="1075" w:type="dxa"/>
            <w:tcBorders>
              <w:top w:val="nil" w:sz="6" w:space="0" w:color="auto"/>
              <w:left w:val="nil" w:sz="6" w:space="0" w:color="auto"/>
              <w:bottom w:val="single" w:sz="6" w:space="0" w:color="000000"/>
              <w:right w:val="nil" w:sz="6" w:space="0" w:color="auto"/>
            </w:tcBorders>
          </w:tcPr>
          <w:p>
            <w:pPr/>
          </w:p>
        </w:tc>
      </w:tr>
      <w:tr>
        <w:trPr>
          <w:trHeight w:val="348" w:hRule="exact"/>
        </w:trPr>
        <w:tc>
          <w:tcPr>
            <w:tcW w:w="1956" w:type="dxa"/>
            <w:tcBorders>
              <w:top w:val="single" w:sz="6" w:space="0" w:color="000000"/>
              <w:left w:val="nil" w:sz="6" w:space="0" w:color="auto"/>
              <w:bottom w:val="single" w:sz="8" w:space="0" w:color="000000"/>
              <w:right w:val="nil" w:sz="6" w:space="0" w:color="auto"/>
            </w:tcBorders>
          </w:tcPr>
          <w:p>
            <w:pPr>
              <w:pStyle w:val="TableParagraph"/>
              <w:spacing w:line="276" w:lineRule="exact"/>
              <w:ind w:left="9"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项  </w:t>
            </w:r>
            <w:r>
              <w:rPr>
                <w:rFonts w:ascii="Microsoft JhengHei" w:hAnsi="Microsoft JhengHei" w:cs="Microsoft JhengHei" w:eastAsia="Microsoft JhengHei" w:hint="default"/>
                <w:b/>
                <w:bCs/>
                <w:spacing w:val="22"/>
                <w:sz w:val="18"/>
                <w:szCs w:val="18"/>
              </w:rPr>
              <w:t> </w:t>
            </w:r>
            <w:r>
              <w:rPr>
                <w:rFonts w:ascii="Microsoft JhengHei" w:hAnsi="Microsoft JhengHei" w:cs="Microsoft JhengHei" w:eastAsia="Microsoft JhengHei" w:hint="default"/>
                <w:b/>
                <w:bCs/>
                <w:sz w:val="18"/>
                <w:szCs w:val="18"/>
              </w:rPr>
              <w:t>目</w:t>
            </w:r>
            <w:r>
              <w:rPr>
                <w:rFonts w:ascii="Microsoft JhengHei" w:hAnsi="Microsoft JhengHei" w:cs="Microsoft JhengHei" w:eastAsia="Microsoft JhengHei" w:hint="default"/>
                <w:sz w:val="18"/>
                <w:szCs w:val="18"/>
              </w:rPr>
            </w:r>
          </w:p>
        </w:tc>
        <w:tc>
          <w:tcPr>
            <w:tcW w:w="1505" w:type="dxa"/>
            <w:tcBorders>
              <w:top w:val="single" w:sz="6" w:space="0" w:color="000000"/>
              <w:left w:val="nil" w:sz="6" w:space="0" w:color="auto"/>
              <w:bottom w:val="single" w:sz="8" w:space="0" w:color="000000"/>
              <w:right w:val="nil" w:sz="6" w:space="0" w:color="auto"/>
            </w:tcBorders>
          </w:tcPr>
          <w:p>
            <w:pPr>
              <w:pStyle w:val="TableParagraph"/>
              <w:spacing w:line="276" w:lineRule="exact"/>
              <w:ind w:right="180"/>
              <w:jc w:val="righ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账面原值</w:t>
            </w:r>
            <w:r>
              <w:rPr>
                <w:rFonts w:ascii="Microsoft JhengHei" w:hAnsi="Microsoft JhengHei" w:cs="Microsoft JhengHei" w:eastAsia="Microsoft JhengHei" w:hint="default"/>
                <w:sz w:val="18"/>
                <w:szCs w:val="18"/>
              </w:rPr>
            </w:r>
          </w:p>
        </w:tc>
        <w:tc>
          <w:tcPr>
            <w:tcW w:w="1644" w:type="dxa"/>
            <w:tcBorders>
              <w:top w:val="single" w:sz="6" w:space="0" w:color="000000"/>
              <w:left w:val="nil" w:sz="6" w:space="0" w:color="auto"/>
              <w:bottom w:val="single" w:sz="8" w:space="0" w:color="000000"/>
              <w:right w:val="nil" w:sz="6" w:space="0" w:color="auto"/>
            </w:tcBorders>
          </w:tcPr>
          <w:p>
            <w:pPr>
              <w:pStyle w:val="TableParagraph"/>
              <w:spacing w:line="276" w:lineRule="exact"/>
              <w:ind w:right="365"/>
              <w:jc w:val="righ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累计折旧</w:t>
            </w:r>
            <w:r>
              <w:rPr>
                <w:rFonts w:ascii="Microsoft JhengHei" w:hAnsi="Microsoft JhengHei" w:cs="Microsoft JhengHei" w:eastAsia="Microsoft JhengHei" w:hint="default"/>
                <w:sz w:val="18"/>
                <w:szCs w:val="18"/>
              </w:rPr>
            </w:r>
          </w:p>
        </w:tc>
        <w:tc>
          <w:tcPr>
            <w:tcW w:w="1234" w:type="dxa"/>
            <w:tcBorders>
              <w:top w:val="single" w:sz="6" w:space="0" w:color="000000"/>
              <w:left w:val="nil" w:sz="6" w:space="0" w:color="auto"/>
              <w:bottom w:val="single" w:sz="8" w:space="0" w:color="000000"/>
              <w:right w:val="nil" w:sz="6" w:space="0" w:color="auto"/>
            </w:tcBorders>
          </w:tcPr>
          <w:p>
            <w:pPr>
              <w:pStyle w:val="TableParagraph"/>
              <w:spacing w:line="276" w:lineRule="exact"/>
              <w:ind w:left="367"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减值准备</w:t>
            </w:r>
            <w:r>
              <w:rPr>
                <w:rFonts w:ascii="Microsoft JhengHei" w:hAnsi="Microsoft JhengHei" w:cs="Microsoft JhengHei" w:eastAsia="Microsoft JhengHei" w:hint="default"/>
                <w:sz w:val="18"/>
                <w:szCs w:val="18"/>
              </w:rPr>
            </w:r>
          </w:p>
        </w:tc>
        <w:tc>
          <w:tcPr>
            <w:tcW w:w="1721" w:type="dxa"/>
            <w:tcBorders>
              <w:top w:val="single" w:sz="6" w:space="0" w:color="000000"/>
              <w:left w:val="nil" w:sz="6" w:space="0" w:color="auto"/>
              <w:bottom w:val="single" w:sz="8" w:space="0" w:color="000000"/>
              <w:right w:val="nil" w:sz="6" w:space="0" w:color="auto"/>
            </w:tcBorders>
          </w:tcPr>
          <w:p>
            <w:pPr>
              <w:pStyle w:val="TableParagraph"/>
              <w:spacing w:line="276" w:lineRule="exact"/>
              <w:ind w:left="592"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账面价值</w:t>
            </w:r>
            <w:r>
              <w:rPr>
                <w:rFonts w:ascii="Microsoft JhengHei" w:hAnsi="Microsoft JhengHei" w:cs="Microsoft JhengHei" w:eastAsia="Microsoft JhengHei" w:hint="default"/>
                <w:sz w:val="18"/>
                <w:szCs w:val="18"/>
              </w:rPr>
            </w:r>
          </w:p>
        </w:tc>
        <w:tc>
          <w:tcPr>
            <w:tcW w:w="1075" w:type="dxa"/>
            <w:tcBorders>
              <w:top w:val="single" w:sz="6" w:space="0" w:color="000000"/>
              <w:left w:val="nil" w:sz="6" w:space="0" w:color="auto"/>
              <w:bottom w:val="single" w:sz="8" w:space="0" w:color="000000"/>
              <w:right w:val="nil" w:sz="6" w:space="0" w:color="auto"/>
            </w:tcBorders>
          </w:tcPr>
          <w:p>
            <w:pPr>
              <w:pStyle w:val="TableParagraph"/>
              <w:spacing w:line="276" w:lineRule="exact"/>
              <w:ind w:right="7"/>
              <w:jc w:val="righ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抵押原因</w:t>
            </w:r>
            <w:r>
              <w:rPr>
                <w:rFonts w:ascii="Microsoft JhengHei" w:hAnsi="Microsoft JhengHei" w:cs="Microsoft JhengHei" w:eastAsia="Microsoft JhengHei" w:hint="default"/>
                <w:sz w:val="18"/>
                <w:szCs w:val="18"/>
              </w:rPr>
            </w:r>
          </w:p>
        </w:tc>
      </w:tr>
      <w:tr>
        <w:trPr>
          <w:trHeight w:val="662" w:hRule="exact"/>
        </w:trPr>
        <w:tc>
          <w:tcPr>
            <w:tcW w:w="1956" w:type="dxa"/>
            <w:tcBorders>
              <w:top w:val="single" w:sz="8" w:space="0" w:color="000000"/>
              <w:left w:val="nil" w:sz="6" w:space="0" w:color="auto"/>
              <w:bottom w:val="single" w:sz="8" w:space="0" w:color="000000"/>
              <w:right w:val="nil" w:sz="6" w:space="0" w:color="auto"/>
            </w:tcBorders>
          </w:tcPr>
          <w:p>
            <w:pPr>
              <w:pStyle w:val="TableParagraph"/>
              <w:spacing w:line="316" w:lineRule="auto" w:before="15"/>
              <w:ind w:left="9" w:right="135"/>
              <w:jc w:val="left"/>
              <w:rPr>
                <w:rFonts w:ascii="宋体" w:hAnsi="宋体" w:cs="宋体" w:eastAsia="宋体" w:hint="default"/>
                <w:sz w:val="18"/>
                <w:szCs w:val="18"/>
              </w:rPr>
            </w:pPr>
            <w:r>
              <w:rPr>
                <w:rFonts w:ascii="宋体" w:hAnsi="宋体" w:cs="宋体" w:eastAsia="宋体" w:hint="default"/>
                <w:spacing w:val="6"/>
                <w:sz w:val="18"/>
                <w:szCs w:val="18"/>
              </w:rPr>
              <w:t>机器设备-新厂印刷生</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产线</w:t>
            </w:r>
          </w:p>
        </w:tc>
        <w:tc>
          <w:tcPr>
            <w:tcW w:w="1505"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180"/>
              <w:jc w:val="right"/>
              <w:rPr>
                <w:rFonts w:ascii="宋体" w:hAnsi="宋体" w:cs="宋体" w:eastAsia="宋体" w:hint="default"/>
                <w:sz w:val="18"/>
                <w:szCs w:val="18"/>
              </w:rPr>
            </w:pPr>
            <w:r>
              <w:rPr>
                <w:rFonts w:ascii="宋体"/>
                <w:spacing w:val="-1"/>
                <w:sz w:val="18"/>
              </w:rPr>
              <w:t>84,305,097.27</w:t>
            </w:r>
          </w:p>
        </w:tc>
        <w:tc>
          <w:tcPr>
            <w:tcW w:w="1644"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365"/>
              <w:jc w:val="right"/>
              <w:rPr>
                <w:rFonts w:ascii="宋体" w:hAnsi="宋体" w:cs="宋体" w:eastAsia="宋体" w:hint="default"/>
                <w:sz w:val="18"/>
                <w:szCs w:val="18"/>
              </w:rPr>
            </w:pPr>
            <w:r>
              <w:rPr>
                <w:rFonts w:ascii="宋体"/>
                <w:spacing w:val="-1"/>
                <w:sz w:val="18"/>
              </w:rPr>
              <w:t>1,334,830.71</w:t>
            </w:r>
          </w:p>
        </w:tc>
        <w:tc>
          <w:tcPr>
            <w:tcW w:w="1234" w:type="dxa"/>
            <w:tcBorders>
              <w:top w:val="single" w:sz="8" w:space="0" w:color="000000"/>
              <w:left w:val="nil" w:sz="6" w:space="0" w:color="auto"/>
              <w:bottom w:val="single" w:sz="8" w:space="0" w:color="000000"/>
              <w:right w:val="nil" w:sz="6" w:space="0" w:color="auto"/>
            </w:tcBorders>
          </w:tcPr>
          <w:p>
            <w:pPr/>
          </w:p>
        </w:tc>
        <w:tc>
          <w:tcPr>
            <w:tcW w:w="1721"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left="146" w:right="0"/>
              <w:jc w:val="left"/>
              <w:rPr>
                <w:rFonts w:ascii="宋体" w:hAnsi="宋体" w:cs="宋体" w:eastAsia="宋体" w:hint="default"/>
                <w:sz w:val="18"/>
                <w:szCs w:val="18"/>
              </w:rPr>
            </w:pPr>
            <w:r>
              <w:rPr>
                <w:rFonts w:ascii="宋体"/>
                <w:sz w:val="18"/>
              </w:rPr>
              <w:t>82,970,266.56</w:t>
            </w:r>
          </w:p>
        </w:tc>
        <w:tc>
          <w:tcPr>
            <w:tcW w:w="1075"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7"/>
              <w:jc w:val="right"/>
              <w:rPr>
                <w:rFonts w:ascii="宋体" w:hAnsi="宋体" w:cs="宋体" w:eastAsia="宋体" w:hint="default"/>
                <w:sz w:val="18"/>
                <w:szCs w:val="18"/>
              </w:rPr>
            </w:pPr>
            <w:r>
              <w:rPr>
                <w:rFonts w:ascii="宋体" w:hAnsi="宋体" w:cs="宋体" w:eastAsia="宋体" w:hint="default"/>
                <w:spacing w:val="-2"/>
                <w:sz w:val="18"/>
                <w:szCs w:val="18"/>
              </w:rPr>
              <w:t>借款抵押</w:t>
            </w:r>
          </w:p>
        </w:tc>
      </w:tr>
      <w:tr>
        <w:trPr>
          <w:trHeight w:val="658" w:hRule="exact"/>
        </w:trPr>
        <w:tc>
          <w:tcPr>
            <w:tcW w:w="1956" w:type="dxa"/>
            <w:tcBorders>
              <w:top w:val="single" w:sz="8" w:space="0" w:color="000000"/>
              <w:left w:val="nil" w:sz="6" w:space="0" w:color="auto"/>
              <w:bottom w:val="single" w:sz="8" w:space="0" w:color="000000"/>
              <w:right w:val="nil" w:sz="6" w:space="0" w:color="auto"/>
            </w:tcBorders>
          </w:tcPr>
          <w:p>
            <w:pPr>
              <w:pStyle w:val="TableParagraph"/>
              <w:spacing w:line="316" w:lineRule="auto" w:before="15"/>
              <w:ind w:left="9" w:right="134"/>
              <w:jc w:val="left"/>
              <w:rPr>
                <w:rFonts w:ascii="宋体" w:hAnsi="宋体" w:cs="宋体" w:eastAsia="宋体" w:hint="default"/>
                <w:sz w:val="18"/>
                <w:szCs w:val="18"/>
              </w:rPr>
            </w:pPr>
            <w:r>
              <w:rPr>
                <w:rFonts w:ascii="宋体" w:hAnsi="宋体" w:cs="宋体" w:eastAsia="宋体" w:hint="default"/>
                <w:spacing w:val="-2"/>
                <w:sz w:val="18"/>
                <w:szCs w:val="18"/>
              </w:rPr>
              <w:t>机器设备-Kodak喷墨系</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统</w:t>
            </w:r>
          </w:p>
        </w:tc>
        <w:tc>
          <w:tcPr>
            <w:tcW w:w="1505"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180"/>
              <w:jc w:val="right"/>
              <w:rPr>
                <w:rFonts w:ascii="宋体" w:hAnsi="宋体" w:cs="宋体" w:eastAsia="宋体" w:hint="default"/>
                <w:sz w:val="18"/>
                <w:szCs w:val="18"/>
              </w:rPr>
            </w:pPr>
            <w:r>
              <w:rPr>
                <w:rFonts w:ascii="宋体"/>
                <w:spacing w:val="-1"/>
                <w:sz w:val="18"/>
              </w:rPr>
              <w:t>5,975,243.95</w:t>
            </w:r>
          </w:p>
        </w:tc>
        <w:tc>
          <w:tcPr>
            <w:tcW w:w="1644"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365"/>
              <w:jc w:val="right"/>
              <w:rPr>
                <w:rFonts w:ascii="宋体" w:hAnsi="宋体" w:cs="宋体" w:eastAsia="宋体" w:hint="default"/>
                <w:sz w:val="18"/>
                <w:szCs w:val="18"/>
              </w:rPr>
            </w:pPr>
            <w:r>
              <w:rPr>
                <w:rFonts w:ascii="宋体"/>
                <w:spacing w:val="-1"/>
                <w:sz w:val="18"/>
              </w:rPr>
              <w:t>47,304.01</w:t>
            </w:r>
          </w:p>
        </w:tc>
        <w:tc>
          <w:tcPr>
            <w:tcW w:w="1234" w:type="dxa"/>
            <w:tcBorders>
              <w:top w:val="single" w:sz="8" w:space="0" w:color="000000"/>
              <w:left w:val="nil" w:sz="6" w:space="0" w:color="auto"/>
              <w:bottom w:val="single" w:sz="8" w:space="0" w:color="000000"/>
              <w:right w:val="nil" w:sz="6" w:space="0" w:color="auto"/>
            </w:tcBorders>
          </w:tcPr>
          <w:p>
            <w:pPr/>
          </w:p>
        </w:tc>
        <w:tc>
          <w:tcPr>
            <w:tcW w:w="1721"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left="237" w:right="0"/>
              <w:jc w:val="left"/>
              <w:rPr>
                <w:rFonts w:ascii="宋体" w:hAnsi="宋体" w:cs="宋体" w:eastAsia="宋体" w:hint="default"/>
                <w:sz w:val="18"/>
                <w:szCs w:val="18"/>
              </w:rPr>
            </w:pPr>
            <w:r>
              <w:rPr>
                <w:rFonts w:ascii="宋体"/>
                <w:sz w:val="18"/>
              </w:rPr>
              <w:t>5,927,939.94</w:t>
            </w:r>
          </w:p>
        </w:tc>
        <w:tc>
          <w:tcPr>
            <w:tcW w:w="1075"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7"/>
              <w:jc w:val="right"/>
              <w:rPr>
                <w:rFonts w:ascii="宋体" w:hAnsi="宋体" w:cs="宋体" w:eastAsia="宋体" w:hint="default"/>
                <w:sz w:val="18"/>
                <w:szCs w:val="18"/>
              </w:rPr>
            </w:pPr>
            <w:r>
              <w:rPr>
                <w:rFonts w:ascii="宋体" w:hAnsi="宋体" w:cs="宋体" w:eastAsia="宋体" w:hint="default"/>
                <w:spacing w:val="-2"/>
                <w:sz w:val="18"/>
                <w:szCs w:val="18"/>
              </w:rPr>
              <w:t>借款抵押</w:t>
            </w:r>
          </w:p>
        </w:tc>
      </w:tr>
      <w:tr>
        <w:trPr>
          <w:trHeight w:val="346" w:hRule="exact"/>
        </w:trPr>
        <w:tc>
          <w:tcPr>
            <w:tcW w:w="1956"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left="9" w:right="0"/>
              <w:jc w:val="left"/>
              <w:rPr>
                <w:rFonts w:ascii="宋体" w:hAnsi="宋体" w:cs="宋体" w:eastAsia="宋体" w:hint="default"/>
                <w:sz w:val="18"/>
                <w:szCs w:val="18"/>
              </w:rPr>
            </w:pPr>
            <w:r>
              <w:rPr>
                <w:rFonts w:ascii="宋体" w:hAnsi="宋体" w:cs="宋体" w:eastAsia="宋体" w:hint="default"/>
                <w:sz w:val="18"/>
                <w:szCs w:val="18"/>
              </w:rPr>
              <w:t>机器设备-视检系统</w:t>
            </w:r>
          </w:p>
        </w:tc>
        <w:tc>
          <w:tcPr>
            <w:tcW w:w="1505"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180"/>
              <w:jc w:val="right"/>
              <w:rPr>
                <w:rFonts w:ascii="宋体" w:hAnsi="宋体" w:cs="宋体" w:eastAsia="宋体" w:hint="default"/>
                <w:sz w:val="18"/>
                <w:szCs w:val="18"/>
              </w:rPr>
            </w:pPr>
            <w:r>
              <w:rPr>
                <w:rFonts w:ascii="宋体"/>
                <w:spacing w:val="-1"/>
                <w:sz w:val="18"/>
              </w:rPr>
              <w:t>1,209,883.18</w:t>
            </w:r>
          </w:p>
        </w:tc>
        <w:tc>
          <w:tcPr>
            <w:tcW w:w="1644"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365"/>
              <w:jc w:val="right"/>
              <w:rPr>
                <w:rFonts w:ascii="宋体" w:hAnsi="宋体" w:cs="宋体" w:eastAsia="宋体" w:hint="default"/>
                <w:sz w:val="18"/>
                <w:szCs w:val="18"/>
              </w:rPr>
            </w:pPr>
            <w:r>
              <w:rPr>
                <w:rFonts w:ascii="宋体"/>
                <w:spacing w:val="-1"/>
                <w:sz w:val="18"/>
              </w:rPr>
              <w:t>9,578.24</w:t>
            </w:r>
          </w:p>
        </w:tc>
        <w:tc>
          <w:tcPr>
            <w:tcW w:w="1234" w:type="dxa"/>
            <w:tcBorders>
              <w:top w:val="single" w:sz="8" w:space="0" w:color="000000"/>
              <w:left w:val="nil" w:sz="6" w:space="0" w:color="auto"/>
              <w:bottom w:val="single" w:sz="8" w:space="0" w:color="000000"/>
              <w:right w:val="nil" w:sz="6" w:space="0" w:color="auto"/>
            </w:tcBorders>
          </w:tcPr>
          <w:p>
            <w:pPr/>
          </w:p>
        </w:tc>
        <w:tc>
          <w:tcPr>
            <w:tcW w:w="1721"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left="237" w:right="0"/>
              <w:jc w:val="left"/>
              <w:rPr>
                <w:rFonts w:ascii="宋体" w:hAnsi="宋体" w:cs="宋体" w:eastAsia="宋体" w:hint="default"/>
                <w:sz w:val="18"/>
                <w:szCs w:val="18"/>
              </w:rPr>
            </w:pPr>
            <w:r>
              <w:rPr>
                <w:rFonts w:ascii="宋体"/>
                <w:sz w:val="18"/>
              </w:rPr>
              <w:t>1,200,304.94</w:t>
            </w:r>
          </w:p>
        </w:tc>
        <w:tc>
          <w:tcPr>
            <w:tcW w:w="1075"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7"/>
              <w:jc w:val="right"/>
              <w:rPr>
                <w:rFonts w:ascii="宋体" w:hAnsi="宋体" w:cs="宋体" w:eastAsia="宋体" w:hint="default"/>
                <w:sz w:val="18"/>
                <w:szCs w:val="18"/>
              </w:rPr>
            </w:pPr>
            <w:r>
              <w:rPr>
                <w:rFonts w:ascii="宋体" w:hAnsi="宋体" w:cs="宋体" w:eastAsia="宋体" w:hint="default"/>
                <w:spacing w:val="-2"/>
                <w:sz w:val="18"/>
                <w:szCs w:val="18"/>
              </w:rPr>
              <w:t>借款抵押</w:t>
            </w:r>
          </w:p>
        </w:tc>
      </w:tr>
      <w:tr>
        <w:trPr>
          <w:trHeight w:val="346" w:hRule="exact"/>
        </w:trPr>
        <w:tc>
          <w:tcPr>
            <w:tcW w:w="1956"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left="9" w:right="0"/>
              <w:jc w:val="left"/>
              <w:rPr>
                <w:rFonts w:ascii="宋体" w:hAnsi="宋体" w:cs="宋体" w:eastAsia="宋体" w:hint="default"/>
                <w:sz w:val="18"/>
                <w:szCs w:val="18"/>
              </w:rPr>
            </w:pPr>
            <w:r>
              <w:rPr>
                <w:rFonts w:ascii="宋体" w:hAnsi="宋体" w:cs="宋体" w:eastAsia="宋体" w:hint="default"/>
                <w:sz w:val="18"/>
                <w:szCs w:val="18"/>
              </w:rPr>
              <w:t>机器设备-折页机</w:t>
            </w:r>
          </w:p>
        </w:tc>
        <w:tc>
          <w:tcPr>
            <w:tcW w:w="1505"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180"/>
              <w:jc w:val="right"/>
              <w:rPr>
                <w:rFonts w:ascii="宋体" w:hAnsi="宋体" w:cs="宋体" w:eastAsia="宋体" w:hint="default"/>
                <w:sz w:val="18"/>
                <w:szCs w:val="18"/>
              </w:rPr>
            </w:pPr>
            <w:r>
              <w:rPr>
                <w:rFonts w:ascii="宋体"/>
                <w:spacing w:val="-1"/>
                <w:sz w:val="18"/>
              </w:rPr>
              <w:t>1,979,223.43</w:t>
            </w:r>
          </w:p>
        </w:tc>
        <w:tc>
          <w:tcPr>
            <w:tcW w:w="1644"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365"/>
              <w:jc w:val="right"/>
              <w:rPr>
                <w:rFonts w:ascii="宋体" w:hAnsi="宋体" w:cs="宋体" w:eastAsia="宋体" w:hint="default"/>
                <w:sz w:val="18"/>
                <w:szCs w:val="18"/>
              </w:rPr>
            </w:pPr>
            <w:r>
              <w:rPr>
                <w:rFonts w:ascii="宋体"/>
                <w:spacing w:val="-1"/>
                <w:sz w:val="18"/>
              </w:rPr>
              <w:t>15,668.85</w:t>
            </w:r>
          </w:p>
        </w:tc>
        <w:tc>
          <w:tcPr>
            <w:tcW w:w="1234" w:type="dxa"/>
            <w:tcBorders>
              <w:top w:val="single" w:sz="8" w:space="0" w:color="000000"/>
              <w:left w:val="nil" w:sz="6" w:space="0" w:color="auto"/>
              <w:bottom w:val="single" w:sz="8" w:space="0" w:color="000000"/>
              <w:right w:val="nil" w:sz="6" w:space="0" w:color="auto"/>
            </w:tcBorders>
          </w:tcPr>
          <w:p>
            <w:pPr/>
          </w:p>
        </w:tc>
        <w:tc>
          <w:tcPr>
            <w:tcW w:w="1721"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left="237" w:right="0"/>
              <w:jc w:val="left"/>
              <w:rPr>
                <w:rFonts w:ascii="宋体" w:hAnsi="宋体" w:cs="宋体" w:eastAsia="宋体" w:hint="default"/>
                <w:sz w:val="18"/>
                <w:szCs w:val="18"/>
              </w:rPr>
            </w:pPr>
            <w:r>
              <w:rPr>
                <w:rFonts w:ascii="宋体"/>
                <w:sz w:val="18"/>
              </w:rPr>
              <w:t>1,963,554.58</w:t>
            </w:r>
          </w:p>
        </w:tc>
        <w:tc>
          <w:tcPr>
            <w:tcW w:w="1075"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7"/>
              <w:jc w:val="right"/>
              <w:rPr>
                <w:rFonts w:ascii="宋体" w:hAnsi="宋体" w:cs="宋体" w:eastAsia="宋体" w:hint="default"/>
                <w:sz w:val="18"/>
                <w:szCs w:val="18"/>
              </w:rPr>
            </w:pPr>
            <w:r>
              <w:rPr>
                <w:rFonts w:ascii="宋体" w:hAnsi="宋体" w:cs="宋体" w:eastAsia="宋体" w:hint="default"/>
                <w:spacing w:val="-2"/>
                <w:sz w:val="18"/>
                <w:szCs w:val="18"/>
              </w:rPr>
              <w:t>借款抵押</w:t>
            </w:r>
          </w:p>
        </w:tc>
      </w:tr>
      <w:tr>
        <w:trPr>
          <w:trHeight w:val="350" w:hRule="exact"/>
        </w:trPr>
        <w:tc>
          <w:tcPr>
            <w:tcW w:w="1956"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left="9" w:right="0"/>
              <w:jc w:val="left"/>
              <w:rPr>
                <w:rFonts w:ascii="宋体" w:hAnsi="宋体" w:cs="宋体" w:eastAsia="宋体" w:hint="default"/>
                <w:sz w:val="18"/>
                <w:szCs w:val="18"/>
              </w:rPr>
            </w:pPr>
            <w:r>
              <w:rPr>
                <w:rFonts w:ascii="宋体" w:hAnsi="宋体" w:cs="宋体" w:eastAsia="宋体" w:hint="default"/>
                <w:sz w:val="18"/>
                <w:szCs w:val="18"/>
              </w:rPr>
              <w:t>机器设备-塑封包装机</w:t>
            </w:r>
          </w:p>
        </w:tc>
        <w:tc>
          <w:tcPr>
            <w:tcW w:w="1505"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180"/>
              <w:jc w:val="right"/>
              <w:rPr>
                <w:rFonts w:ascii="宋体" w:hAnsi="宋体" w:cs="宋体" w:eastAsia="宋体" w:hint="default"/>
                <w:sz w:val="18"/>
                <w:szCs w:val="18"/>
              </w:rPr>
            </w:pPr>
            <w:r>
              <w:rPr>
                <w:rFonts w:ascii="宋体"/>
                <w:spacing w:val="-1"/>
                <w:sz w:val="18"/>
              </w:rPr>
              <w:t>1,767,068.96</w:t>
            </w:r>
          </w:p>
        </w:tc>
        <w:tc>
          <w:tcPr>
            <w:tcW w:w="1644"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365"/>
              <w:jc w:val="right"/>
              <w:rPr>
                <w:rFonts w:ascii="宋体" w:hAnsi="宋体" w:cs="宋体" w:eastAsia="宋体" w:hint="default"/>
                <w:sz w:val="18"/>
                <w:szCs w:val="18"/>
              </w:rPr>
            </w:pPr>
            <w:r>
              <w:rPr>
                <w:rFonts w:ascii="宋体"/>
                <w:spacing w:val="-1"/>
                <w:sz w:val="18"/>
              </w:rPr>
              <w:t>13,989.30</w:t>
            </w:r>
          </w:p>
        </w:tc>
        <w:tc>
          <w:tcPr>
            <w:tcW w:w="1234" w:type="dxa"/>
            <w:tcBorders>
              <w:top w:val="single" w:sz="8" w:space="0" w:color="000000"/>
              <w:left w:val="nil" w:sz="6" w:space="0" w:color="auto"/>
              <w:bottom w:val="single" w:sz="8" w:space="0" w:color="000000"/>
              <w:right w:val="nil" w:sz="6" w:space="0" w:color="auto"/>
            </w:tcBorders>
          </w:tcPr>
          <w:p>
            <w:pPr/>
          </w:p>
        </w:tc>
        <w:tc>
          <w:tcPr>
            <w:tcW w:w="1721"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left="237" w:right="0"/>
              <w:jc w:val="left"/>
              <w:rPr>
                <w:rFonts w:ascii="宋体" w:hAnsi="宋体" w:cs="宋体" w:eastAsia="宋体" w:hint="default"/>
                <w:sz w:val="18"/>
                <w:szCs w:val="18"/>
              </w:rPr>
            </w:pPr>
            <w:r>
              <w:rPr>
                <w:rFonts w:ascii="宋体"/>
                <w:sz w:val="18"/>
              </w:rPr>
              <w:t>1,753,079.66</w:t>
            </w:r>
          </w:p>
        </w:tc>
        <w:tc>
          <w:tcPr>
            <w:tcW w:w="1075"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7"/>
              <w:jc w:val="right"/>
              <w:rPr>
                <w:rFonts w:ascii="宋体" w:hAnsi="宋体" w:cs="宋体" w:eastAsia="宋体" w:hint="default"/>
                <w:sz w:val="18"/>
                <w:szCs w:val="18"/>
              </w:rPr>
            </w:pPr>
            <w:r>
              <w:rPr>
                <w:rFonts w:ascii="宋体" w:hAnsi="宋体" w:cs="宋体" w:eastAsia="宋体" w:hint="default"/>
                <w:spacing w:val="-2"/>
                <w:sz w:val="18"/>
                <w:szCs w:val="18"/>
              </w:rPr>
              <w:t>借款抵押</w:t>
            </w:r>
          </w:p>
        </w:tc>
      </w:tr>
      <w:tr>
        <w:trPr>
          <w:trHeight w:val="346" w:hRule="exact"/>
        </w:trPr>
        <w:tc>
          <w:tcPr>
            <w:tcW w:w="1956" w:type="dxa"/>
            <w:tcBorders>
              <w:top w:val="single" w:sz="8" w:space="0" w:color="000000"/>
              <w:left w:val="nil" w:sz="6" w:space="0" w:color="auto"/>
              <w:bottom w:val="single" w:sz="8" w:space="0" w:color="000000"/>
              <w:right w:val="nil" w:sz="6" w:space="0" w:color="auto"/>
            </w:tcBorders>
          </w:tcPr>
          <w:p>
            <w:pPr>
              <w:pStyle w:val="TableParagraph"/>
              <w:spacing w:line="271" w:lineRule="exact"/>
              <w:ind w:left="9"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   </w:t>
            </w:r>
            <w:r>
              <w:rPr>
                <w:rFonts w:ascii="Microsoft JhengHei" w:hAnsi="Microsoft JhengHei" w:cs="Microsoft JhengHei" w:eastAsia="Microsoft JhengHei" w:hint="default"/>
                <w:b/>
                <w:bCs/>
                <w:spacing w:val="6"/>
                <w:sz w:val="18"/>
                <w:szCs w:val="18"/>
              </w:rPr>
              <w:t> </w:t>
            </w:r>
            <w:r>
              <w:rPr>
                <w:rFonts w:ascii="Microsoft JhengHei" w:hAnsi="Microsoft JhengHei" w:cs="Microsoft JhengHei" w:eastAsia="Microsoft JhengHei" w:hint="default"/>
                <w:b/>
                <w:bCs/>
                <w:sz w:val="18"/>
                <w:szCs w:val="18"/>
              </w:rPr>
              <w:t>计</w:t>
            </w:r>
            <w:r>
              <w:rPr>
                <w:rFonts w:ascii="Microsoft JhengHei" w:hAnsi="Microsoft JhengHei" w:cs="Microsoft JhengHei" w:eastAsia="Microsoft JhengHei" w:hint="default"/>
                <w:sz w:val="18"/>
                <w:szCs w:val="18"/>
              </w:rPr>
            </w:r>
          </w:p>
        </w:tc>
        <w:tc>
          <w:tcPr>
            <w:tcW w:w="1505" w:type="dxa"/>
            <w:tcBorders>
              <w:top w:val="single" w:sz="8" w:space="0" w:color="000000"/>
              <w:left w:val="nil" w:sz="6" w:space="0" w:color="auto"/>
              <w:bottom w:val="single" w:sz="8" w:space="0" w:color="000000"/>
              <w:right w:val="nil" w:sz="6" w:space="0" w:color="auto"/>
            </w:tcBorders>
          </w:tcPr>
          <w:p>
            <w:pPr>
              <w:pStyle w:val="TableParagraph"/>
              <w:spacing w:line="271" w:lineRule="exact"/>
              <w:ind w:right="180"/>
              <w:jc w:val="right"/>
              <w:rPr>
                <w:rFonts w:ascii="Microsoft JhengHei" w:hAnsi="Microsoft JhengHei" w:cs="Microsoft JhengHei" w:eastAsia="Microsoft JhengHei" w:hint="default"/>
                <w:sz w:val="18"/>
                <w:szCs w:val="18"/>
              </w:rPr>
            </w:pPr>
            <w:r>
              <w:rPr>
                <w:rFonts w:ascii="Microsoft JhengHei"/>
                <w:b/>
                <w:w w:val="95"/>
                <w:sz w:val="18"/>
              </w:rPr>
              <w:t>95,236,516.79</w:t>
            </w:r>
            <w:r>
              <w:rPr>
                <w:rFonts w:ascii="Microsoft JhengHei"/>
                <w:sz w:val="18"/>
              </w:rPr>
            </w:r>
          </w:p>
        </w:tc>
        <w:tc>
          <w:tcPr>
            <w:tcW w:w="1644" w:type="dxa"/>
            <w:tcBorders>
              <w:top w:val="single" w:sz="8" w:space="0" w:color="000000"/>
              <w:left w:val="nil" w:sz="6" w:space="0" w:color="auto"/>
              <w:bottom w:val="single" w:sz="8" w:space="0" w:color="000000"/>
              <w:right w:val="nil" w:sz="6" w:space="0" w:color="auto"/>
            </w:tcBorders>
          </w:tcPr>
          <w:p>
            <w:pPr>
              <w:pStyle w:val="TableParagraph"/>
              <w:spacing w:line="271" w:lineRule="exact"/>
              <w:ind w:right="365"/>
              <w:jc w:val="right"/>
              <w:rPr>
                <w:rFonts w:ascii="Microsoft JhengHei" w:hAnsi="Microsoft JhengHei" w:cs="Microsoft JhengHei" w:eastAsia="Microsoft JhengHei" w:hint="default"/>
                <w:sz w:val="18"/>
                <w:szCs w:val="18"/>
              </w:rPr>
            </w:pPr>
            <w:r>
              <w:rPr>
                <w:rFonts w:ascii="Microsoft JhengHei"/>
                <w:b/>
                <w:w w:val="95"/>
                <w:sz w:val="18"/>
              </w:rPr>
              <w:t>1,421,371.11</w:t>
            </w:r>
            <w:r>
              <w:rPr>
                <w:rFonts w:ascii="Microsoft JhengHei"/>
                <w:sz w:val="18"/>
              </w:rPr>
            </w:r>
          </w:p>
        </w:tc>
        <w:tc>
          <w:tcPr>
            <w:tcW w:w="1234" w:type="dxa"/>
            <w:tcBorders>
              <w:top w:val="single" w:sz="8" w:space="0" w:color="000000"/>
              <w:left w:val="nil" w:sz="6" w:space="0" w:color="auto"/>
              <w:bottom w:val="single" w:sz="8" w:space="0" w:color="000000"/>
              <w:right w:val="nil" w:sz="6" w:space="0" w:color="auto"/>
            </w:tcBorders>
          </w:tcPr>
          <w:p>
            <w:pPr/>
          </w:p>
        </w:tc>
        <w:tc>
          <w:tcPr>
            <w:tcW w:w="1721" w:type="dxa"/>
            <w:tcBorders>
              <w:top w:val="single" w:sz="8" w:space="0" w:color="000000"/>
              <w:left w:val="nil" w:sz="6" w:space="0" w:color="auto"/>
              <w:bottom w:val="single" w:sz="8" w:space="0" w:color="000000"/>
              <w:right w:val="nil" w:sz="6" w:space="0" w:color="auto"/>
            </w:tcBorders>
          </w:tcPr>
          <w:p>
            <w:pPr>
              <w:pStyle w:val="TableParagraph"/>
              <w:spacing w:line="271" w:lineRule="exact"/>
              <w:ind w:left="136" w:right="0"/>
              <w:jc w:val="left"/>
              <w:rPr>
                <w:rFonts w:ascii="Microsoft JhengHei" w:hAnsi="Microsoft JhengHei" w:cs="Microsoft JhengHei" w:eastAsia="Microsoft JhengHei" w:hint="default"/>
                <w:sz w:val="18"/>
                <w:szCs w:val="18"/>
              </w:rPr>
            </w:pPr>
            <w:r>
              <w:rPr>
                <w:rFonts w:ascii="Microsoft JhengHei"/>
                <w:b/>
                <w:sz w:val="18"/>
              </w:rPr>
              <w:t>93,815,145.68</w:t>
            </w:r>
            <w:r>
              <w:rPr>
                <w:rFonts w:ascii="Microsoft JhengHei"/>
                <w:sz w:val="18"/>
              </w:rPr>
            </w:r>
          </w:p>
        </w:tc>
        <w:tc>
          <w:tcPr>
            <w:tcW w:w="1075" w:type="dxa"/>
            <w:tcBorders>
              <w:top w:val="single" w:sz="8" w:space="0" w:color="000000"/>
              <w:left w:val="nil" w:sz="6" w:space="0" w:color="auto"/>
              <w:bottom w:val="single" w:sz="8" w:space="0" w:color="000000"/>
              <w:right w:val="nil" w:sz="6" w:space="0" w:color="auto"/>
            </w:tcBorders>
          </w:tcPr>
          <w:p>
            <w:pPr/>
          </w:p>
        </w:tc>
      </w:tr>
    </w:tbl>
    <w:p>
      <w:pPr>
        <w:spacing w:line="240" w:lineRule="auto" w:before="10"/>
        <w:rPr>
          <w:rFonts w:ascii="宋体" w:hAnsi="宋体" w:cs="宋体" w:eastAsia="宋体" w:hint="default"/>
          <w:sz w:val="4"/>
          <w:szCs w:val="4"/>
        </w:rPr>
      </w:pPr>
    </w:p>
    <w:p>
      <w:pPr>
        <w:spacing w:line="271" w:lineRule="auto" w:before="39"/>
        <w:ind w:left="152" w:right="0" w:firstLine="0"/>
        <w:jc w:val="left"/>
        <w:rPr>
          <w:rFonts w:ascii="宋体" w:hAnsi="宋体" w:cs="宋体" w:eastAsia="宋体" w:hint="default"/>
          <w:sz w:val="20"/>
          <w:szCs w:val="20"/>
        </w:rPr>
      </w:pPr>
      <w:r>
        <w:rPr>
          <w:rFonts w:ascii="宋体" w:hAnsi="宋体" w:cs="宋体" w:eastAsia="宋体" w:hint="default"/>
          <w:spacing w:val="-2"/>
          <w:sz w:val="20"/>
          <w:szCs w:val="20"/>
        </w:rPr>
        <w:t>（</w:t>
      </w:r>
      <w:r>
        <w:rPr>
          <w:rFonts w:ascii="Times New Roman" w:hAnsi="Times New Roman" w:cs="Times New Roman" w:eastAsia="Times New Roman" w:hint="default"/>
          <w:spacing w:val="-2"/>
          <w:sz w:val="20"/>
          <w:szCs w:val="20"/>
        </w:rPr>
        <w:t>7</w:t>
      </w:r>
      <w:r>
        <w:rPr>
          <w:rFonts w:ascii="宋体" w:hAnsi="宋体" w:cs="宋体" w:eastAsia="宋体" w:hint="default"/>
          <w:spacing w:val="-2"/>
          <w:sz w:val="20"/>
          <w:szCs w:val="20"/>
        </w:rPr>
        <w:t>）鸿博昊天公司两套高斯牌八色卷筒纸商业胶印机年末账面净值（不含税）合计</w:t>
      </w:r>
      <w:r>
        <w:rPr>
          <w:rFonts w:ascii="Times New Roman" w:hAnsi="Times New Roman" w:cs="Times New Roman" w:eastAsia="Times New Roman" w:hint="default"/>
          <w:spacing w:val="-2"/>
          <w:sz w:val="20"/>
          <w:szCs w:val="20"/>
        </w:rPr>
        <w:t>48,269,831.02</w:t>
      </w:r>
      <w:r>
        <w:rPr>
          <w:rFonts w:ascii="宋体" w:hAnsi="宋体" w:cs="宋体" w:eastAsia="宋体" w:hint="default"/>
          <w:spacing w:val="-2"/>
          <w:sz w:val="20"/>
          <w:szCs w:val="20"/>
        </w:rPr>
        <w:t>元系作为与北</w:t>
      </w:r>
      <w:r>
        <w:rPr>
          <w:rFonts w:ascii="宋体" w:hAnsi="宋体" w:cs="宋体" w:eastAsia="宋体" w:hint="default"/>
          <w:spacing w:val="-5"/>
          <w:sz w:val="20"/>
          <w:szCs w:val="20"/>
        </w:rPr>
        <w:t> </w:t>
      </w:r>
      <w:r>
        <w:rPr>
          <w:rFonts w:ascii="宋体" w:hAnsi="宋体" w:cs="宋体" w:eastAsia="宋体" w:hint="default"/>
          <w:spacing w:val="-5"/>
          <w:sz w:val="20"/>
          <w:szCs w:val="20"/>
        </w:rPr>
      </w:r>
      <w:r>
        <w:rPr>
          <w:rFonts w:ascii="宋体" w:hAnsi="宋体" w:cs="宋体" w:eastAsia="宋体" w:hint="default"/>
          <w:sz w:val="20"/>
          <w:szCs w:val="20"/>
        </w:rPr>
        <w:t>京国彩公司的诉讼的保全担保物，案件诉讼情况详见</w:t>
      </w:r>
      <w:r>
        <w:rPr>
          <w:rFonts w:ascii="Times New Roman" w:hAnsi="Times New Roman" w:cs="Times New Roman" w:eastAsia="Times New Roman" w:hint="default"/>
          <w:sz w:val="20"/>
          <w:szCs w:val="20"/>
        </w:rPr>
        <w:t>“</w:t>
      </w:r>
      <w:r>
        <w:rPr>
          <w:rFonts w:ascii="宋体" w:hAnsi="宋体" w:cs="宋体" w:eastAsia="宋体" w:hint="default"/>
          <w:sz w:val="20"/>
          <w:szCs w:val="20"/>
        </w:rPr>
        <w:t>十四、承诺及或有事项</w:t>
      </w:r>
      <w:r>
        <w:rPr>
          <w:rFonts w:ascii="Times New Roman" w:hAnsi="Times New Roman" w:cs="Times New Roman" w:eastAsia="Times New Roman" w:hint="default"/>
          <w:sz w:val="20"/>
          <w:szCs w:val="20"/>
        </w:rPr>
        <w:t>”</w:t>
      </w:r>
      <w:r>
        <w:rPr>
          <w:rFonts w:ascii="宋体" w:hAnsi="宋体" w:cs="宋体" w:eastAsia="宋体" w:hint="default"/>
          <w:sz w:val="20"/>
          <w:szCs w:val="20"/>
        </w:rPr>
        <w:t>之</w:t>
      </w:r>
      <w:r>
        <w:rPr>
          <w:rFonts w:ascii="Times New Roman" w:hAnsi="Times New Roman" w:cs="Times New Roman" w:eastAsia="Times New Roman" w:hint="default"/>
          <w:sz w:val="20"/>
          <w:szCs w:val="20"/>
        </w:rPr>
        <w:t>2</w:t>
      </w:r>
      <w:r>
        <w:rPr>
          <w:rFonts w:ascii="宋体" w:hAnsi="宋体" w:cs="宋体" w:eastAsia="宋体" w:hint="default"/>
          <w:sz w:val="20"/>
          <w:szCs w:val="20"/>
        </w:rPr>
        <w:t>（</w:t>
      </w:r>
      <w:r>
        <w:rPr>
          <w:rFonts w:ascii="Times New Roman" w:hAnsi="Times New Roman" w:cs="Times New Roman" w:eastAsia="Times New Roman" w:hint="default"/>
          <w:sz w:val="20"/>
          <w:szCs w:val="20"/>
        </w:rPr>
        <w:t>3</w:t>
      </w:r>
      <w:r>
        <w:rPr>
          <w:rFonts w:ascii="宋体" w:hAnsi="宋体" w:cs="宋体" w:eastAsia="宋体" w:hint="default"/>
          <w:sz w:val="20"/>
          <w:szCs w:val="20"/>
        </w:rPr>
        <w:t>）。</w:t>
      </w:r>
    </w:p>
    <w:p>
      <w:pPr>
        <w:spacing w:line="240" w:lineRule="auto" w:before="13"/>
        <w:rPr>
          <w:rFonts w:ascii="宋体" w:hAnsi="宋体" w:cs="宋体" w:eastAsia="宋体" w:hint="default"/>
          <w:sz w:val="17"/>
          <w:szCs w:val="17"/>
        </w:rPr>
      </w:pPr>
    </w:p>
    <w:p>
      <w:pPr>
        <w:pStyle w:val="Heading4"/>
        <w:spacing w:line="240" w:lineRule="auto"/>
        <w:ind w:right="0"/>
        <w:jc w:val="left"/>
        <w:rPr>
          <w:b w:val="0"/>
          <w:bCs w:val="0"/>
        </w:rPr>
      </w:pPr>
      <w:r>
        <w:rPr>
          <w:rFonts w:ascii="Times New Roman" w:hAnsi="Times New Roman" w:cs="Times New Roman" w:eastAsia="Times New Roman" w:hint="default"/>
        </w:rPr>
        <w:t>20</w:t>
      </w:r>
      <w:r>
        <w:rPr/>
        <w:t>、在建工程</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）在建工程情况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1368"/>
        <w:gridCol w:w="1368"/>
        <w:gridCol w:w="1363"/>
        <w:gridCol w:w="1368"/>
        <w:gridCol w:w="1368"/>
      </w:tblGrid>
      <w:tr>
        <w:trPr>
          <w:trHeight w:val="398"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410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1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16"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1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1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16"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16"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70"/>
              <w:jc w:val="left"/>
              <w:rPr>
                <w:rFonts w:ascii="宋体" w:hAnsi="宋体" w:cs="宋体" w:eastAsia="宋体" w:hint="default"/>
                <w:sz w:val="18"/>
                <w:szCs w:val="18"/>
              </w:rPr>
            </w:pPr>
            <w:r>
              <w:rPr>
                <w:rFonts w:ascii="宋体" w:hAnsi="宋体" w:cs="宋体" w:eastAsia="宋体" w:hint="default"/>
                <w:spacing w:val="-3"/>
                <w:sz w:val="18"/>
                <w:szCs w:val="18"/>
              </w:rPr>
              <w:t>全自动智能标签</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生产线项目</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1,410,256.45</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1,410,256.45</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6,452,991.52</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6,452,991.52</w:t>
            </w:r>
          </w:p>
        </w:tc>
      </w:tr>
      <w:tr>
        <w:trPr>
          <w:trHeight w:val="357" w:hRule="exact"/>
        </w:trPr>
        <w:tc>
          <w:tcPr>
            <w:tcW w:w="13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高档商业票据印</w:t>
            </w:r>
          </w:p>
        </w:tc>
        <w:tc>
          <w:tcPr>
            <w:tcW w:w="1368" w:type="dxa"/>
            <w:tcBorders>
              <w:top w:val="single" w:sz="4" w:space="0" w:color="000000"/>
              <w:left w:val="single" w:sz="4" w:space="0" w:color="000000"/>
              <w:bottom w:val="nil" w:sz="6" w:space="0" w:color="auto"/>
              <w:right w:val="single" w:sz="4" w:space="0" w:color="000000"/>
            </w:tcBorders>
          </w:tcPr>
          <w:p>
            <w:pPr/>
          </w:p>
        </w:tc>
        <w:tc>
          <w:tcPr>
            <w:tcW w:w="1368" w:type="dxa"/>
            <w:vMerge w:val="restart"/>
            <w:tcBorders>
              <w:top w:val="single" w:sz="4" w:space="0" w:color="000000"/>
              <w:left w:val="single" w:sz="4" w:space="0" w:color="000000"/>
              <w:right w:val="single" w:sz="4" w:space="0" w:color="000000"/>
            </w:tcBorders>
          </w:tcPr>
          <w:p>
            <w:pPr/>
          </w:p>
        </w:tc>
        <w:tc>
          <w:tcPr>
            <w:tcW w:w="1368" w:type="dxa"/>
            <w:tcBorders>
              <w:top w:val="single" w:sz="4" w:space="0" w:color="000000"/>
              <w:left w:val="single" w:sz="4" w:space="0" w:color="000000"/>
              <w:bottom w:val="nil" w:sz="6" w:space="0" w:color="auto"/>
              <w:right w:val="single" w:sz="4" w:space="0" w:color="000000"/>
            </w:tcBorders>
          </w:tcPr>
          <w:p>
            <w:pPr/>
          </w:p>
        </w:tc>
        <w:tc>
          <w:tcPr>
            <w:tcW w:w="1363" w:type="dxa"/>
            <w:tcBorders>
              <w:top w:val="single" w:sz="4" w:space="0" w:color="000000"/>
              <w:left w:val="single" w:sz="4" w:space="0" w:color="000000"/>
              <w:bottom w:val="nil" w:sz="6" w:space="0" w:color="auto"/>
              <w:right w:val="single" w:sz="4" w:space="0" w:color="000000"/>
            </w:tcBorders>
          </w:tcPr>
          <w:p>
            <w:pPr/>
          </w:p>
        </w:tc>
        <w:tc>
          <w:tcPr>
            <w:tcW w:w="1368" w:type="dxa"/>
            <w:vMerge w:val="restart"/>
            <w:tcBorders>
              <w:top w:val="single" w:sz="4" w:space="0" w:color="000000"/>
              <w:left w:val="single" w:sz="4" w:space="0" w:color="000000"/>
              <w:right w:val="single" w:sz="4" w:space="0" w:color="000000"/>
            </w:tcBorders>
          </w:tcPr>
          <w:p>
            <w:pPr/>
          </w:p>
        </w:tc>
        <w:tc>
          <w:tcPr>
            <w:tcW w:w="1368" w:type="dxa"/>
            <w:tcBorders>
              <w:top w:val="single" w:sz="4" w:space="0" w:color="000000"/>
              <w:left w:val="single" w:sz="4" w:space="0" w:color="000000"/>
              <w:bottom w:val="nil" w:sz="6" w:space="0" w:color="auto"/>
              <w:right w:val="single" w:sz="4" w:space="0" w:color="000000"/>
            </w:tcBorders>
          </w:tcPr>
          <w:p>
            <w:pPr/>
          </w:p>
        </w:tc>
      </w:tr>
      <w:tr>
        <w:trPr>
          <w:trHeight w:val="624" w:hRule="exact"/>
        </w:trPr>
        <w:tc>
          <w:tcPr>
            <w:tcW w:w="1368" w:type="dxa"/>
            <w:tcBorders>
              <w:top w:val="nil" w:sz="6" w:space="0" w:color="auto"/>
              <w:left w:val="single" w:sz="4" w:space="0" w:color="000000"/>
              <w:bottom w:val="nil" w:sz="6" w:space="0" w:color="auto"/>
              <w:right w:val="single" w:sz="4" w:space="0" w:color="000000"/>
            </w:tcBorders>
          </w:tcPr>
          <w:p>
            <w:pPr>
              <w:pStyle w:val="TableParagraph"/>
              <w:spacing w:line="316" w:lineRule="auto" w:before="9"/>
              <w:ind w:left="24" w:right="70"/>
              <w:jc w:val="left"/>
              <w:rPr>
                <w:rFonts w:ascii="宋体" w:hAnsi="宋体" w:cs="宋体" w:eastAsia="宋体" w:hint="default"/>
                <w:sz w:val="18"/>
                <w:szCs w:val="18"/>
              </w:rPr>
            </w:pPr>
            <w:r>
              <w:rPr>
                <w:rFonts w:ascii="宋体" w:hAnsi="宋体" w:cs="宋体" w:eastAsia="宋体" w:hint="default"/>
                <w:spacing w:val="-3"/>
                <w:sz w:val="18"/>
                <w:szCs w:val="18"/>
              </w:rPr>
              <w:t>刷生产线及北京</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数字化印刷基地</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397,976.35</w:t>
            </w:r>
          </w:p>
        </w:tc>
        <w:tc>
          <w:tcPr>
            <w:tcW w:w="1368" w:type="dxa"/>
            <w:vMerge/>
            <w:tcBorders>
              <w:left w:val="single" w:sz="4" w:space="0" w:color="000000"/>
              <w:right w:val="single" w:sz="4" w:space="0" w:color="000000"/>
            </w:tcBorders>
          </w:tcPr>
          <w:p>
            <w:pP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397,976.35</w:t>
            </w:r>
          </w:p>
        </w:tc>
        <w:tc>
          <w:tcPr>
            <w:tcW w:w="13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37,815,015.39</w:t>
            </w:r>
          </w:p>
        </w:tc>
        <w:tc>
          <w:tcPr>
            <w:tcW w:w="1368" w:type="dxa"/>
            <w:vMerge/>
            <w:tcBorders>
              <w:left w:val="single" w:sz="4" w:space="0" w:color="000000"/>
              <w:right w:val="single" w:sz="4" w:space="0" w:color="000000"/>
            </w:tcBorders>
          </w:tcPr>
          <w:p>
            <w:pP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37,815,015.39</w:t>
            </w:r>
          </w:p>
        </w:tc>
      </w:tr>
      <w:tr>
        <w:trPr>
          <w:trHeight w:val="358" w:hRule="exact"/>
        </w:trPr>
        <w:tc>
          <w:tcPr>
            <w:tcW w:w="136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建设项目</w:t>
            </w:r>
          </w:p>
        </w:tc>
        <w:tc>
          <w:tcPr>
            <w:tcW w:w="1368" w:type="dxa"/>
            <w:tcBorders>
              <w:top w:val="nil" w:sz="6" w:space="0" w:color="auto"/>
              <w:left w:val="single" w:sz="4" w:space="0" w:color="000000"/>
              <w:bottom w:val="single" w:sz="4" w:space="0" w:color="000000"/>
              <w:right w:val="single" w:sz="4" w:space="0" w:color="000000"/>
            </w:tcBorders>
          </w:tcPr>
          <w:p>
            <w:pPr/>
          </w:p>
        </w:tc>
        <w:tc>
          <w:tcPr>
            <w:tcW w:w="1368" w:type="dxa"/>
            <w:vMerge/>
            <w:tcBorders>
              <w:left w:val="single" w:sz="4" w:space="0" w:color="000000"/>
              <w:bottom w:val="single" w:sz="4" w:space="0" w:color="000000"/>
              <w:right w:val="single" w:sz="4" w:space="0" w:color="000000"/>
            </w:tcBorders>
          </w:tcPr>
          <w:p>
            <w:pPr/>
          </w:p>
        </w:tc>
        <w:tc>
          <w:tcPr>
            <w:tcW w:w="1368" w:type="dxa"/>
            <w:tcBorders>
              <w:top w:val="nil" w:sz="6" w:space="0" w:color="auto"/>
              <w:left w:val="single" w:sz="4" w:space="0" w:color="000000"/>
              <w:bottom w:val="single" w:sz="4" w:space="0" w:color="000000"/>
              <w:right w:val="single" w:sz="4" w:space="0" w:color="000000"/>
            </w:tcBorders>
          </w:tcPr>
          <w:p>
            <w:pPr/>
          </w:p>
        </w:tc>
        <w:tc>
          <w:tcPr>
            <w:tcW w:w="1363" w:type="dxa"/>
            <w:tcBorders>
              <w:top w:val="nil" w:sz="6" w:space="0" w:color="auto"/>
              <w:left w:val="single" w:sz="4" w:space="0" w:color="000000"/>
              <w:bottom w:val="single" w:sz="4" w:space="0" w:color="000000"/>
              <w:right w:val="single" w:sz="4" w:space="0" w:color="000000"/>
            </w:tcBorders>
          </w:tcPr>
          <w:p>
            <w:pPr/>
          </w:p>
        </w:tc>
        <w:tc>
          <w:tcPr>
            <w:tcW w:w="1368" w:type="dxa"/>
            <w:vMerge/>
            <w:tcBorders>
              <w:left w:val="single" w:sz="4" w:space="0" w:color="000000"/>
              <w:bottom w:val="single" w:sz="4" w:space="0" w:color="000000"/>
              <w:right w:val="single" w:sz="4" w:space="0" w:color="000000"/>
            </w:tcBorders>
          </w:tcPr>
          <w:p>
            <w:pPr/>
          </w:p>
        </w:tc>
        <w:tc>
          <w:tcPr>
            <w:tcW w:w="1368" w:type="dxa"/>
            <w:tcBorders>
              <w:top w:val="nil" w:sz="6" w:space="0" w:color="auto"/>
              <w:left w:val="single" w:sz="4" w:space="0" w:color="000000"/>
              <w:bottom w:val="single" w:sz="4" w:space="0" w:color="000000"/>
              <w:right w:val="single" w:sz="4" w:space="0" w:color="000000"/>
            </w:tcBorders>
          </w:tcPr>
          <w:p>
            <w:pPr/>
          </w:p>
        </w:tc>
      </w:tr>
      <w:tr>
        <w:trPr>
          <w:trHeight w:val="398"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24" w:right="0"/>
              <w:jc w:val="left"/>
              <w:rPr>
                <w:rFonts w:ascii="宋体" w:hAnsi="宋体" w:cs="宋体" w:eastAsia="宋体" w:hint="default"/>
                <w:sz w:val="18"/>
                <w:szCs w:val="18"/>
              </w:rPr>
            </w:pPr>
            <w:r>
              <w:rPr>
                <w:rFonts w:ascii="宋体" w:hAnsi="宋体" w:cs="宋体" w:eastAsia="宋体" w:hint="default"/>
                <w:spacing w:val="-3"/>
                <w:sz w:val="18"/>
                <w:szCs w:val="18"/>
              </w:rPr>
              <w:t>中科彩新厂房分</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5,133,949.99</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5,133,949.99</w:t>
            </w:r>
          </w:p>
        </w:tc>
        <w:tc>
          <w:tcPr>
            <w:tcW w:w="136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1368"/>
        <w:gridCol w:w="1368"/>
        <w:gridCol w:w="1363"/>
        <w:gridCol w:w="1368"/>
        <w:gridCol w:w="1368"/>
      </w:tblGrid>
      <w:tr>
        <w:trPr>
          <w:trHeight w:val="36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pacing w:val="-3"/>
                <w:sz w:val="18"/>
                <w:szCs w:val="18"/>
              </w:rPr>
              <w:t>书机及其他设备</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4" w:right="70"/>
              <w:jc w:val="left"/>
              <w:rPr>
                <w:rFonts w:ascii="宋体" w:hAnsi="宋体" w:cs="宋体" w:eastAsia="宋体" w:hint="default"/>
                <w:sz w:val="18"/>
                <w:szCs w:val="18"/>
              </w:rPr>
            </w:pPr>
            <w:r>
              <w:rPr>
                <w:rFonts w:ascii="宋体" w:hAnsi="宋体" w:cs="宋体" w:eastAsia="宋体" w:hint="default"/>
                <w:spacing w:val="-3"/>
                <w:sz w:val="18"/>
                <w:szCs w:val="18"/>
              </w:rPr>
              <w:t>无锡双龙厂房及</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办公楼建设</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3,499,991.20</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3,499,991.20</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36,330.10</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36,330.10</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宫腰机</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0.00</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4,410,256.44</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4,410,256.44</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3"/>
              <w:ind w:left="24" w:right="161"/>
              <w:jc w:val="left"/>
              <w:rPr>
                <w:rFonts w:ascii="宋体" w:hAnsi="宋体" w:cs="宋体" w:eastAsia="宋体" w:hint="default"/>
                <w:sz w:val="18"/>
                <w:szCs w:val="18"/>
              </w:rPr>
            </w:pPr>
            <w:r>
              <w:rPr>
                <w:rFonts w:ascii="Times New Roman" w:hAnsi="Times New Roman" w:cs="Times New Roman" w:eastAsia="Times New Roman" w:hint="default"/>
                <w:sz w:val="18"/>
                <w:szCs w:val="18"/>
              </w:rPr>
              <w:t>EMV </w:t>
            </w:r>
            <w:r>
              <w:rPr>
                <w:rFonts w:ascii="宋体" w:hAnsi="宋体" w:cs="宋体" w:eastAsia="宋体" w:hint="default"/>
                <w:sz w:val="18"/>
                <w:szCs w:val="18"/>
              </w:rPr>
              <w:t>个人化发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卡系统</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256,410.25</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256,410.25</w:t>
            </w:r>
          </w:p>
        </w:tc>
        <w:tc>
          <w:tcPr>
            <w:tcW w:w="136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0.00</w:t>
            </w:r>
          </w:p>
        </w:tc>
      </w:tr>
      <w:tr>
        <w:trPr>
          <w:trHeight w:val="398"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山拓激光机</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98,290.60</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98,290.60</w:t>
            </w:r>
          </w:p>
        </w:tc>
        <w:tc>
          <w:tcPr>
            <w:tcW w:w="136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10,796,874.84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10,796,874.84</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48,714,593.45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48,714,593.45</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）重要在建工程项目本期变动情况</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734"/>
        <w:gridCol w:w="734"/>
        <w:gridCol w:w="734"/>
        <w:gridCol w:w="739"/>
        <w:gridCol w:w="734"/>
        <w:gridCol w:w="734"/>
        <w:gridCol w:w="739"/>
        <w:gridCol w:w="734"/>
        <w:gridCol w:w="734"/>
        <w:gridCol w:w="739"/>
        <w:gridCol w:w="734"/>
        <w:gridCol w:w="734"/>
        <w:gridCol w:w="739"/>
      </w:tblGrid>
      <w:tr>
        <w:trPr>
          <w:trHeight w:val="1339" w:hRule="exact"/>
        </w:trPr>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268" w:right="89" w:hanging="178"/>
              <w:jc w:val="left"/>
              <w:rPr>
                <w:rFonts w:ascii="宋体" w:hAnsi="宋体" w:cs="宋体" w:eastAsia="宋体" w:hint="default"/>
                <w:sz w:val="18"/>
                <w:szCs w:val="18"/>
              </w:rPr>
            </w:pPr>
            <w:r>
              <w:rPr>
                <w:rFonts w:ascii="宋体" w:hAnsi="宋体" w:cs="宋体" w:eastAsia="宋体" w:hint="default"/>
                <w:sz w:val="18"/>
                <w:szCs w:val="18"/>
              </w:rPr>
              <w:t>项目名</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称</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86" w:right="0"/>
              <w:jc w:val="left"/>
              <w:rPr>
                <w:rFonts w:ascii="宋体" w:hAnsi="宋体" w:cs="宋体" w:eastAsia="宋体" w:hint="default"/>
                <w:sz w:val="18"/>
                <w:szCs w:val="18"/>
              </w:rPr>
            </w:pPr>
            <w:r>
              <w:rPr>
                <w:rFonts w:ascii="宋体" w:hAnsi="宋体" w:cs="宋体" w:eastAsia="宋体" w:hint="default"/>
                <w:sz w:val="18"/>
                <w:szCs w:val="18"/>
              </w:rPr>
              <w:t>预算数</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273" w:right="84" w:hanging="178"/>
              <w:jc w:val="left"/>
              <w:rPr>
                <w:rFonts w:ascii="宋体" w:hAnsi="宋体" w:cs="宋体" w:eastAsia="宋体" w:hint="default"/>
                <w:sz w:val="18"/>
                <w:szCs w:val="18"/>
              </w:rPr>
            </w:pPr>
            <w:r>
              <w:rPr>
                <w:rFonts w:ascii="宋体" w:hAnsi="宋体" w:cs="宋体" w:eastAsia="宋体" w:hint="default"/>
                <w:sz w:val="18"/>
                <w:szCs w:val="18"/>
              </w:rPr>
              <w:t>期初余</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额</w:t>
            </w:r>
          </w:p>
        </w:tc>
        <w:tc>
          <w:tcPr>
            <w:tcW w:w="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91" w:right="89" w:firstLine="4"/>
              <w:jc w:val="left"/>
              <w:rPr>
                <w:rFonts w:ascii="宋体" w:hAnsi="宋体" w:cs="宋体" w:eastAsia="宋体" w:hint="default"/>
                <w:sz w:val="18"/>
                <w:szCs w:val="18"/>
              </w:rPr>
            </w:pPr>
            <w:r>
              <w:rPr>
                <w:rFonts w:ascii="宋体" w:hAnsi="宋体" w:cs="宋体" w:eastAsia="宋体" w:hint="default"/>
                <w:sz w:val="18"/>
                <w:szCs w:val="18"/>
              </w:rPr>
              <w:t>本期增</w:t>
            </w:r>
            <w:r>
              <w:rPr>
                <w:rFonts w:ascii="宋体" w:hAnsi="宋体" w:cs="宋体" w:eastAsia="宋体" w:hint="default"/>
                <w:w w:val="101"/>
                <w:sz w:val="18"/>
                <w:szCs w:val="18"/>
              </w:rPr>
              <w:t> </w:t>
            </w:r>
            <w:r>
              <w:rPr>
                <w:rFonts w:ascii="宋体" w:hAnsi="宋体" w:cs="宋体" w:eastAsia="宋体" w:hint="default"/>
                <w:sz w:val="18"/>
                <w:szCs w:val="18"/>
              </w:rPr>
              <w:t>加金额</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91" w:right="89"/>
              <w:jc w:val="center"/>
              <w:rPr>
                <w:rFonts w:ascii="宋体" w:hAnsi="宋体" w:cs="宋体" w:eastAsia="宋体" w:hint="default"/>
                <w:sz w:val="18"/>
                <w:szCs w:val="18"/>
              </w:rPr>
            </w:pPr>
            <w:r>
              <w:rPr>
                <w:rFonts w:ascii="宋体" w:hAnsi="宋体" w:cs="宋体" w:eastAsia="宋体" w:hint="default"/>
                <w:spacing w:val="-2"/>
                <w:sz w:val="18"/>
                <w:szCs w:val="18"/>
              </w:rPr>
              <w:t>本期转</w:t>
            </w:r>
            <w:r>
              <w:rPr>
                <w:rFonts w:ascii="宋体" w:hAnsi="宋体" w:cs="宋体" w:eastAsia="宋体" w:hint="default"/>
                <w:w w:val="101"/>
                <w:sz w:val="18"/>
                <w:szCs w:val="18"/>
              </w:rPr>
              <w:t> </w:t>
            </w:r>
            <w:r>
              <w:rPr>
                <w:rFonts w:ascii="宋体" w:hAnsi="宋体" w:cs="宋体" w:eastAsia="宋体" w:hint="default"/>
                <w:spacing w:val="-2"/>
                <w:sz w:val="18"/>
                <w:szCs w:val="18"/>
              </w:rPr>
              <w:t>入固定</w:t>
            </w:r>
            <w:r>
              <w:rPr>
                <w:rFonts w:ascii="宋体" w:hAnsi="宋体" w:cs="宋体" w:eastAsia="宋体" w:hint="default"/>
                <w:w w:val="101"/>
                <w:sz w:val="18"/>
                <w:szCs w:val="18"/>
              </w:rPr>
              <w:t> </w:t>
            </w:r>
            <w:r>
              <w:rPr>
                <w:rFonts w:ascii="宋体" w:hAnsi="宋体" w:cs="宋体" w:eastAsia="宋体" w:hint="default"/>
                <w:spacing w:val="-2"/>
                <w:sz w:val="18"/>
                <w:szCs w:val="18"/>
              </w:rPr>
              <w:t>资产金</w:t>
            </w:r>
            <w:r>
              <w:rPr>
                <w:rFonts w:ascii="宋体" w:hAnsi="宋体" w:cs="宋体" w:eastAsia="宋体" w:hint="default"/>
                <w:w w:val="101"/>
                <w:sz w:val="18"/>
                <w:szCs w:val="18"/>
              </w:rPr>
              <w:t> </w:t>
            </w:r>
            <w:r>
              <w:rPr>
                <w:rFonts w:ascii="宋体" w:hAnsi="宋体" w:cs="宋体" w:eastAsia="宋体" w:hint="default"/>
                <w:sz w:val="18"/>
                <w:szCs w:val="18"/>
              </w:rPr>
              <w:t>额</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95" w:right="84"/>
              <w:jc w:val="both"/>
              <w:rPr>
                <w:rFonts w:ascii="宋体" w:hAnsi="宋体" w:cs="宋体" w:eastAsia="宋体" w:hint="default"/>
                <w:sz w:val="18"/>
                <w:szCs w:val="18"/>
              </w:rPr>
            </w:pPr>
            <w:r>
              <w:rPr>
                <w:rFonts w:ascii="宋体" w:hAnsi="宋体" w:cs="宋体" w:eastAsia="宋体" w:hint="default"/>
                <w:sz w:val="18"/>
                <w:szCs w:val="18"/>
              </w:rPr>
              <w:t>本期其</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他减少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金额</w:t>
            </w:r>
          </w:p>
        </w:tc>
        <w:tc>
          <w:tcPr>
            <w:tcW w:w="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273" w:right="89" w:hanging="178"/>
              <w:jc w:val="left"/>
              <w:rPr>
                <w:rFonts w:ascii="宋体" w:hAnsi="宋体" w:cs="宋体" w:eastAsia="宋体" w:hint="default"/>
                <w:sz w:val="18"/>
                <w:szCs w:val="18"/>
              </w:rPr>
            </w:pPr>
            <w:r>
              <w:rPr>
                <w:rFonts w:ascii="宋体" w:hAnsi="宋体" w:cs="宋体" w:eastAsia="宋体" w:hint="default"/>
                <w:sz w:val="18"/>
                <w:szCs w:val="18"/>
              </w:rPr>
              <w:t>期末余</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额</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91" w:right="89"/>
              <w:jc w:val="both"/>
              <w:rPr>
                <w:rFonts w:ascii="宋体" w:hAnsi="宋体" w:cs="宋体" w:eastAsia="宋体" w:hint="default"/>
                <w:sz w:val="18"/>
                <w:szCs w:val="18"/>
              </w:rPr>
            </w:pPr>
            <w:r>
              <w:rPr>
                <w:rFonts w:ascii="宋体" w:hAnsi="宋体" w:cs="宋体" w:eastAsia="宋体" w:hint="default"/>
                <w:sz w:val="18"/>
                <w:szCs w:val="18"/>
              </w:rPr>
              <w:t>工程累</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计投入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占预算</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比例</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273" w:right="84" w:hanging="178"/>
              <w:jc w:val="left"/>
              <w:rPr>
                <w:rFonts w:ascii="宋体" w:hAnsi="宋体" w:cs="宋体" w:eastAsia="宋体" w:hint="default"/>
                <w:sz w:val="18"/>
                <w:szCs w:val="18"/>
              </w:rPr>
            </w:pPr>
            <w:r>
              <w:rPr>
                <w:rFonts w:ascii="宋体" w:hAnsi="宋体" w:cs="宋体" w:eastAsia="宋体" w:hint="default"/>
                <w:sz w:val="18"/>
                <w:szCs w:val="18"/>
              </w:rPr>
              <w:t>工程进</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度</w:t>
            </w:r>
          </w:p>
        </w:tc>
        <w:tc>
          <w:tcPr>
            <w:tcW w:w="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91" w:right="89" w:firstLine="4"/>
              <w:jc w:val="both"/>
              <w:rPr>
                <w:rFonts w:ascii="宋体" w:hAnsi="宋体" w:cs="宋体" w:eastAsia="宋体" w:hint="default"/>
                <w:sz w:val="18"/>
                <w:szCs w:val="18"/>
              </w:rPr>
            </w:pPr>
            <w:r>
              <w:rPr>
                <w:rFonts w:ascii="宋体" w:hAnsi="宋体" w:cs="宋体" w:eastAsia="宋体" w:hint="default"/>
                <w:sz w:val="18"/>
                <w:szCs w:val="18"/>
              </w:rPr>
              <w:t>利息资</w:t>
            </w:r>
            <w:r>
              <w:rPr>
                <w:rFonts w:ascii="宋体" w:hAnsi="宋体" w:cs="宋体" w:eastAsia="宋体" w:hint="default"/>
                <w:w w:val="101"/>
                <w:sz w:val="18"/>
                <w:szCs w:val="18"/>
              </w:rPr>
              <w:t> </w:t>
            </w:r>
            <w:r>
              <w:rPr>
                <w:rFonts w:ascii="宋体" w:hAnsi="宋体" w:cs="宋体" w:eastAsia="宋体" w:hint="default"/>
                <w:sz w:val="18"/>
                <w:szCs w:val="18"/>
              </w:rPr>
              <w:t>本化累</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计金额</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9" w:right="17"/>
              <w:jc w:val="center"/>
              <w:rPr>
                <w:rFonts w:ascii="宋体" w:hAnsi="宋体" w:cs="宋体" w:eastAsia="宋体" w:hint="default"/>
                <w:sz w:val="18"/>
                <w:szCs w:val="18"/>
              </w:rPr>
            </w:pPr>
            <w:r>
              <w:rPr>
                <w:rFonts w:ascii="宋体" w:hAnsi="宋体" w:cs="宋体" w:eastAsia="宋体" w:hint="default"/>
                <w:spacing w:val="-11"/>
                <w:sz w:val="18"/>
                <w:szCs w:val="18"/>
              </w:rPr>
              <w:t>其中：本</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期利息</w:t>
            </w:r>
            <w:r>
              <w:rPr>
                <w:rFonts w:ascii="宋体" w:hAnsi="宋体" w:cs="宋体" w:eastAsia="宋体" w:hint="default"/>
                <w:w w:val="101"/>
                <w:sz w:val="18"/>
                <w:szCs w:val="18"/>
              </w:rPr>
              <w:t> </w:t>
            </w:r>
            <w:r>
              <w:rPr>
                <w:rFonts w:ascii="宋体" w:hAnsi="宋体" w:cs="宋体" w:eastAsia="宋体" w:hint="default"/>
                <w:sz w:val="18"/>
                <w:szCs w:val="18"/>
              </w:rPr>
              <w:t>资本化</w:t>
            </w:r>
            <w:r>
              <w:rPr>
                <w:rFonts w:ascii="宋体" w:hAnsi="宋体" w:cs="宋体" w:eastAsia="宋体" w:hint="default"/>
                <w:w w:val="101"/>
                <w:sz w:val="18"/>
                <w:szCs w:val="18"/>
              </w:rPr>
              <w:t> </w:t>
            </w:r>
            <w:r>
              <w:rPr>
                <w:rFonts w:ascii="宋体" w:hAnsi="宋体" w:cs="宋体" w:eastAsia="宋体" w:hint="default"/>
                <w:sz w:val="18"/>
                <w:szCs w:val="18"/>
              </w:rPr>
              <w:t>金额</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95" w:right="84"/>
              <w:jc w:val="both"/>
              <w:rPr>
                <w:rFonts w:ascii="宋体" w:hAnsi="宋体" w:cs="宋体" w:eastAsia="宋体" w:hint="default"/>
                <w:sz w:val="18"/>
                <w:szCs w:val="18"/>
              </w:rPr>
            </w:pPr>
            <w:r>
              <w:rPr>
                <w:rFonts w:ascii="宋体" w:hAnsi="宋体" w:cs="宋体" w:eastAsia="宋体" w:hint="default"/>
                <w:sz w:val="18"/>
                <w:szCs w:val="18"/>
              </w:rPr>
              <w:t>本期利</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息资本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化率</w:t>
            </w:r>
          </w:p>
        </w:tc>
        <w:tc>
          <w:tcPr>
            <w:tcW w:w="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273" w:right="89" w:hanging="178"/>
              <w:jc w:val="left"/>
              <w:rPr>
                <w:rFonts w:ascii="宋体" w:hAnsi="宋体" w:cs="宋体" w:eastAsia="宋体" w:hint="default"/>
                <w:sz w:val="18"/>
                <w:szCs w:val="18"/>
              </w:rPr>
            </w:pPr>
            <w:r>
              <w:rPr>
                <w:rFonts w:ascii="宋体" w:hAnsi="宋体" w:cs="宋体" w:eastAsia="宋体" w:hint="default"/>
                <w:sz w:val="18"/>
                <w:szCs w:val="18"/>
              </w:rPr>
              <w:t>资金来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源</w:t>
            </w:r>
          </w:p>
        </w:tc>
      </w:tr>
      <w:tr>
        <w:trPr>
          <w:trHeight w:val="357" w:hRule="exact"/>
        </w:trPr>
        <w:tc>
          <w:tcPr>
            <w:tcW w:w="7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全自动</w:t>
            </w: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9" w:type="dxa"/>
            <w:vMerge w:val="restart"/>
            <w:tcBorders>
              <w:top w:val="single" w:sz="4" w:space="0" w:color="000000"/>
              <w:left w:val="single" w:sz="4" w:space="0" w:color="000000"/>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vMerge w:val="restart"/>
            <w:tcBorders>
              <w:top w:val="single" w:sz="4" w:space="0" w:color="000000"/>
              <w:left w:val="single" w:sz="4" w:space="0" w:color="000000"/>
              <w:right w:val="single" w:sz="4" w:space="0" w:color="000000"/>
            </w:tcBorders>
          </w:tcPr>
          <w:p>
            <w:pPr/>
          </w:p>
        </w:tc>
        <w:tc>
          <w:tcPr>
            <w:tcW w:w="739"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9" w:type="dxa"/>
            <w:vMerge w:val="restart"/>
            <w:tcBorders>
              <w:top w:val="single" w:sz="4" w:space="0" w:color="000000"/>
              <w:left w:val="single" w:sz="4" w:space="0" w:color="000000"/>
              <w:right w:val="single" w:sz="4" w:space="0" w:color="000000"/>
            </w:tcBorders>
          </w:tcPr>
          <w:p>
            <w:pPr/>
          </w:p>
        </w:tc>
        <w:tc>
          <w:tcPr>
            <w:tcW w:w="734" w:type="dxa"/>
            <w:vMerge w:val="restart"/>
            <w:tcBorders>
              <w:top w:val="single" w:sz="4" w:space="0" w:color="000000"/>
              <w:left w:val="single" w:sz="4" w:space="0" w:color="000000"/>
              <w:right w:val="single" w:sz="4" w:space="0" w:color="000000"/>
            </w:tcBorders>
          </w:tcPr>
          <w:p>
            <w:pPr/>
          </w:p>
        </w:tc>
        <w:tc>
          <w:tcPr>
            <w:tcW w:w="734" w:type="dxa"/>
            <w:vMerge w:val="restart"/>
            <w:tcBorders>
              <w:top w:val="single" w:sz="4" w:space="0" w:color="000000"/>
              <w:left w:val="single" w:sz="4" w:space="0" w:color="000000"/>
              <w:right w:val="single" w:sz="4" w:space="0" w:color="000000"/>
            </w:tcBorders>
          </w:tcPr>
          <w:p>
            <w:pPr/>
          </w:p>
        </w:tc>
        <w:tc>
          <w:tcPr>
            <w:tcW w:w="739" w:type="dxa"/>
            <w:tcBorders>
              <w:top w:val="single" w:sz="4" w:space="0" w:color="000000"/>
              <w:left w:val="single" w:sz="4" w:space="0" w:color="000000"/>
              <w:bottom w:val="nil" w:sz="6" w:space="0" w:color="auto"/>
              <w:right w:val="single" w:sz="4" w:space="0" w:color="000000"/>
            </w:tcBorders>
          </w:tcPr>
          <w:p>
            <w:pPr/>
          </w:p>
        </w:tc>
      </w:tr>
      <w:tr>
        <w:trPr>
          <w:trHeight w:val="631" w:hRule="exact"/>
        </w:trPr>
        <w:tc>
          <w:tcPr>
            <w:tcW w:w="734" w:type="dxa"/>
            <w:tcBorders>
              <w:top w:val="nil" w:sz="6" w:space="0" w:color="auto"/>
              <w:left w:val="single" w:sz="4" w:space="0" w:color="000000"/>
              <w:bottom w:val="nil" w:sz="6" w:space="0" w:color="auto"/>
              <w:right w:val="single" w:sz="4" w:space="0" w:color="000000"/>
            </w:tcBorders>
          </w:tcPr>
          <w:p>
            <w:pPr>
              <w:pStyle w:val="TableParagraph"/>
              <w:spacing w:line="316" w:lineRule="auto" w:before="9"/>
              <w:ind w:left="24" w:right="156"/>
              <w:jc w:val="left"/>
              <w:rPr>
                <w:rFonts w:ascii="宋体" w:hAnsi="宋体" w:cs="宋体" w:eastAsia="宋体" w:hint="default"/>
                <w:sz w:val="18"/>
                <w:szCs w:val="18"/>
              </w:rPr>
            </w:pPr>
            <w:r>
              <w:rPr>
                <w:rFonts w:ascii="宋体" w:hAnsi="宋体" w:cs="宋体" w:eastAsia="宋体" w:hint="default"/>
                <w:sz w:val="18"/>
                <w:szCs w:val="18"/>
              </w:rPr>
              <w:t>智能标</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签生产</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71" w:right="0"/>
              <w:jc w:val="left"/>
              <w:rPr>
                <w:rFonts w:ascii="Times New Roman" w:hAnsi="Times New Roman" w:cs="Times New Roman" w:eastAsia="Times New Roman" w:hint="default"/>
                <w:sz w:val="18"/>
                <w:szCs w:val="18"/>
              </w:rPr>
            </w:pPr>
            <w:r>
              <w:rPr>
                <w:rFonts w:ascii="Times New Roman"/>
                <w:sz w:val="18"/>
              </w:rPr>
              <w:t>49,800,0</w:t>
            </w:r>
          </w:p>
          <w:p>
            <w:pPr>
              <w:pStyle w:val="TableParagraph"/>
              <w:spacing w:line="240" w:lineRule="auto" w:before="105"/>
              <w:ind w:left="292" w:right="0"/>
              <w:jc w:val="left"/>
              <w:rPr>
                <w:rFonts w:ascii="Times New Roman" w:hAnsi="Times New Roman" w:cs="Times New Roman" w:eastAsia="Times New Roman" w:hint="default"/>
                <w:sz w:val="18"/>
                <w:szCs w:val="18"/>
              </w:rPr>
            </w:pPr>
            <w:r>
              <w:rPr>
                <w:rFonts w:ascii="Times New Roman"/>
                <w:sz w:val="18"/>
              </w:rPr>
              <w:t>00.00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76" w:right="0"/>
              <w:jc w:val="left"/>
              <w:rPr>
                <w:rFonts w:ascii="Times New Roman" w:hAnsi="Times New Roman" w:cs="Times New Roman" w:eastAsia="Times New Roman" w:hint="default"/>
                <w:sz w:val="18"/>
                <w:szCs w:val="18"/>
              </w:rPr>
            </w:pPr>
            <w:r>
              <w:rPr>
                <w:rFonts w:ascii="Times New Roman"/>
                <w:sz w:val="18"/>
              </w:rPr>
              <w:t>6,452,99</w:t>
            </w:r>
          </w:p>
          <w:p>
            <w:pPr>
              <w:pStyle w:val="TableParagraph"/>
              <w:spacing w:line="240" w:lineRule="auto" w:before="105"/>
              <w:ind w:left="384" w:right="0"/>
              <w:jc w:val="left"/>
              <w:rPr>
                <w:rFonts w:ascii="Times New Roman" w:hAnsi="Times New Roman" w:cs="Times New Roman" w:eastAsia="Times New Roman" w:hint="default"/>
                <w:sz w:val="18"/>
                <w:szCs w:val="18"/>
              </w:rPr>
            </w:pPr>
            <w:r>
              <w:rPr>
                <w:rFonts w:ascii="Times New Roman"/>
                <w:sz w:val="18"/>
              </w:rPr>
              <w:t>1.52</w:t>
            </w:r>
          </w:p>
        </w:tc>
        <w:tc>
          <w:tcPr>
            <w:tcW w:w="739" w:type="dxa"/>
            <w:vMerge/>
            <w:tcBorders>
              <w:left w:val="single" w:sz="4" w:space="0" w:color="000000"/>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71" w:right="0"/>
              <w:jc w:val="left"/>
              <w:rPr>
                <w:rFonts w:ascii="Times New Roman" w:hAnsi="Times New Roman" w:cs="Times New Roman" w:eastAsia="Times New Roman" w:hint="default"/>
                <w:sz w:val="18"/>
                <w:szCs w:val="18"/>
              </w:rPr>
            </w:pPr>
            <w:r>
              <w:rPr>
                <w:rFonts w:ascii="Times New Roman"/>
                <w:sz w:val="18"/>
              </w:rPr>
              <w:t>5,042,73</w:t>
            </w:r>
          </w:p>
          <w:p>
            <w:pPr>
              <w:pStyle w:val="TableParagraph"/>
              <w:spacing w:line="240" w:lineRule="auto" w:before="105"/>
              <w:ind w:left="379" w:right="0"/>
              <w:jc w:val="left"/>
              <w:rPr>
                <w:rFonts w:ascii="Times New Roman" w:hAnsi="Times New Roman" w:cs="Times New Roman" w:eastAsia="Times New Roman" w:hint="default"/>
                <w:sz w:val="18"/>
                <w:szCs w:val="18"/>
              </w:rPr>
            </w:pPr>
            <w:r>
              <w:rPr>
                <w:rFonts w:ascii="Times New Roman"/>
                <w:sz w:val="18"/>
              </w:rPr>
              <w:t>5.07</w:t>
            </w:r>
          </w:p>
        </w:tc>
        <w:tc>
          <w:tcPr>
            <w:tcW w:w="734" w:type="dxa"/>
            <w:vMerge/>
            <w:tcBorders>
              <w:left w:val="single" w:sz="4" w:space="0" w:color="000000"/>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76" w:right="0"/>
              <w:jc w:val="left"/>
              <w:rPr>
                <w:rFonts w:ascii="Times New Roman" w:hAnsi="Times New Roman" w:cs="Times New Roman" w:eastAsia="Times New Roman" w:hint="default"/>
                <w:sz w:val="18"/>
                <w:szCs w:val="18"/>
              </w:rPr>
            </w:pPr>
            <w:r>
              <w:rPr>
                <w:rFonts w:ascii="Times New Roman"/>
                <w:sz w:val="18"/>
              </w:rPr>
              <w:t>1,410,25</w:t>
            </w:r>
          </w:p>
          <w:p>
            <w:pPr>
              <w:pStyle w:val="TableParagraph"/>
              <w:spacing w:line="240" w:lineRule="auto" w:before="105"/>
              <w:ind w:left="383" w:right="0"/>
              <w:jc w:val="left"/>
              <w:rPr>
                <w:rFonts w:ascii="Times New Roman" w:hAnsi="Times New Roman" w:cs="Times New Roman" w:eastAsia="Times New Roman" w:hint="default"/>
                <w:sz w:val="18"/>
                <w:szCs w:val="18"/>
              </w:rPr>
            </w:pPr>
            <w:r>
              <w:rPr>
                <w:rFonts w:ascii="Times New Roman"/>
                <w:sz w:val="18"/>
              </w:rPr>
              <w:t>6.45</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87.56%</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99.20</w:t>
            </w:r>
          </w:p>
        </w:tc>
        <w:tc>
          <w:tcPr>
            <w:tcW w:w="739" w:type="dxa"/>
            <w:vMerge/>
            <w:tcBorders>
              <w:left w:val="single" w:sz="4" w:space="0" w:color="000000"/>
              <w:right w:val="single" w:sz="4" w:space="0" w:color="000000"/>
            </w:tcBorders>
          </w:tcPr>
          <w:p>
            <w:pPr/>
          </w:p>
        </w:tc>
        <w:tc>
          <w:tcPr>
            <w:tcW w:w="734" w:type="dxa"/>
            <w:vMerge/>
            <w:tcBorders>
              <w:left w:val="single" w:sz="4" w:space="0" w:color="000000"/>
              <w:right w:val="single" w:sz="4" w:space="0" w:color="000000"/>
            </w:tcBorders>
          </w:tcPr>
          <w:p>
            <w:pPr/>
          </w:p>
        </w:tc>
        <w:tc>
          <w:tcPr>
            <w:tcW w:w="734" w:type="dxa"/>
            <w:vMerge/>
            <w:tcBorders>
              <w:left w:val="single" w:sz="4" w:space="0" w:color="000000"/>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316" w:lineRule="auto" w:before="13"/>
              <w:ind w:left="23" w:right="161"/>
              <w:jc w:val="left"/>
              <w:rPr>
                <w:rFonts w:ascii="宋体" w:hAnsi="宋体" w:cs="宋体" w:eastAsia="宋体" w:hint="default"/>
                <w:sz w:val="18"/>
                <w:szCs w:val="18"/>
              </w:rPr>
            </w:pPr>
            <w:r>
              <w:rPr>
                <w:rFonts w:ascii="宋体" w:hAnsi="宋体" w:cs="宋体" w:eastAsia="宋体" w:hint="default"/>
                <w:sz w:val="18"/>
                <w:szCs w:val="18"/>
              </w:rPr>
              <w:t>募股资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金</w:t>
            </w:r>
          </w:p>
        </w:tc>
      </w:tr>
      <w:tr>
        <w:trPr>
          <w:trHeight w:val="346" w:hRule="exact"/>
        </w:trPr>
        <w:tc>
          <w:tcPr>
            <w:tcW w:w="73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sz w:val="18"/>
                <w:szCs w:val="18"/>
              </w:rPr>
              <w:t>线项目</w:t>
            </w: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9" w:type="dxa"/>
            <w:vMerge/>
            <w:tcBorders>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vMerge/>
            <w:tcBorders>
              <w:left w:val="single" w:sz="4" w:space="0" w:color="000000"/>
              <w:bottom w:val="single" w:sz="4" w:space="0" w:color="000000"/>
              <w:right w:val="single" w:sz="4" w:space="0" w:color="000000"/>
            </w:tcBorders>
          </w:tcPr>
          <w:p>
            <w:pPr/>
          </w:p>
        </w:tc>
        <w:tc>
          <w:tcPr>
            <w:tcW w:w="739"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9" w:type="dxa"/>
            <w:vMerge/>
            <w:tcBorders>
              <w:left w:val="single" w:sz="4" w:space="0" w:color="000000"/>
              <w:bottom w:val="single" w:sz="4" w:space="0" w:color="000000"/>
              <w:right w:val="single" w:sz="4" w:space="0" w:color="000000"/>
            </w:tcBorders>
          </w:tcPr>
          <w:p>
            <w:pPr/>
          </w:p>
        </w:tc>
        <w:tc>
          <w:tcPr>
            <w:tcW w:w="734" w:type="dxa"/>
            <w:vMerge/>
            <w:tcBorders>
              <w:left w:val="single" w:sz="4" w:space="0" w:color="000000"/>
              <w:bottom w:val="single" w:sz="4" w:space="0" w:color="000000"/>
              <w:right w:val="single" w:sz="4" w:space="0" w:color="000000"/>
            </w:tcBorders>
          </w:tcPr>
          <w:p>
            <w:pPr/>
          </w:p>
        </w:tc>
        <w:tc>
          <w:tcPr>
            <w:tcW w:w="734" w:type="dxa"/>
            <w:vMerge/>
            <w:tcBorders>
              <w:left w:val="single" w:sz="4" w:space="0" w:color="000000"/>
              <w:bottom w:val="single" w:sz="4" w:space="0" w:color="000000"/>
              <w:right w:val="single" w:sz="4" w:space="0" w:color="000000"/>
            </w:tcBorders>
          </w:tcPr>
          <w:p>
            <w:pPr/>
          </w:p>
        </w:tc>
        <w:tc>
          <w:tcPr>
            <w:tcW w:w="739" w:type="dxa"/>
            <w:tcBorders>
              <w:top w:val="nil" w:sz="6" w:space="0" w:color="auto"/>
              <w:left w:val="single" w:sz="4" w:space="0" w:color="000000"/>
              <w:bottom w:val="single" w:sz="4" w:space="0" w:color="000000"/>
              <w:right w:val="single" w:sz="4" w:space="0" w:color="000000"/>
            </w:tcBorders>
          </w:tcPr>
          <w:p>
            <w:pPr/>
          </w:p>
        </w:tc>
      </w:tr>
      <w:tr>
        <w:trPr>
          <w:trHeight w:val="359" w:hRule="exact"/>
        </w:trPr>
        <w:tc>
          <w:tcPr>
            <w:tcW w:w="7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高档商</w:t>
            </w: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9"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vMerge w:val="restart"/>
            <w:tcBorders>
              <w:top w:val="single" w:sz="4" w:space="0" w:color="000000"/>
              <w:left w:val="single" w:sz="4" w:space="0" w:color="000000"/>
              <w:right w:val="single" w:sz="4" w:space="0" w:color="000000"/>
            </w:tcBorders>
          </w:tcPr>
          <w:p>
            <w:pPr/>
          </w:p>
        </w:tc>
        <w:tc>
          <w:tcPr>
            <w:tcW w:w="739"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9" w:type="dxa"/>
            <w:vMerge w:val="restart"/>
            <w:tcBorders>
              <w:top w:val="single" w:sz="4" w:space="0" w:color="000000"/>
              <w:left w:val="single" w:sz="4" w:space="0" w:color="000000"/>
              <w:right w:val="single" w:sz="4" w:space="0" w:color="000000"/>
            </w:tcBorders>
          </w:tcPr>
          <w:p>
            <w:pPr/>
          </w:p>
        </w:tc>
        <w:tc>
          <w:tcPr>
            <w:tcW w:w="734" w:type="dxa"/>
            <w:vMerge w:val="restart"/>
            <w:tcBorders>
              <w:top w:val="single" w:sz="4" w:space="0" w:color="000000"/>
              <w:left w:val="single" w:sz="4" w:space="0" w:color="000000"/>
              <w:right w:val="single" w:sz="4" w:space="0" w:color="000000"/>
            </w:tcBorders>
          </w:tcPr>
          <w:p>
            <w:pPr/>
          </w:p>
        </w:tc>
        <w:tc>
          <w:tcPr>
            <w:tcW w:w="734" w:type="dxa"/>
            <w:vMerge w:val="restart"/>
            <w:tcBorders>
              <w:top w:val="single" w:sz="4" w:space="0" w:color="000000"/>
              <w:left w:val="single" w:sz="4" w:space="0" w:color="000000"/>
              <w:right w:val="single" w:sz="4" w:space="0" w:color="000000"/>
            </w:tcBorders>
          </w:tcPr>
          <w:p>
            <w:pPr/>
          </w:p>
        </w:tc>
        <w:tc>
          <w:tcPr>
            <w:tcW w:w="739"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业票据</w:t>
            </w:r>
          </w:p>
        </w:tc>
        <w:tc>
          <w:tcPr>
            <w:tcW w:w="734"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4" w:type="dxa"/>
            <w:vMerge/>
            <w:tcBorders>
              <w:left w:val="single" w:sz="4" w:space="0" w:color="000000"/>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9" w:type="dxa"/>
            <w:vMerge/>
            <w:tcBorders>
              <w:left w:val="single" w:sz="4" w:space="0" w:color="000000"/>
              <w:right w:val="single" w:sz="4" w:space="0" w:color="000000"/>
            </w:tcBorders>
          </w:tcPr>
          <w:p>
            <w:pPr/>
          </w:p>
        </w:tc>
        <w:tc>
          <w:tcPr>
            <w:tcW w:w="734" w:type="dxa"/>
            <w:vMerge/>
            <w:tcBorders>
              <w:left w:val="single" w:sz="4" w:space="0" w:color="000000"/>
              <w:right w:val="single" w:sz="4" w:space="0" w:color="000000"/>
            </w:tcBorders>
          </w:tcPr>
          <w:p>
            <w:pPr/>
          </w:p>
        </w:tc>
        <w:tc>
          <w:tcPr>
            <w:tcW w:w="734" w:type="dxa"/>
            <w:vMerge/>
            <w:tcBorders>
              <w:left w:val="single" w:sz="4" w:space="0" w:color="000000"/>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印刷生</w:t>
            </w:r>
          </w:p>
        </w:tc>
        <w:tc>
          <w:tcPr>
            <w:tcW w:w="734"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4" w:type="dxa"/>
            <w:vMerge/>
            <w:tcBorders>
              <w:left w:val="single" w:sz="4" w:space="0" w:color="000000"/>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9" w:type="dxa"/>
            <w:vMerge/>
            <w:tcBorders>
              <w:left w:val="single" w:sz="4" w:space="0" w:color="000000"/>
              <w:right w:val="single" w:sz="4" w:space="0" w:color="000000"/>
            </w:tcBorders>
          </w:tcPr>
          <w:p>
            <w:pPr/>
          </w:p>
        </w:tc>
        <w:tc>
          <w:tcPr>
            <w:tcW w:w="734" w:type="dxa"/>
            <w:vMerge/>
            <w:tcBorders>
              <w:left w:val="single" w:sz="4" w:space="0" w:color="000000"/>
              <w:right w:val="single" w:sz="4" w:space="0" w:color="000000"/>
            </w:tcBorders>
          </w:tcPr>
          <w:p>
            <w:pPr/>
          </w:p>
        </w:tc>
        <w:tc>
          <w:tcPr>
            <w:tcW w:w="734" w:type="dxa"/>
            <w:vMerge/>
            <w:tcBorders>
              <w:left w:val="single" w:sz="4" w:space="0" w:color="000000"/>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r>
      <w:tr>
        <w:trPr>
          <w:trHeight w:val="936" w:hRule="exact"/>
        </w:trPr>
        <w:tc>
          <w:tcPr>
            <w:tcW w:w="734" w:type="dxa"/>
            <w:tcBorders>
              <w:top w:val="nil" w:sz="6" w:space="0" w:color="auto"/>
              <w:left w:val="single" w:sz="4" w:space="0" w:color="000000"/>
              <w:bottom w:val="nil" w:sz="6" w:space="0" w:color="auto"/>
              <w:right w:val="single" w:sz="4" w:space="0" w:color="000000"/>
            </w:tcBorders>
          </w:tcPr>
          <w:p>
            <w:pPr>
              <w:pStyle w:val="TableParagraph"/>
              <w:spacing w:line="316" w:lineRule="auto" w:before="11"/>
              <w:ind w:left="24" w:right="156"/>
              <w:jc w:val="both"/>
              <w:rPr>
                <w:rFonts w:ascii="宋体" w:hAnsi="宋体" w:cs="宋体" w:eastAsia="宋体" w:hint="default"/>
                <w:sz w:val="18"/>
                <w:szCs w:val="18"/>
              </w:rPr>
            </w:pPr>
            <w:r>
              <w:rPr>
                <w:rFonts w:ascii="宋体" w:hAnsi="宋体" w:cs="宋体" w:eastAsia="宋体" w:hint="default"/>
                <w:sz w:val="18"/>
                <w:szCs w:val="18"/>
              </w:rPr>
              <w:t>产线及</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北京数</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字化印</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0" w:right="0"/>
              <w:jc w:val="center"/>
              <w:rPr>
                <w:rFonts w:ascii="Times New Roman" w:hAnsi="Times New Roman" w:cs="Times New Roman" w:eastAsia="Times New Roman" w:hint="default"/>
                <w:sz w:val="18"/>
                <w:szCs w:val="18"/>
              </w:rPr>
            </w:pPr>
            <w:r>
              <w:rPr>
                <w:rFonts w:ascii="Times New Roman"/>
                <w:sz w:val="18"/>
              </w:rPr>
              <w:t>375,000,</w:t>
            </w:r>
          </w:p>
          <w:p>
            <w:pPr>
              <w:pStyle w:val="TableParagraph"/>
              <w:spacing w:line="240" w:lineRule="auto" w:before="110"/>
              <w:ind w:left="177" w:right="0"/>
              <w:jc w:val="center"/>
              <w:rPr>
                <w:rFonts w:ascii="Times New Roman" w:hAnsi="Times New Roman" w:cs="Times New Roman" w:eastAsia="Times New Roman" w:hint="default"/>
                <w:sz w:val="18"/>
                <w:szCs w:val="18"/>
              </w:rPr>
            </w:pPr>
            <w:r>
              <w:rPr>
                <w:rFonts w:ascii="Times New Roman"/>
                <w:sz w:val="18"/>
              </w:rPr>
              <w:t>000.00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37,815,0</w:t>
            </w:r>
          </w:p>
          <w:p>
            <w:pPr>
              <w:pStyle w:val="TableParagraph"/>
              <w:spacing w:line="240" w:lineRule="auto" w:before="110"/>
              <w:ind w:left="297" w:right="0"/>
              <w:jc w:val="left"/>
              <w:rPr>
                <w:rFonts w:ascii="Times New Roman" w:hAnsi="Times New Roman" w:cs="Times New Roman" w:eastAsia="Times New Roman" w:hint="default"/>
                <w:sz w:val="18"/>
                <w:szCs w:val="18"/>
              </w:rPr>
            </w:pPr>
            <w:r>
              <w:rPr>
                <w:rFonts w:ascii="Times New Roman"/>
                <w:sz w:val="18"/>
              </w:rPr>
              <w:t>15.39</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16,395,9</w:t>
            </w:r>
          </w:p>
          <w:p>
            <w:pPr>
              <w:pStyle w:val="TableParagraph"/>
              <w:spacing w:line="240" w:lineRule="auto" w:before="110"/>
              <w:ind w:left="297" w:right="0"/>
              <w:jc w:val="left"/>
              <w:rPr>
                <w:rFonts w:ascii="Times New Roman" w:hAnsi="Times New Roman" w:cs="Times New Roman" w:eastAsia="Times New Roman" w:hint="default"/>
                <w:sz w:val="18"/>
                <w:szCs w:val="18"/>
              </w:rPr>
            </w:pPr>
            <w:r>
              <w:rPr>
                <w:rFonts w:ascii="Times New Roman"/>
                <w:sz w:val="18"/>
              </w:rPr>
              <w:t>90.37</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53,813,0</w:t>
            </w:r>
          </w:p>
          <w:p>
            <w:pPr>
              <w:pStyle w:val="TableParagraph"/>
              <w:spacing w:line="240" w:lineRule="auto" w:before="110"/>
              <w:ind w:left="292" w:right="0"/>
              <w:jc w:val="left"/>
              <w:rPr>
                <w:rFonts w:ascii="Times New Roman" w:hAnsi="Times New Roman" w:cs="Times New Roman" w:eastAsia="Times New Roman" w:hint="default"/>
                <w:sz w:val="18"/>
                <w:szCs w:val="18"/>
              </w:rPr>
            </w:pPr>
            <w:r>
              <w:rPr>
                <w:rFonts w:ascii="Times New Roman"/>
                <w:sz w:val="18"/>
              </w:rPr>
              <w:t>29.41</w:t>
            </w:r>
          </w:p>
        </w:tc>
        <w:tc>
          <w:tcPr>
            <w:tcW w:w="734" w:type="dxa"/>
            <w:vMerge/>
            <w:tcBorders>
              <w:left w:val="single" w:sz="4" w:space="0" w:color="000000"/>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397,976.</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sz w:val="18"/>
              </w:rPr>
              <w:t>35</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23"/>
              <w:jc w:val="right"/>
              <w:rPr>
                <w:rFonts w:ascii="Times New Roman" w:hAnsi="Times New Roman" w:cs="Times New Roman" w:eastAsia="Times New Roman" w:hint="default"/>
                <w:sz w:val="18"/>
                <w:szCs w:val="18"/>
              </w:rPr>
            </w:pPr>
            <w:r>
              <w:rPr>
                <w:rFonts w:ascii="Times New Roman"/>
                <w:spacing w:val="-1"/>
                <w:sz w:val="18"/>
              </w:rPr>
              <w:t>86.45%</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23" w:right="0"/>
              <w:jc w:val="left"/>
              <w:rPr>
                <w:rFonts w:ascii="Times New Roman" w:hAnsi="Times New Roman" w:cs="Times New Roman" w:eastAsia="Times New Roman" w:hint="default"/>
                <w:sz w:val="18"/>
                <w:szCs w:val="18"/>
              </w:rPr>
            </w:pPr>
            <w:r>
              <w:rPr>
                <w:rFonts w:ascii="Times New Roman"/>
                <w:sz w:val="18"/>
              </w:rPr>
              <w:t>90.45</w:t>
            </w:r>
          </w:p>
        </w:tc>
        <w:tc>
          <w:tcPr>
            <w:tcW w:w="739" w:type="dxa"/>
            <w:vMerge/>
            <w:tcBorders>
              <w:left w:val="single" w:sz="4" w:space="0" w:color="000000"/>
              <w:right w:val="single" w:sz="4" w:space="0" w:color="000000"/>
            </w:tcBorders>
          </w:tcPr>
          <w:p>
            <w:pPr/>
          </w:p>
        </w:tc>
        <w:tc>
          <w:tcPr>
            <w:tcW w:w="734" w:type="dxa"/>
            <w:vMerge/>
            <w:tcBorders>
              <w:left w:val="single" w:sz="4" w:space="0" w:color="000000"/>
              <w:right w:val="single" w:sz="4" w:space="0" w:color="000000"/>
            </w:tcBorders>
          </w:tcPr>
          <w:p>
            <w:pPr/>
          </w:p>
        </w:tc>
        <w:tc>
          <w:tcPr>
            <w:tcW w:w="734" w:type="dxa"/>
            <w:vMerge/>
            <w:tcBorders>
              <w:left w:val="single" w:sz="4" w:space="0" w:color="000000"/>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321" w:lineRule="auto"/>
              <w:ind w:left="23" w:right="161"/>
              <w:jc w:val="left"/>
              <w:rPr>
                <w:rFonts w:ascii="宋体" w:hAnsi="宋体" w:cs="宋体" w:eastAsia="宋体" w:hint="default"/>
                <w:sz w:val="18"/>
                <w:szCs w:val="18"/>
              </w:rPr>
            </w:pPr>
            <w:r>
              <w:rPr>
                <w:rFonts w:ascii="宋体" w:hAnsi="宋体" w:cs="宋体" w:eastAsia="宋体" w:hint="default"/>
                <w:sz w:val="18"/>
                <w:szCs w:val="18"/>
              </w:rPr>
              <w:t>募股资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金</w:t>
            </w:r>
          </w:p>
        </w:tc>
      </w:tr>
      <w:tr>
        <w:trPr>
          <w:trHeight w:val="312" w:hRule="exact"/>
        </w:trPr>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刷基地</w:t>
            </w:r>
          </w:p>
        </w:tc>
        <w:tc>
          <w:tcPr>
            <w:tcW w:w="734"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4" w:type="dxa"/>
            <w:vMerge/>
            <w:tcBorders>
              <w:left w:val="single" w:sz="4" w:space="0" w:color="000000"/>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9" w:type="dxa"/>
            <w:vMerge/>
            <w:tcBorders>
              <w:left w:val="single" w:sz="4" w:space="0" w:color="000000"/>
              <w:right w:val="single" w:sz="4" w:space="0" w:color="000000"/>
            </w:tcBorders>
          </w:tcPr>
          <w:p>
            <w:pPr/>
          </w:p>
        </w:tc>
        <w:tc>
          <w:tcPr>
            <w:tcW w:w="734" w:type="dxa"/>
            <w:vMerge/>
            <w:tcBorders>
              <w:left w:val="single" w:sz="4" w:space="0" w:color="000000"/>
              <w:right w:val="single" w:sz="4" w:space="0" w:color="000000"/>
            </w:tcBorders>
          </w:tcPr>
          <w:p>
            <w:pPr/>
          </w:p>
        </w:tc>
        <w:tc>
          <w:tcPr>
            <w:tcW w:w="734" w:type="dxa"/>
            <w:vMerge/>
            <w:tcBorders>
              <w:left w:val="single" w:sz="4" w:space="0" w:color="000000"/>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r>
      <w:tr>
        <w:trPr>
          <w:trHeight w:val="314" w:hRule="exact"/>
        </w:trPr>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建设项</w:t>
            </w:r>
          </w:p>
        </w:tc>
        <w:tc>
          <w:tcPr>
            <w:tcW w:w="734"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4" w:type="dxa"/>
            <w:vMerge/>
            <w:tcBorders>
              <w:left w:val="single" w:sz="4" w:space="0" w:color="000000"/>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9" w:type="dxa"/>
            <w:vMerge/>
            <w:tcBorders>
              <w:left w:val="single" w:sz="4" w:space="0" w:color="000000"/>
              <w:right w:val="single" w:sz="4" w:space="0" w:color="000000"/>
            </w:tcBorders>
          </w:tcPr>
          <w:p>
            <w:pPr/>
          </w:p>
        </w:tc>
        <w:tc>
          <w:tcPr>
            <w:tcW w:w="734" w:type="dxa"/>
            <w:vMerge/>
            <w:tcBorders>
              <w:left w:val="single" w:sz="4" w:space="0" w:color="000000"/>
              <w:right w:val="single" w:sz="4" w:space="0" w:color="000000"/>
            </w:tcBorders>
          </w:tcPr>
          <w:p>
            <w:pPr/>
          </w:p>
        </w:tc>
        <w:tc>
          <w:tcPr>
            <w:tcW w:w="734" w:type="dxa"/>
            <w:vMerge/>
            <w:tcBorders>
              <w:left w:val="single" w:sz="4" w:space="0" w:color="000000"/>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r>
      <w:tr>
        <w:trPr>
          <w:trHeight w:val="354" w:hRule="exact"/>
        </w:trPr>
        <w:tc>
          <w:tcPr>
            <w:tcW w:w="73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w w:val="101"/>
                <w:sz w:val="18"/>
                <w:szCs w:val="18"/>
              </w:rPr>
              <w:t>目</w:t>
            </w:r>
            <w:r>
              <w:rPr>
                <w:rFonts w:ascii="宋体" w:hAnsi="宋体" w:cs="宋体" w:eastAsia="宋体" w:hint="default"/>
                <w:sz w:val="18"/>
                <w:szCs w:val="18"/>
              </w:rPr>
            </w: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9"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vMerge/>
            <w:tcBorders>
              <w:left w:val="single" w:sz="4" w:space="0" w:color="000000"/>
              <w:bottom w:val="single" w:sz="4" w:space="0" w:color="000000"/>
              <w:right w:val="single" w:sz="4" w:space="0" w:color="000000"/>
            </w:tcBorders>
          </w:tcPr>
          <w:p>
            <w:pPr/>
          </w:p>
        </w:tc>
        <w:tc>
          <w:tcPr>
            <w:tcW w:w="739"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9" w:type="dxa"/>
            <w:vMerge/>
            <w:tcBorders>
              <w:left w:val="single" w:sz="4" w:space="0" w:color="000000"/>
              <w:bottom w:val="single" w:sz="4" w:space="0" w:color="000000"/>
              <w:right w:val="single" w:sz="4" w:space="0" w:color="000000"/>
            </w:tcBorders>
          </w:tcPr>
          <w:p>
            <w:pPr/>
          </w:p>
        </w:tc>
        <w:tc>
          <w:tcPr>
            <w:tcW w:w="734" w:type="dxa"/>
            <w:vMerge/>
            <w:tcBorders>
              <w:left w:val="single" w:sz="4" w:space="0" w:color="000000"/>
              <w:bottom w:val="single" w:sz="4" w:space="0" w:color="000000"/>
              <w:right w:val="single" w:sz="4" w:space="0" w:color="000000"/>
            </w:tcBorders>
          </w:tcPr>
          <w:p>
            <w:pPr/>
          </w:p>
        </w:tc>
        <w:tc>
          <w:tcPr>
            <w:tcW w:w="734" w:type="dxa"/>
            <w:vMerge/>
            <w:tcBorders>
              <w:left w:val="single" w:sz="4" w:space="0" w:color="000000"/>
              <w:bottom w:val="single" w:sz="4" w:space="0" w:color="000000"/>
              <w:right w:val="single" w:sz="4" w:space="0" w:color="000000"/>
            </w:tcBorders>
          </w:tcPr>
          <w:p>
            <w:pPr/>
          </w:p>
        </w:tc>
        <w:tc>
          <w:tcPr>
            <w:tcW w:w="739"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7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无锡双</w:t>
            </w: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9" w:type="dxa"/>
            <w:tcBorders>
              <w:top w:val="single" w:sz="4" w:space="0" w:color="000000"/>
              <w:left w:val="single" w:sz="4" w:space="0" w:color="000000"/>
              <w:bottom w:val="nil" w:sz="6" w:space="0" w:color="auto"/>
              <w:right w:val="single" w:sz="4" w:space="0" w:color="000000"/>
            </w:tcBorders>
          </w:tcPr>
          <w:p>
            <w:pPr/>
          </w:p>
        </w:tc>
        <w:tc>
          <w:tcPr>
            <w:tcW w:w="734" w:type="dxa"/>
            <w:vMerge w:val="restart"/>
            <w:tcBorders>
              <w:top w:val="single" w:sz="4" w:space="0" w:color="000000"/>
              <w:left w:val="single" w:sz="4" w:space="0" w:color="000000"/>
              <w:right w:val="single" w:sz="4" w:space="0" w:color="000000"/>
            </w:tcBorders>
          </w:tcPr>
          <w:p>
            <w:pPr/>
          </w:p>
        </w:tc>
        <w:tc>
          <w:tcPr>
            <w:tcW w:w="734" w:type="dxa"/>
            <w:vMerge w:val="restart"/>
            <w:tcBorders>
              <w:top w:val="single" w:sz="4" w:space="0" w:color="000000"/>
              <w:left w:val="single" w:sz="4" w:space="0" w:color="000000"/>
              <w:right w:val="single" w:sz="4" w:space="0" w:color="000000"/>
            </w:tcBorders>
          </w:tcPr>
          <w:p>
            <w:pPr/>
          </w:p>
        </w:tc>
        <w:tc>
          <w:tcPr>
            <w:tcW w:w="739"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9" w:type="dxa"/>
            <w:vMerge w:val="restart"/>
            <w:tcBorders>
              <w:top w:val="single" w:sz="4" w:space="0" w:color="000000"/>
              <w:left w:val="single" w:sz="4" w:space="0" w:color="000000"/>
              <w:right w:val="single" w:sz="4" w:space="0" w:color="000000"/>
            </w:tcBorders>
          </w:tcPr>
          <w:p>
            <w:pPr/>
          </w:p>
        </w:tc>
        <w:tc>
          <w:tcPr>
            <w:tcW w:w="734" w:type="dxa"/>
            <w:vMerge w:val="restart"/>
            <w:tcBorders>
              <w:top w:val="single" w:sz="4" w:space="0" w:color="000000"/>
              <w:left w:val="single" w:sz="4" w:space="0" w:color="000000"/>
              <w:right w:val="single" w:sz="4" w:space="0" w:color="000000"/>
            </w:tcBorders>
          </w:tcPr>
          <w:p>
            <w:pPr/>
          </w:p>
        </w:tc>
        <w:tc>
          <w:tcPr>
            <w:tcW w:w="734" w:type="dxa"/>
            <w:vMerge w:val="restart"/>
            <w:tcBorders>
              <w:top w:val="single" w:sz="4" w:space="0" w:color="000000"/>
              <w:left w:val="single" w:sz="4" w:space="0" w:color="000000"/>
              <w:right w:val="single" w:sz="4" w:space="0" w:color="000000"/>
            </w:tcBorders>
          </w:tcPr>
          <w:p>
            <w:pPr/>
          </w:p>
        </w:tc>
        <w:tc>
          <w:tcPr>
            <w:tcW w:w="739" w:type="dxa"/>
            <w:tcBorders>
              <w:top w:val="single" w:sz="4" w:space="0" w:color="000000"/>
              <w:left w:val="single" w:sz="4" w:space="0" w:color="000000"/>
              <w:bottom w:val="nil" w:sz="6" w:space="0" w:color="auto"/>
              <w:right w:val="single" w:sz="4" w:space="0" w:color="000000"/>
            </w:tcBorders>
          </w:tcPr>
          <w:p>
            <w:pPr/>
          </w:p>
        </w:tc>
      </w:tr>
      <w:tr>
        <w:trPr>
          <w:trHeight w:val="631" w:hRule="exact"/>
        </w:trPr>
        <w:tc>
          <w:tcPr>
            <w:tcW w:w="734" w:type="dxa"/>
            <w:tcBorders>
              <w:top w:val="nil" w:sz="6" w:space="0" w:color="auto"/>
              <w:left w:val="single" w:sz="4" w:space="0" w:color="000000"/>
              <w:bottom w:val="nil" w:sz="6" w:space="0" w:color="auto"/>
              <w:right w:val="single" w:sz="4" w:space="0" w:color="000000"/>
            </w:tcBorders>
          </w:tcPr>
          <w:p>
            <w:pPr>
              <w:pStyle w:val="TableParagraph"/>
              <w:spacing w:line="316" w:lineRule="auto" w:before="9"/>
              <w:ind w:left="24" w:right="156"/>
              <w:jc w:val="left"/>
              <w:rPr>
                <w:rFonts w:ascii="宋体" w:hAnsi="宋体" w:cs="宋体" w:eastAsia="宋体" w:hint="default"/>
                <w:sz w:val="18"/>
                <w:szCs w:val="18"/>
              </w:rPr>
            </w:pPr>
            <w:r>
              <w:rPr>
                <w:rFonts w:ascii="宋体" w:hAnsi="宋体" w:cs="宋体" w:eastAsia="宋体" w:hint="default"/>
                <w:sz w:val="18"/>
                <w:szCs w:val="18"/>
              </w:rPr>
              <w:t>龙厂房</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及办公</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71" w:right="0"/>
              <w:jc w:val="left"/>
              <w:rPr>
                <w:rFonts w:ascii="Times New Roman" w:hAnsi="Times New Roman" w:cs="Times New Roman" w:eastAsia="Times New Roman" w:hint="default"/>
                <w:sz w:val="18"/>
                <w:szCs w:val="18"/>
              </w:rPr>
            </w:pPr>
            <w:r>
              <w:rPr>
                <w:rFonts w:ascii="Times New Roman"/>
                <w:sz w:val="18"/>
              </w:rPr>
              <w:t>25,000,0</w:t>
            </w:r>
          </w:p>
          <w:p>
            <w:pPr>
              <w:pStyle w:val="TableParagraph"/>
              <w:spacing w:line="240" w:lineRule="auto" w:before="105"/>
              <w:ind w:left="292" w:right="0"/>
              <w:jc w:val="left"/>
              <w:rPr>
                <w:rFonts w:ascii="Times New Roman" w:hAnsi="Times New Roman" w:cs="Times New Roman" w:eastAsia="Times New Roman" w:hint="default"/>
                <w:sz w:val="18"/>
                <w:szCs w:val="18"/>
              </w:rPr>
            </w:pPr>
            <w:r>
              <w:rPr>
                <w:rFonts w:ascii="Times New Roman"/>
                <w:sz w:val="18"/>
              </w:rPr>
              <w:t>00.00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2"/>
              <w:jc w:val="right"/>
              <w:rPr>
                <w:rFonts w:ascii="Times New Roman" w:hAnsi="Times New Roman" w:cs="Times New Roman" w:eastAsia="Times New Roman" w:hint="default"/>
                <w:sz w:val="18"/>
                <w:szCs w:val="18"/>
              </w:rPr>
            </w:pPr>
            <w:r>
              <w:rPr>
                <w:rFonts w:ascii="Times New Roman"/>
                <w:spacing w:val="-1"/>
                <w:sz w:val="18"/>
              </w:rPr>
              <w:t>36,330.1</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w w:val="101"/>
                <w:sz w:val="18"/>
              </w:rPr>
              <w:t>0</w:t>
            </w:r>
            <w:r>
              <w:rPr>
                <w:rFonts w:ascii="Times New Roman"/>
                <w:sz w:val="18"/>
              </w:rPr>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76" w:right="0"/>
              <w:jc w:val="left"/>
              <w:rPr>
                <w:rFonts w:ascii="Times New Roman" w:hAnsi="Times New Roman" w:cs="Times New Roman" w:eastAsia="Times New Roman" w:hint="default"/>
                <w:sz w:val="18"/>
                <w:szCs w:val="18"/>
              </w:rPr>
            </w:pPr>
            <w:r>
              <w:rPr>
                <w:rFonts w:ascii="Times New Roman"/>
                <w:sz w:val="18"/>
              </w:rPr>
              <w:t>3,463,66</w:t>
            </w:r>
          </w:p>
          <w:p>
            <w:pPr>
              <w:pStyle w:val="TableParagraph"/>
              <w:spacing w:line="240" w:lineRule="auto" w:before="105"/>
              <w:ind w:left="383" w:right="0"/>
              <w:jc w:val="left"/>
              <w:rPr>
                <w:rFonts w:ascii="Times New Roman" w:hAnsi="Times New Roman" w:cs="Times New Roman" w:eastAsia="Times New Roman" w:hint="default"/>
                <w:sz w:val="18"/>
                <w:szCs w:val="18"/>
              </w:rPr>
            </w:pPr>
            <w:r>
              <w:rPr>
                <w:rFonts w:ascii="Times New Roman"/>
                <w:sz w:val="18"/>
              </w:rPr>
              <w:t>1.10</w:t>
            </w:r>
          </w:p>
        </w:tc>
        <w:tc>
          <w:tcPr>
            <w:tcW w:w="734" w:type="dxa"/>
            <w:vMerge/>
            <w:tcBorders>
              <w:left w:val="single" w:sz="4" w:space="0" w:color="000000"/>
              <w:right w:val="single" w:sz="4" w:space="0" w:color="000000"/>
            </w:tcBorders>
          </w:tcPr>
          <w:p>
            <w:pPr/>
          </w:p>
        </w:tc>
        <w:tc>
          <w:tcPr>
            <w:tcW w:w="734" w:type="dxa"/>
            <w:vMerge/>
            <w:tcBorders>
              <w:left w:val="single" w:sz="4" w:space="0" w:color="000000"/>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left="76" w:right="0"/>
              <w:jc w:val="left"/>
              <w:rPr>
                <w:rFonts w:ascii="Times New Roman" w:hAnsi="Times New Roman" w:cs="Times New Roman" w:eastAsia="Times New Roman" w:hint="default"/>
                <w:sz w:val="18"/>
                <w:szCs w:val="18"/>
              </w:rPr>
            </w:pPr>
            <w:r>
              <w:rPr>
                <w:rFonts w:ascii="Times New Roman"/>
                <w:sz w:val="18"/>
              </w:rPr>
              <w:t>3,499,99</w:t>
            </w:r>
          </w:p>
          <w:p>
            <w:pPr>
              <w:pStyle w:val="TableParagraph"/>
              <w:spacing w:line="240" w:lineRule="auto" w:before="105"/>
              <w:ind w:left="383" w:right="0"/>
              <w:jc w:val="left"/>
              <w:rPr>
                <w:rFonts w:ascii="Times New Roman" w:hAnsi="Times New Roman" w:cs="Times New Roman" w:eastAsia="Times New Roman" w:hint="default"/>
                <w:sz w:val="18"/>
                <w:szCs w:val="18"/>
              </w:rPr>
            </w:pPr>
            <w:r>
              <w:rPr>
                <w:rFonts w:ascii="Times New Roman"/>
                <w:sz w:val="18"/>
              </w:rPr>
              <w:t>1.20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28.85%</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28.85</w:t>
            </w:r>
          </w:p>
        </w:tc>
        <w:tc>
          <w:tcPr>
            <w:tcW w:w="739" w:type="dxa"/>
            <w:vMerge/>
            <w:tcBorders>
              <w:left w:val="single" w:sz="4" w:space="0" w:color="000000"/>
              <w:right w:val="single" w:sz="4" w:space="0" w:color="000000"/>
            </w:tcBorders>
          </w:tcPr>
          <w:p>
            <w:pPr/>
          </w:p>
        </w:tc>
        <w:tc>
          <w:tcPr>
            <w:tcW w:w="734" w:type="dxa"/>
            <w:vMerge/>
            <w:tcBorders>
              <w:left w:val="single" w:sz="4" w:space="0" w:color="000000"/>
              <w:right w:val="single" w:sz="4" w:space="0" w:color="000000"/>
            </w:tcBorders>
          </w:tcPr>
          <w:p>
            <w:pPr/>
          </w:p>
        </w:tc>
        <w:tc>
          <w:tcPr>
            <w:tcW w:w="734" w:type="dxa"/>
            <w:vMerge/>
            <w:tcBorders>
              <w:left w:val="single" w:sz="4" w:space="0" w:color="000000"/>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38"/>
              <w:jc w:val="right"/>
              <w:rPr>
                <w:rFonts w:ascii="宋体" w:hAnsi="宋体" w:cs="宋体" w:eastAsia="宋体" w:hint="default"/>
                <w:sz w:val="18"/>
                <w:szCs w:val="18"/>
              </w:rPr>
            </w:pPr>
            <w:r>
              <w:rPr>
                <w:rFonts w:ascii="宋体" w:hAnsi="宋体" w:cs="宋体" w:eastAsia="宋体" w:hint="default"/>
                <w:sz w:val="18"/>
                <w:szCs w:val="18"/>
              </w:rPr>
              <w:t>其他</w:t>
            </w:r>
          </w:p>
        </w:tc>
      </w:tr>
      <w:tr>
        <w:trPr>
          <w:trHeight w:val="351" w:hRule="exact"/>
        </w:trPr>
        <w:tc>
          <w:tcPr>
            <w:tcW w:w="73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sz w:val="18"/>
                <w:szCs w:val="18"/>
              </w:rPr>
              <w:t>楼建设</w:t>
            </w: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9" w:type="dxa"/>
            <w:tcBorders>
              <w:top w:val="nil" w:sz="6" w:space="0" w:color="auto"/>
              <w:left w:val="single" w:sz="4" w:space="0" w:color="000000"/>
              <w:bottom w:val="single" w:sz="4" w:space="0" w:color="000000"/>
              <w:right w:val="single" w:sz="4" w:space="0" w:color="000000"/>
            </w:tcBorders>
          </w:tcPr>
          <w:p>
            <w:pPr/>
          </w:p>
        </w:tc>
        <w:tc>
          <w:tcPr>
            <w:tcW w:w="734" w:type="dxa"/>
            <w:vMerge/>
            <w:tcBorders>
              <w:left w:val="single" w:sz="4" w:space="0" w:color="000000"/>
              <w:bottom w:val="single" w:sz="4" w:space="0" w:color="000000"/>
              <w:right w:val="single" w:sz="4" w:space="0" w:color="000000"/>
            </w:tcBorders>
          </w:tcPr>
          <w:p>
            <w:pPr/>
          </w:p>
        </w:tc>
        <w:tc>
          <w:tcPr>
            <w:tcW w:w="734" w:type="dxa"/>
            <w:vMerge/>
            <w:tcBorders>
              <w:left w:val="single" w:sz="4" w:space="0" w:color="000000"/>
              <w:bottom w:val="single" w:sz="4" w:space="0" w:color="000000"/>
              <w:right w:val="single" w:sz="4" w:space="0" w:color="000000"/>
            </w:tcBorders>
          </w:tcPr>
          <w:p>
            <w:pPr/>
          </w:p>
        </w:tc>
        <w:tc>
          <w:tcPr>
            <w:tcW w:w="739"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9" w:type="dxa"/>
            <w:vMerge/>
            <w:tcBorders>
              <w:left w:val="single" w:sz="4" w:space="0" w:color="000000"/>
              <w:bottom w:val="single" w:sz="4" w:space="0" w:color="000000"/>
              <w:right w:val="single" w:sz="4" w:space="0" w:color="000000"/>
            </w:tcBorders>
          </w:tcPr>
          <w:p>
            <w:pPr/>
          </w:p>
        </w:tc>
        <w:tc>
          <w:tcPr>
            <w:tcW w:w="734" w:type="dxa"/>
            <w:vMerge/>
            <w:tcBorders>
              <w:left w:val="single" w:sz="4" w:space="0" w:color="000000"/>
              <w:bottom w:val="single" w:sz="4" w:space="0" w:color="000000"/>
              <w:right w:val="single" w:sz="4" w:space="0" w:color="000000"/>
            </w:tcBorders>
          </w:tcPr>
          <w:p>
            <w:pPr/>
          </w:p>
        </w:tc>
        <w:tc>
          <w:tcPr>
            <w:tcW w:w="734" w:type="dxa"/>
            <w:vMerge/>
            <w:tcBorders>
              <w:left w:val="single" w:sz="4" w:space="0" w:color="000000"/>
              <w:bottom w:val="single" w:sz="4" w:space="0" w:color="000000"/>
              <w:right w:val="single" w:sz="4" w:space="0" w:color="000000"/>
            </w:tcBorders>
          </w:tcPr>
          <w:p>
            <w:pPr/>
          </w:p>
        </w:tc>
        <w:tc>
          <w:tcPr>
            <w:tcW w:w="739" w:type="dxa"/>
            <w:tcBorders>
              <w:top w:val="nil" w:sz="6" w:space="0" w:color="auto"/>
              <w:left w:val="single" w:sz="4" w:space="0" w:color="000000"/>
              <w:bottom w:val="single" w:sz="4" w:space="0" w:color="000000"/>
              <w:right w:val="single" w:sz="4" w:space="0" w:color="000000"/>
            </w:tcBorders>
          </w:tcPr>
          <w:p>
            <w:pPr/>
          </w:p>
        </w:tc>
      </w:tr>
      <w:tr>
        <w:trPr>
          <w:trHeight w:val="715" w:hRule="exact"/>
        </w:trPr>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宫腰机</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1" w:right="0"/>
              <w:jc w:val="left"/>
              <w:rPr>
                <w:rFonts w:ascii="Times New Roman" w:hAnsi="Times New Roman" w:cs="Times New Roman" w:eastAsia="Times New Roman" w:hint="default"/>
                <w:sz w:val="18"/>
                <w:szCs w:val="18"/>
              </w:rPr>
            </w:pPr>
            <w:r>
              <w:rPr>
                <w:rFonts w:ascii="Times New Roman"/>
                <w:sz w:val="18"/>
              </w:rPr>
              <w:t>5,512,82</w:t>
            </w:r>
          </w:p>
          <w:p>
            <w:pPr>
              <w:pStyle w:val="TableParagraph"/>
              <w:spacing w:line="240" w:lineRule="auto" w:before="105"/>
              <w:ind w:left="379" w:right="0"/>
              <w:jc w:val="left"/>
              <w:rPr>
                <w:rFonts w:ascii="Times New Roman" w:hAnsi="Times New Roman" w:cs="Times New Roman" w:eastAsia="Times New Roman" w:hint="default"/>
                <w:sz w:val="18"/>
                <w:szCs w:val="18"/>
              </w:rPr>
            </w:pPr>
            <w:r>
              <w:rPr>
                <w:rFonts w:ascii="Times New Roman"/>
                <w:sz w:val="18"/>
              </w:rPr>
              <w:t>0.51</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6" w:right="0"/>
              <w:jc w:val="left"/>
              <w:rPr>
                <w:rFonts w:ascii="Times New Roman" w:hAnsi="Times New Roman" w:cs="Times New Roman" w:eastAsia="Times New Roman" w:hint="default"/>
                <w:sz w:val="18"/>
                <w:szCs w:val="18"/>
              </w:rPr>
            </w:pPr>
            <w:r>
              <w:rPr>
                <w:rFonts w:ascii="Times New Roman"/>
                <w:sz w:val="18"/>
              </w:rPr>
              <w:t>4,410,25</w:t>
            </w:r>
          </w:p>
          <w:p>
            <w:pPr>
              <w:pStyle w:val="TableParagraph"/>
              <w:spacing w:line="240" w:lineRule="auto" w:before="105"/>
              <w:ind w:left="384" w:right="0"/>
              <w:jc w:val="left"/>
              <w:rPr>
                <w:rFonts w:ascii="Times New Roman" w:hAnsi="Times New Roman" w:cs="Times New Roman" w:eastAsia="Times New Roman" w:hint="default"/>
                <w:sz w:val="18"/>
                <w:szCs w:val="18"/>
              </w:rPr>
            </w:pPr>
            <w:r>
              <w:rPr>
                <w:rFonts w:ascii="Times New Roman"/>
                <w:sz w:val="18"/>
              </w:rPr>
              <w:t>6.44</w:t>
            </w: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6" w:right="0"/>
              <w:jc w:val="left"/>
              <w:rPr>
                <w:rFonts w:ascii="Times New Roman" w:hAnsi="Times New Roman" w:cs="Times New Roman" w:eastAsia="Times New Roman" w:hint="default"/>
                <w:sz w:val="18"/>
                <w:szCs w:val="18"/>
              </w:rPr>
            </w:pPr>
            <w:r>
              <w:rPr>
                <w:rFonts w:ascii="Times New Roman"/>
                <w:sz w:val="18"/>
              </w:rPr>
              <w:t>1,102,56</w:t>
            </w:r>
          </w:p>
          <w:p>
            <w:pPr>
              <w:pStyle w:val="TableParagraph"/>
              <w:spacing w:line="240" w:lineRule="auto" w:before="105"/>
              <w:ind w:left="383" w:right="0"/>
              <w:jc w:val="left"/>
              <w:rPr>
                <w:rFonts w:ascii="Times New Roman" w:hAnsi="Times New Roman" w:cs="Times New Roman" w:eastAsia="Times New Roman" w:hint="default"/>
                <w:sz w:val="18"/>
                <w:szCs w:val="18"/>
              </w:rPr>
            </w:pPr>
            <w:r>
              <w:rPr>
                <w:rFonts w:ascii="Times New Roman"/>
                <w:sz w:val="18"/>
              </w:rPr>
              <w:t>4.12</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1" w:right="0"/>
              <w:jc w:val="left"/>
              <w:rPr>
                <w:rFonts w:ascii="Times New Roman" w:hAnsi="Times New Roman" w:cs="Times New Roman" w:eastAsia="Times New Roman" w:hint="default"/>
                <w:sz w:val="18"/>
                <w:szCs w:val="18"/>
              </w:rPr>
            </w:pPr>
            <w:r>
              <w:rPr>
                <w:rFonts w:ascii="Times New Roman"/>
                <w:sz w:val="18"/>
              </w:rPr>
              <w:t>5,512,82</w:t>
            </w:r>
          </w:p>
          <w:p>
            <w:pPr>
              <w:pStyle w:val="TableParagraph"/>
              <w:spacing w:line="240" w:lineRule="auto" w:before="105"/>
              <w:ind w:left="379" w:right="0"/>
              <w:jc w:val="left"/>
              <w:rPr>
                <w:rFonts w:ascii="Times New Roman" w:hAnsi="Times New Roman" w:cs="Times New Roman" w:eastAsia="Times New Roman" w:hint="default"/>
                <w:sz w:val="18"/>
                <w:szCs w:val="18"/>
              </w:rPr>
            </w:pPr>
            <w:r>
              <w:rPr>
                <w:rFonts w:ascii="Times New Roman"/>
                <w:sz w:val="18"/>
              </w:rPr>
              <w:t>0.56</w:t>
            </w:r>
          </w:p>
        </w:tc>
        <w:tc>
          <w:tcPr>
            <w:tcW w:w="734"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2"/>
                <w:sz w:val="18"/>
              </w:rPr>
              <w:t>100.00%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100.00</w:t>
            </w:r>
          </w:p>
        </w:tc>
        <w:tc>
          <w:tcPr>
            <w:tcW w:w="739"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38"/>
              <w:jc w:val="right"/>
              <w:rPr>
                <w:rFonts w:ascii="宋体" w:hAnsi="宋体" w:cs="宋体" w:eastAsia="宋体" w:hint="default"/>
                <w:sz w:val="18"/>
                <w:szCs w:val="18"/>
              </w:rPr>
            </w:pPr>
            <w:r>
              <w:rPr>
                <w:rFonts w:ascii="宋体" w:hAnsi="宋体" w:cs="宋体" w:eastAsia="宋体" w:hint="default"/>
                <w:sz w:val="18"/>
                <w:szCs w:val="18"/>
              </w:rPr>
              <w:t>其他</w:t>
            </w:r>
          </w:p>
        </w:tc>
      </w:tr>
      <w:tr>
        <w:trPr>
          <w:trHeight w:val="710" w:hRule="exact"/>
        </w:trPr>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0" w:right="0"/>
              <w:jc w:val="center"/>
              <w:rPr>
                <w:rFonts w:ascii="Times New Roman" w:hAnsi="Times New Roman" w:cs="Times New Roman" w:eastAsia="Times New Roman" w:hint="default"/>
                <w:sz w:val="18"/>
                <w:szCs w:val="18"/>
              </w:rPr>
            </w:pPr>
            <w:r>
              <w:rPr>
                <w:rFonts w:ascii="Times New Roman"/>
                <w:sz w:val="18"/>
              </w:rPr>
              <w:t>455,312,</w:t>
            </w:r>
          </w:p>
          <w:p>
            <w:pPr>
              <w:pStyle w:val="TableParagraph"/>
              <w:spacing w:line="240" w:lineRule="auto" w:before="105"/>
              <w:ind w:left="177" w:right="0"/>
              <w:jc w:val="center"/>
              <w:rPr>
                <w:rFonts w:ascii="Times New Roman" w:hAnsi="Times New Roman" w:cs="Times New Roman" w:eastAsia="Times New Roman" w:hint="default"/>
                <w:sz w:val="18"/>
                <w:szCs w:val="18"/>
              </w:rPr>
            </w:pPr>
            <w:r>
              <w:rPr>
                <w:rFonts w:ascii="Times New Roman"/>
                <w:sz w:val="18"/>
              </w:rPr>
              <w:t>820.51</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6" w:right="0"/>
              <w:jc w:val="left"/>
              <w:rPr>
                <w:rFonts w:ascii="Times New Roman" w:hAnsi="Times New Roman" w:cs="Times New Roman" w:eastAsia="Times New Roman" w:hint="default"/>
                <w:sz w:val="18"/>
                <w:szCs w:val="18"/>
              </w:rPr>
            </w:pPr>
            <w:r>
              <w:rPr>
                <w:rFonts w:ascii="Times New Roman"/>
                <w:sz w:val="18"/>
              </w:rPr>
              <w:t>48,714,5</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93.45</w:t>
            </w: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6" w:right="0"/>
              <w:jc w:val="left"/>
              <w:rPr>
                <w:rFonts w:ascii="Times New Roman" w:hAnsi="Times New Roman" w:cs="Times New Roman" w:eastAsia="Times New Roman" w:hint="default"/>
                <w:sz w:val="18"/>
                <w:szCs w:val="18"/>
              </w:rPr>
            </w:pPr>
            <w:r>
              <w:rPr>
                <w:rFonts w:ascii="Times New Roman"/>
                <w:sz w:val="18"/>
              </w:rPr>
              <w:t>20,962,2</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15.59</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1" w:right="0"/>
              <w:jc w:val="left"/>
              <w:rPr>
                <w:rFonts w:ascii="Times New Roman" w:hAnsi="Times New Roman" w:cs="Times New Roman" w:eastAsia="Times New Roman" w:hint="default"/>
                <w:sz w:val="18"/>
                <w:szCs w:val="18"/>
              </w:rPr>
            </w:pPr>
            <w:r>
              <w:rPr>
                <w:rFonts w:ascii="Times New Roman"/>
                <w:sz w:val="18"/>
              </w:rPr>
              <w:t>64,368,5</w:t>
            </w:r>
          </w:p>
          <w:p>
            <w:pPr>
              <w:pStyle w:val="TableParagraph"/>
              <w:spacing w:line="240" w:lineRule="auto" w:before="105"/>
              <w:ind w:left="292" w:right="0"/>
              <w:jc w:val="left"/>
              <w:rPr>
                <w:rFonts w:ascii="Times New Roman" w:hAnsi="Times New Roman" w:cs="Times New Roman" w:eastAsia="Times New Roman" w:hint="default"/>
                <w:sz w:val="18"/>
                <w:szCs w:val="18"/>
              </w:rPr>
            </w:pPr>
            <w:r>
              <w:rPr>
                <w:rFonts w:ascii="Times New Roman"/>
                <w:sz w:val="18"/>
              </w:rPr>
              <w:t>85.04</w:t>
            </w:r>
          </w:p>
        </w:tc>
        <w:tc>
          <w:tcPr>
            <w:tcW w:w="734"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6" w:right="0"/>
              <w:jc w:val="left"/>
              <w:rPr>
                <w:rFonts w:ascii="Times New Roman" w:hAnsi="Times New Roman" w:cs="Times New Roman" w:eastAsia="Times New Roman" w:hint="default"/>
                <w:sz w:val="18"/>
                <w:szCs w:val="18"/>
              </w:rPr>
            </w:pPr>
            <w:r>
              <w:rPr>
                <w:rFonts w:ascii="Times New Roman"/>
                <w:sz w:val="18"/>
              </w:rPr>
              <w:t>5,308,22</w:t>
            </w:r>
          </w:p>
          <w:p>
            <w:pPr>
              <w:pStyle w:val="TableParagraph"/>
              <w:spacing w:line="240" w:lineRule="auto" w:before="105"/>
              <w:ind w:left="383" w:right="0"/>
              <w:jc w:val="left"/>
              <w:rPr>
                <w:rFonts w:ascii="Times New Roman" w:hAnsi="Times New Roman" w:cs="Times New Roman" w:eastAsia="Times New Roman" w:hint="default"/>
                <w:sz w:val="18"/>
                <w:szCs w:val="18"/>
              </w:rPr>
            </w:pPr>
            <w:r>
              <w:rPr>
                <w:rFonts w:ascii="Times New Roman"/>
                <w:sz w:val="18"/>
              </w:rPr>
              <w:t>4.00</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w:t>
            </w:r>
          </w:p>
        </w:tc>
        <w:tc>
          <w:tcPr>
            <w:tcW w:w="739"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302"/>
              <w:jc w:val="right"/>
              <w:rPr>
                <w:rFonts w:ascii="Times New Roman" w:hAnsi="Times New Roman" w:cs="Times New Roman" w:eastAsia="Times New Roman" w:hint="default"/>
                <w:sz w:val="18"/>
                <w:szCs w:val="18"/>
              </w:rPr>
            </w:pPr>
            <w:r>
              <w:rPr>
                <w:rFonts w:ascii="Times New Roman"/>
                <w:spacing w:val="-2"/>
                <w:sz w:val="18"/>
              </w:rPr>
              <w:t>--</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3</w:t>
      </w:r>
      <w:r>
        <w:rPr/>
        <w:t>）本期计提在建工程减值准备情况</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after="0"/>
        <w:jc w:val="right"/>
        <w:rPr>
          <w:rFonts w:ascii="宋体" w:hAnsi="宋体" w:cs="宋体" w:eastAsia="宋体" w:hint="default"/>
          <w:sz w:val="18"/>
          <w:szCs w:val="18"/>
        </w:rPr>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46" w:right="0"/>
              <w:jc w:val="left"/>
              <w:rPr>
                <w:rFonts w:ascii="宋体" w:hAnsi="宋体" w:cs="宋体" w:eastAsia="宋体" w:hint="default"/>
                <w:sz w:val="18"/>
                <w:szCs w:val="18"/>
              </w:rPr>
            </w:pPr>
            <w:r>
              <w:rPr>
                <w:rFonts w:ascii="宋体" w:hAnsi="宋体" w:cs="宋体" w:eastAsia="宋体" w:hint="default"/>
                <w:sz w:val="18"/>
                <w:szCs w:val="18"/>
              </w:rPr>
              <w:t>本期计提金额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计提原因</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21</w:t>
      </w:r>
      <w:r>
        <w:rPr/>
        <w:t>、工程物资</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394"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6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22</w:t>
      </w:r>
      <w:r>
        <w:rPr/>
        <w:t>、固定资产清理</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398"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23</w:t>
      </w:r>
      <w:r>
        <w:rPr/>
        <w:t>、生产性生物资产</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）采用成本计量模式的生产性生物资产</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）采用公允价值计量模式的生产性生物资产</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24</w:t>
      </w:r>
      <w:r>
        <w:rPr/>
        <w:t>、油气资产</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25</w:t>
      </w:r>
      <w:r>
        <w:rPr/>
        <w:t>、无形资产</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）无形资产情况</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572"/>
        <w:gridCol w:w="1603"/>
        <w:gridCol w:w="1594"/>
        <w:gridCol w:w="1594"/>
        <w:gridCol w:w="1594"/>
        <w:gridCol w:w="1598"/>
      </w:tblGrid>
      <w:tr>
        <w:trPr>
          <w:trHeight w:val="398" w:hRule="exact"/>
        </w:trPr>
        <w:tc>
          <w:tcPr>
            <w:tcW w:w="15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50"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18"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40" w:right="0"/>
              <w:jc w:val="left"/>
              <w:rPr>
                <w:rFonts w:ascii="宋体" w:hAnsi="宋体" w:cs="宋体" w:eastAsia="宋体" w:hint="default"/>
                <w:sz w:val="18"/>
                <w:szCs w:val="18"/>
              </w:rPr>
            </w:pPr>
            <w:r>
              <w:rPr>
                <w:rFonts w:ascii="宋体" w:hAnsi="宋体" w:cs="宋体" w:eastAsia="宋体" w:hint="default"/>
                <w:sz w:val="18"/>
                <w:szCs w:val="18"/>
              </w:rPr>
              <w:t>非专利技术</w:t>
            </w:r>
          </w:p>
        </w:tc>
        <w:tc>
          <w:tcPr>
            <w:tcW w:w="1594" w:type="dxa"/>
            <w:tcBorders>
              <w:top w:val="single" w:sz="4" w:space="0" w:color="000000"/>
              <w:left w:val="single" w:sz="12" w:space="0" w:color="D2D2D2"/>
              <w:bottom w:val="single" w:sz="4" w:space="0" w:color="000000"/>
              <w:right w:val="single" w:sz="4" w:space="0" w:color="000000"/>
            </w:tcBorders>
            <w:shd w:val="clear" w:color="auto" w:fill="E0FFFF"/>
          </w:tcPr>
          <w:p>
            <w:pPr>
              <w:pStyle w:val="TableParagraph"/>
              <w:spacing w:line="240" w:lineRule="auto" w:before="53"/>
              <w:ind w:left="331" w:right="0"/>
              <w:jc w:val="left"/>
              <w:rPr>
                <w:rFonts w:ascii="宋体" w:hAnsi="宋体" w:cs="宋体" w:eastAsia="宋体" w:hint="default"/>
                <w:sz w:val="18"/>
                <w:szCs w:val="18"/>
              </w:rPr>
            </w:pPr>
            <w:r>
              <w:rPr>
                <w:rFonts w:ascii="宋体" w:hAnsi="宋体" w:cs="宋体" w:eastAsia="宋体" w:hint="default"/>
                <w:sz w:val="18"/>
                <w:szCs w:val="18"/>
              </w:rPr>
              <w:t>计算机软件</w:t>
            </w:r>
          </w:p>
        </w:tc>
        <w:tc>
          <w:tcPr>
            <w:tcW w:w="1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3" w:hRule="exact"/>
        </w:trPr>
        <w:tc>
          <w:tcPr>
            <w:tcW w:w="15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603" w:type="dxa"/>
            <w:tcBorders>
              <w:top w:val="single" w:sz="4" w:space="0" w:color="000000"/>
              <w:left w:val="single" w:sz="8" w:space="0" w:color="D2D2D2"/>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6"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期初余额</w:t>
            </w:r>
          </w:p>
        </w:tc>
        <w:tc>
          <w:tcPr>
            <w:tcW w:w="160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left="523" w:right="0"/>
              <w:jc w:val="left"/>
              <w:rPr>
                <w:rFonts w:ascii="Times New Roman" w:hAnsi="Times New Roman" w:cs="Times New Roman" w:eastAsia="Times New Roman" w:hint="default"/>
                <w:sz w:val="18"/>
                <w:szCs w:val="18"/>
              </w:rPr>
            </w:pPr>
            <w:r>
              <w:rPr>
                <w:rFonts w:ascii="Times New Roman"/>
                <w:sz w:val="18"/>
              </w:rPr>
              <w:t>61,415,755.25</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4,702,410.59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416,635.05</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66,534,800.89</w:t>
            </w:r>
          </w:p>
        </w:tc>
      </w:tr>
      <w:tr>
        <w:trPr>
          <w:trHeight w:val="715" w:hRule="exact"/>
        </w:trPr>
        <w:tc>
          <w:tcPr>
            <w:tcW w:w="15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w:t>
            </w:r>
          </w:p>
          <w:p>
            <w:pPr>
              <w:pStyle w:val="TableParagraph"/>
              <w:spacing w:line="240" w:lineRule="auto" w:before="63"/>
              <w:ind w:left="11" w:right="0"/>
              <w:jc w:val="left"/>
              <w:rPr>
                <w:rFonts w:ascii="宋体" w:hAnsi="宋体" w:cs="宋体" w:eastAsia="宋体" w:hint="default"/>
                <w:sz w:val="18"/>
                <w:szCs w:val="18"/>
              </w:rPr>
            </w:pPr>
            <w:r>
              <w:rPr>
                <w:rFonts w:ascii="宋体" w:hAnsi="宋体" w:cs="宋体" w:eastAsia="宋体" w:hint="default"/>
                <w:w w:val="101"/>
                <w:sz w:val="18"/>
                <w:szCs w:val="18"/>
              </w:rPr>
              <w:t>额</w:t>
            </w:r>
            <w:r>
              <w:rPr>
                <w:rFonts w:ascii="宋体" w:hAnsi="宋体" w:cs="宋体" w:eastAsia="宋体" w:hint="default"/>
                <w:sz w:val="18"/>
                <w:szCs w:val="18"/>
              </w:rPr>
            </w:r>
          </w:p>
        </w:tc>
        <w:tc>
          <w:tcPr>
            <w:tcW w:w="1603" w:type="dxa"/>
            <w:tcBorders>
              <w:top w:val="single" w:sz="4" w:space="0" w:color="000000"/>
              <w:left w:val="single" w:sz="8" w:space="0" w:color="D2D2D2"/>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144,898.86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3"/>
                <w:sz w:val="18"/>
              </w:rPr>
              <w:t>1,811,911.60</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1,956,810.46</w:t>
            </w:r>
          </w:p>
        </w:tc>
      </w:tr>
      <w:tr>
        <w:trPr>
          <w:trHeight w:val="398" w:hRule="exact"/>
        </w:trPr>
        <w:tc>
          <w:tcPr>
            <w:tcW w:w="15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5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603" w:type="dxa"/>
            <w:tcBorders>
              <w:top w:val="single" w:sz="4" w:space="0" w:color="000000"/>
              <w:left w:val="single" w:sz="8" w:space="0" w:color="D2D2D2"/>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144,898.86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90,032.26</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234,931.12</w:t>
            </w:r>
          </w:p>
        </w:tc>
      </w:tr>
      <w:tr>
        <w:trPr>
          <w:trHeight w:val="403" w:hRule="exact"/>
        </w:trPr>
        <w:tc>
          <w:tcPr>
            <w:tcW w:w="15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3"/>
              <w:ind w:left="55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）内部研</w:t>
            </w:r>
          </w:p>
        </w:tc>
        <w:tc>
          <w:tcPr>
            <w:tcW w:w="1603" w:type="dxa"/>
            <w:tcBorders>
              <w:top w:val="single" w:sz="4" w:space="0" w:color="000000"/>
              <w:left w:val="single" w:sz="8" w:space="0" w:color="D2D2D2"/>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594"/>
        <w:gridCol w:w="1594"/>
        <w:gridCol w:w="1594"/>
        <w:gridCol w:w="1594"/>
        <w:gridCol w:w="1594"/>
        <w:gridCol w:w="1598"/>
      </w:tblGrid>
      <w:tr>
        <w:trPr>
          <w:trHeight w:val="360"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w w:val="101"/>
                <w:sz w:val="18"/>
                <w:szCs w:val="18"/>
              </w:rPr>
              <w:t>发</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6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w:t>
            </w:r>
          </w:p>
          <w:p>
            <w:pPr>
              <w:pStyle w:val="TableParagraph"/>
              <w:spacing w:line="240" w:lineRule="auto" w:before="67"/>
              <w:ind w:left="24" w:right="0"/>
              <w:jc w:val="left"/>
              <w:rPr>
                <w:rFonts w:ascii="宋体" w:hAnsi="宋体" w:cs="宋体" w:eastAsia="宋体" w:hint="default"/>
                <w:sz w:val="18"/>
                <w:szCs w:val="18"/>
              </w:rPr>
            </w:pPr>
            <w:r>
              <w:rPr>
                <w:rFonts w:ascii="宋体" w:hAnsi="宋体" w:cs="宋体" w:eastAsia="宋体" w:hint="default"/>
                <w:sz w:val="18"/>
                <w:szCs w:val="18"/>
              </w:rPr>
              <w:t>并增加</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1,721,879.34</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1,721,879.34</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56"/>
              <w:jc w:val="righ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本期减少金额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472,219.00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472,219.00</w:t>
            </w:r>
          </w:p>
        </w:tc>
      </w:tr>
      <w:tr>
        <w:trPr>
          <w:trHeight w:val="398"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04"/>
              <w:jc w:val="righ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）处置</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）其他减少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472,219.00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472,219.00</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8"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60,943,536.25</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4,847,309.45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2,228,546.65</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68,019,392.35</w:t>
            </w:r>
          </w:p>
        </w:tc>
      </w:tr>
      <w:tr>
        <w:trPr>
          <w:trHeight w:val="398"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8"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3,046,895.67</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1,366,359.92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242,736.20</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4,655,991.79</w:t>
            </w: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w w:val="101"/>
                <w:sz w:val="18"/>
                <w:szCs w:val="18"/>
              </w:rPr>
              <w:t>额</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1,218,414.15</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955,945.28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1,719,641.34</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3,894,000.77</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04"/>
              <w:jc w:val="righ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）计提</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1,218,414.15</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955,945.28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64,787.13</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2,239,146.56</w:t>
            </w:r>
          </w:p>
        </w:tc>
      </w:tr>
      <w:tr>
        <w:trPr>
          <w:trHeight w:val="398"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合并增加</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1,654,854.21</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1,654,854.21</w:t>
            </w: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w:t>
            </w:r>
          </w:p>
          <w:p>
            <w:pPr>
              <w:pStyle w:val="TableParagraph"/>
              <w:spacing w:line="240" w:lineRule="auto" w:before="67"/>
              <w:ind w:left="24" w:right="0"/>
              <w:jc w:val="left"/>
              <w:rPr>
                <w:rFonts w:ascii="宋体" w:hAnsi="宋体" w:cs="宋体" w:eastAsia="宋体" w:hint="default"/>
                <w:sz w:val="18"/>
                <w:szCs w:val="18"/>
              </w:rPr>
            </w:pPr>
            <w:r>
              <w:rPr>
                <w:rFonts w:ascii="宋体" w:hAnsi="宋体" w:cs="宋体" w:eastAsia="宋体" w:hint="default"/>
                <w:w w:val="101"/>
                <w:sz w:val="18"/>
                <w:szCs w:val="18"/>
              </w:rPr>
              <w:t>额</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04"/>
              <w:jc w:val="righ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）处置</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8"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4,265,309.82</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2,322,305.20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1,962,377.54</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8,549,992.56</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8"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w w:val="101"/>
                <w:sz w:val="18"/>
                <w:szCs w:val="18"/>
              </w:rPr>
              <w:t>额</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04"/>
              <w:jc w:val="righ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）计提</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w w:val="101"/>
                <w:sz w:val="18"/>
                <w:szCs w:val="18"/>
              </w:rPr>
              <w:t>额</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8"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w w:val="101"/>
                <w:sz w:val="18"/>
                <w:szCs w:val="18"/>
              </w:rPr>
              <w:t>值</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56,678,226.43</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2,525,004.25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2"/>
                <w:sz w:val="18"/>
              </w:rPr>
              <w:t>266,169.11</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59,469,399.79</w:t>
            </w:r>
          </w:p>
        </w:tc>
      </w:tr>
      <w:tr>
        <w:trPr>
          <w:trHeight w:val="710"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w w:val="101"/>
                <w:sz w:val="18"/>
                <w:szCs w:val="18"/>
              </w:rPr>
              <w:t>值</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58,368,859.58</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3,336,050.67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173,898.85</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61,878,809.10</w:t>
            </w:r>
          </w:p>
        </w:tc>
      </w:tr>
    </w:tbl>
    <w:p>
      <w:pPr>
        <w:spacing w:after="0" w:line="240" w:lineRule="auto"/>
        <w:jc w:val="right"/>
        <w:rPr>
          <w:rFonts w:ascii="Times New Roman" w:hAnsi="Times New Roman" w:cs="Times New Roman" w:eastAsia="Times New Roman" w:hint="default"/>
          <w:sz w:val="18"/>
          <w:szCs w:val="18"/>
        </w:rPr>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4"/>
          <w:szCs w:val="14"/>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本期末通过公司内部研发形成的无形资产占无形资产余额的比例。</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）未办妥产权证书的土地使用权情况</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8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398"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86"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四川鸿海土地使用权</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14,931,066.11</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正在办理中</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26</w:t>
      </w:r>
      <w:r>
        <w:rPr/>
        <w:t>、开发支出</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8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061"/>
        <w:gridCol w:w="1066"/>
        <w:gridCol w:w="3187"/>
        <w:gridCol w:w="3192"/>
        <w:gridCol w:w="1061"/>
      </w:tblGrid>
      <w:tr>
        <w:trPr>
          <w:trHeight w:val="403" w:hRule="exact"/>
        </w:trPr>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45"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6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46"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46"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63"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27</w:t>
      </w:r>
      <w:r>
        <w:rPr/>
        <w:t>、商誉</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）商誉账面原值</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8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1363"/>
        <w:gridCol w:w="1368"/>
        <w:gridCol w:w="1368"/>
        <w:gridCol w:w="1368"/>
        <w:gridCol w:w="1368"/>
      </w:tblGrid>
      <w:tr>
        <w:trPr>
          <w:trHeight w:val="102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48" w:right="46"/>
              <w:jc w:val="center"/>
              <w:rPr>
                <w:rFonts w:ascii="宋体" w:hAnsi="宋体" w:cs="宋体" w:eastAsia="宋体" w:hint="default"/>
                <w:sz w:val="18"/>
                <w:szCs w:val="18"/>
              </w:rPr>
            </w:pPr>
            <w:r>
              <w:rPr>
                <w:rFonts w:ascii="宋体" w:hAnsi="宋体" w:cs="宋体" w:eastAsia="宋体" w:hint="default"/>
                <w:spacing w:val="-3"/>
                <w:sz w:val="18"/>
                <w:szCs w:val="18"/>
              </w:rPr>
              <w:t>被投资单位名称</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或形成商誉的事</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项</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1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7"/>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2"/>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1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21" w:lineRule="auto" w:before="53"/>
              <w:ind w:left="24" w:right="70"/>
              <w:jc w:val="left"/>
              <w:rPr>
                <w:rFonts w:ascii="宋体" w:hAnsi="宋体" w:cs="宋体" w:eastAsia="宋体" w:hint="default"/>
                <w:sz w:val="18"/>
                <w:szCs w:val="18"/>
              </w:rPr>
            </w:pPr>
            <w:r>
              <w:rPr>
                <w:rFonts w:ascii="宋体" w:hAnsi="宋体" w:cs="宋体" w:eastAsia="宋体" w:hint="default"/>
                <w:spacing w:val="-3"/>
                <w:sz w:val="18"/>
                <w:szCs w:val="18"/>
              </w:rPr>
              <w:t>无锡双龙信息纸</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17,790,965.08</w:t>
            </w:r>
          </w:p>
        </w:tc>
        <w:tc>
          <w:tcPr>
            <w:tcW w:w="136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17,790,965.08</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53"/>
              <w:ind w:left="24" w:right="70"/>
              <w:jc w:val="left"/>
              <w:rPr>
                <w:rFonts w:ascii="宋体" w:hAnsi="宋体" w:cs="宋体" w:eastAsia="宋体" w:hint="default"/>
                <w:sz w:val="18"/>
                <w:szCs w:val="18"/>
              </w:rPr>
            </w:pPr>
            <w:r>
              <w:rPr>
                <w:rFonts w:ascii="宋体" w:hAnsi="宋体" w:cs="宋体" w:eastAsia="宋体" w:hint="default"/>
                <w:spacing w:val="-3"/>
                <w:sz w:val="18"/>
                <w:szCs w:val="18"/>
              </w:rPr>
              <w:t>广州彩创网络技</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术有限公司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1,937,437.40</w:t>
            </w:r>
          </w:p>
        </w:tc>
        <w:tc>
          <w:tcPr>
            <w:tcW w:w="136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1,937,437.40</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53"/>
              <w:ind w:left="24" w:right="70"/>
              <w:jc w:val="left"/>
              <w:rPr>
                <w:rFonts w:ascii="宋体" w:hAnsi="宋体" w:cs="宋体" w:eastAsia="宋体" w:hint="default"/>
                <w:sz w:val="18"/>
                <w:szCs w:val="18"/>
              </w:rPr>
            </w:pPr>
            <w:r>
              <w:rPr>
                <w:rFonts w:ascii="宋体" w:hAnsi="宋体" w:cs="宋体" w:eastAsia="宋体" w:hint="default"/>
                <w:spacing w:val="-3"/>
                <w:sz w:val="18"/>
                <w:szCs w:val="18"/>
              </w:rPr>
              <w:t>北京科信盛彩投</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资有限公司</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63,321,353.13</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63,321,353.13</w:t>
            </w:r>
          </w:p>
        </w:tc>
      </w:tr>
      <w:tr>
        <w:trPr>
          <w:trHeight w:val="398"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19,728,402.48</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63,321,353.13</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83,049,755.61</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）商誉减值准备</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8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2731"/>
        <w:gridCol w:w="2736"/>
        <w:gridCol w:w="1368"/>
      </w:tblGrid>
      <w:tr>
        <w:trPr>
          <w:trHeight w:val="357" w:hRule="exact"/>
        </w:trPr>
        <w:tc>
          <w:tcPr>
            <w:tcW w:w="1368"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被投资单位名称</w:t>
            </w:r>
          </w:p>
        </w:tc>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2731" w:type="dxa"/>
            <w:tcBorders>
              <w:top w:val="single" w:sz="4" w:space="0" w:color="000000"/>
              <w:left w:val="single" w:sz="4" w:space="0" w:color="000000"/>
              <w:bottom w:val="nil" w:sz="6" w:space="0" w:color="auto"/>
              <w:right w:val="single" w:sz="4" w:space="0" w:color="000000"/>
            </w:tcBorders>
            <w:shd w:val="clear" w:color="auto" w:fill="D2D2D2"/>
          </w:tcPr>
          <w:p>
            <w:pPr/>
          </w:p>
        </w:tc>
        <w:tc>
          <w:tcPr>
            <w:tcW w:w="2736"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14" w:hRule="exact"/>
        </w:trPr>
        <w:tc>
          <w:tcPr>
            <w:tcW w:w="13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pacing w:val="-3"/>
                <w:sz w:val="18"/>
                <w:szCs w:val="18"/>
              </w:rPr>
              <w:t>或形成商誉的事</w:t>
            </w:r>
          </w:p>
        </w:tc>
        <w:tc>
          <w:tcPr>
            <w:tcW w:w="13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left="31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right="7"/>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right="2"/>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left="31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56" w:hRule="exact"/>
        </w:trPr>
        <w:tc>
          <w:tcPr>
            <w:tcW w:w="136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1"/>
              <w:ind w:right="2"/>
              <w:jc w:val="center"/>
              <w:rPr>
                <w:rFonts w:ascii="宋体" w:hAnsi="宋体" w:cs="宋体" w:eastAsia="宋体" w:hint="default"/>
                <w:sz w:val="18"/>
                <w:szCs w:val="18"/>
              </w:rPr>
            </w:pPr>
            <w:r>
              <w:rPr>
                <w:rFonts w:ascii="宋体" w:hAnsi="宋体" w:cs="宋体" w:eastAsia="宋体" w:hint="default"/>
                <w:w w:val="101"/>
                <w:sz w:val="18"/>
                <w:szCs w:val="18"/>
              </w:rPr>
              <w:t>项</w:t>
            </w:r>
            <w:r>
              <w:rPr>
                <w:rFonts w:ascii="宋体" w:hAnsi="宋体" w:cs="宋体" w:eastAsia="宋体" w:hint="default"/>
                <w:sz w:val="18"/>
                <w:szCs w:val="18"/>
              </w:rPr>
            </w:r>
          </w:p>
        </w:tc>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2731" w:type="dxa"/>
            <w:tcBorders>
              <w:top w:val="nil" w:sz="6" w:space="0" w:color="auto"/>
              <w:left w:val="single" w:sz="4" w:space="0" w:color="000000"/>
              <w:bottom w:val="single" w:sz="4" w:space="0" w:color="000000"/>
              <w:right w:val="single" w:sz="4" w:space="0" w:color="000000"/>
            </w:tcBorders>
            <w:shd w:val="clear" w:color="auto" w:fill="D2D2D2"/>
          </w:tcPr>
          <w:p>
            <w:pPr/>
          </w:p>
        </w:tc>
        <w:tc>
          <w:tcPr>
            <w:tcW w:w="2736"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r>
    </w:tbl>
    <w:p>
      <w:pPr>
        <w:spacing w:line="357" w:lineRule="auto" w:before="53"/>
        <w:ind w:left="512" w:right="0" w:hanging="360"/>
        <w:jc w:val="left"/>
        <w:rPr>
          <w:rFonts w:ascii="宋体" w:hAnsi="宋体" w:cs="宋体" w:eastAsia="宋体" w:hint="default"/>
          <w:sz w:val="18"/>
          <w:szCs w:val="18"/>
        </w:rPr>
      </w:pPr>
      <w:r>
        <w:rPr>
          <w:rFonts w:ascii="宋体" w:hAnsi="宋体" w:cs="宋体" w:eastAsia="宋体" w:hint="default"/>
          <w:spacing w:val="-3"/>
          <w:sz w:val="18"/>
          <w:szCs w:val="18"/>
        </w:rPr>
        <w:t>说明商誉减值测试过程、参数及商誉减值损失的确认方法：</w:t>
      </w:r>
      <w:r>
        <w:rPr>
          <w:rFonts w:ascii="宋体" w:hAnsi="宋体" w:cs="宋体" w:eastAsia="宋体" w:hint="default"/>
          <w:spacing w:val="-11"/>
          <w:sz w:val="18"/>
          <w:szCs w:val="18"/>
        </w:rPr>
        <w:t> </w:t>
      </w:r>
      <w:r>
        <w:rPr>
          <w:rFonts w:ascii="宋体" w:hAnsi="宋体" w:cs="宋体" w:eastAsia="宋体" w:hint="default"/>
          <w:spacing w:val="-11"/>
          <w:sz w:val="18"/>
          <w:szCs w:val="18"/>
        </w:rPr>
      </w:r>
      <w:r>
        <w:rPr>
          <w:rFonts w:ascii="宋体" w:hAnsi="宋体" w:cs="宋体" w:eastAsia="宋体" w:hint="default"/>
          <w:spacing w:val="-5"/>
          <w:w w:val="101"/>
          <w:sz w:val="18"/>
          <w:szCs w:val="18"/>
        </w:rPr>
        <w:t>集团采用预计未来现金流现值的方法计算资产组的可收回金额。本集团根据过往表现及其对市场发展的预期编制预计未</w:t>
      </w:r>
      <w:r>
        <w:rPr>
          <w:rFonts w:ascii="宋体" w:hAnsi="宋体" w:cs="宋体" w:eastAsia="宋体" w:hint="default"/>
          <w:spacing w:val="-5"/>
          <w:sz w:val="18"/>
          <w:szCs w:val="18"/>
        </w:rPr>
      </w:r>
    </w:p>
    <w:p>
      <w:pPr>
        <w:spacing w:line="224" w:lineRule="exact" w:before="0"/>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来5年内现金流量，不会超过资产组经营业务的长期平均增长率。计算未来现金流现值所采用的税前折现率为5.32%（上期：</w:t>
      </w:r>
    </w:p>
    <w:p>
      <w:pPr>
        <w:spacing w:before="76"/>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5.41%），已反映了相对于有关分部的风险。根据减值测试的结果，本期期末商誉未发生减值（上期期末：无）</w:t>
      </w:r>
    </w:p>
    <w:p>
      <w:pPr>
        <w:spacing w:after="0"/>
        <w:jc w:val="left"/>
        <w:rPr>
          <w:rFonts w:ascii="宋体" w:hAnsi="宋体" w:cs="宋体" w:eastAsia="宋体" w:hint="default"/>
          <w:sz w:val="18"/>
          <w:szCs w:val="18"/>
        </w:rPr>
        <w:sectPr>
          <w:pgSz w:w="11900" w:h="16840"/>
          <w:pgMar w:header="872" w:footer="984" w:top="1060" w:bottom="1180" w:left="980" w:right="940"/>
        </w:sectPr>
      </w:pPr>
    </w:p>
    <w:p>
      <w:pPr>
        <w:spacing w:line="240" w:lineRule="auto" w:before="6"/>
        <w:rPr>
          <w:rFonts w:ascii="宋体" w:hAnsi="宋体" w:cs="宋体" w:eastAsia="宋体" w:hint="default"/>
          <w:sz w:val="26"/>
          <w:szCs w:val="26"/>
        </w:rPr>
      </w:pPr>
    </w:p>
    <w:p>
      <w:pPr>
        <w:spacing w:before="46"/>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28</w:t>
      </w:r>
      <w:r>
        <w:rPr/>
        <w:t>、长期待摊费用</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94"/>
        <w:gridCol w:w="1598"/>
        <w:gridCol w:w="1594"/>
        <w:gridCol w:w="1594"/>
        <w:gridCol w:w="1594"/>
        <w:gridCol w:w="1594"/>
      </w:tblGrid>
      <w:tr>
        <w:trPr>
          <w:trHeight w:val="398"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3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4"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9"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9"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固定资产改良费</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736,918.34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42,060,952.85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547,395.38</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42,250,475.81</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车间装修费</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705,412.36</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508,908.84</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196,503.52</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办公室装修</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453,184.60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252,579.00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259,873.20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445,890.40</w:t>
            </w:r>
          </w:p>
        </w:tc>
      </w:tr>
      <w:tr>
        <w:trPr>
          <w:trHeight w:val="398"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车间地坪漆工程款</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244,611.12</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86,333.28</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158,277.84</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土地营运费摊销</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2,413,125.00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233,864.00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817,837.95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1,361,423.05</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98"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28,000.00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5,444.46</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22,555.54</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4,553,251.42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42,341,531.85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1,641,819.16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817,837.95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44,435,126.16</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29</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）未经抵销的递延所得税资产</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0"/>
        <w:gridCol w:w="1920"/>
        <w:gridCol w:w="1910"/>
        <w:gridCol w:w="1915"/>
        <w:gridCol w:w="1915"/>
      </w:tblGrid>
      <w:tr>
        <w:trPr>
          <w:trHeight w:val="197" w:hRule="exact"/>
        </w:trPr>
        <w:tc>
          <w:tcPr>
            <w:tcW w:w="1910"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201" w:hRule="exact"/>
        </w:trPr>
        <w:tc>
          <w:tcPr>
            <w:tcW w:w="191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0" w:type="dxa"/>
            <w:gridSpan w:val="2"/>
            <w:vMerge/>
            <w:tcBorders>
              <w:left w:val="single" w:sz="4" w:space="0" w:color="000000"/>
              <w:bottom w:val="single" w:sz="4" w:space="0" w:color="000000"/>
              <w:right w:val="single" w:sz="4" w:space="0" w:color="000000"/>
            </w:tcBorders>
            <w:shd w:val="clear" w:color="auto" w:fill="D2D2D2"/>
          </w:tcPr>
          <w:p>
            <w:pPr/>
          </w:p>
        </w:tc>
        <w:tc>
          <w:tcPr>
            <w:tcW w:w="3830" w:type="dxa"/>
            <w:gridSpan w:val="2"/>
            <w:vMerge/>
            <w:tcBorders>
              <w:left w:val="single" w:sz="4" w:space="0" w:color="000000"/>
              <w:bottom w:val="single" w:sz="4" w:space="0" w:color="000000"/>
              <w:right w:val="single" w:sz="4" w:space="0" w:color="000000"/>
            </w:tcBorders>
            <w:shd w:val="clear" w:color="auto" w:fill="D2D2D2"/>
          </w:tcPr>
          <w:p>
            <w:pPr/>
          </w:p>
        </w:tc>
      </w:tr>
      <w:tr>
        <w:trPr>
          <w:trHeight w:val="192" w:hRule="exact"/>
        </w:trPr>
        <w:tc>
          <w:tcPr>
            <w:tcW w:w="1910" w:type="dxa"/>
            <w:vMerge/>
            <w:tcBorders>
              <w:left w:val="single" w:sz="4" w:space="0" w:color="000000"/>
              <w:bottom w:val="nil" w:sz="6" w:space="0" w:color="auto"/>
              <w:right w:val="single" w:sz="4" w:space="0" w:color="000000"/>
            </w:tcBorders>
            <w:shd w:val="clear" w:color="auto" w:fill="D2D2D2"/>
          </w:tcPr>
          <w:p>
            <w:pPr/>
          </w:p>
        </w:tc>
        <w:tc>
          <w:tcPr>
            <w:tcW w:w="192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230"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16"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230"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21"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r>
      <w:tr>
        <w:trPr>
          <w:trHeight w:val="216" w:hRule="exact"/>
        </w:trPr>
        <w:tc>
          <w:tcPr>
            <w:tcW w:w="1910"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0" w:type="dxa"/>
            <w:vMerge/>
            <w:tcBorders>
              <w:left w:val="single" w:sz="4" w:space="0" w:color="000000"/>
              <w:bottom w:val="single" w:sz="4" w:space="0" w:color="000000"/>
              <w:right w:val="single" w:sz="4" w:space="0" w:color="000000"/>
            </w:tcBorders>
            <w:shd w:val="clear" w:color="auto" w:fill="D2D2D2"/>
          </w:tcPr>
          <w:p>
            <w:pPr/>
          </w:p>
        </w:tc>
        <w:tc>
          <w:tcPr>
            <w:tcW w:w="1910"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920"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45,882,814.82</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9,233,873.29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33,480,304.74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7,365,945.12</w:t>
            </w:r>
          </w:p>
        </w:tc>
      </w:tr>
      <w:tr>
        <w:trPr>
          <w:trHeight w:val="398"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内部交易未实现利润</w:t>
            </w:r>
          </w:p>
        </w:tc>
        <w:tc>
          <w:tcPr>
            <w:tcW w:w="1920" w:type="dxa"/>
            <w:tcBorders>
              <w:top w:val="single" w:sz="4" w:space="0" w:color="000000"/>
              <w:left w:val="single" w:sz="8" w:space="0" w:color="D2D2D2"/>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2,805,707.23</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701,426.81</w:t>
            </w: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1920"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109,918,951.80</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24,985,266.15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60,927,345.69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14,242,904.16</w:t>
            </w: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11,481,085.65</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2,870,271.42</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3,166,272.98</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791,568.25</w:t>
            </w: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经营租赁应付款</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4,492,204.20</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673,830.63</w:t>
            </w: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预提退货准备金</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20,383,623.96</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3,057,543.59</w:t>
            </w: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192,158,680.43</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40,820,785.08</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100,379,630.64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23,101,844.34</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）未经抵销的递延所得税负债</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0"/>
        <w:gridCol w:w="1920"/>
        <w:gridCol w:w="1910"/>
        <w:gridCol w:w="1915"/>
        <w:gridCol w:w="1915"/>
      </w:tblGrid>
      <w:tr>
        <w:trPr>
          <w:trHeight w:val="401" w:hRule="exact"/>
        </w:trPr>
        <w:tc>
          <w:tcPr>
            <w:tcW w:w="191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1910" w:type="dxa"/>
            <w:vMerge/>
            <w:tcBorders>
              <w:left w:val="single" w:sz="4" w:space="0" w:color="000000"/>
              <w:bottom w:val="single" w:sz="4" w:space="0" w:color="000000"/>
              <w:right w:val="single" w:sz="4" w:space="0" w:color="000000"/>
            </w:tcBorders>
            <w:shd w:val="clear" w:color="auto" w:fill="D2D2D2"/>
          </w:tcPr>
          <w:p>
            <w:pPr/>
          </w:p>
        </w:tc>
        <w:tc>
          <w:tcPr>
            <w:tcW w:w="19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30"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16"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30"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21"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w:t>
            </w:r>
          </w:p>
        </w:tc>
      </w:tr>
      <w:tr>
        <w:trPr>
          <w:trHeight w:val="715" w:hRule="exact"/>
        </w:trPr>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4" w:right="70"/>
              <w:jc w:val="left"/>
              <w:rPr>
                <w:rFonts w:ascii="宋体" w:hAnsi="宋体" w:cs="宋体" w:eastAsia="宋体" w:hint="default"/>
                <w:sz w:val="18"/>
                <w:szCs w:val="18"/>
              </w:rPr>
            </w:pPr>
            <w:r>
              <w:rPr>
                <w:rFonts w:ascii="宋体" w:hAnsi="宋体" w:cs="宋体" w:eastAsia="宋体" w:hint="default"/>
                <w:spacing w:val="-2"/>
                <w:sz w:val="18"/>
                <w:szCs w:val="18"/>
              </w:rPr>
              <w:t>固定资产折旧年限差异</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2"/>
                <w:sz w:val="18"/>
                <w:szCs w:val="18"/>
              </w:rPr>
              <w:t>产生的递延所得税负债</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4,209,910.93</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631,486.64</w:t>
            </w: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4,209,910.93</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631,486.64</w:t>
            </w: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line="240" w:lineRule="auto" w:before="4"/>
        <w:rPr>
          <w:rFonts w:ascii="宋体" w:hAnsi="宋体" w:cs="宋体" w:eastAsia="宋体" w:hint="default"/>
          <w:sz w:val="25"/>
          <w:szCs w:val="25"/>
        </w:rPr>
      </w:pPr>
    </w:p>
    <w:p>
      <w:pPr>
        <w:pStyle w:val="Heading4"/>
        <w:spacing w:line="335" w:lineRule="exact"/>
        <w:ind w:right="0"/>
        <w:jc w:val="left"/>
        <w:rPr>
          <w:b w:val="0"/>
          <w:bCs w:val="0"/>
        </w:rPr>
      </w:pPr>
      <w:r>
        <w:rPr/>
        <w:t>（</w:t>
      </w:r>
      <w:r>
        <w:rPr>
          <w:rFonts w:ascii="Times New Roman" w:hAnsi="Times New Roman" w:cs="Times New Roman" w:eastAsia="Times New Roman" w:hint="default"/>
        </w:rPr>
        <w:t>3</w:t>
      </w:r>
      <w:r>
        <w:rPr/>
        <w:t>）以抵销后净额列示的递延所得税资产或负债</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901"/>
        <w:gridCol w:w="1918"/>
        <w:gridCol w:w="1910"/>
        <w:gridCol w:w="1915"/>
        <w:gridCol w:w="1915"/>
      </w:tblGrid>
      <w:tr>
        <w:trPr>
          <w:trHeight w:val="159" w:hRule="exact"/>
        </w:trPr>
        <w:tc>
          <w:tcPr>
            <w:tcW w:w="1901"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410" w:right="50" w:hanging="360"/>
              <w:jc w:val="left"/>
              <w:rPr>
                <w:rFonts w:ascii="宋体" w:hAnsi="宋体" w:cs="宋体" w:eastAsia="宋体" w:hint="default"/>
                <w:sz w:val="18"/>
                <w:szCs w:val="18"/>
              </w:rPr>
            </w:pPr>
            <w:r>
              <w:rPr>
                <w:rFonts w:ascii="宋体" w:hAnsi="宋体" w:cs="宋体" w:eastAsia="宋体" w:hint="default"/>
                <w:spacing w:val="-2"/>
                <w:sz w:val="18"/>
                <w:szCs w:val="18"/>
              </w:rPr>
              <w:t>递延所得税资产和负债</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期末互抵金额</w:t>
            </w:r>
          </w:p>
        </w:tc>
        <w:tc>
          <w:tcPr>
            <w:tcW w:w="191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316" w:right="46" w:hanging="269"/>
              <w:jc w:val="left"/>
              <w:rPr>
                <w:rFonts w:ascii="宋体" w:hAnsi="宋体" w:cs="宋体" w:eastAsia="宋体" w:hint="default"/>
                <w:sz w:val="18"/>
                <w:szCs w:val="18"/>
              </w:rPr>
            </w:pPr>
            <w:r>
              <w:rPr>
                <w:rFonts w:ascii="宋体" w:hAnsi="宋体" w:cs="宋体" w:eastAsia="宋体" w:hint="default"/>
                <w:spacing w:val="-2"/>
                <w:sz w:val="18"/>
                <w:szCs w:val="18"/>
              </w:rPr>
              <w:t>抵销后递延所得税资产</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3"/>
                <w:sz w:val="18"/>
                <w:szCs w:val="18"/>
              </w:rPr>
              <w:t>或负债期末余额</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407" w:right="46" w:hanging="356"/>
              <w:jc w:val="left"/>
              <w:rPr>
                <w:rFonts w:ascii="宋体" w:hAnsi="宋体" w:cs="宋体" w:eastAsia="宋体" w:hint="default"/>
                <w:sz w:val="18"/>
                <w:szCs w:val="18"/>
              </w:rPr>
            </w:pPr>
            <w:r>
              <w:rPr>
                <w:rFonts w:ascii="宋体" w:hAnsi="宋体" w:cs="宋体" w:eastAsia="宋体" w:hint="default"/>
                <w:spacing w:val="-2"/>
                <w:sz w:val="18"/>
                <w:szCs w:val="18"/>
              </w:rPr>
              <w:t>递延所得税资产和负债</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期初互抵金额</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321" w:right="46" w:hanging="269"/>
              <w:jc w:val="left"/>
              <w:rPr>
                <w:rFonts w:ascii="宋体" w:hAnsi="宋体" w:cs="宋体" w:eastAsia="宋体" w:hint="default"/>
                <w:sz w:val="18"/>
                <w:szCs w:val="18"/>
              </w:rPr>
            </w:pPr>
            <w:r>
              <w:rPr>
                <w:rFonts w:ascii="宋体" w:hAnsi="宋体" w:cs="宋体" w:eastAsia="宋体" w:hint="default"/>
                <w:spacing w:val="-2"/>
                <w:sz w:val="18"/>
                <w:szCs w:val="18"/>
              </w:rPr>
              <w:t>抵销后递延所得税资产</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3"/>
                <w:sz w:val="18"/>
                <w:szCs w:val="18"/>
              </w:rPr>
              <w:t>或负债期初余额</w:t>
            </w:r>
          </w:p>
        </w:tc>
      </w:tr>
      <w:tr>
        <w:trPr>
          <w:trHeight w:val="393" w:hRule="exact"/>
        </w:trPr>
        <w:tc>
          <w:tcPr>
            <w:tcW w:w="190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12"/>
              <w:jc w:val="center"/>
              <w:rPr>
                <w:rFonts w:ascii="宋体" w:hAnsi="宋体" w:cs="宋体" w:eastAsia="宋体" w:hint="default"/>
                <w:sz w:val="18"/>
                <w:szCs w:val="18"/>
              </w:rPr>
            </w:pPr>
            <w:r>
              <w:rPr>
                <w:rFonts w:ascii="宋体" w:hAnsi="宋体" w:cs="宋体" w:eastAsia="宋体" w:hint="default"/>
                <w:sz w:val="18"/>
                <w:szCs w:val="18"/>
              </w:rPr>
              <w:t>项目</w:t>
            </w:r>
          </w:p>
        </w:tc>
        <w:tc>
          <w:tcPr>
            <w:tcW w:w="1918" w:type="dxa"/>
            <w:vMerge/>
            <w:tcBorders>
              <w:left w:val="single" w:sz="4" w:space="0" w:color="000000"/>
              <w:right w:val="single" w:sz="4" w:space="0" w:color="000000"/>
            </w:tcBorders>
            <w:shd w:val="clear" w:color="auto" w:fill="D2D2D2"/>
          </w:tcPr>
          <w:p>
            <w:pPr/>
          </w:p>
        </w:tc>
        <w:tc>
          <w:tcPr>
            <w:tcW w:w="1910" w:type="dxa"/>
            <w:vMerge/>
            <w:tcBorders>
              <w:left w:val="single" w:sz="4" w:space="0" w:color="000000"/>
              <w:right w:val="single" w:sz="4" w:space="0" w:color="000000"/>
            </w:tcBorders>
            <w:shd w:val="clear" w:color="auto" w:fill="D2D2D2"/>
          </w:tcPr>
          <w:p>
            <w:pPr/>
          </w:p>
        </w:tc>
        <w:tc>
          <w:tcPr>
            <w:tcW w:w="1915" w:type="dxa"/>
            <w:vMerge/>
            <w:tcBorders>
              <w:left w:val="single" w:sz="4" w:space="0" w:color="000000"/>
              <w:right w:val="single" w:sz="4" w:space="0" w:color="000000"/>
            </w:tcBorders>
            <w:shd w:val="clear" w:color="auto" w:fill="D2D2D2"/>
          </w:tcPr>
          <w:p>
            <w:pPr/>
          </w:p>
        </w:tc>
        <w:tc>
          <w:tcPr>
            <w:tcW w:w="1915" w:type="dxa"/>
            <w:vMerge/>
            <w:tcBorders>
              <w:left w:val="single" w:sz="4" w:space="0" w:color="000000"/>
              <w:right w:val="single" w:sz="4" w:space="0" w:color="000000"/>
            </w:tcBorders>
            <w:shd w:val="clear" w:color="auto" w:fill="D2D2D2"/>
          </w:tcPr>
          <w:p>
            <w:pPr/>
          </w:p>
        </w:tc>
      </w:tr>
      <w:tr>
        <w:trPr>
          <w:trHeight w:val="163" w:hRule="exact"/>
        </w:trPr>
        <w:tc>
          <w:tcPr>
            <w:tcW w:w="19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8" w:type="dxa"/>
            <w:vMerge/>
            <w:tcBorders>
              <w:left w:val="single" w:sz="4" w:space="0" w:color="000000"/>
              <w:bottom w:val="single" w:sz="4" w:space="0" w:color="000000"/>
              <w:right w:val="single" w:sz="4" w:space="0" w:color="000000"/>
            </w:tcBorders>
            <w:shd w:val="clear" w:color="auto" w:fill="D2D2D2"/>
          </w:tcPr>
          <w:p>
            <w:pPr/>
          </w:p>
        </w:tc>
        <w:tc>
          <w:tcPr>
            <w:tcW w:w="1910"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c>
          <w:tcPr>
            <w:tcW w:w="1918" w:type="dxa"/>
            <w:tcBorders>
              <w:top w:val="single" w:sz="4" w:space="0" w:color="000000"/>
              <w:left w:val="single" w:sz="8" w:space="0" w:color="D2D2D2"/>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40,820,785.08</w:t>
            </w: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840" w:right="0"/>
              <w:jc w:val="left"/>
              <w:rPr>
                <w:rFonts w:ascii="Times New Roman" w:hAnsi="Times New Roman" w:cs="Times New Roman" w:eastAsia="Times New Roman" w:hint="default"/>
                <w:sz w:val="18"/>
                <w:szCs w:val="18"/>
              </w:rPr>
            </w:pPr>
            <w:r>
              <w:rPr>
                <w:rFonts w:ascii="Times New Roman"/>
                <w:sz w:val="18"/>
              </w:rPr>
              <w:t>23,101,844.34</w:t>
            </w:r>
          </w:p>
        </w:tc>
      </w:tr>
      <w:tr>
        <w:trPr>
          <w:trHeight w:val="398"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w:t>
            </w:r>
          </w:p>
        </w:tc>
        <w:tc>
          <w:tcPr>
            <w:tcW w:w="1918" w:type="dxa"/>
            <w:tcBorders>
              <w:top w:val="single" w:sz="4" w:space="0" w:color="000000"/>
              <w:left w:val="single" w:sz="8" w:space="0" w:color="D2D2D2"/>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631,486.64</w:t>
            </w: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4</w:t>
      </w:r>
      <w:r>
        <w:rPr/>
        <w:t>）未确认递延所得税资产明细</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5</w:t>
      </w:r>
      <w:r>
        <w:rPr/>
        <w:t>）未确认递延所得税资产的可抵扣亏损将于以下年度到期</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0"/>
        <w:gridCol w:w="2395"/>
        <w:gridCol w:w="2390"/>
        <w:gridCol w:w="2390"/>
      </w:tblGrid>
      <w:tr>
        <w:trPr>
          <w:trHeight w:val="403"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年份</w:t>
            </w:r>
          </w:p>
        </w:tc>
        <w:tc>
          <w:tcPr>
            <w:tcW w:w="2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期初金额</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备注</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30</w:t>
      </w:r>
      <w:r>
        <w:rPr/>
        <w:t>、其他非流动资产</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预付房屋、设备款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2,134,607.76</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2,134,607.76</w:t>
            </w:r>
          </w:p>
        </w:tc>
        <w:tc>
          <w:tcPr>
            <w:tcW w:w="3192" w:type="dxa"/>
            <w:tcBorders>
              <w:top w:val="single" w:sz="4" w:space="0" w:color="000000"/>
              <w:left w:val="single" w:sz="4" w:space="0" w:color="000000"/>
              <w:bottom w:val="single" w:sz="4" w:space="0" w:color="000000"/>
              <w:right w:val="single" w:sz="4" w:space="0" w:color="000000"/>
            </w:tcBorders>
          </w:tcPr>
          <w:p>
            <w:pP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31</w:t>
      </w:r>
      <w:r>
        <w:rPr/>
        <w:t>、短期借款</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）短期借款分类</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6"/>
        <w:gridCol w:w="3202"/>
        <w:gridCol w:w="3192"/>
      </w:tblGrid>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150,000,000.00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35,000,000.00</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180,000,000.00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132,500,000.00</w:t>
            </w:r>
          </w:p>
        </w:tc>
      </w:tr>
      <w:tr>
        <w:trPr>
          <w:trHeight w:val="398"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330,000,000.00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167,500,000.00</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短期借款分类的说明：</w:t>
      </w:r>
    </w:p>
    <w:p>
      <w:pPr>
        <w:spacing w:line="240" w:lineRule="auto" w:before="1"/>
        <w:rPr>
          <w:rFonts w:ascii="宋体" w:hAnsi="宋体" w:cs="宋体" w:eastAsia="宋体" w:hint="default"/>
          <w:sz w:val="13"/>
          <w:szCs w:val="13"/>
        </w:rPr>
      </w:pPr>
    </w:p>
    <w:p>
      <w:pPr>
        <w:pStyle w:val="BodyText"/>
        <w:spacing w:line="273" w:lineRule="auto"/>
        <w:ind w:right="0" w:firstLine="422"/>
        <w:jc w:val="left"/>
      </w:pPr>
      <w:r>
        <w:rPr/>
        <w:t>（1）本集团保证借款为母公司鸿博股份为全资子公司重庆鸿海印务有限公司（以下简称重庆鸿海）</w:t>
      </w:r>
      <w:r>
        <w:rPr>
          <w:w w:val="100"/>
        </w:rPr>
        <w:t> </w:t>
      </w:r>
      <w:r>
        <w:rPr/>
        <w:t>提供担保的短期借款4,000万元，母公司鸿博股份为全资子公司鸿博（福建）数据网络科技股份有限公司</w:t>
      </w:r>
    </w:p>
    <w:p>
      <w:pPr>
        <w:pStyle w:val="BodyText"/>
        <w:spacing w:line="240" w:lineRule="auto" w:before="7"/>
        <w:ind w:right="0"/>
        <w:jc w:val="left"/>
      </w:pPr>
      <w:r>
        <w:rPr/>
        <w:t>（以下简称数据网络）提供担保的短期借款10,000万元，母公司鸿博股份为非全资子公司无锡双龙信息纸</w:t>
      </w:r>
    </w:p>
    <w:p>
      <w:pPr>
        <w:spacing w:after="0" w:line="240" w:lineRule="auto"/>
        <w:jc w:val="left"/>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BodyText"/>
        <w:spacing w:line="240" w:lineRule="auto" w:before="36"/>
        <w:ind w:right="0"/>
        <w:jc w:val="left"/>
      </w:pPr>
      <w:r>
        <w:rPr/>
        <w:t>有限公司（以下简称无锡双龙）提供担保的短期借款1,000万元。</w:t>
      </w:r>
    </w:p>
    <w:p>
      <w:pPr>
        <w:spacing w:line="240" w:lineRule="auto" w:before="11"/>
        <w:rPr>
          <w:rFonts w:ascii="宋体" w:hAnsi="宋体" w:cs="宋体" w:eastAsia="宋体" w:hint="default"/>
          <w:sz w:val="20"/>
          <w:szCs w:val="20"/>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）已逾期未偿还的短期借款情况</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本期末已逾期未偿还的短期借款总额为元，其中重要的已逾期未偿还的短期借款情况如下：</w:t>
      </w:r>
    </w:p>
    <w:p>
      <w:pPr>
        <w:spacing w:before="119"/>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0"/>
        <w:gridCol w:w="1920"/>
        <w:gridCol w:w="1910"/>
        <w:gridCol w:w="1915"/>
        <w:gridCol w:w="1915"/>
      </w:tblGrid>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85" w:right="0"/>
              <w:jc w:val="left"/>
              <w:rPr>
                <w:rFonts w:ascii="宋体" w:hAnsi="宋体" w:cs="宋体" w:eastAsia="宋体" w:hint="default"/>
                <w:sz w:val="18"/>
                <w:szCs w:val="18"/>
              </w:rPr>
            </w:pPr>
            <w:r>
              <w:rPr>
                <w:rFonts w:ascii="宋体" w:hAnsi="宋体" w:cs="宋体" w:eastAsia="宋体" w:hint="default"/>
                <w:sz w:val="18"/>
                <w:szCs w:val="18"/>
              </w:rPr>
              <w:t>借款利率</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逾期利率</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32</w:t>
      </w:r>
      <w:r>
        <w:rPr/>
        <w:t>、以公允价值计量且其变动计入当期损益的金融负债</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6"/>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33</w:t>
      </w:r>
      <w:r>
        <w:rPr/>
        <w:t>、衍生金融负债</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34</w:t>
      </w:r>
      <w:r>
        <w:rPr/>
        <w:t>、应付票据</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6"/>
        <w:gridCol w:w="3202"/>
        <w:gridCol w:w="3192"/>
      </w:tblGrid>
      <w:tr>
        <w:trPr>
          <w:trHeight w:val="398"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75,000,000.00</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34,261,684.98</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35,143,038.38</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109,261,684.98</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35,143,038.38</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本期末已到期未支付的应付票据总额为元。</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35</w:t>
      </w:r>
      <w:r>
        <w:rPr/>
        <w:t>、应付账款</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）应付账款列示</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398"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153,540,675.94</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116,777,513.73</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工程款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22,985,375.05</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31,426,081.88</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设备款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3,951,523.16</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994,117.95</w:t>
            </w: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1,453,719.14</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14,235,000.00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181,931,293.29</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163,432,713.56</w:t>
            </w:r>
          </w:p>
        </w:tc>
      </w:tr>
    </w:tbl>
    <w:p>
      <w:pPr>
        <w:spacing w:after="0" w:line="240" w:lineRule="auto"/>
        <w:jc w:val="right"/>
        <w:rPr>
          <w:rFonts w:ascii="Times New Roman" w:hAnsi="Times New Roman" w:cs="Times New Roman" w:eastAsia="Times New Roman" w:hint="default"/>
          <w:sz w:val="18"/>
          <w:szCs w:val="18"/>
        </w:rPr>
        <w:sectPr>
          <w:pgSz w:w="11900" w:h="16840"/>
          <w:pgMar w:header="872" w:footer="984" w:top="1060" w:bottom="1180" w:left="980" w:right="980"/>
        </w:sectPr>
      </w:pPr>
    </w:p>
    <w:p>
      <w:pPr>
        <w:spacing w:line="240" w:lineRule="auto" w:before="4"/>
        <w:rPr>
          <w:rFonts w:ascii="宋体" w:hAnsi="宋体" w:cs="宋体" w:eastAsia="宋体" w:hint="default"/>
          <w:sz w:val="25"/>
          <w:szCs w:val="25"/>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）账龄超过 </w:t>
      </w:r>
      <w:r>
        <w:rPr>
          <w:rFonts w:ascii="Times New Roman" w:hAnsi="Times New Roman" w:cs="Times New Roman" w:eastAsia="Times New Roman" w:hint="default"/>
        </w:rPr>
        <w:t>1</w:t>
      </w:r>
      <w:r>
        <w:rPr>
          <w:rFonts w:ascii="Times New Roman" w:hAnsi="Times New Roman" w:cs="Times New Roman" w:eastAsia="Times New Roman" w:hint="default"/>
          <w:spacing w:val="11"/>
        </w:rPr>
        <w:t> </w:t>
      </w:r>
      <w:r>
        <w:rPr/>
        <w:t>年的重要应付账款</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77" w:right="0"/>
              <w:jc w:val="left"/>
              <w:rPr>
                <w:rFonts w:ascii="宋体" w:hAnsi="宋体" w:cs="宋体" w:eastAsia="宋体" w:hint="default"/>
                <w:sz w:val="18"/>
                <w:szCs w:val="18"/>
              </w:rPr>
            </w:pPr>
            <w:r>
              <w:rPr>
                <w:rFonts w:ascii="宋体" w:hAnsi="宋体" w:cs="宋体" w:eastAsia="宋体" w:hint="default"/>
                <w:spacing w:val="-3"/>
                <w:sz w:val="18"/>
                <w:szCs w:val="18"/>
              </w:rPr>
              <w:t>未偿还或结转的原因</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中铁建工集团有限公司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20,200,000.00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未结算</w:t>
            </w: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96"/>
              <w:ind w:right="10"/>
              <w:jc w:val="right"/>
              <w:rPr>
                <w:rFonts w:ascii="Times New Roman" w:hAnsi="Times New Roman" w:cs="Times New Roman" w:eastAsia="Times New Roman" w:hint="default"/>
                <w:sz w:val="18"/>
                <w:szCs w:val="18"/>
              </w:rPr>
            </w:pPr>
            <w:r>
              <w:rPr>
                <w:rFonts w:ascii="Times New Roman"/>
                <w:spacing w:val="-1"/>
                <w:sz w:val="18"/>
              </w:rPr>
              <w:t>20,200,000.00</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36</w:t>
      </w:r>
      <w:r>
        <w:rPr/>
        <w:t>、预收款项</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）预收款项列示</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30,090,105.09</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29,469,772.60</w:t>
            </w: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30,090,105.09</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29,469,772.60</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）账龄超过 </w:t>
      </w:r>
      <w:r>
        <w:rPr>
          <w:rFonts w:ascii="Times New Roman" w:hAnsi="Times New Roman" w:cs="Times New Roman" w:eastAsia="Times New Roman" w:hint="default"/>
        </w:rPr>
        <w:t>1</w:t>
      </w:r>
      <w:r>
        <w:rPr>
          <w:rFonts w:ascii="Times New Roman" w:hAnsi="Times New Roman" w:cs="Times New Roman" w:eastAsia="Times New Roman" w:hint="default"/>
          <w:spacing w:val="11"/>
        </w:rPr>
        <w:t> </w:t>
      </w:r>
      <w:r>
        <w:rPr/>
        <w:t>年的重要预收款项</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77" w:right="0"/>
              <w:jc w:val="left"/>
              <w:rPr>
                <w:rFonts w:ascii="宋体" w:hAnsi="宋体" w:cs="宋体" w:eastAsia="宋体" w:hint="default"/>
                <w:sz w:val="18"/>
                <w:szCs w:val="18"/>
              </w:rPr>
            </w:pPr>
            <w:r>
              <w:rPr>
                <w:rFonts w:ascii="宋体" w:hAnsi="宋体" w:cs="宋体" w:eastAsia="宋体" w:hint="default"/>
                <w:spacing w:val="-3"/>
                <w:sz w:val="18"/>
                <w:szCs w:val="18"/>
              </w:rPr>
              <w:t>未偿还或结转的原因</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3</w:t>
      </w:r>
      <w:r>
        <w:rPr/>
        <w:t>）期末建造合同形成的已结算未完工项目情况</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p>
      <w:pPr>
        <w:spacing w:line="417" w:lineRule="exact"/>
        <w:ind w:left="148"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8pt;height:20.9pt;mso-position-horizontal-relative:char;mso-position-vertical-relative:line" coordorigin="0,0" coordsize="9576,418">
            <v:group style="position:absolute;left:22;top:14;width:2;height:389" coordorigin="22,14" coordsize="2,389">
              <v:shape style="position:absolute;left:22;top:14;width:2;height:389" coordorigin="22,14" coordsize="0,389" path="m22,14l22,403e" filled="false" stroked="true" strokeweight="1.2pt" strokecolor="#d2d2d2">
                <v:path arrowok="t"/>
              </v:shape>
            </v:group>
            <v:group style="position:absolute;left:4769;top:14;width:2;height:389" coordorigin="4769,14" coordsize="2,389">
              <v:shape style="position:absolute;left:4769;top:14;width:2;height:389" coordorigin="4769,14" coordsize="0,389" path="m4769,14l4769,403e" filled="false" stroked="true" strokeweight="1.2pt" strokecolor="#d2d2d2">
                <v:path arrowok="t"/>
              </v:shape>
            </v:group>
            <v:group style="position:absolute;left:34;top:14;width:4724;height:389" coordorigin="34,14" coordsize="4724,389">
              <v:shape style="position:absolute;left:34;top:14;width:4724;height:389" coordorigin="34,14" coordsize="4724,389" path="m34,403l4757,403,4757,14,34,14,34,403xe" filled="true" fillcolor="#d2d2d2" stroked="false">
                <v:path arrowok="t"/>
                <v:fill type="solid"/>
              </v:shape>
            </v:group>
            <v:group style="position:absolute;left:4800;top:14;width:2;height:389" coordorigin="4800,14" coordsize="2,389">
              <v:shape style="position:absolute;left:4800;top:14;width:2;height:389" coordorigin="4800,14" coordsize="0,389" path="m4800,14l4800,403e" filled="false" stroked="true" strokeweight=".96pt" strokecolor="#d2d2d2">
                <v:path arrowok="t"/>
              </v:shape>
            </v:group>
            <v:group style="position:absolute;left:9554;top:14;width:2;height:389" coordorigin="9554,14" coordsize="2,389">
              <v:shape style="position:absolute;left:9554;top:14;width:2;height:389" coordorigin="9554,14" coordsize="0,389" path="m9554,14l9554,403e" filled="false" stroked="true" strokeweight="1.2pt" strokecolor="#d2d2d2">
                <v:path arrowok="t"/>
              </v:shape>
            </v:group>
            <v:group style="position:absolute;left:4810;top:14;width:4733;height:389" coordorigin="4810,14" coordsize="4733,389">
              <v:shape style="position:absolute;left:4810;top:14;width:4733;height:389" coordorigin="4810,14" coordsize="4733,389" path="m4810,403l9542,403,9542,14,4810,14,4810,403xe" filled="true" fillcolor="#d2d2d2" stroked="false">
                <v:path arrowok="t"/>
                <v:fill type="solid"/>
              </v:shape>
            </v:group>
            <v:group style="position:absolute;left:10;top:10;width:4772;height:2" coordorigin="10,10" coordsize="4772,2">
              <v:shape style="position:absolute;left:10;top:10;width:4772;height:2" coordorigin="10,10" coordsize="4772,0" path="m10,10l4781,10e" filled="false" stroked="true" strokeweight=".48pt" strokecolor="#000000">
                <v:path arrowok="t"/>
              </v:shape>
            </v:group>
            <v:group style="position:absolute;left:4790;top:10;width:4776;height:2" coordorigin="4790,10" coordsize="4776,2">
              <v:shape style="position:absolute;left:4790;top:10;width:4776;height:2" coordorigin="4790,10" coordsize="4776,0" path="m4790,10l9566,10e" filled="false" stroked="true" strokeweight=".48pt" strokecolor="#000000">
                <v:path arrowok="t"/>
              </v:shape>
            </v:group>
            <v:group style="position:absolute;left:5;top:5;width:2;height:408" coordorigin="5,5" coordsize="2,408">
              <v:shape style="position:absolute;left:5;top:5;width:2;height:408" coordorigin="5,5" coordsize="0,408" path="m5,5l5,413e" filled="false" stroked="true" strokeweight=".48pt" strokecolor="#000000">
                <v:path arrowok="t"/>
              </v:shape>
            </v:group>
            <v:group style="position:absolute;left:10;top:408;width:4772;height:2" coordorigin="10,408" coordsize="4772,2">
              <v:shape style="position:absolute;left:10;top:408;width:4772;height:2" coordorigin="10,408" coordsize="4772,0" path="m10,408l4781,408e" filled="false" stroked="true" strokeweight=".48pt" strokecolor="#000000">
                <v:path arrowok="t"/>
              </v:shape>
            </v:group>
            <v:group style="position:absolute;left:4786;top:5;width:2;height:408" coordorigin="4786,5" coordsize="2,408">
              <v:shape style="position:absolute;left:4786;top:5;width:2;height:408" coordorigin="4786,5" coordsize="0,408" path="m4786,5l4786,413e" filled="false" stroked="true" strokeweight=".48pt" strokecolor="#000000">
                <v:path arrowok="t"/>
              </v:shape>
            </v:group>
            <v:group style="position:absolute;left:4790;top:408;width:4776;height:2" coordorigin="4790,408" coordsize="4776,2">
              <v:shape style="position:absolute;left:4790;top:408;width:4776;height:2" coordorigin="4790,408" coordsize="4776,0" path="m4790,408l9566,408e" filled="false" stroked="true" strokeweight=".48pt" strokecolor="#000000">
                <v:path arrowok="t"/>
              </v:shape>
            </v:group>
            <v:group style="position:absolute;left:9571;top:5;width:2;height:408" coordorigin="9571,5" coordsize="2,408">
              <v:shape style="position:absolute;left:9571;top:5;width:2;height:408" coordorigin="9571,5" coordsize="0,408" path="m9571,5l9571,413e" filled="false" stroked="true" strokeweight=".48pt" strokecolor="#000000">
                <v:path arrowok="t"/>
              </v:shape>
              <v:shape style="position:absolute;left:2213;top:122;width:365;height:183" type="#_x0000_t202" filled="false" stroked="false">
                <v:textbox inset="0,0,0,0">
                  <w:txbxContent>
                    <w:p>
                      <w:pPr>
                        <w:spacing w:line="18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6994;top:122;width:365;height:183" type="#_x0000_t202" filled="false" stroked="false">
                <v:textbox inset="0,0,0,0">
                  <w:txbxContent>
                    <w:p>
                      <w:pPr>
                        <w:spacing w:line="18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group>
          </v:group>
        </w:pict>
      </w:r>
      <w:r>
        <w:rPr>
          <w:rFonts w:ascii="宋体" w:hAnsi="宋体" w:cs="宋体" w:eastAsia="宋体" w:hint="default"/>
          <w:position w:val="-7"/>
          <w:sz w:val="20"/>
          <w:szCs w:val="20"/>
        </w:rPr>
      </w:r>
    </w:p>
    <w:p>
      <w:pPr>
        <w:spacing w:before="49"/>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37</w:t>
      </w:r>
      <w:r>
        <w:rPr/>
        <w:t>、应付职工薪酬</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）应付职工薪酬列示</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89"/>
        <w:gridCol w:w="1930"/>
        <w:gridCol w:w="1910"/>
        <w:gridCol w:w="1915"/>
        <w:gridCol w:w="1915"/>
      </w:tblGrid>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00"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8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930"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9,967,726.11</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147,451,702.05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139,209,728.70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18,209,699.46</w:t>
            </w:r>
          </w:p>
        </w:tc>
      </w:tr>
      <w:tr>
        <w:trPr>
          <w:trHeight w:val="710"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1" w:right="2"/>
              <w:jc w:val="left"/>
              <w:rPr>
                <w:rFonts w:ascii="宋体" w:hAnsi="宋体" w:cs="宋体" w:eastAsia="宋体" w:hint="default"/>
                <w:sz w:val="18"/>
                <w:szCs w:val="18"/>
              </w:rPr>
            </w:pPr>
            <w:r>
              <w:rPr>
                <w:rFonts w:ascii="宋体" w:hAnsi="宋体" w:cs="宋体" w:eastAsia="宋体" w:hint="default"/>
                <w:spacing w:val="-3"/>
                <w:sz w:val="18"/>
                <w:szCs w:val="18"/>
              </w:rPr>
              <w:t>二、离职后福利</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设定提</w:t>
            </w:r>
            <w:r>
              <w:rPr>
                <w:rFonts w:ascii="宋体" w:hAnsi="宋体" w:cs="宋体" w:eastAsia="宋体" w:hint="default"/>
                <w:spacing w:val="-57"/>
                <w:sz w:val="18"/>
                <w:szCs w:val="18"/>
              </w:rPr>
              <w:t> </w:t>
            </w:r>
            <w:r>
              <w:rPr>
                <w:rFonts w:ascii="宋体" w:hAnsi="宋体" w:cs="宋体" w:eastAsia="宋体" w:hint="default"/>
                <w:spacing w:val="-57"/>
                <w:sz w:val="18"/>
                <w:szCs w:val="18"/>
              </w:rPr>
            </w:r>
            <w:r>
              <w:rPr>
                <w:rFonts w:ascii="宋体" w:hAnsi="宋体" w:cs="宋体" w:eastAsia="宋体" w:hint="default"/>
                <w:sz w:val="18"/>
                <w:szCs w:val="18"/>
              </w:rPr>
              <w:t>存计划</w:t>
            </w:r>
          </w:p>
        </w:tc>
        <w:tc>
          <w:tcPr>
            <w:tcW w:w="1930" w:type="dxa"/>
            <w:tcBorders>
              <w:top w:val="single" w:sz="4" w:space="0" w:color="000000"/>
              <w:left w:val="single" w:sz="8" w:space="0" w:color="D2D2D2"/>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10,648,221.26</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10,281,820.91</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366,400.35</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930" w:type="dxa"/>
            <w:tcBorders>
              <w:top w:val="single" w:sz="4" w:space="0" w:color="000000"/>
              <w:left w:val="single" w:sz="8" w:space="0" w:color="D2D2D2"/>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559,039.48</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267,564.60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291,474.88</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30"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9,967,726.11</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158,658,962.79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149,759,114.21</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18,867,574.69</w:t>
            </w:r>
          </w:p>
        </w:tc>
      </w:tr>
    </w:tbl>
    <w:p>
      <w:pPr>
        <w:spacing w:after="0" w:line="240" w:lineRule="auto"/>
        <w:jc w:val="right"/>
        <w:rPr>
          <w:rFonts w:ascii="Times New Roman" w:hAnsi="Times New Roman" w:cs="Times New Roman" w:eastAsia="Times New Roman" w:hint="default"/>
          <w:sz w:val="18"/>
          <w:szCs w:val="18"/>
        </w:rPr>
        <w:sectPr>
          <w:pgSz w:w="11900" w:h="16840"/>
          <w:pgMar w:header="872" w:footer="984" w:top="1060" w:bottom="1180" w:left="980" w:right="980"/>
        </w:sectPr>
      </w:pPr>
    </w:p>
    <w:p>
      <w:pPr>
        <w:spacing w:line="240" w:lineRule="auto" w:before="4"/>
        <w:rPr>
          <w:rFonts w:ascii="宋体" w:hAnsi="宋体" w:cs="宋体" w:eastAsia="宋体" w:hint="default"/>
          <w:sz w:val="25"/>
          <w:szCs w:val="25"/>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）短期薪酬列示</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89"/>
        <w:gridCol w:w="1930"/>
        <w:gridCol w:w="1910"/>
        <w:gridCol w:w="1915"/>
        <w:gridCol w:w="1915"/>
      </w:tblGrid>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00"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8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5"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1" w:right="2"/>
              <w:jc w:val="left"/>
              <w:rPr>
                <w:rFonts w:ascii="宋体" w:hAnsi="宋体" w:cs="宋体" w:eastAsia="宋体" w:hint="default"/>
                <w:sz w:val="18"/>
                <w:szCs w:val="18"/>
              </w:rPr>
            </w:pP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、工资、奖金、津贴和</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补贴</w:t>
            </w:r>
          </w:p>
        </w:tc>
        <w:tc>
          <w:tcPr>
            <w:tcW w:w="1930"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9,819,494.73</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128,999,625.33</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125,906,767.71</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12,912,352.35</w:t>
            </w:r>
          </w:p>
        </w:tc>
      </w:tr>
      <w:tr>
        <w:trPr>
          <w:trHeight w:val="398"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930" w:type="dxa"/>
            <w:tcBorders>
              <w:top w:val="single" w:sz="4" w:space="0" w:color="000000"/>
              <w:left w:val="single" w:sz="8" w:space="0" w:color="D2D2D2"/>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4,230,103.54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4,230,103.54</w:t>
            </w: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930" w:type="dxa"/>
            <w:tcBorders>
              <w:top w:val="single" w:sz="4" w:space="0" w:color="000000"/>
              <w:left w:val="single" w:sz="8" w:space="0" w:color="D2D2D2"/>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6,589,928.92</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6,413,370.36</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176,558.56</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60"/>
              <w:jc w:val="right"/>
              <w:rPr>
                <w:rFonts w:ascii="宋体" w:hAnsi="宋体" w:cs="宋体" w:eastAsia="宋体" w:hint="default"/>
                <w:sz w:val="18"/>
                <w:szCs w:val="18"/>
              </w:rPr>
            </w:pPr>
            <w:r>
              <w:rPr>
                <w:rFonts w:ascii="宋体" w:hAnsi="宋体" w:cs="宋体" w:eastAsia="宋体" w:hint="default"/>
                <w:spacing w:val="-2"/>
                <w:sz w:val="18"/>
                <w:szCs w:val="18"/>
              </w:rPr>
              <w:t>其中：医疗保险费</w:t>
            </w:r>
          </w:p>
        </w:tc>
        <w:tc>
          <w:tcPr>
            <w:tcW w:w="1930" w:type="dxa"/>
            <w:tcBorders>
              <w:top w:val="single" w:sz="4" w:space="0" w:color="000000"/>
              <w:left w:val="single" w:sz="8" w:space="0" w:color="D2D2D2"/>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5,724,801.89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5,563,014.53</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161,787.36</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60"/>
              <w:jc w:val="right"/>
              <w:rPr>
                <w:rFonts w:ascii="宋体" w:hAnsi="宋体" w:cs="宋体" w:eastAsia="宋体" w:hint="default"/>
                <w:sz w:val="18"/>
                <w:szCs w:val="18"/>
              </w:rPr>
            </w:pPr>
            <w:r>
              <w:rPr>
                <w:rFonts w:ascii="宋体" w:hAnsi="宋体" w:cs="宋体" w:eastAsia="宋体" w:hint="default"/>
                <w:spacing w:val="-2"/>
                <w:sz w:val="18"/>
                <w:szCs w:val="18"/>
              </w:rPr>
              <w:t>工伤保险费</w:t>
            </w:r>
          </w:p>
        </w:tc>
        <w:tc>
          <w:tcPr>
            <w:tcW w:w="1930" w:type="dxa"/>
            <w:tcBorders>
              <w:top w:val="single" w:sz="4" w:space="0" w:color="000000"/>
              <w:left w:val="single" w:sz="8" w:space="0" w:color="D2D2D2"/>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503,478.54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499,450.13</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4,028.41</w:t>
            </w:r>
          </w:p>
        </w:tc>
      </w:tr>
      <w:tr>
        <w:trPr>
          <w:trHeight w:val="398"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60"/>
              <w:jc w:val="right"/>
              <w:rPr>
                <w:rFonts w:ascii="宋体" w:hAnsi="宋体" w:cs="宋体" w:eastAsia="宋体" w:hint="default"/>
                <w:sz w:val="18"/>
                <w:szCs w:val="18"/>
              </w:rPr>
            </w:pPr>
            <w:r>
              <w:rPr>
                <w:rFonts w:ascii="宋体" w:hAnsi="宋体" w:cs="宋体" w:eastAsia="宋体" w:hint="default"/>
                <w:spacing w:val="-2"/>
                <w:sz w:val="18"/>
                <w:szCs w:val="18"/>
              </w:rPr>
              <w:t>生育保险费</w:t>
            </w:r>
          </w:p>
        </w:tc>
        <w:tc>
          <w:tcPr>
            <w:tcW w:w="1930" w:type="dxa"/>
            <w:tcBorders>
              <w:top w:val="single" w:sz="4" w:space="0" w:color="000000"/>
              <w:left w:val="single" w:sz="8" w:space="0" w:color="D2D2D2"/>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361,648.49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350,905.70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10,742.79</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930" w:type="dxa"/>
            <w:tcBorders>
              <w:top w:val="single" w:sz="4" w:space="0" w:color="000000"/>
              <w:left w:val="single" w:sz="8" w:space="0" w:color="D2D2D2"/>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2,493,335.05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2,191,695.50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301,639.55</w:t>
            </w:r>
          </w:p>
        </w:tc>
      </w:tr>
      <w:tr>
        <w:trPr>
          <w:trHeight w:val="715"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1" w:right="2"/>
              <w:jc w:val="left"/>
              <w:rPr>
                <w:rFonts w:ascii="宋体" w:hAnsi="宋体" w:cs="宋体" w:eastAsia="宋体" w:hint="default"/>
                <w:sz w:val="18"/>
                <w:szCs w:val="18"/>
              </w:rPr>
            </w:pPr>
            <w:r>
              <w:rPr>
                <w:rFonts w:ascii="Times New Roman" w:hAnsi="Times New Roman" w:cs="Times New Roman" w:eastAsia="Times New Roman" w:hint="default"/>
                <w:spacing w:val="-5"/>
                <w:sz w:val="18"/>
                <w:szCs w:val="18"/>
              </w:rPr>
              <w:t>5</w:t>
            </w:r>
            <w:r>
              <w:rPr>
                <w:rFonts w:ascii="宋体" w:hAnsi="宋体" w:cs="宋体" w:eastAsia="宋体" w:hint="default"/>
                <w:spacing w:val="-5"/>
                <w:sz w:val="18"/>
                <w:szCs w:val="18"/>
              </w:rPr>
              <w:t>、工会经费和职工教育</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经费</w:t>
            </w:r>
          </w:p>
        </w:tc>
        <w:tc>
          <w:tcPr>
            <w:tcW w:w="1930"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148,231.38</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549,467.24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459,373.39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238,325.23</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、残疾人就业保障金</w:t>
            </w:r>
          </w:p>
        </w:tc>
        <w:tc>
          <w:tcPr>
            <w:tcW w:w="193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pacing w:val="-5"/>
                <w:sz w:val="18"/>
                <w:szCs w:val="18"/>
              </w:rPr>
              <w:t>9</w:t>
            </w:r>
            <w:r>
              <w:rPr>
                <w:rFonts w:ascii="宋体" w:hAnsi="宋体" w:cs="宋体" w:eastAsia="宋体" w:hint="default"/>
                <w:spacing w:val="-5"/>
                <w:sz w:val="18"/>
                <w:szCs w:val="18"/>
              </w:rPr>
              <w:t>、职工福利及奖励基金</w:t>
            </w:r>
          </w:p>
        </w:tc>
        <w:tc>
          <w:tcPr>
            <w:tcW w:w="193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4,580,823.77</w:t>
            </w: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4,580,823.77</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、其他短期薪酬</w:t>
            </w:r>
          </w:p>
        </w:tc>
        <w:tc>
          <w:tcPr>
            <w:tcW w:w="1930"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8,418.20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8,418.20</w:t>
            </w: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9,967,726.11</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147,451,702.05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139,209,728.70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18,209,699.46</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3</w:t>
      </w:r>
      <w:r>
        <w:rPr/>
        <w:t>）设定提存计划列示</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89"/>
        <w:gridCol w:w="1930"/>
        <w:gridCol w:w="1910"/>
        <w:gridCol w:w="1915"/>
        <w:gridCol w:w="1915"/>
      </w:tblGrid>
      <w:tr>
        <w:trPr>
          <w:trHeight w:val="398"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00"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8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、基本养老保险</w:t>
            </w:r>
          </w:p>
        </w:tc>
        <w:tc>
          <w:tcPr>
            <w:tcW w:w="1930" w:type="dxa"/>
            <w:tcBorders>
              <w:top w:val="single" w:sz="4" w:space="0" w:color="000000"/>
              <w:left w:val="single" w:sz="8" w:space="0" w:color="D2D2D2"/>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10,011,658.04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9,659,951.44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351,706.60</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、失业保险费</w:t>
            </w:r>
          </w:p>
        </w:tc>
        <w:tc>
          <w:tcPr>
            <w:tcW w:w="1930" w:type="dxa"/>
            <w:tcBorders>
              <w:top w:val="single" w:sz="4" w:space="0" w:color="000000"/>
              <w:left w:val="single" w:sz="8" w:space="0" w:color="D2D2D2"/>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636,563.22</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621,869.47</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14,693.75</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30" w:type="dxa"/>
            <w:tcBorders>
              <w:top w:val="single" w:sz="4" w:space="0" w:color="000000"/>
              <w:left w:val="single" w:sz="8" w:space="0" w:color="D2D2D2"/>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10,648,221.26</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10,281,820.91</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366,400.35</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38</w:t>
      </w:r>
      <w:r>
        <w:rPr/>
        <w:t>、应交税费</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6"/>
        <w:gridCol w:w="3202"/>
        <w:gridCol w:w="3192"/>
      </w:tblGrid>
      <w:tr>
        <w:trPr>
          <w:trHeight w:val="398"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18,720,961.12</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11,080,556.68</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4,410,926.01</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574,132.67</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274,476.68</w:t>
            </w:r>
          </w:p>
        </w:tc>
      </w:tr>
      <w:tr>
        <w:trPr>
          <w:trHeight w:val="398"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城市维护建设税</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652,548.70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678,407.90</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教育费附加及地方教育费附加</w:t>
            </w:r>
          </w:p>
        </w:tc>
        <w:tc>
          <w:tcPr>
            <w:tcW w:w="3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469,678.86</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490,040.03</w:t>
            </w:r>
          </w:p>
        </w:tc>
      </w:tr>
    </w:tbl>
    <w:p>
      <w:pPr>
        <w:spacing w:after="0" w:line="240" w:lineRule="auto"/>
        <w:jc w:val="right"/>
        <w:rPr>
          <w:rFonts w:ascii="Times New Roman" w:hAnsi="Times New Roman" w:cs="Times New Roman" w:eastAsia="Times New Roman" w:hint="default"/>
          <w:sz w:val="18"/>
          <w:szCs w:val="18"/>
        </w:rPr>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其他税种</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332,619.90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353,882.44</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31,830,497.93</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6,207,733.06</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39</w:t>
      </w:r>
      <w:r>
        <w:rPr/>
        <w:t>、应付利息</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6"/>
        <w:gridCol w:w="3202"/>
        <w:gridCol w:w="3192"/>
      </w:tblGrid>
      <w:tr>
        <w:trPr>
          <w:trHeight w:val="398"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分期付息到期还本的长期借款利息</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160,688.41</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298,091.66</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458,780.07</w:t>
            </w:r>
          </w:p>
        </w:tc>
        <w:tc>
          <w:tcPr>
            <w:tcW w:w="3192" w:type="dxa"/>
            <w:tcBorders>
              <w:top w:val="single" w:sz="4" w:space="0" w:color="000000"/>
              <w:left w:val="single" w:sz="4" w:space="0" w:color="000000"/>
              <w:bottom w:val="single" w:sz="4" w:space="0" w:color="000000"/>
              <w:right w:val="single" w:sz="4" w:space="0" w:color="000000"/>
            </w:tcBorders>
          </w:tcPr>
          <w:p>
            <w:pP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重要的已逾期未支付的利息情况：</w:t>
      </w:r>
    </w:p>
    <w:p>
      <w:pPr>
        <w:spacing w:before="115"/>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398"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借款单位</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逾期金额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逾期原因</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40</w:t>
      </w:r>
      <w:r>
        <w:rPr/>
        <w:t>、应付股利</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其他说明，包括重要的超过 </w:t>
      </w:r>
      <w:r>
        <w:rPr>
          <w:rFonts w:ascii="Times New Roman" w:hAnsi="Times New Roman" w:cs="Times New Roman" w:eastAsia="Times New Roman" w:hint="default"/>
          <w:sz w:val="18"/>
          <w:szCs w:val="18"/>
        </w:rPr>
        <w:t>1 </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年未支付的应付股利，应披露未支付原因：</w:t>
      </w:r>
    </w:p>
    <w:p>
      <w:pPr>
        <w:spacing w:line="240" w:lineRule="auto" w:before="6"/>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41</w:t>
      </w:r>
      <w:r>
        <w:rPr/>
        <w:t>、其他应付款</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）按款项性质列示其他应付款</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120,000.00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101,000.00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质保金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20,000.00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19,000.00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代扣员工个人社保</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175,133.89</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181,943.22</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预提租赁费及物业费、水电费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11,902,339.88</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695,591.66</w:t>
            </w: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往来及额度款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6,961,102.69</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39,855,614.47</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股东借款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96,400,000.00</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员工持股计划收款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6,500,000.00</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中科彩应返还未分配利润</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54,940,034.07</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2,000,869.60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1,790,715.68</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179,019,480.13</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42,643,865.03</w:t>
            </w:r>
          </w:p>
        </w:tc>
      </w:tr>
    </w:tbl>
    <w:p>
      <w:pPr>
        <w:spacing w:after="0" w:line="240" w:lineRule="auto"/>
        <w:jc w:val="right"/>
        <w:rPr>
          <w:rFonts w:ascii="Times New Roman" w:hAnsi="Times New Roman" w:cs="Times New Roman" w:eastAsia="Times New Roman" w:hint="default"/>
          <w:sz w:val="18"/>
          <w:szCs w:val="18"/>
        </w:rPr>
        <w:sectPr>
          <w:pgSz w:w="11900" w:h="16840"/>
          <w:pgMar w:header="872" w:footer="984" w:top="1060" w:bottom="1180" w:left="980" w:right="980"/>
        </w:sectPr>
      </w:pPr>
    </w:p>
    <w:p>
      <w:pPr>
        <w:spacing w:line="240" w:lineRule="auto" w:before="4"/>
        <w:rPr>
          <w:rFonts w:ascii="宋体" w:hAnsi="宋体" w:cs="宋体" w:eastAsia="宋体" w:hint="default"/>
          <w:sz w:val="25"/>
          <w:szCs w:val="25"/>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）账龄超过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年的重要其他应付款</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77" w:right="0"/>
              <w:jc w:val="left"/>
              <w:rPr>
                <w:rFonts w:ascii="宋体" w:hAnsi="宋体" w:cs="宋体" w:eastAsia="宋体" w:hint="default"/>
                <w:sz w:val="18"/>
                <w:szCs w:val="18"/>
              </w:rPr>
            </w:pPr>
            <w:r>
              <w:rPr>
                <w:rFonts w:ascii="宋体" w:hAnsi="宋体" w:cs="宋体" w:eastAsia="宋体" w:hint="default"/>
                <w:spacing w:val="-3"/>
                <w:sz w:val="18"/>
                <w:szCs w:val="18"/>
              </w:rPr>
              <w:t>未偿还或结转的原因</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5"/>
          <w:szCs w:val="15"/>
        </w:rPr>
      </w:pPr>
    </w:p>
    <w:p>
      <w:pPr>
        <w:spacing w:line="295" w:lineRule="auto" w:before="0"/>
        <w:ind w:left="152" w:right="146" w:firstLine="360"/>
        <w:jc w:val="both"/>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）期末员工持股计划收款</w:t>
      </w:r>
      <w:r>
        <w:rPr>
          <w:rFonts w:ascii="Times New Roman" w:hAnsi="Times New Roman" w:cs="Times New Roman" w:eastAsia="Times New Roman" w:hint="default"/>
          <w:spacing w:val="-3"/>
          <w:sz w:val="18"/>
          <w:szCs w:val="18"/>
        </w:rPr>
        <w:t>6,500,000.00</w:t>
      </w:r>
      <w:r>
        <w:rPr>
          <w:rFonts w:ascii="宋体" w:hAnsi="宋体" w:cs="宋体" w:eastAsia="宋体" w:hint="default"/>
          <w:spacing w:val="-3"/>
          <w:sz w:val="18"/>
          <w:szCs w:val="18"/>
        </w:rPr>
        <w:t>元，是本公司根据《鸿博股份有限公司第一期员工持股计划》及其修订计划收</w:t>
      </w:r>
      <w:r>
        <w:rPr>
          <w:rFonts w:ascii="宋体" w:hAnsi="宋体" w:cs="宋体" w:eastAsia="宋体" w:hint="default"/>
          <w:w w:val="101"/>
          <w:sz w:val="18"/>
          <w:szCs w:val="18"/>
        </w:rPr>
        <w:t> </w:t>
      </w:r>
      <w:r>
        <w:rPr>
          <w:rFonts w:ascii="宋体" w:hAnsi="宋体" w:cs="宋体" w:eastAsia="宋体" w:hint="default"/>
          <w:spacing w:val="-3"/>
          <w:sz w:val="18"/>
          <w:szCs w:val="18"/>
        </w:rPr>
        <w:t>取的员工自筹资金，详见本附注</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十五、资产负债表日后事项</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）员工持股计划</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披露。</w:t>
      </w:r>
    </w:p>
    <w:p>
      <w:pPr>
        <w:spacing w:line="240" w:lineRule="auto" w:before="11"/>
        <w:rPr>
          <w:rFonts w:ascii="宋体" w:hAnsi="宋体" w:cs="宋体" w:eastAsia="宋体" w:hint="default"/>
          <w:sz w:val="17"/>
          <w:szCs w:val="17"/>
        </w:rPr>
      </w:pPr>
    </w:p>
    <w:p>
      <w:pPr>
        <w:spacing w:line="278" w:lineRule="auto" w:before="0"/>
        <w:ind w:left="152" w:right="142" w:firstLine="360"/>
        <w:jc w:val="both"/>
        <w:rPr>
          <w:rFonts w:ascii="宋体" w:hAnsi="宋体" w:cs="宋体" w:eastAsia="宋体" w:hint="default"/>
          <w:sz w:val="24"/>
          <w:szCs w:val="24"/>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）期末中科彩应返还未分配利润应返还利润金额</w:t>
      </w:r>
      <w:r>
        <w:rPr>
          <w:rFonts w:ascii="Times New Roman" w:hAnsi="Times New Roman" w:cs="Times New Roman" w:eastAsia="Times New Roman" w:hint="default"/>
          <w:spacing w:val="-2"/>
          <w:sz w:val="18"/>
          <w:szCs w:val="18"/>
        </w:rPr>
        <w:t>54,940,034.07</w:t>
      </w:r>
      <w:r>
        <w:rPr>
          <w:rFonts w:ascii="宋体" w:hAnsi="宋体" w:cs="宋体" w:eastAsia="宋体" w:hint="default"/>
          <w:spacing w:val="-2"/>
          <w:sz w:val="18"/>
          <w:szCs w:val="18"/>
        </w:rPr>
        <w:t>元，是本公司本期收购北京科信盛彩投资有限公司约</w:t>
      </w:r>
      <w:r>
        <w:rPr>
          <w:rFonts w:ascii="宋体" w:hAnsi="宋体" w:cs="宋体" w:eastAsia="宋体" w:hint="default"/>
          <w:w w:val="101"/>
          <w:sz w:val="18"/>
          <w:szCs w:val="18"/>
        </w:rPr>
        <w:t> </w:t>
      </w:r>
      <w:r>
        <w:rPr>
          <w:rFonts w:ascii="宋体" w:hAnsi="宋体" w:cs="宋体" w:eastAsia="宋体" w:hint="default"/>
          <w:spacing w:val="-4"/>
          <w:sz w:val="18"/>
          <w:szCs w:val="18"/>
        </w:rPr>
        <w:t>定对北京科信盛彩投资有限公司（含中科彩公司）</w:t>
      </w:r>
      <w:r>
        <w:rPr>
          <w:rFonts w:ascii="Times New Roman" w:hAnsi="Times New Roman" w:cs="Times New Roman" w:eastAsia="Times New Roman" w:hint="default"/>
          <w:spacing w:val="-4"/>
          <w:sz w:val="18"/>
          <w:szCs w:val="18"/>
        </w:rPr>
        <w:t>2014</w:t>
      </w:r>
      <w:r>
        <w:rPr>
          <w:rFonts w:ascii="宋体" w:hAnsi="宋体" w:cs="宋体" w:eastAsia="宋体" w:hint="default"/>
          <w:spacing w:val="-4"/>
          <w:sz w:val="18"/>
          <w:szCs w:val="18"/>
        </w:rPr>
        <w:t>年度及之前实现的经具有证券从业资格会计师事务所审计确认的未分</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pacing w:val="-3"/>
          <w:sz w:val="18"/>
          <w:szCs w:val="18"/>
        </w:rPr>
        <w:t>配利润归属原股东所有，应返还原股东利润金额。事项详见本附注</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八、合并范围变动</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、非同一控制下企业合并</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披露</w:t>
      </w:r>
      <w:r>
        <w:rPr>
          <w:rFonts w:ascii="宋体" w:hAnsi="宋体" w:cs="宋体" w:eastAsia="宋体" w:hint="default"/>
          <w:spacing w:val="-3"/>
          <w:sz w:val="24"/>
          <w:szCs w:val="24"/>
        </w:rPr>
        <w:t>。</w:t>
      </w:r>
    </w:p>
    <w:p>
      <w:pPr>
        <w:pStyle w:val="Heading4"/>
        <w:spacing w:line="240" w:lineRule="auto" w:before="209"/>
        <w:ind w:right="0"/>
        <w:jc w:val="left"/>
        <w:rPr>
          <w:b w:val="0"/>
          <w:bCs w:val="0"/>
        </w:rPr>
      </w:pPr>
      <w:r>
        <w:rPr>
          <w:rFonts w:ascii="Times New Roman" w:hAnsi="Times New Roman" w:cs="Times New Roman" w:eastAsia="Times New Roman" w:hint="default"/>
        </w:rPr>
        <w:t>42</w:t>
      </w:r>
      <w:r>
        <w:rPr/>
        <w:t>、划分为持有待售的负债</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43</w:t>
      </w:r>
      <w:r>
        <w:rPr/>
        <w:t>、一年内到期的非流动负债</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6"/>
        <w:gridCol w:w="3202"/>
        <w:gridCol w:w="3192"/>
      </w:tblGrid>
      <w:tr>
        <w:trPr>
          <w:trHeight w:val="398"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一年内到期的长期借款</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14,190,583.34</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14,190,583.34</w:t>
            </w:r>
          </w:p>
        </w:tc>
        <w:tc>
          <w:tcPr>
            <w:tcW w:w="3192" w:type="dxa"/>
            <w:tcBorders>
              <w:top w:val="single" w:sz="4" w:space="0" w:color="000000"/>
              <w:left w:val="single" w:sz="4" w:space="0" w:color="000000"/>
              <w:bottom w:val="single" w:sz="4" w:space="0" w:color="000000"/>
              <w:right w:val="single" w:sz="4" w:space="0" w:color="000000"/>
            </w:tcBorders>
          </w:tcPr>
          <w:p>
            <w:pP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44</w:t>
      </w:r>
      <w:r>
        <w:rPr/>
        <w:t>、其他流动负债</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短期应付债券的增减变动：</w:t>
      </w:r>
    </w:p>
    <w:p>
      <w:pPr>
        <w:spacing w:before="115"/>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797"/>
        <w:gridCol w:w="802"/>
        <w:gridCol w:w="797"/>
        <w:gridCol w:w="797"/>
        <w:gridCol w:w="797"/>
        <w:gridCol w:w="802"/>
        <w:gridCol w:w="797"/>
        <w:gridCol w:w="797"/>
        <w:gridCol w:w="797"/>
        <w:gridCol w:w="802"/>
        <w:gridCol w:w="797"/>
        <w:gridCol w:w="797"/>
      </w:tblGrid>
      <w:tr>
        <w:trPr>
          <w:trHeight w:val="713"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债券名称</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发行日期</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债券期限</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发行金额</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本期发行</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24" w:right="26" w:hanging="92"/>
              <w:jc w:val="left"/>
              <w:rPr>
                <w:rFonts w:ascii="宋体" w:hAnsi="宋体" w:cs="宋体" w:eastAsia="宋体" w:hint="default"/>
                <w:sz w:val="18"/>
                <w:szCs w:val="18"/>
              </w:rPr>
            </w:pPr>
            <w:r>
              <w:rPr>
                <w:rFonts w:ascii="宋体" w:hAnsi="宋体" w:cs="宋体" w:eastAsia="宋体" w:hint="default"/>
                <w:sz w:val="18"/>
                <w:szCs w:val="18"/>
              </w:rPr>
              <w:t>按面值计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提利息</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302" w:right="26" w:hanging="269"/>
              <w:jc w:val="left"/>
              <w:rPr>
                <w:rFonts w:ascii="宋体" w:hAnsi="宋体" w:cs="宋体" w:eastAsia="宋体" w:hint="default"/>
                <w:sz w:val="18"/>
                <w:szCs w:val="18"/>
              </w:rPr>
            </w:pPr>
            <w:r>
              <w:rPr>
                <w:rFonts w:ascii="宋体" w:hAnsi="宋体" w:cs="宋体" w:eastAsia="宋体" w:hint="default"/>
                <w:sz w:val="18"/>
                <w:szCs w:val="18"/>
              </w:rPr>
              <w:t>溢折价摊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销</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本期偿还</w:t>
            </w:r>
          </w:p>
        </w:tc>
        <w:tc>
          <w:tcPr>
            <w:tcW w:w="797"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before="56"/>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45</w:t>
      </w:r>
      <w:r>
        <w:rPr/>
        <w:t>、长期借款</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）长期借款分类</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after="0"/>
        <w:jc w:val="right"/>
        <w:rPr>
          <w:rFonts w:ascii="宋体" w:hAnsi="宋体" w:cs="宋体" w:eastAsia="宋体" w:hint="default"/>
          <w:sz w:val="18"/>
          <w:szCs w:val="18"/>
        </w:rPr>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3166"/>
        <w:gridCol w:w="3202"/>
        <w:gridCol w:w="3192"/>
      </w:tblGrid>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98"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抵押借款</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70,952,916.83</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70,952,916.83</w:t>
            </w:r>
          </w:p>
        </w:tc>
        <w:tc>
          <w:tcPr>
            <w:tcW w:w="3192" w:type="dxa"/>
            <w:tcBorders>
              <w:top w:val="single" w:sz="4" w:space="0" w:color="000000"/>
              <w:left w:val="single" w:sz="4" w:space="0" w:color="000000"/>
              <w:bottom w:val="single" w:sz="4" w:space="0" w:color="000000"/>
              <w:right w:val="single" w:sz="4" w:space="0" w:color="000000"/>
            </w:tcBorders>
          </w:tcPr>
          <w:p>
            <w:pP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长期借款分类的说明：</w:t>
      </w:r>
    </w:p>
    <w:p>
      <w:pPr>
        <w:pStyle w:val="BodyText"/>
        <w:spacing w:line="273" w:lineRule="auto" w:before="89"/>
        <w:ind w:right="0" w:firstLine="422"/>
        <w:jc w:val="left"/>
      </w:pPr>
      <w:r>
        <w:rPr>
          <w:spacing w:val="-2"/>
        </w:rPr>
        <w:t>孙公司中科彩与交通银行签订长期结算合同，将公司的部分固定资产抵押，截至2015年12月31日抵押</w:t>
      </w:r>
      <w:r>
        <w:rPr>
          <w:w w:val="100"/>
        </w:rPr>
        <w:t> </w:t>
      </w:r>
      <w:r>
        <w:rPr/>
        <w:t>固定资产账面价值为93,815,145.68元。</w:t>
      </w:r>
    </w:p>
    <w:p>
      <w:pPr>
        <w:spacing w:before="76"/>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其他说明，包括利率区间：</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46</w:t>
      </w:r>
      <w:r>
        <w:rPr/>
        <w:t>、应付债券</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）应付债券</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5"/>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）应付债券的增减变动（不包括划分为金融负债的优先股、永续债等其他金融工具）</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7"/>
        <w:rPr>
          <w:rFonts w:ascii="宋体" w:hAnsi="宋体" w:cs="宋体" w:eastAsia="宋体" w:hint="default"/>
          <w:sz w:val="23"/>
          <w:szCs w:val="23"/>
        </w:rPr>
      </w:pPr>
    </w:p>
    <w:p>
      <w:pPr>
        <w:pStyle w:val="Heading4"/>
        <w:spacing w:line="335" w:lineRule="exact"/>
        <w:ind w:right="0"/>
        <w:jc w:val="left"/>
        <w:rPr>
          <w:b w:val="0"/>
          <w:bCs w:val="0"/>
        </w:rPr>
      </w:pPr>
      <w:r>
        <w:rPr/>
        <w:t>（</w:t>
      </w:r>
      <w:r>
        <w:rPr>
          <w:rFonts w:ascii="Times New Roman" w:hAnsi="Times New Roman" w:cs="Times New Roman" w:eastAsia="Times New Roman" w:hint="default"/>
        </w:rPr>
        <w:t>3</w:t>
      </w:r>
      <w:r>
        <w:rPr/>
        <w:t>）可转换公司债券的转股条件、转股时间说明</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4</w:t>
      </w:r>
      <w:r>
        <w:rPr/>
        <w:t>）划分为金融负债的其他金融工具说明</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after="0" w:line="240" w:lineRule="auto"/>
        <w:rPr>
          <w:rFonts w:ascii="Microsoft JhengHei" w:hAnsi="Microsoft JhengHei" w:cs="Microsoft JhengHei" w:eastAsia="Microsoft JhengHei" w:hint="default"/>
          <w:sz w:val="17"/>
          <w:szCs w:val="17"/>
        </w:rPr>
        <w:sectPr>
          <w:pgSz w:w="11900" w:h="16840"/>
          <w:pgMar w:header="872" w:footer="984" w:top="1060" w:bottom="1180" w:left="980" w:right="980"/>
        </w:sectPr>
      </w:pPr>
    </w:p>
    <w:p>
      <w:pPr>
        <w:spacing w:line="357" w:lineRule="auto" w:before="46"/>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期末发行在外的优先股、永续债等其他金融工具基本情况</w:t>
      </w:r>
      <w:r>
        <w:rPr>
          <w:rFonts w:ascii="宋体" w:hAnsi="宋体" w:cs="宋体" w:eastAsia="宋体" w:hint="default"/>
          <w:spacing w:val="-16"/>
          <w:sz w:val="18"/>
          <w:szCs w:val="18"/>
        </w:rPr>
        <w:t> </w:t>
      </w:r>
      <w:r>
        <w:rPr>
          <w:rFonts w:ascii="宋体" w:hAnsi="宋体" w:cs="宋体" w:eastAsia="宋体" w:hint="default"/>
          <w:spacing w:val="-16"/>
          <w:sz w:val="18"/>
          <w:szCs w:val="18"/>
        </w:rPr>
      </w:r>
      <w:r>
        <w:rPr>
          <w:rFonts w:ascii="宋体" w:hAnsi="宋体" w:cs="宋体" w:eastAsia="宋体" w:hint="default"/>
          <w:spacing w:val="-3"/>
          <w:sz w:val="18"/>
          <w:szCs w:val="18"/>
        </w:rPr>
        <w:t>期末发行在外的优先股、永续债等金融工具变动情况表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00" w:h="16840"/>
          <w:pgMar w:top="1060" w:bottom="1180" w:left="980" w:right="980"/>
          <w:cols w:num="2" w:equalWidth="0">
            <w:col w:w="4656" w:space="4167"/>
            <w:col w:w="1117"/>
          </w:cols>
        </w:sectPr>
      </w:pP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066"/>
        <w:gridCol w:w="1066"/>
        <w:gridCol w:w="1066"/>
        <w:gridCol w:w="1061"/>
        <w:gridCol w:w="1066"/>
        <w:gridCol w:w="1061"/>
        <w:gridCol w:w="1061"/>
        <w:gridCol w:w="1061"/>
        <w:gridCol w:w="1066"/>
      </w:tblGrid>
      <w:tr>
        <w:trPr>
          <w:trHeight w:val="403" w:hRule="exact"/>
        </w:trPr>
        <w:tc>
          <w:tcPr>
            <w:tcW w:w="106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2"/>
              <w:ind w:left="163" w:right="74" w:hanging="87"/>
              <w:jc w:val="left"/>
              <w:rPr>
                <w:rFonts w:ascii="宋体" w:hAnsi="宋体" w:cs="宋体" w:eastAsia="宋体" w:hint="default"/>
                <w:sz w:val="18"/>
                <w:szCs w:val="18"/>
              </w:rPr>
            </w:pPr>
            <w:r>
              <w:rPr>
                <w:rFonts w:ascii="宋体" w:hAnsi="宋体" w:cs="宋体" w:eastAsia="宋体" w:hint="default"/>
                <w:spacing w:val="-2"/>
                <w:sz w:val="18"/>
                <w:szCs w:val="18"/>
              </w:rPr>
              <w:t>发行在外的</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金融工具</w:t>
            </w:r>
          </w:p>
        </w:tc>
        <w:tc>
          <w:tcPr>
            <w:tcW w:w="21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12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期末</w:t>
            </w:r>
          </w:p>
        </w:tc>
      </w:tr>
      <w:tr>
        <w:trPr>
          <w:trHeight w:val="398" w:hRule="exact"/>
        </w:trPr>
        <w:tc>
          <w:tcPr>
            <w:tcW w:w="1066" w:type="dxa"/>
            <w:vMerge/>
            <w:tcBorders>
              <w:left w:val="single" w:sz="4" w:space="0" w:color="000000"/>
              <w:bottom w:val="single" w:sz="4" w:space="0" w:color="000000"/>
              <w:right w:val="single" w:sz="4" w:space="0" w:color="000000"/>
            </w:tcBorders>
            <w:shd w:val="clear" w:color="auto" w:fill="D2D2D2"/>
          </w:tcPr>
          <w:p>
            <w:pP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63"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40"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63"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40"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63"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63"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362" w:lineRule="auto" w:before="53"/>
        <w:ind w:left="152" w:right="6405" w:firstLine="0"/>
        <w:jc w:val="left"/>
        <w:rPr>
          <w:rFonts w:ascii="宋体" w:hAnsi="宋体" w:cs="宋体" w:eastAsia="宋体" w:hint="default"/>
          <w:sz w:val="18"/>
          <w:szCs w:val="18"/>
        </w:rPr>
      </w:pPr>
      <w:r>
        <w:rPr>
          <w:rFonts w:ascii="宋体" w:hAnsi="宋体" w:cs="宋体" w:eastAsia="宋体" w:hint="default"/>
          <w:spacing w:val="-3"/>
          <w:sz w:val="18"/>
          <w:szCs w:val="18"/>
        </w:rPr>
        <w:t>其他金融工具划分为金融负债的依据说明</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z w:val="18"/>
          <w:szCs w:val="18"/>
        </w:rPr>
        <w:t>其他说明</w:t>
      </w:r>
    </w:p>
    <w:p>
      <w:pPr>
        <w:spacing w:line="240" w:lineRule="auto" w:before="2"/>
        <w:rPr>
          <w:rFonts w:ascii="宋体" w:hAnsi="宋体" w:cs="宋体" w:eastAsia="宋体" w:hint="default"/>
          <w:sz w:val="14"/>
          <w:szCs w:val="14"/>
        </w:rPr>
      </w:pPr>
    </w:p>
    <w:p>
      <w:pPr>
        <w:pStyle w:val="Heading4"/>
        <w:spacing w:line="240" w:lineRule="auto"/>
        <w:ind w:right="0"/>
        <w:jc w:val="left"/>
        <w:rPr>
          <w:b w:val="0"/>
          <w:bCs w:val="0"/>
        </w:rPr>
      </w:pPr>
      <w:r>
        <w:rPr>
          <w:rFonts w:ascii="Times New Roman" w:hAnsi="Times New Roman" w:cs="Times New Roman" w:eastAsia="Times New Roman" w:hint="default"/>
        </w:rPr>
        <w:t>47</w:t>
      </w:r>
      <w:r>
        <w:rPr/>
        <w:t>、长期应付款</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）按款项性质列示长期应付款</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type w:val="continuous"/>
          <w:pgSz w:w="11900" w:h="16840"/>
          <w:pgMar w:top="1060" w:bottom="1180" w:left="980" w:right="980"/>
        </w:sectPr>
      </w:pPr>
    </w:p>
    <w:p>
      <w:pPr>
        <w:spacing w:line="240" w:lineRule="auto" w:before="12"/>
        <w:rPr>
          <w:rFonts w:ascii="宋体" w:hAnsi="宋体" w:cs="宋体" w:eastAsia="宋体" w:hint="default"/>
          <w:sz w:val="24"/>
          <w:szCs w:val="24"/>
        </w:rPr>
      </w:pPr>
    </w:p>
    <w:p>
      <w:pPr>
        <w:pStyle w:val="Heading4"/>
        <w:spacing w:line="335" w:lineRule="exact"/>
        <w:ind w:right="0"/>
        <w:jc w:val="left"/>
        <w:rPr>
          <w:b w:val="0"/>
          <w:bCs w:val="0"/>
        </w:rPr>
      </w:pPr>
      <w:r>
        <w:rPr>
          <w:rFonts w:ascii="Times New Roman" w:hAnsi="Times New Roman" w:cs="Times New Roman" w:eastAsia="Times New Roman" w:hint="default"/>
        </w:rPr>
        <w:t>48</w:t>
      </w:r>
      <w:r>
        <w:rPr/>
        <w:t>、长期应付职工薪酬</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）长期应付职工薪酬表</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）设定受益计划变动情况</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设定受益计划义务现值：</w:t>
      </w:r>
    </w:p>
    <w:p>
      <w:pPr>
        <w:spacing w:before="115"/>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398"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计划资产：</w:t>
      </w:r>
    </w:p>
    <w:p>
      <w:pPr>
        <w:spacing w:before="119"/>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设定受益计划净负债（净资产）</w:t>
      </w:r>
    </w:p>
    <w:p>
      <w:pPr>
        <w:spacing w:before="119"/>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line="362" w:lineRule="auto"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设定受益计划的内容及与之相关风险、对公司未来现金流量、时间和不确定性的影响说明：</w:t>
      </w:r>
      <w:r>
        <w:rPr>
          <w:rFonts w:ascii="宋体" w:hAnsi="宋体" w:cs="宋体" w:eastAsia="宋体" w:hint="default"/>
          <w:spacing w:val="24"/>
          <w:sz w:val="18"/>
          <w:szCs w:val="18"/>
        </w:rPr>
        <w:t> </w:t>
      </w:r>
      <w:r>
        <w:rPr>
          <w:rFonts w:ascii="宋体" w:hAnsi="宋体" w:cs="宋体" w:eastAsia="宋体" w:hint="default"/>
          <w:spacing w:val="24"/>
          <w:sz w:val="18"/>
          <w:szCs w:val="18"/>
        </w:rPr>
      </w:r>
      <w:r>
        <w:rPr>
          <w:rFonts w:ascii="宋体" w:hAnsi="宋体" w:cs="宋体" w:eastAsia="宋体" w:hint="default"/>
          <w:spacing w:val="-3"/>
          <w:sz w:val="18"/>
          <w:szCs w:val="18"/>
        </w:rPr>
        <w:t>设定受益计划重大精算假设及敏感性分析结果说明：</w:t>
      </w:r>
    </w:p>
    <w:p>
      <w:pPr>
        <w:spacing w:before="2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49</w:t>
      </w:r>
      <w:r>
        <w:rPr/>
        <w:t>、专项应付款</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94"/>
        <w:gridCol w:w="1598"/>
        <w:gridCol w:w="1594"/>
        <w:gridCol w:w="1594"/>
        <w:gridCol w:w="1594"/>
        <w:gridCol w:w="1594"/>
      </w:tblGrid>
      <w:tr>
        <w:trPr>
          <w:trHeight w:val="401"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3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形成原因</w:t>
            </w:r>
          </w:p>
        </w:tc>
      </w:tr>
    </w:tbl>
    <w:p>
      <w:pPr>
        <w:spacing w:before="56"/>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50</w:t>
      </w:r>
      <w:r>
        <w:rPr/>
        <w:t>、预计负债</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366"/>
        <w:gridCol w:w="2407"/>
        <w:gridCol w:w="2390"/>
        <w:gridCol w:w="2390"/>
      </w:tblGrid>
      <w:tr>
        <w:trPr>
          <w:trHeight w:val="398"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3"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产品质量保证</w:t>
            </w:r>
          </w:p>
        </w:tc>
        <w:tc>
          <w:tcPr>
            <w:tcW w:w="240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20,383,623.96</w:t>
            </w:r>
          </w:p>
        </w:tc>
        <w:tc>
          <w:tcPr>
            <w:tcW w:w="2390"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40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20,383,623.96</w:t>
            </w:r>
          </w:p>
        </w:tc>
        <w:tc>
          <w:tcPr>
            <w:tcW w:w="2390" w:type="dxa"/>
            <w:tcBorders>
              <w:top w:val="single" w:sz="4" w:space="0" w:color="000000"/>
              <w:left w:val="single" w:sz="4" w:space="0" w:color="000000"/>
              <w:bottom w:val="single" w:sz="4" w:space="0" w:color="000000"/>
              <w:right w:val="single" w:sz="10" w:space="0" w:color="D2D2D2"/>
            </w:tcBorders>
          </w:tcPr>
          <w:p>
            <w:pP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3" w:right="0"/>
              <w:jc w:val="center"/>
              <w:rPr>
                <w:rFonts w:ascii="Times New Roman" w:hAnsi="Times New Roman" w:cs="Times New Roman" w:eastAsia="Times New Roman" w:hint="default"/>
                <w:sz w:val="18"/>
                <w:szCs w:val="18"/>
              </w:rPr>
            </w:pPr>
            <w:r>
              <w:rPr>
                <w:rFonts w:ascii="Times New Roman"/>
                <w:sz w:val="18"/>
              </w:rPr>
              <w:t>--</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其他说明，包括重要预计负债的相关重要假设、估计说明：</w:t>
      </w:r>
    </w:p>
    <w:p>
      <w:pPr>
        <w:spacing w:line="240" w:lineRule="auto" w:before="1"/>
        <w:rPr>
          <w:rFonts w:ascii="宋体" w:hAnsi="宋体" w:cs="宋体" w:eastAsia="宋体" w:hint="default"/>
          <w:sz w:val="13"/>
          <w:szCs w:val="13"/>
        </w:rPr>
      </w:pPr>
    </w:p>
    <w:p>
      <w:pPr>
        <w:pStyle w:val="BodyText"/>
        <w:spacing w:line="271" w:lineRule="auto"/>
        <w:ind w:right="142" w:firstLine="422"/>
        <w:jc w:val="both"/>
      </w:pPr>
      <w:r>
        <w:rPr>
          <w:spacing w:val="-2"/>
        </w:rPr>
        <w:t>预计负债期末余额系本集团孙公司中科彩根据销售合同预提的退货准备金余额。中科彩依据历史经验</w:t>
      </w:r>
      <w:r>
        <w:rPr>
          <w:w w:val="100"/>
        </w:rPr>
        <w:t> </w:t>
      </w:r>
      <w:r>
        <w:rPr/>
        <w:t>数据模型测算应计提的退货准备金，2015年1-6月按照月收入的2.50%，2015年7-12月按照月收入的2.00%</w:t>
      </w:r>
      <w:r>
        <w:rPr>
          <w:spacing w:val="-33"/>
        </w:rPr>
        <w:t> </w:t>
      </w:r>
      <w:r>
        <w:rPr>
          <w:spacing w:val="-33"/>
        </w:rPr>
      </w:r>
      <w:r>
        <w:rPr>
          <w:spacing w:val="-2"/>
        </w:rPr>
        <w:t>预提每月的退货准备金。发生退货时，按照退货销售收入的51.00%冲销预提退货准备金，待彩票完全销毁</w:t>
      </w:r>
      <w:r>
        <w:rPr>
          <w:spacing w:val="-30"/>
        </w:rPr>
        <w:t> </w:t>
      </w:r>
      <w:r>
        <w:rPr>
          <w:spacing w:val="-30"/>
        </w:rPr>
      </w:r>
      <w:r>
        <w:rPr/>
        <w:t>时再冲销剩余的49.00%。</w:t>
      </w:r>
    </w:p>
    <w:p>
      <w:pPr>
        <w:spacing w:after="0" w:line="271" w:lineRule="auto"/>
        <w:jc w:val="both"/>
        <w:sectPr>
          <w:pgSz w:w="11900" w:h="16840"/>
          <w:pgMar w:header="872" w:footer="984" w:top="1060" w:bottom="1180" w:left="980" w:right="980"/>
        </w:sectPr>
      </w:pPr>
    </w:p>
    <w:p>
      <w:pPr>
        <w:spacing w:line="240" w:lineRule="auto" w:before="4"/>
        <w:rPr>
          <w:rFonts w:ascii="宋体" w:hAnsi="宋体" w:cs="宋体" w:eastAsia="宋体" w:hint="default"/>
          <w:sz w:val="25"/>
          <w:szCs w:val="25"/>
        </w:rPr>
      </w:pPr>
    </w:p>
    <w:p>
      <w:pPr>
        <w:pStyle w:val="Heading4"/>
        <w:spacing w:line="335" w:lineRule="exact"/>
        <w:ind w:right="0"/>
        <w:jc w:val="left"/>
        <w:rPr>
          <w:b w:val="0"/>
          <w:bCs w:val="0"/>
        </w:rPr>
      </w:pPr>
      <w:r>
        <w:rPr>
          <w:rFonts w:ascii="Times New Roman" w:hAnsi="Times New Roman" w:cs="Times New Roman" w:eastAsia="Times New Roman" w:hint="default"/>
        </w:rPr>
        <w:t>51</w:t>
      </w:r>
      <w:r>
        <w:rPr/>
        <w:t>、递延收益</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572"/>
        <w:gridCol w:w="1608"/>
        <w:gridCol w:w="1594"/>
        <w:gridCol w:w="1594"/>
        <w:gridCol w:w="1594"/>
        <w:gridCol w:w="1594"/>
      </w:tblGrid>
      <w:tr>
        <w:trPr>
          <w:trHeight w:val="403" w:hRule="exact"/>
        </w:trPr>
        <w:tc>
          <w:tcPr>
            <w:tcW w:w="15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4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3" w:hRule="exact"/>
        </w:trPr>
        <w:tc>
          <w:tcPr>
            <w:tcW w:w="15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608"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3,166,272.98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8,926,715.35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611,902.68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11,481,085.65</w:t>
            </w: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5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08"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3,166,272.98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8,926,715.35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611,902.68</w:t>
            </w:r>
          </w:p>
        </w:tc>
        <w:tc>
          <w:tcPr>
            <w:tcW w:w="1594"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2"/>
                <w:sz w:val="18"/>
              </w:rPr>
              <w:t>11,481,085.65</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3" w:right="0"/>
              <w:jc w:val="center"/>
              <w:rPr>
                <w:rFonts w:ascii="Times New Roman" w:hAnsi="Times New Roman" w:cs="Times New Roman" w:eastAsia="Times New Roman" w:hint="default"/>
                <w:sz w:val="18"/>
                <w:szCs w:val="18"/>
              </w:rPr>
            </w:pPr>
            <w:r>
              <w:rPr>
                <w:rFonts w:ascii="Times New Roman"/>
                <w:sz w:val="18"/>
              </w:rPr>
              <w:t>--</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涉及政府补助的项目：</w:t>
      </w:r>
    </w:p>
    <w:p>
      <w:pPr>
        <w:spacing w:before="119"/>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1368"/>
        <w:gridCol w:w="1368"/>
        <w:gridCol w:w="1363"/>
        <w:gridCol w:w="1368"/>
        <w:gridCol w:w="1368"/>
      </w:tblGrid>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6" w:right="0"/>
              <w:jc w:val="left"/>
              <w:rPr>
                <w:rFonts w:ascii="宋体" w:hAnsi="宋体" w:cs="宋体" w:eastAsia="宋体" w:hint="default"/>
                <w:sz w:val="18"/>
                <w:szCs w:val="18"/>
              </w:rPr>
            </w:pPr>
            <w:r>
              <w:rPr>
                <w:rFonts w:ascii="宋体" w:hAnsi="宋体" w:cs="宋体" w:eastAsia="宋体" w:hint="default"/>
                <w:sz w:val="18"/>
                <w:szCs w:val="18"/>
              </w:rPr>
              <w:t>负债项目</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585" w:right="46" w:hanging="538"/>
              <w:jc w:val="left"/>
              <w:rPr>
                <w:rFonts w:ascii="宋体" w:hAnsi="宋体" w:cs="宋体" w:eastAsia="宋体" w:hint="default"/>
                <w:sz w:val="18"/>
                <w:szCs w:val="18"/>
              </w:rPr>
            </w:pPr>
            <w:r>
              <w:rPr>
                <w:rFonts w:ascii="宋体" w:hAnsi="宋体" w:cs="宋体" w:eastAsia="宋体" w:hint="default"/>
                <w:spacing w:val="-3"/>
                <w:sz w:val="18"/>
                <w:szCs w:val="18"/>
              </w:rPr>
              <w:t>本期新增补助金</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316" w:right="46" w:hanging="269"/>
              <w:jc w:val="left"/>
              <w:rPr>
                <w:rFonts w:ascii="宋体" w:hAnsi="宋体" w:cs="宋体" w:eastAsia="宋体" w:hint="default"/>
                <w:sz w:val="18"/>
                <w:szCs w:val="18"/>
              </w:rPr>
            </w:pPr>
            <w:r>
              <w:rPr>
                <w:rFonts w:ascii="宋体" w:hAnsi="宋体" w:cs="宋体" w:eastAsia="宋体" w:hint="default"/>
                <w:spacing w:val="-3"/>
                <w:sz w:val="18"/>
                <w:szCs w:val="18"/>
              </w:rPr>
              <w:t>本期计入营业外</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收入金额</w:t>
            </w:r>
          </w:p>
        </w:tc>
        <w:tc>
          <w:tcPr>
            <w:tcW w:w="13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1"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6"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407" w:right="17" w:hanging="384"/>
              <w:jc w:val="left"/>
              <w:rPr>
                <w:rFonts w:ascii="宋体" w:hAnsi="宋体" w:cs="宋体" w:eastAsia="宋体" w:hint="default"/>
                <w:sz w:val="18"/>
                <w:szCs w:val="18"/>
              </w:rPr>
            </w:pPr>
            <w:r>
              <w:rPr>
                <w:rFonts w:ascii="宋体" w:hAnsi="宋体" w:cs="宋体" w:eastAsia="宋体" w:hint="default"/>
                <w:spacing w:val="-2"/>
                <w:sz w:val="18"/>
                <w:szCs w:val="18"/>
              </w:rPr>
              <w:t>与资产相关</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与收</w:t>
            </w:r>
            <w:r>
              <w:rPr>
                <w:rFonts w:ascii="宋体" w:hAnsi="宋体" w:cs="宋体" w:eastAsia="宋体" w:hint="default"/>
                <w:spacing w:val="-70"/>
                <w:sz w:val="18"/>
                <w:szCs w:val="18"/>
              </w:rPr>
              <w:t> </w:t>
            </w:r>
            <w:r>
              <w:rPr>
                <w:rFonts w:ascii="宋体" w:hAnsi="宋体" w:cs="宋体" w:eastAsia="宋体" w:hint="default"/>
                <w:sz w:val="18"/>
                <w:szCs w:val="18"/>
              </w:rPr>
              <w:t>益相关</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4" w:right="70"/>
              <w:jc w:val="left"/>
              <w:rPr>
                <w:rFonts w:ascii="宋体" w:hAnsi="宋体" w:cs="宋体" w:eastAsia="宋体" w:hint="default"/>
                <w:sz w:val="18"/>
                <w:szCs w:val="18"/>
              </w:rPr>
            </w:pPr>
            <w:r>
              <w:rPr>
                <w:rFonts w:ascii="宋体" w:hAnsi="宋体" w:cs="宋体" w:eastAsia="宋体" w:hint="default"/>
                <w:spacing w:val="-3"/>
                <w:sz w:val="18"/>
                <w:szCs w:val="18"/>
              </w:rPr>
              <w:t>进口设备贴息补</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助</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3,166,272.98</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372,502.68</w:t>
            </w:r>
          </w:p>
        </w:tc>
        <w:tc>
          <w:tcPr>
            <w:tcW w:w="136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2,793,770.30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357" w:hRule="exact"/>
        </w:trPr>
        <w:tc>
          <w:tcPr>
            <w:tcW w:w="13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无锡市滨湖区马</w:t>
            </w:r>
          </w:p>
        </w:tc>
        <w:tc>
          <w:tcPr>
            <w:tcW w:w="1368" w:type="dxa"/>
            <w:vMerge w:val="restart"/>
            <w:tcBorders>
              <w:top w:val="single" w:sz="4" w:space="0" w:color="000000"/>
              <w:left w:val="single" w:sz="4" w:space="0" w:color="000000"/>
              <w:right w:val="single" w:sz="4" w:space="0" w:color="000000"/>
            </w:tcBorders>
          </w:tcPr>
          <w:p>
            <w:pPr/>
          </w:p>
        </w:tc>
        <w:tc>
          <w:tcPr>
            <w:tcW w:w="1368" w:type="dxa"/>
            <w:tcBorders>
              <w:top w:val="single" w:sz="4" w:space="0" w:color="000000"/>
              <w:left w:val="single" w:sz="4" w:space="0" w:color="000000"/>
              <w:bottom w:val="nil" w:sz="6" w:space="0" w:color="auto"/>
              <w:right w:val="single" w:sz="4" w:space="0" w:color="000000"/>
            </w:tcBorders>
          </w:tcPr>
          <w:p>
            <w:pPr/>
          </w:p>
        </w:tc>
        <w:tc>
          <w:tcPr>
            <w:tcW w:w="1368" w:type="dxa"/>
            <w:tcBorders>
              <w:top w:val="single" w:sz="4" w:space="0" w:color="000000"/>
              <w:left w:val="single" w:sz="4" w:space="0" w:color="000000"/>
              <w:bottom w:val="nil" w:sz="6" w:space="0" w:color="auto"/>
              <w:right w:val="single" w:sz="4" w:space="0" w:color="000000"/>
            </w:tcBorders>
          </w:tcPr>
          <w:p>
            <w:pPr/>
          </w:p>
        </w:tc>
        <w:tc>
          <w:tcPr>
            <w:tcW w:w="1363" w:type="dxa"/>
            <w:vMerge w:val="restart"/>
            <w:tcBorders>
              <w:top w:val="single" w:sz="4" w:space="0" w:color="000000"/>
              <w:left w:val="single" w:sz="4" w:space="0" w:color="000000"/>
              <w:right w:val="single" w:sz="4" w:space="0" w:color="000000"/>
            </w:tcBorders>
          </w:tcPr>
          <w:p>
            <w:pPr/>
          </w:p>
        </w:tc>
        <w:tc>
          <w:tcPr>
            <w:tcW w:w="1368" w:type="dxa"/>
            <w:tcBorders>
              <w:top w:val="single" w:sz="4" w:space="0" w:color="000000"/>
              <w:left w:val="single" w:sz="4" w:space="0" w:color="000000"/>
              <w:bottom w:val="nil" w:sz="6" w:space="0" w:color="auto"/>
              <w:right w:val="single" w:sz="4" w:space="0" w:color="000000"/>
            </w:tcBorders>
          </w:tcPr>
          <w:p>
            <w:pPr/>
          </w:p>
        </w:tc>
        <w:tc>
          <w:tcPr>
            <w:tcW w:w="1368" w:type="dxa"/>
            <w:tcBorders>
              <w:top w:val="single" w:sz="4" w:space="0" w:color="000000"/>
              <w:left w:val="single" w:sz="4" w:space="0" w:color="000000"/>
              <w:bottom w:val="nil" w:sz="6" w:space="0" w:color="auto"/>
              <w:right w:val="single" w:sz="4" w:space="0" w:color="000000"/>
            </w:tcBorders>
          </w:tcPr>
          <w:p>
            <w:pPr/>
          </w:p>
        </w:tc>
      </w:tr>
      <w:tr>
        <w:trPr>
          <w:trHeight w:val="624" w:hRule="exact"/>
        </w:trPr>
        <w:tc>
          <w:tcPr>
            <w:tcW w:w="1368" w:type="dxa"/>
            <w:tcBorders>
              <w:top w:val="nil" w:sz="6" w:space="0" w:color="auto"/>
              <w:left w:val="single" w:sz="4" w:space="0" w:color="000000"/>
              <w:bottom w:val="nil" w:sz="6" w:space="0" w:color="auto"/>
              <w:right w:val="single" w:sz="4" w:space="0" w:color="000000"/>
            </w:tcBorders>
          </w:tcPr>
          <w:p>
            <w:pPr>
              <w:pStyle w:val="TableParagraph"/>
              <w:spacing w:line="316" w:lineRule="auto" w:before="9"/>
              <w:ind w:left="24" w:right="70"/>
              <w:jc w:val="left"/>
              <w:rPr>
                <w:rFonts w:ascii="宋体" w:hAnsi="宋体" w:cs="宋体" w:eastAsia="宋体" w:hint="default"/>
                <w:sz w:val="18"/>
                <w:szCs w:val="18"/>
              </w:rPr>
            </w:pPr>
            <w:r>
              <w:rPr>
                <w:rFonts w:ascii="宋体" w:hAnsi="宋体" w:cs="宋体" w:eastAsia="宋体" w:hint="default"/>
                <w:spacing w:val="-3"/>
                <w:sz w:val="18"/>
                <w:szCs w:val="18"/>
              </w:rPr>
              <w:t>山街道办事处物</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联网应用师范项</w:t>
            </w:r>
          </w:p>
        </w:tc>
        <w:tc>
          <w:tcPr>
            <w:tcW w:w="1368" w:type="dxa"/>
            <w:vMerge/>
            <w:tcBorders>
              <w:left w:val="single" w:sz="4" w:space="0" w:color="000000"/>
              <w:right w:val="single" w:sz="4" w:space="0" w:color="000000"/>
            </w:tcBorders>
          </w:tcPr>
          <w:p>
            <w:pP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8,926,715.35</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239,400.00</w:t>
            </w:r>
          </w:p>
        </w:tc>
        <w:tc>
          <w:tcPr>
            <w:tcW w:w="1363" w:type="dxa"/>
            <w:vMerge/>
            <w:tcBorders>
              <w:left w:val="single" w:sz="4" w:space="0" w:color="000000"/>
              <w:right w:val="single" w:sz="4" w:space="0" w:color="000000"/>
            </w:tcBorders>
          </w:tcPr>
          <w:p>
            <w:pP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8,687,315.35</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358" w:hRule="exact"/>
        </w:trPr>
        <w:tc>
          <w:tcPr>
            <w:tcW w:w="136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pacing w:val="-3"/>
                <w:sz w:val="18"/>
                <w:szCs w:val="18"/>
              </w:rPr>
              <w:t>目配套扶持资金</w:t>
            </w:r>
          </w:p>
        </w:tc>
        <w:tc>
          <w:tcPr>
            <w:tcW w:w="1368" w:type="dxa"/>
            <w:vMerge/>
            <w:tcBorders>
              <w:left w:val="single" w:sz="4" w:space="0" w:color="000000"/>
              <w:bottom w:val="single" w:sz="4" w:space="0" w:color="000000"/>
              <w:right w:val="single" w:sz="4" w:space="0" w:color="000000"/>
            </w:tcBorders>
          </w:tcPr>
          <w:p>
            <w:pPr/>
          </w:p>
        </w:tc>
        <w:tc>
          <w:tcPr>
            <w:tcW w:w="1368" w:type="dxa"/>
            <w:tcBorders>
              <w:top w:val="nil" w:sz="6" w:space="0" w:color="auto"/>
              <w:left w:val="single" w:sz="4" w:space="0" w:color="000000"/>
              <w:bottom w:val="single" w:sz="4" w:space="0" w:color="000000"/>
              <w:right w:val="single" w:sz="4" w:space="0" w:color="000000"/>
            </w:tcBorders>
          </w:tcPr>
          <w:p>
            <w:pPr/>
          </w:p>
        </w:tc>
        <w:tc>
          <w:tcPr>
            <w:tcW w:w="1368" w:type="dxa"/>
            <w:tcBorders>
              <w:top w:val="nil" w:sz="6" w:space="0" w:color="auto"/>
              <w:left w:val="single" w:sz="4" w:space="0" w:color="000000"/>
              <w:bottom w:val="single" w:sz="4" w:space="0" w:color="000000"/>
              <w:right w:val="single" w:sz="4" w:space="0" w:color="000000"/>
            </w:tcBorders>
          </w:tcPr>
          <w:p>
            <w:pPr/>
          </w:p>
        </w:tc>
        <w:tc>
          <w:tcPr>
            <w:tcW w:w="1363" w:type="dxa"/>
            <w:vMerge/>
            <w:tcBorders>
              <w:left w:val="single" w:sz="4" w:space="0" w:color="000000"/>
              <w:bottom w:val="single" w:sz="4" w:space="0" w:color="000000"/>
              <w:right w:val="single" w:sz="4" w:space="0" w:color="000000"/>
            </w:tcBorders>
          </w:tcPr>
          <w:p>
            <w:pPr/>
          </w:p>
        </w:tc>
        <w:tc>
          <w:tcPr>
            <w:tcW w:w="1368" w:type="dxa"/>
            <w:tcBorders>
              <w:top w:val="nil" w:sz="6" w:space="0" w:color="auto"/>
              <w:left w:val="single" w:sz="4" w:space="0" w:color="000000"/>
              <w:bottom w:val="single" w:sz="4" w:space="0" w:color="000000"/>
              <w:right w:val="single" w:sz="4" w:space="0" w:color="000000"/>
            </w:tcBorders>
          </w:tcPr>
          <w:p>
            <w:pPr/>
          </w:p>
        </w:tc>
        <w:tc>
          <w:tcPr>
            <w:tcW w:w="1368" w:type="dxa"/>
            <w:tcBorders>
              <w:top w:val="nil" w:sz="6" w:space="0" w:color="auto"/>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3,166,272.98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8,926,715.35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611,902.68</w:t>
            </w:r>
          </w:p>
        </w:tc>
        <w:tc>
          <w:tcPr>
            <w:tcW w:w="136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11,481,085.65</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9"/>
        <w:rPr>
          <w:rFonts w:ascii="宋体" w:hAnsi="宋体" w:cs="宋体" w:eastAsia="宋体" w:hint="default"/>
          <w:sz w:val="12"/>
          <w:szCs w:val="12"/>
        </w:rPr>
      </w:pPr>
    </w:p>
    <w:p>
      <w:pPr>
        <w:pStyle w:val="BodyText"/>
        <w:spacing w:line="256" w:lineRule="auto"/>
        <w:ind w:right="142" w:firstLine="422"/>
        <w:jc w:val="both"/>
      </w:pPr>
      <w:r>
        <w:rPr>
          <w:rFonts w:ascii="Times New Roman" w:hAnsi="Times New Roman" w:cs="Times New Roman" w:eastAsia="Times New Roman" w:hint="default"/>
          <w:spacing w:val="-2"/>
        </w:rPr>
        <w:t>1</w:t>
      </w:r>
      <w:r>
        <w:rPr>
          <w:spacing w:val="-2"/>
        </w:rPr>
        <w:t>、根据</w:t>
      </w:r>
      <w:r>
        <w:rPr>
          <w:rFonts w:ascii="Times New Roman" w:hAnsi="Times New Roman" w:cs="Times New Roman" w:eastAsia="Times New Roman" w:hint="default"/>
          <w:spacing w:val="-2"/>
        </w:rPr>
        <w:t>“</w:t>
      </w:r>
      <w:r>
        <w:rPr>
          <w:spacing w:val="-2"/>
        </w:rPr>
        <w:t>财政部、商务部以财企【</w:t>
      </w:r>
      <w:r>
        <w:rPr>
          <w:rFonts w:ascii="Times New Roman" w:hAnsi="Times New Roman" w:cs="Times New Roman" w:eastAsia="Times New Roman" w:hint="default"/>
          <w:spacing w:val="-2"/>
        </w:rPr>
        <w:t>2012</w:t>
      </w:r>
      <w:r>
        <w:rPr>
          <w:spacing w:val="-2"/>
        </w:rPr>
        <w:t>】</w:t>
      </w:r>
      <w:r>
        <w:rPr>
          <w:rFonts w:ascii="Times New Roman" w:hAnsi="Times New Roman" w:cs="Times New Roman" w:eastAsia="Times New Roman" w:hint="default"/>
          <w:spacing w:val="-2"/>
        </w:rPr>
        <w:t>142</w:t>
      </w:r>
      <w:r>
        <w:rPr>
          <w:spacing w:val="-2"/>
        </w:rPr>
        <w:t>号印发《进口贴息资金管理办法》</w:t>
      </w:r>
      <w:r>
        <w:rPr>
          <w:rFonts w:ascii="Times New Roman" w:hAnsi="Times New Roman" w:cs="Times New Roman" w:eastAsia="Times New Roman" w:hint="default"/>
          <w:spacing w:val="-2"/>
        </w:rPr>
        <w:t>”</w:t>
      </w:r>
      <w:r>
        <w:rPr>
          <w:spacing w:val="-2"/>
        </w:rPr>
        <w:t>，以贴息的方式作为</w:t>
      </w:r>
      <w:r>
        <w:rPr>
          <w:w w:val="100"/>
        </w:rPr>
        <w:t> </w:t>
      </w:r>
      <w:r>
        <w:rPr>
          <w:spacing w:val="-3"/>
        </w:rPr>
        <w:t>设备的补助资金，发放进口设备贴息</w:t>
      </w:r>
      <w:r>
        <w:rPr>
          <w:rFonts w:ascii="Times New Roman" w:hAnsi="Times New Roman" w:cs="Times New Roman" w:eastAsia="Times New Roman" w:hint="default"/>
          <w:spacing w:val="-3"/>
        </w:rPr>
        <w:t>3,725,027.00</w:t>
      </w:r>
      <w:r>
        <w:rPr>
          <w:spacing w:val="-3"/>
        </w:rPr>
        <w:t>元，对应设备</w:t>
      </w:r>
      <w:r>
        <w:rPr>
          <w:rFonts w:ascii="Times New Roman" w:hAnsi="Times New Roman" w:cs="Times New Roman" w:eastAsia="Times New Roman" w:hint="default"/>
          <w:spacing w:val="-3"/>
        </w:rPr>
        <w:t>2013</w:t>
      </w:r>
      <w:r>
        <w:rPr>
          <w:spacing w:val="-3"/>
        </w:rPr>
        <w:t>年</w:t>
      </w:r>
      <w:r>
        <w:rPr>
          <w:rFonts w:ascii="Times New Roman" w:hAnsi="Times New Roman" w:cs="Times New Roman" w:eastAsia="Times New Roman" w:hint="default"/>
          <w:spacing w:val="-3"/>
        </w:rPr>
        <w:t>6</w:t>
      </w:r>
      <w:r>
        <w:rPr>
          <w:spacing w:val="-3"/>
        </w:rPr>
        <w:t>月份开始使用，本期摊销</w:t>
      </w:r>
      <w:r>
        <w:rPr>
          <w:rFonts w:ascii="Times New Roman" w:hAnsi="Times New Roman" w:cs="Times New Roman" w:eastAsia="Times New Roman" w:hint="default"/>
          <w:spacing w:val="-3"/>
        </w:rPr>
        <w:t>372,502.68</w:t>
      </w:r>
      <w:r>
        <w:rPr>
          <w:rFonts w:ascii="Times New Roman" w:hAnsi="Times New Roman" w:cs="Times New Roman" w:eastAsia="Times New Roman" w:hint="default"/>
          <w:spacing w:val="6"/>
        </w:rPr>
        <w:t> </w:t>
      </w:r>
      <w:r>
        <w:rPr>
          <w:rFonts w:ascii="Times New Roman" w:hAnsi="Times New Roman" w:cs="Times New Roman" w:eastAsia="Times New Roman" w:hint="default"/>
          <w:spacing w:val="6"/>
        </w:rPr>
      </w:r>
      <w:r>
        <w:rPr/>
        <w:t>元，期末结余</w:t>
      </w:r>
      <w:r>
        <w:rPr>
          <w:rFonts w:ascii="Times New Roman" w:hAnsi="Times New Roman" w:cs="Times New Roman" w:eastAsia="Times New Roman" w:hint="default"/>
        </w:rPr>
        <w:t>2,793,770.30</w:t>
      </w:r>
      <w:r>
        <w:rPr/>
        <w:t>元。</w:t>
      </w:r>
    </w:p>
    <w:p>
      <w:pPr>
        <w:spacing w:line="240" w:lineRule="auto" w:before="12"/>
        <w:rPr>
          <w:rFonts w:ascii="宋体" w:hAnsi="宋体" w:cs="宋体" w:eastAsia="宋体" w:hint="default"/>
          <w:sz w:val="16"/>
          <w:szCs w:val="16"/>
        </w:rPr>
      </w:pPr>
    </w:p>
    <w:p>
      <w:pPr>
        <w:pStyle w:val="BodyText"/>
        <w:spacing w:line="256" w:lineRule="auto"/>
        <w:ind w:right="137" w:firstLine="422"/>
        <w:jc w:val="both"/>
      </w:pPr>
      <w:r>
        <w:rPr>
          <w:rFonts w:ascii="Times New Roman" w:hAnsi="Times New Roman" w:cs="Times New Roman" w:eastAsia="Times New Roman" w:hint="default"/>
          <w:spacing w:val="-2"/>
        </w:rPr>
        <w:t>2</w:t>
      </w:r>
      <w:r>
        <w:rPr>
          <w:spacing w:val="-2"/>
        </w:rPr>
        <w:t>、根据《锡太旅委纪（</w:t>
      </w:r>
      <w:r>
        <w:rPr>
          <w:rFonts w:ascii="Times New Roman" w:hAnsi="Times New Roman" w:cs="Times New Roman" w:eastAsia="Times New Roman" w:hint="default"/>
          <w:spacing w:val="-2"/>
        </w:rPr>
        <w:t>2014</w:t>
      </w:r>
      <w:r>
        <w:rPr>
          <w:spacing w:val="-2"/>
        </w:rPr>
        <w:t>）</w:t>
      </w:r>
      <w:r>
        <w:rPr>
          <w:rFonts w:ascii="Times New Roman" w:hAnsi="Times New Roman" w:cs="Times New Roman" w:eastAsia="Times New Roman" w:hint="default"/>
          <w:spacing w:val="-2"/>
        </w:rPr>
        <w:t>4</w:t>
      </w:r>
      <w:r>
        <w:rPr>
          <w:spacing w:val="-2"/>
        </w:rPr>
        <w:t>号》，本报告期内无锡双龙收到无锡市滨湖区马山街道办事处和无锡</w:t>
      </w:r>
      <w:r>
        <w:rPr>
          <w:w w:val="100"/>
        </w:rPr>
        <w:t> </w:t>
      </w:r>
      <w:r>
        <w:rPr>
          <w:spacing w:val="4"/>
        </w:rPr>
        <w:t>市滨湖区财政局发放土地使用权补偿金合计</w:t>
      </w:r>
      <w:r>
        <w:rPr>
          <w:rFonts w:ascii="Times New Roman" w:hAnsi="Times New Roman" w:cs="Times New Roman" w:eastAsia="Times New Roman" w:hint="default"/>
          <w:spacing w:val="4"/>
        </w:rPr>
        <w:t>8,926,715.35</w:t>
      </w:r>
      <w:r>
        <w:rPr>
          <w:spacing w:val="4"/>
        </w:rPr>
        <w:t>元补助款，对应土地摊销期限</w:t>
      </w:r>
      <w:r>
        <w:rPr>
          <w:rFonts w:ascii="Times New Roman" w:hAnsi="Times New Roman" w:cs="Times New Roman" w:eastAsia="Times New Roman" w:hint="default"/>
          <w:spacing w:val="4"/>
        </w:rPr>
        <w:t>50</w:t>
      </w:r>
      <w:r>
        <w:rPr>
          <w:spacing w:val="4"/>
        </w:rPr>
        <w:t>年，本期摊销</w:t>
      </w:r>
      <w:r>
        <w:rPr>
          <w:spacing w:val="8"/>
        </w:rPr>
        <w:t> </w:t>
      </w:r>
      <w:r>
        <w:rPr>
          <w:spacing w:val="8"/>
        </w:rPr>
      </w:r>
      <w:r>
        <w:rPr>
          <w:rFonts w:ascii="Times New Roman" w:hAnsi="Times New Roman" w:cs="Times New Roman" w:eastAsia="Times New Roman" w:hint="default"/>
        </w:rPr>
        <w:t>239,400.00</w:t>
      </w:r>
      <w:r>
        <w:rPr/>
        <w:t>元，期末结余</w:t>
      </w:r>
      <w:r>
        <w:rPr>
          <w:rFonts w:ascii="Times New Roman" w:hAnsi="Times New Roman" w:cs="Times New Roman" w:eastAsia="Times New Roman" w:hint="default"/>
        </w:rPr>
        <w:t>8,687,315.35</w:t>
      </w:r>
      <w:r>
        <w:rPr/>
        <w:t>元。</w:t>
      </w:r>
    </w:p>
    <w:p>
      <w:pPr>
        <w:spacing w:line="240" w:lineRule="auto" w:before="5"/>
        <w:rPr>
          <w:rFonts w:ascii="宋体" w:hAnsi="宋体" w:cs="宋体" w:eastAsia="宋体" w:hint="default"/>
          <w:sz w:val="18"/>
          <w:szCs w:val="18"/>
        </w:rPr>
      </w:pPr>
    </w:p>
    <w:p>
      <w:pPr>
        <w:pStyle w:val="Heading4"/>
        <w:spacing w:line="240" w:lineRule="auto"/>
        <w:ind w:right="0"/>
        <w:jc w:val="left"/>
        <w:rPr>
          <w:b w:val="0"/>
          <w:bCs w:val="0"/>
        </w:rPr>
      </w:pPr>
      <w:r>
        <w:rPr>
          <w:rFonts w:ascii="Times New Roman" w:hAnsi="Times New Roman" w:cs="Times New Roman" w:eastAsia="Times New Roman" w:hint="default"/>
        </w:rPr>
        <w:t>52</w:t>
      </w:r>
      <w:r>
        <w:rPr/>
        <w:t>、其他非流动负债</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53</w:t>
      </w:r>
      <w:r>
        <w:rPr/>
        <w:t>、股本</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pacing w:val="-2"/>
          <w:sz w:val="18"/>
          <w:szCs w:val="18"/>
        </w:rPr>
        <w:t>单位：元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183"/>
        <w:gridCol w:w="1207"/>
        <w:gridCol w:w="1188"/>
        <w:gridCol w:w="1195"/>
        <w:gridCol w:w="1195"/>
        <w:gridCol w:w="1195"/>
        <w:gridCol w:w="1183"/>
        <w:gridCol w:w="1207"/>
      </w:tblGrid>
      <w:tr>
        <w:trPr>
          <w:trHeight w:val="197" w:hRule="exact"/>
        </w:trPr>
        <w:tc>
          <w:tcPr>
            <w:tcW w:w="1183" w:type="dxa"/>
            <w:tcBorders>
              <w:top w:val="single" w:sz="4" w:space="0" w:color="000000"/>
              <w:left w:val="single" w:sz="4" w:space="0" w:color="000000"/>
              <w:bottom w:val="nil" w:sz="6" w:space="0" w:color="auto"/>
              <w:right w:val="single" w:sz="4" w:space="0" w:color="000000"/>
            </w:tcBorders>
            <w:shd w:val="clear" w:color="auto" w:fill="D2D2D2"/>
          </w:tcPr>
          <w:p>
            <w:pPr/>
          </w:p>
        </w:tc>
        <w:tc>
          <w:tcPr>
            <w:tcW w:w="1207" w:type="dxa"/>
            <w:tcBorders>
              <w:top w:val="single" w:sz="4" w:space="0" w:color="000000"/>
              <w:left w:val="single" w:sz="4" w:space="0" w:color="000000"/>
              <w:bottom w:val="nil" w:sz="6" w:space="0" w:color="auto"/>
              <w:right w:val="single" w:sz="4" w:space="0" w:color="000000"/>
            </w:tcBorders>
            <w:shd w:val="clear" w:color="auto" w:fill="D2D2D2"/>
          </w:tcPr>
          <w:p>
            <w:pPr/>
          </w:p>
        </w:tc>
        <w:tc>
          <w:tcPr>
            <w:tcW w:w="5957"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pacing w:val="-3"/>
                <w:sz w:val="18"/>
                <w:szCs w:val="18"/>
              </w:rPr>
              <w:t>本次变动增减（</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p>
        </w:tc>
        <w:tc>
          <w:tcPr>
            <w:tcW w:w="120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202" w:hRule="exact"/>
        </w:trPr>
        <w:tc>
          <w:tcPr>
            <w:tcW w:w="1183" w:type="dxa"/>
            <w:vMerge w:val="restart"/>
            <w:tcBorders>
              <w:top w:val="nil" w:sz="6" w:space="0" w:color="auto"/>
              <w:left w:val="single" w:sz="4" w:space="0" w:color="000000"/>
              <w:right w:val="single" w:sz="4" w:space="0" w:color="000000"/>
            </w:tcBorders>
            <w:shd w:val="clear" w:color="auto" w:fill="D2D2D2"/>
          </w:tcPr>
          <w:p>
            <w:pPr/>
          </w:p>
        </w:tc>
        <w:tc>
          <w:tcPr>
            <w:tcW w:w="120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30"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957" w:type="dxa"/>
            <w:gridSpan w:val="5"/>
            <w:vMerge/>
            <w:tcBorders>
              <w:left w:val="single" w:sz="4" w:space="0" w:color="000000"/>
              <w:bottom w:val="single" w:sz="4" w:space="0" w:color="000000"/>
              <w:right w:val="single" w:sz="4" w:space="0" w:color="000000"/>
            </w:tcBorders>
            <w:shd w:val="clear" w:color="auto" w:fill="D2D2D2"/>
          </w:tcPr>
          <w:p>
            <w:pPr/>
          </w:p>
        </w:tc>
        <w:tc>
          <w:tcPr>
            <w:tcW w:w="120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4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2" w:hRule="exact"/>
        </w:trPr>
        <w:tc>
          <w:tcPr>
            <w:tcW w:w="1183" w:type="dxa"/>
            <w:vMerge/>
            <w:tcBorders>
              <w:left w:val="single" w:sz="4" w:space="0" w:color="000000"/>
              <w:bottom w:val="nil" w:sz="6" w:space="0" w:color="auto"/>
              <w:right w:val="single" w:sz="4" w:space="0" w:color="000000"/>
            </w:tcBorders>
            <w:shd w:val="clear" w:color="auto" w:fill="D2D2D2"/>
          </w:tcPr>
          <w:p>
            <w:pPr/>
          </w:p>
        </w:tc>
        <w:tc>
          <w:tcPr>
            <w:tcW w:w="1207" w:type="dxa"/>
            <w:vMerge/>
            <w:tcBorders>
              <w:left w:val="single" w:sz="4" w:space="0" w:color="000000"/>
              <w:bottom w:val="nil" w:sz="6" w:space="0" w:color="auto"/>
              <w:right w:val="single" w:sz="4" w:space="0" w:color="000000"/>
            </w:tcBorders>
            <w:shd w:val="clear" w:color="auto" w:fill="D2D2D2"/>
          </w:tcPr>
          <w:p>
            <w:pPr/>
          </w:p>
        </w:tc>
        <w:tc>
          <w:tcPr>
            <w:tcW w:w="11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218"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送股</w:t>
            </w: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143"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8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16"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207" w:type="dxa"/>
            <w:vMerge/>
            <w:tcBorders>
              <w:left w:val="single" w:sz="4" w:space="0" w:color="000000"/>
              <w:bottom w:val="nil" w:sz="6" w:space="0" w:color="auto"/>
              <w:right w:val="single" w:sz="4" w:space="0" w:color="000000"/>
            </w:tcBorders>
            <w:shd w:val="clear" w:color="auto" w:fill="D2D2D2"/>
          </w:tcPr>
          <w:p>
            <w:pPr/>
          </w:p>
        </w:tc>
      </w:tr>
      <w:tr>
        <w:trPr>
          <w:trHeight w:val="216" w:hRule="exact"/>
        </w:trPr>
        <w:tc>
          <w:tcPr>
            <w:tcW w:w="1183" w:type="dxa"/>
            <w:tcBorders>
              <w:top w:val="nil" w:sz="6" w:space="0" w:color="auto"/>
              <w:left w:val="single" w:sz="4" w:space="0" w:color="000000"/>
              <w:bottom w:val="single" w:sz="4" w:space="0" w:color="000000"/>
              <w:right w:val="single" w:sz="4" w:space="0" w:color="000000"/>
            </w:tcBorders>
            <w:shd w:val="clear" w:color="auto" w:fill="D2D2D2"/>
          </w:tcPr>
          <w:p>
            <w:pPr/>
          </w:p>
        </w:tc>
        <w:tc>
          <w:tcPr>
            <w:tcW w:w="1207" w:type="dxa"/>
            <w:tcBorders>
              <w:top w:val="nil" w:sz="6" w:space="0" w:color="auto"/>
              <w:left w:val="single" w:sz="4" w:space="0" w:color="000000"/>
              <w:bottom w:val="single" w:sz="4" w:space="0" w:color="000000"/>
              <w:right w:val="single" w:sz="4" w:space="0" w:color="000000"/>
            </w:tcBorders>
            <w:shd w:val="clear" w:color="auto" w:fill="D2D2D2"/>
          </w:tcPr>
          <w:p>
            <w:pPr/>
          </w:p>
        </w:tc>
        <w:tc>
          <w:tcPr>
            <w:tcW w:w="1188" w:type="dxa"/>
            <w:vMerge/>
            <w:tcBorders>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83" w:type="dxa"/>
            <w:vMerge/>
            <w:tcBorders>
              <w:left w:val="single" w:sz="4" w:space="0" w:color="000000"/>
              <w:bottom w:val="single" w:sz="4" w:space="0" w:color="000000"/>
              <w:right w:val="single" w:sz="4" w:space="0" w:color="000000"/>
            </w:tcBorders>
            <w:shd w:val="clear" w:color="auto" w:fill="D2D2D2"/>
          </w:tcPr>
          <w:p>
            <w:pPr/>
          </w:p>
        </w:tc>
        <w:tc>
          <w:tcPr>
            <w:tcW w:w="120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3" w:hRule="exact"/>
        </w:trPr>
        <w:tc>
          <w:tcPr>
            <w:tcW w:w="11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20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left="28" w:right="0"/>
              <w:jc w:val="left"/>
              <w:rPr>
                <w:rFonts w:ascii="Times New Roman" w:hAnsi="Times New Roman" w:cs="Times New Roman" w:eastAsia="Times New Roman" w:hint="default"/>
                <w:sz w:val="18"/>
                <w:szCs w:val="18"/>
              </w:rPr>
            </w:pPr>
            <w:r>
              <w:rPr>
                <w:rFonts w:ascii="Times New Roman"/>
                <w:sz w:val="18"/>
              </w:rPr>
              <w:t>298,186,000.00</w:t>
            </w:r>
          </w:p>
        </w:tc>
        <w:tc>
          <w:tcPr>
            <w:tcW w:w="1188"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50" w:right="0"/>
              <w:jc w:val="left"/>
              <w:rPr>
                <w:rFonts w:ascii="Times New Roman" w:hAnsi="Times New Roman" w:cs="Times New Roman" w:eastAsia="Times New Roman" w:hint="default"/>
                <w:sz w:val="18"/>
                <w:szCs w:val="18"/>
              </w:rPr>
            </w:pPr>
            <w:r>
              <w:rPr>
                <w:rFonts w:ascii="Times New Roman"/>
                <w:sz w:val="18"/>
              </w:rPr>
              <w:t>298,186,000.00</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footerReference w:type="default" r:id="rId21"/>
          <w:pgSz w:w="11900" w:h="16840"/>
          <w:pgMar w:footer="984" w:header="872" w:top="1060" w:bottom="1180" w:left="980" w:right="980"/>
          <w:pgNumType w:start="130"/>
        </w:sectPr>
      </w:pPr>
    </w:p>
    <w:p>
      <w:pPr>
        <w:spacing w:line="240" w:lineRule="auto" w:before="12"/>
        <w:rPr>
          <w:rFonts w:ascii="宋体" w:hAnsi="宋体" w:cs="宋体" w:eastAsia="宋体" w:hint="default"/>
          <w:sz w:val="24"/>
          <w:szCs w:val="24"/>
        </w:rPr>
      </w:pPr>
    </w:p>
    <w:p>
      <w:pPr>
        <w:pStyle w:val="Heading4"/>
        <w:spacing w:line="335" w:lineRule="exact"/>
        <w:ind w:right="0"/>
        <w:jc w:val="left"/>
        <w:rPr>
          <w:b w:val="0"/>
          <w:bCs w:val="0"/>
        </w:rPr>
      </w:pPr>
      <w:r>
        <w:rPr>
          <w:rFonts w:ascii="Times New Roman" w:hAnsi="Times New Roman" w:cs="Times New Roman" w:eastAsia="Times New Roman" w:hint="default"/>
        </w:rPr>
        <w:t>54</w:t>
      </w:r>
      <w:r>
        <w:rPr/>
        <w:t>、其他权益工具</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）期末发行在外的优先股、永续债等其他金融工具基本情况</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）期末发行在外的优先股、永续债等金融工具变动情况表</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066"/>
        <w:gridCol w:w="1066"/>
        <w:gridCol w:w="1066"/>
        <w:gridCol w:w="1061"/>
        <w:gridCol w:w="1066"/>
        <w:gridCol w:w="1061"/>
        <w:gridCol w:w="1061"/>
        <w:gridCol w:w="1061"/>
        <w:gridCol w:w="1066"/>
      </w:tblGrid>
      <w:tr>
        <w:trPr>
          <w:trHeight w:val="398" w:hRule="exact"/>
        </w:trPr>
        <w:tc>
          <w:tcPr>
            <w:tcW w:w="106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2"/>
              <w:ind w:left="163" w:right="74" w:hanging="87"/>
              <w:jc w:val="left"/>
              <w:rPr>
                <w:rFonts w:ascii="宋体" w:hAnsi="宋体" w:cs="宋体" w:eastAsia="宋体" w:hint="default"/>
                <w:sz w:val="18"/>
                <w:szCs w:val="18"/>
              </w:rPr>
            </w:pPr>
            <w:r>
              <w:rPr>
                <w:rFonts w:ascii="宋体" w:hAnsi="宋体" w:cs="宋体" w:eastAsia="宋体" w:hint="default"/>
                <w:spacing w:val="-2"/>
                <w:sz w:val="18"/>
                <w:szCs w:val="18"/>
              </w:rPr>
              <w:t>发行在外的</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金融工具</w:t>
            </w:r>
          </w:p>
        </w:tc>
        <w:tc>
          <w:tcPr>
            <w:tcW w:w="21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12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期末</w:t>
            </w:r>
          </w:p>
        </w:tc>
      </w:tr>
      <w:tr>
        <w:trPr>
          <w:trHeight w:val="403" w:hRule="exact"/>
        </w:trPr>
        <w:tc>
          <w:tcPr>
            <w:tcW w:w="1066" w:type="dxa"/>
            <w:vMerge/>
            <w:tcBorders>
              <w:left w:val="single" w:sz="4" w:space="0" w:color="000000"/>
              <w:bottom w:val="single" w:sz="4" w:space="0" w:color="000000"/>
              <w:right w:val="single" w:sz="4" w:space="0" w:color="000000"/>
            </w:tcBorders>
            <w:shd w:val="clear" w:color="auto" w:fill="D2D2D2"/>
          </w:tcPr>
          <w:p>
            <w:pP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63"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40"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63"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40"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63"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63"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362" w:lineRule="auto" w:before="53"/>
        <w:ind w:left="152" w:right="2890" w:firstLine="0"/>
        <w:jc w:val="left"/>
        <w:rPr>
          <w:rFonts w:ascii="宋体" w:hAnsi="宋体" w:cs="宋体" w:eastAsia="宋体" w:hint="default"/>
          <w:sz w:val="18"/>
          <w:szCs w:val="18"/>
        </w:rPr>
      </w:pPr>
      <w:r>
        <w:rPr>
          <w:rFonts w:ascii="宋体" w:hAnsi="宋体" w:cs="宋体" w:eastAsia="宋体" w:hint="default"/>
          <w:spacing w:val="-3"/>
          <w:sz w:val="18"/>
          <w:szCs w:val="18"/>
        </w:rPr>
        <w:t>其他权益工具本期增减变动情况、变动原因说明，以及相关会计处理的依据：</w:t>
      </w:r>
      <w:r>
        <w:rPr>
          <w:rFonts w:ascii="宋体" w:hAnsi="宋体" w:cs="宋体" w:eastAsia="宋体" w:hint="default"/>
          <w:spacing w:val="7"/>
          <w:sz w:val="18"/>
          <w:szCs w:val="18"/>
        </w:rPr>
        <w:t> </w:t>
      </w:r>
      <w:r>
        <w:rPr>
          <w:rFonts w:ascii="宋体" w:hAnsi="宋体" w:cs="宋体" w:eastAsia="宋体" w:hint="default"/>
          <w:spacing w:val="7"/>
          <w:sz w:val="18"/>
          <w:szCs w:val="18"/>
        </w:rPr>
      </w:r>
      <w:r>
        <w:rPr>
          <w:rFonts w:ascii="宋体" w:hAnsi="宋体" w:cs="宋体" w:eastAsia="宋体" w:hint="default"/>
          <w:sz w:val="18"/>
          <w:szCs w:val="18"/>
        </w:rPr>
        <w:t>其他说明：</w:t>
      </w:r>
    </w:p>
    <w:p>
      <w:pPr>
        <w:spacing w:line="240" w:lineRule="auto" w:before="2"/>
        <w:rPr>
          <w:rFonts w:ascii="宋体" w:hAnsi="宋体" w:cs="宋体" w:eastAsia="宋体" w:hint="default"/>
          <w:sz w:val="14"/>
          <w:szCs w:val="14"/>
        </w:rPr>
      </w:pPr>
    </w:p>
    <w:p>
      <w:pPr>
        <w:pStyle w:val="Heading4"/>
        <w:spacing w:line="240" w:lineRule="auto"/>
        <w:ind w:right="0"/>
        <w:jc w:val="left"/>
        <w:rPr>
          <w:b w:val="0"/>
          <w:bCs w:val="0"/>
        </w:rPr>
      </w:pPr>
      <w:r>
        <w:rPr>
          <w:rFonts w:ascii="Times New Roman" w:hAnsi="Times New Roman" w:cs="Times New Roman" w:eastAsia="Times New Roman" w:hint="default"/>
        </w:rPr>
        <w:t>55</w:t>
      </w:r>
      <w:r>
        <w:rPr/>
        <w:t>、资本公积</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89"/>
        <w:gridCol w:w="1930"/>
        <w:gridCol w:w="1910"/>
        <w:gridCol w:w="1915"/>
        <w:gridCol w:w="1915"/>
      </w:tblGrid>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00"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8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30"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334,340,738.20</w:t>
            </w: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334,340,738.20</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30"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334,340,738.20</w:t>
            </w: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334,340,738.20</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其他说明，包括本期增减变动情况、变动原因说明：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56</w:t>
      </w:r>
      <w:r>
        <w:rPr/>
        <w:t>、库存股</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0"/>
        <w:gridCol w:w="1920"/>
        <w:gridCol w:w="1910"/>
        <w:gridCol w:w="1915"/>
        <w:gridCol w:w="1915"/>
      </w:tblGrid>
      <w:tr>
        <w:trPr>
          <w:trHeight w:val="394"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8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before="6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其他说明，包括本期增减变动情况、变动原因说明：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57</w:t>
      </w:r>
      <w:r>
        <w:rPr/>
        <w:t>、其他综合收益</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808"/>
        <w:gridCol w:w="1070"/>
        <w:gridCol w:w="936"/>
        <w:gridCol w:w="1152"/>
        <w:gridCol w:w="936"/>
        <w:gridCol w:w="936"/>
        <w:gridCol w:w="936"/>
        <w:gridCol w:w="792"/>
      </w:tblGrid>
      <w:tr>
        <w:trPr>
          <w:trHeight w:val="399" w:hRule="exact"/>
        </w:trPr>
        <w:tc>
          <w:tcPr>
            <w:tcW w:w="280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0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6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896"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7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027" w:hRule="exact"/>
        </w:trPr>
        <w:tc>
          <w:tcPr>
            <w:tcW w:w="2808" w:type="dxa"/>
            <w:vMerge/>
            <w:tcBorders>
              <w:left w:val="single" w:sz="4" w:space="0" w:color="000000"/>
              <w:bottom w:val="single" w:sz="4" w:space="0" w:color="000000"/>
              <w:right w:val="single" w:sz="4" w:space="0" w:color="000000"/>
            </w:tcBorders>
            <w:shd w:val="clear" w:color="auto" w:fill="D2D2D2"/>
          </w:tcPr>
          <w:p>
            <w:pPr/>
          </w:p>
        </w:tc>
        <w:tc>
          <w:tcPr>
            <w:tcW w:w="1070" w:type="dxa"/>
            <w:vMerge/>
            <w:tcBorders>
              <w:left w:val="single" w:sz="4" w:space="0" w:color="000000"/>
              <w:bottom w:val="single" w:sz="4" w:space="0" w:color="000000"/>
              <w:right w:val="single" w:sz="4" w:space="0" w:color="000000"/>
            </w:tcBorders>
            <w:shd w:val="clear" w:color="auto" w:fill="D2D2D2"/>
          </w:tcPr>
          <w:p>
            <w:pPr/>
          </w:p>
        </w:tc>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00" w:right="98"/>
              <w:jc w:val="center"/>
              <w:rPr>
                <w:rFonts w:ascii="宋体" w:hAnsi="宋体" w:cs="宋体" w:eastAsia="宋体" w:hint="default"/>
                <w:sz w:val="18"/>
                <w:szCs w:val="18"/>
              </w:rPr>
            </w:pPr>
            <w:r>
              <w:rPr>
                <w:rFonts w:ascii="宋体" w:hAnsi="宋体" w:cs="宋体" w:eastAsia="宋体" w:hint="default"/>
                <w:spacing w:val="-2"/>
                <w:sz w:val="18"/>
                <w:szCs w:val="18"/>
              </w:rPr>
              <w:t>本期所得</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税前发生</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额</w:t>
            </w:r>
          </w:p>
        </w:tc>
        <w:tc>
          <w:tcPr>
            <w:tcW w:w="11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28" w:right="26"/>
              <w:jc w:val="both"/>
              <w:rPr>
                <w:rFonts w:ascii="宋体" w:hAnsi="宋体" w:cs="宋体" w:eastAsia="宋体" w:hint="default"/>
                <w:sz w:val="18"/>
                <w:szCs w:val="18"/>
              </w:rPr>
            </w:pPr>
            <w:r>
              <w:rPr>
                <w:rFonts w:ascii="宋体" w:hAnsi="宋体" w:cs="宋体" w:eastAsia="宋体" w:hint="default"/>
                <w:spacing w:val="-2"/>
                <w:sz w:val="18"/>
                <w:szCs w:val="18"/>
              </w:rPr>
              <w:t>减：前期计入</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其他综合收益</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当期转入损益</w:t>
            </w:r>
          </w:p>
        </w:tc>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278" w:right="17" w:hanging="255"/>
              <w:jc w:val="left"/>
              <w:rPr>
                <w:rFonts w:ascii="宋体" w:hAnsi="宋体" w:cs="宋体" w:eastAsia="宋体" w:hint="default"/>
                <w:sz w:val="18"/>
                <w:szCs w:val="18"/>
              </w:rPr>
            </w:pPr>
            <w:r>
              <w:rPr>
                <w:rFonts w:ascii="宋体" w:hAnsi="宋体" w:cs="宋体" w:eastAsia="宋体" w:hint="default"/>
                <w:spacing w:val="-6"/>
                <w:sz w:val="18"/>
                <w:szCs w:val="18"/>
              </w:rPr>
              <w:t>减：所得税</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费用</w:t>
            </w:r>
          </w:p>
        </w:tc>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100" w:right="98"/>
              <w:jc w:val="left"/>
              <w:rPr>
                <w:rFonts w:ascii="宋体" w:hAnsi="宋体" w:cs="宋体" w:eastAsia="宋体" w:hint="default"/>
                <w:sz w:val="18"/>
                <w:szCs w:val="18"/>
              </w:rPr>
            </w:pPr>
            <w:r>
              <w:rPr>
                <w:rFonts w:ascii="宋体" w:hAnsi="宋体" w:cs="宋体" w:eastAsia="宋体" w:hint="default"/>
                <w:sz w:val="18"/>
                <w:szCs w:val="18"/>
              </w:rPr>
              <w:t>税后归属</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于母公司</w:t>
            </w:r>
          </w:p>
        </w:tc>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00" w:right="98"/>
              <w:jc w:val="center"/>
              <w:rPr>
                <w:rFonts w:ascii="宋体" w:hAnsi="宋体" w:cs="宋体" w:eastAsia="宋体" w:hint="default"/>
                <w:sz w:val="18"/>
                <w:szCs w:val="18"/>
              </w:rPr>
            </w:pPr>
            <w:r>
              <w:rPr>
                <w:rFonts w:ascii="宋体" w:hAnsi="宋体" w:cs="宋体" w:eastAsia="宋体" w:hint="default"/>
                <w:spacing w:val="-2"/>
                <w:sz w:val="18"/>
                <w:szCs w:val="18"/>
              </w:rPr>
              <w:t>税后归属</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于少数股</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东</w:t>
            </w:r>
          </w:p>
        </w:tc>
        <w:tc>
          <w:tcPr>
            <w:tcW w:w="792" w:type="dxa"/>
            <w:vMerge/>
            <w:tcBorders>
              <w:left w:val="single" w:sz="4" w:space="0" w:color="000000"/>
              <w:bottom w:val="single" w:sz="4" w:space="0" w:color="000000"/>
              <w:right w:val="single" w:sz="4" w:space="0" w:color="000000"/>
            </w:tcBorders>
            <w:shd w:val="clear" w:color="auto" w:fill="D2D2D2"/>
          </w:tcPr>
          <w:p>
            <w:pP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其他说明，包括对现金流量套期损益的有效部分转为被套期项目初始确认金额调整：</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58</w:t>
      </w:r>
      <w:r>
        <w:rPr/>
        <w:t>、专项储备</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0"/>
        <w:gridCol w:w="1920"/>
        <w:gridCol w:w="1910"/>
        <w:gridCol w:w="1915"/>
        <w:gridCol w:w="1915"/>
      </w:tblGrid>
      <w:tr>
        <w:trPr>
          <w:trHeight w:val="403" w:hRule="exact"/>
        </w:trPr>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8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其他说明，包括本期增减变动情况、变动原因说明：</w:t>
      </w:r>
    </w:p>
    <w:p>
      <w:pPr>
        <w:spacing w:after="0"/>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Heading4"/>
        <w:spacing w:line="335" w:lineRule="exact"/>
        <w:ind w:right="0"/>
        <w:jc w:val="left"/>
        <w:rPr>
          <w:b w:val="0"/>
          <w:bCs w:val="0"/>
        </w:rPr>
      </w:pPr>
      <w:r>
        <w:rPr>
          <w:rFonts w:ascii="Times New Roman" w:hAnsi="Times New Roman" w:cs="Times New Roman" w:eastAsia="Times New Roman" w:hint="default"/>
        </w:rPr>
        <w:t>59</w:t>
      </w:r>
      <w:r>
        <w:rPr/>
        <w:t>、盈余公积</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89"/>
        <w:gridCol w:w="1930"/>
        <w:gridCol w:w="1910"/>
        <w:gridCol w:w="1915"/>
        <w:gridCol w:w="1915"/>
      </w:tblGrid>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00"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8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30"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35,550,913.34</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3,776,823.31</w:t>
            </w: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39,327,736.65</w:t>
            </w:r>
          </w:p>
        </w:tc>
      </w:tr>
      <w:tr>
        <w:trPr>
          <w:trHeight w:val="398"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30"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35,550,913.34</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3,776,823.31</w:t>
            </w: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39,327,736.65</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盈余公积说明，包括本期增减变动情况、变动原因说明：</w:t>
      </w:r>
    </w:p>
    <w:p>
      <w:pPr>
        <w:pStyle w:val="BodyText"/>
        <w:spacing w:line="240" w:lineRule="auto" w:before="89"/>
        <w:ind w:right="0"/>
        <w:jc w:val="left"/>
      </w:pPr>
      <w:r>
        <w:rPr/>
        <w:t>盈余公积本年增加系根据公司章程规定，按本年本公司（母公司）净利润的</w:t>
      </w:r>
      <w:r>
        <w:rPr>
          <w:rFonts w:ascii="Times New Roman" w:hAnsi="Times New Roman" w:cs="Times New Roman" w:eastAsia="Times New Roman" w:hint="default"/>
        </w:rPr>
        <w:t>10%</w:t>
      </w:r>
      <w:r>
        <w:rPr/>
        <w:t>计提法定盈余公积金。</w:t>
      </w:r>
    </w:p>
    <w:p>
      <w:pPr>
        <w:spacing w:line="240" w:lineRule="auto" w:before="8"/>
        <w:rPr>
          <w:rFonts w:ascii="宋体" w:hAnsi="宋体" w:cs="宋体" w:eastAsia="宋体" w:hint="default"/>
          <w:sz w:val="19"/>
          <w:szCs w:val="19"/>
        </w:rPr>
      </w:pPr>
    </w:p>
    <w:p>
      <w:pPr>
        <w:pStyle w:val="Heading4"/>
        <w:spacing w:line="240" w:lineRule="auto"/>
        <w:ind w:right="0"/>
        <w:jc w:val="left"/>
        <w:rPr>
          <w:b w:val="0"/>
          <w:bCs w:val="0"/>
        </w:rPr>
      </w:pPr>
      <w:r>
        <w:rPr>
          <w:rFonts w:ascii="Times New Roman" w:hAnsi="Times New Roman" w:cs="Times New Roman" w:eastAsia="Times New Roman" w:hint="default"/>
        </w:rPr>
        <w:t>60</w:t>
      </w:r>
      <w:r>
        <w:rPr/>
        <w:t>、未分配利润</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703"/>
        <w:gridCol w:w="2933"/>
        <w:gridCol w:w="2918"/>
      </w:tblGrid>
      <w:tr>
        <w:trPr>
          <w:trHeight w:val="398"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3"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调整前上期末未分配利润</w:t>
            </w:r>
          </w:p>
        </w:tc>
        <w:tc>
          <w:tcPr>
            <w:tcW w:w="293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193,805,760.64</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180,063,672.11</w:t>
            </w:r>
          </w:p>
        </w:tc>
      </w:tr>
      <w:tr>
        <w:trPr>
          <w:trHeight w:val="403"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3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193,805,760.64</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180,063,672.11</w:t>
            </w:r>
          </w:p>
        </w:tc>
      </w:tr>
      <w:tr>
        <w:trPr>
          <w:trHeight w:val="403"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加：本期归属于母公司所有者的净利润</w:t>
            </w:r>
          </w:p>
        </w:tc>
        <w:tc>
          <w:tcPr>
            <w:tcW w:w="293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9,173,520.42</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27,673,025.40</w:t>
            </w:r>
          </w:p>
        </w:tc>
      </w:tr>
      <w:tr>
        <w:trPr>
          <w:trHeight w:val="398"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3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3,776,823.31</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3,494,426.87</w:t>
            </w:r>
          </w:p>
        </w:tc>
      </w:tr>
      <w:tr>
        <w:trPr>
          <w:trHeight w:val="403"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pacing w:val="-3"/>
                <w:sz w:val="18"/>
                <w:szCs w:val="18"/>
              </w:rPr>
              <w:t>应付普通股股利</w:t>
            </w:r>
          </w:p>
        </w:tc>
        <w:tc>
          <w:tcPr>
            <w:tcW w:w="2933" w:type="dxa"/>
            <w:tcBorders>
              <w:top w:val="single" w:sz="4" w:space="0" w:color="000000"/>
              <w:left w:val="single" w:sz="8" w:space="0" w:color="D2D2D2"/>
              <w:bottom w:val="single" w:sz="4" w:space="0" w:color="000000"/>
              <w:right w:val="single" w:sz="4" w:space="0" w:color="000000"/>
            </w:tcBorders>
          </w:tcPr>
          <w:p>
            <w:pP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10,436,510.00</w:t>
            </w:r>
          </w:p>
        </w:tc>
      </w:tr>
      <w:tr>
        <w:trPr>
          <w:trHeight w:val="403"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期末未分配利润</w:t>
            </w:r>
          </w:p>
        </w:tc>
        <w:tc>
          <w:tcPr>
            <w:tcW w:w="2933"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199,202,457.75</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193,805,760.64</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调整期初未分配利润明细：</w:t>
      </w:r>
    </w:p>
    <w:p>
      <w:pPr>
        <w:spacing w:before="119"/>
        <w:ind w:left="152" w:right="0" w:firstLine="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、由于《企业会计准则》及其相关新规定进行追溯调整，影响期初未分配利润元。</w:t>
      </w:r>
    </w:p>
    <w:p>
      <w:pPr>
        <w:spacing w:before="101"/>
        <w:ind w:left="152" w:right="0" w:firstLine="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、由于会计政策变更，影响期初未分配利润元。</w:t>
      </w:r>
    </w:p>
    <w:p>
      <w:pPr>
        <w:spacing w:before="101"/>
        <w:ind w:left="152" w:right="0" w:firstLine="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、由于重大会计差错更正，影响期初未分配利润元。</w:t>
      </w:r>
    </w:p>
    <w:p>
      <w:pPr>
        <w:spacing w:before="106"/>
        <w:ind w:left="152" w:right="0" w:firstLine="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、由于同一控制导致的合并范围变更，影响期初未分配利润元。</w:t>
      </w:r>
    </w:p>
    <w:p>
      <w:pPr>
        <w:spacing w:before="101"/>
        <w:ind w:left="152" w:right="0" w:firstLine="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、其他调整合计影响期初未分配利润元。</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61</w:t>
      </w:r>
      <w:r>
        <w:rPr/>
        <w:t>、营业收入和营业成本</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901"/>
        <w:gridCol w:w="1918"/>
        <w:gridCol w:w="1910"/>
        <w:gridCol w:w="1915"/>
        <w:gridCol w:w="1915"/>
      </w:tblGrid>
      <w:tr>
        <w:trPr>
          <w:trHeight w:val="196" w:hRule="exact"/>
        </w:trPr>
        <w:tc>
          <w:tcPr>
            <w:tcW w:w="1901" w:type="dxa"/>
            <w:tcBorders>
              <w:top w:val="single" w:sz="4" w:space="0" w:color="000000"/>
              <w:left w:val="single" w:sz="4" w:space="0" w:color="000000"/>
              <w:bottom w:val="nil" w:sz="6" w:space="0" w:color="auto"/>
              <w:right w:val="single" w:sz="4" w:space="0" w:color="000000"/>
            </w:tcBorders>
            <w:shd w:val="clear" w:color="auto" w:fill="D2D2D2"/>
          </w:tcPr>
          <w:p>
            <w:pPr/>
          </w:p>
        </w:tc>
        <w:tc>
          <w:tcPr>
            <w:tcW w:w="382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3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7" w:hRule="exact"/>
        </w:trPr>
        <w:tc>
          <w:tcPr>
            <w:tcW w:w="190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right="12"/>
              <w:jc w:val="center"/>
              <w:rPr>
                <w:rFonts w:ascii="宋体" w:hAnsi="宋体" w:cs="宋体" w:eastAsia="宋体" w:hint="default"/>
                <w:sz w:val="18"/>
                <w:szCs w:val="18"/>
              </w:rPr>
            </w:pPr>
            <w:r>
              <w:rPr>
                <w:rFonts w:ascii="宋体" w:hAnsi="宋体" w:cs="宋体" w:eastAsia="宋体" w:hint="default"/>
                <w:sz w:val="18"/>
                <w:szCs w:val="18"/>
              </w:rPr>
              <w:t>项目</w:t>
            </w:r>
          </w:p>
        </w:tc>
        <w:tc>
          <w:tcPr>
            <w:tcW w:w="3828" w:type="dxa"/>
            <w:gridSpan w:val="2"/>
            <w:vMerge/>
            <w:tcBorders>
              <w:left w:val="single" w:sz="4" w:space="0" w:color="000000"/>
              <w:bottom w:val="single" w:sz="4" w:space="0" w:color="000000"/>
              <w:right w:val="single" w:sz="4" w:space="0" w:color="000000"/>
            </w:tcBorders>
            <w:shd w:val="clear" w:color="auto" w:fill="D2D2D2"/>
          </w:tcPr>
          <w:p>
            <w:pPr/>
          </w:p>
        </w:tc>
        <w:tc>
          <w:tcPr>
            <w:tcW w:w="3830" w:type="dxa"/>
            <w:gridSpan w:val="2"/>
            <w:vMerge/>
            <w:tcBorders>
              <w:left w:val="single" w:sz="4" w:space="0" w:color="000000"/>
              <w:bottom w:val="single" w:sz="4" w:space="0" w:color="000000"/>
              <w:right w:val="single" w:sz="4" w:space="0" w:color="000000"/>
            </w:tcBorders>
            <w:shd w:val="clear" w:color="auto" w:fill="D2D2D2"/>
          </w:tcPr>
          <w:p>
            <w:pPr/>
          </w:p>
        </w:tc>
      </w:tr>
      <w:tr>
        <w:trPr>
          <w:trHeight w:val="192" w:hRule="exact"/>
        </w:trPr>
        <w:tc>
          <w:tcPr>
            <w:tcW w:w="1901" w:type="dxa"/>
            <w:vMerge/>
            <w:tcBorders>
              <w:left w:val="single" w:sz="4" w:space="0" w:color="000000"/>
              <w:bottom w:val="nil" w:sz="6" w:space="0" w:color="auto"/>
              <w:right w:val="single" w:sz="4" w:space="0" w:color="000000"/>
            </w:tcBorders>
            <w:shd w:val="clear" w:color="auto" w:fill="D2D2D2"/>
          </w:tcPr>
          <w:p>
            <w:pPr/>
          </w:p>
        </w:tc>
        <w:tc>
          <w:tcPr>
            <w:tcW w:w="191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right="7"/>
              <w:jc w:val="center"/>
              <w:rPr>
                <w:rFonts w:ascii="宋体" w:hAnsi="宋体" w:cs="宋体" w:eastAsia="宋体" w:hint="default"/>
                <w:sz w:val="18"/>
                <w:szCs w:val="18"/>
              </w:rPr>
            </w:pPr>
            <w:r>
              <w:rPr>
                <w:rFonts w:ascii="宋体" w:hAnsi="宋体" w:cs="宋体" w:eastAsia="宋体" w:hint="default"/>
                <w:sz w:val="18"/>
                <w:szCs w:val="18"/>
              </w:rPr>
              <w:t>成本</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收入</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16" w:hRule="exact"/>
        </w:trPr>
        <w:tc>
          <w:tcPr>
            <w:tcW w:w="19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8" w:type="dxa"/>
            <w:vMerge/>
            <w:tcBorders>
              <w:left w:val="single" w:sz="4" w:space="0" w:color="000000"/>
              <w:bottom w:val="single" w:sz="4" w:space="0" w:color="000000"/>
              <w:right w:val="single" w:sz="4" w:space="0" w:color="000000"/>
            </w:tcBorders>
            <w:shd w:val="clear" w:color="auto" w:fill="D2D2D2"/>
          </w:tcPr>
          <w:p>
            <w:pPr/>
          </w:p>
        </w:tc>
        <w:tc>
          <w:tcPr>
            <w:tcW w:w="1910"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8"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658,230,810.48</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500,531,186.56</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861,311,359.14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656,654,922.21</w:t>
            </w:r>
          </w:p>
        </w:tc>
      </w:tr>
      <w:tr>
        <w:trPr>
          <w:trHeight w:val="403"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18"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2,485,336.27</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997,023.86</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2,201,625.28</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1,861,357.74</w:t>
            </w:r>
          </w:p>
        </w:tc>
      </w:tr>
      <w:tr>
        <w:trPr>
          <w:trHeight w:val="398"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8"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660,716,146.75</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501,528,210.42</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863,512,984.42</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658,516,279.95</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rFonts w:ascii="Times New Roman" w:hAnsi="Times New Roman" w:cs="Times New Roman" w:eastAsia="Times New Roman" w:hint="default"/>
        </w:rPr>
        <w:t>62</w:t>
      </w:r>
      <w:r>
        <w:rPr/>
        <w:t>、营业税金及附加</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after="0"/>
        <w:jc w:val="right"/>
        <w:rPr>
          <w:rFonts w:ascii="宋体" w:hAnsi="宋体" w:cs="宋体" w:eastAsia="宋体" w:hint="default"/>
          <w:sz w:val="18"/>
          <w:szCs w:val="18"/>
        </w:rPr>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3166"/>
        <w:gridCol w:w="3202"/>
        <w:gridCol w:w="3192"/>
      </w:tblGrid>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98"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29,642.99</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43,563.52</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城市维护建设税</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2,270,147.77</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3,198,256.44</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1,636,726.36</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2,327,753.16</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3,936,517.12</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5,569,573.12</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63</w:t>
      </w:r>
      <w:r>
        <w:rPr/>
        <w:t>、销售费用</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394"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8"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办公费用</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pacing w:val="-1"/>
                <w:sz w:val="18"/>
              </w:rPr>
              <w:t>1,872,223.79</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pacing w:val="-1"/>
                <w:sz w:val="18"/>
              </w:rPr>
              <w:t>695,047.34</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24,537,577.34</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20,212,251.55</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3,649,957.96</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3,273,167.67</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业务费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5,471,074.19</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5,261,282.46</w:t>
            </w: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运杂费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14,244,978.02</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11,992,841.50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中标服务费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476,311.50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104,991.75</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推广费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1,517,761.49</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4,128,651.62</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信息技术服务费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3"/>
                <w:sz w:val="18"/>
              </w:rPr>
              <w:t>396,114.11</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1,118,025.70</w:t>
            </w: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租赁费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584,784.50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556,332.60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中介咨询费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843,698.20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299,577.70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4,029,961.28</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3,886,504.24</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57,624,442.38</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51,528,674.13</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64</w:t>
      </w:r>
      <w:r>
        <w:rPr/>
        <w:t>、管理费用</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398"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3,730,730.37</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2,867,777.62</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电信费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674,113.92</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677,374.99</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2,585,460.92</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2,585,518.89</w:t>
            </w: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水电费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1,487,816.64</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903,540.29</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业务费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2,514,371.06</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2,915,319.08</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税费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2,297,516.99</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2,634,367.14</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保险费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275,141.72</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611,870.25</w:t>
            </w:r>
          </w:p>
        </w:tc>
      </w:tr>
    </w:tbl>
    <w:p>
      <w:pPr>
        <w:spacing w:after="0" w:line="240" w:lineRule="auto"/>
        <w:jc w:val="right"/>
        <w:rPr>
          <w:rFonts w:ascii="Times New Roman" w:hAnsi="Times New Roman" w:cs="Times New Roman" w:eastAsia="Times New Roman" w:hint="default"/>
          <w:sz w:val="18"/>
          <w:szCs w:val="18"/>
        </w:rPr>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修理检测费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2,632,056.27</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1,335,952.50</w:t>
            </w: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运费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153,612.80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352,267.16</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汽车费用</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2,600,080.49</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3,125,570.88</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45,100,698.20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48,764,886.61</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审计咨询费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5,107,079.75</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1,332,242.44</w:t>
            </w: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折旧与摊销费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9,794,829.59</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13,603,190.98</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开办费广告宣传费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16,538.00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457,546.62</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租赁费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4,132,627.57</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3,573,865.85</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24,023,804.82</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12,390,548.03</w:t>
            </w: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库存商品报废</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2,821,528.05</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原材料盘亏</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183,788.00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1,081,105.94</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3,259,598.75</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313,486.10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113,391,393.91</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99,526,431.37</w:t>
            </w:r>
          </w:p>
        </w:tc>
      </w:tr>
    </w:tbl>
    <w:p>
      <w:pPr>
        <w:spacing w:line="352" w:lineRule="auto" w:before="53"/>
        <w:ind w:left="152" w:right="5284" w:firstLine="0"/>
        <w:jc w:val="left"/>
        <w:rPr>
          <w:rFonts w:ascii="宋体" w:hAnsi="宋体" w:cs="宋体" w:eastAsia="宋体" w:hint="default"/>
          <w:sz w:val="18"/>
          <w:szCs w:val="18"/>
        </w:rPr>
      </w:pPr>
      <w:r>
        <w:rPr>
          <w:rFonts w:ascii="宋体" w:hAnsi="宋体" w:cs="宋体" w:eastAsia="宋体" w:hint="default"/>
          <w:sz w:val="18"/>
          <w:szCs w:val="18"/>
        </w:rPr>
        <w:t>其他说明：</w:t>
      </w:r>
      <w:r>
        <w:rPr>
          <w:rFonts w:ascii="宋体" w:hAnsi="宋体" w:cs="宋体" w:eastAsia="宋体" w:hint="default"/>
          <w:w w:val="101"/>
          <w:sz w:val="18"/>
          <w:szCs w:val="18"/>
        </w:rPr>
        <w:t> </w:t>
      </w:r>
      <w:r>
        <w:rPr>
          <w:rFonts w:ascii="宋体" w:hAnsi="宋体" w:cs="宋体" w:eastAsia="宋体" w:hint="default"/>
          <w:spacing w:val="-2"/>
          <w:sz w:val="18"/>
          <w:szCs w:val="18"/>
        </w:rPr>
        <w:t>母公司研发费用本期发生额为</w:t>
      </w:r>
      <w:r>
        <w:rPr>
          <w:rFonts w:ascii="Times New Roman" w:hAnsi="Times New Roman" w:cs="Times New Roman" w:eastAsia="Times New Roman" w:hint="default"/>
          <w:spacing w:val="-2"/>
          <w:sz w:val="18"/>
          <w:szCs w:val="18"/>
        </w:rPr>
        <w:t>10,994,015.37</w:t>
      </w:r>
      <w:r>
        <w:rPr>
          <w:rFonts w:ascii="宋体" w:hAnsi="宋体" w:cs="宋体" w:eastAsia="宋体" w:hint="default"/>
          <w:spacing w:val="-2"/>
          <w:sz w:val="18"/>
          <w:szCs w:val="18"/>
        </w:rPr>
        <w:t>元。</w:t>
      </w:r>
    </w:p>
    <w:p>
      <w:pPr>
        <w:spacing w:line="240" w:lineRule="auto" w:before="9"/>
        <w:rPr>
          <w:rFonts w:ascii="宋体" w:hAnsi="宋体" w:cs="宋体" w:eastAsia="宋体" w:hint="default"/>
          <w:sz w:val="13"/>
          <w:szCs w:val="13"/>
        </w:rPr>
      </w:pPr>
    </w:p>
    <w:p>
      <w:pPr>
        <w:pStyle w:val="Heading4"/>
        <w:spacing w:line="240" w:lineRule="auto"/>
        <w:ind w:right="0"/>
        <w:jc w:val="left"/>
        <w:rPr>
          <w:b w:val="0"/>
          <w:bCs w:val="0"/>
        </w:rPr>
      </w:pPr>
      <w:r>
        <w:rPr>
          <w:rFonts w:ascii="Times New Roman" w:hAnsi="Times New Roman" w:cs="Times New Roman" w:eastAsia="Times New Roman" w:hint="default"/>
        </w:rPr>
        <w:t>65</w:t>
      </w:r>
      <w:r>
        <w:rPr/>
        <w:t>、财务费用</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11,822,658.77</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8,512,846.59</w:t>
            </w: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1,167,464.22</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1,003,623.71</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-44,043.14</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156,080.84</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手续费及其他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1,131,373.70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2,196,477.76</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信用证贴现利息</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2,816,483.33</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695,138.89</w:t>
            </w: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14,559,008.44</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10,556,920.37</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66</w:t>
      </w:r>
      <w:r>
        <w:rPr/>
        <w:t>、资产减值损失</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6"/>
        <w:gridCol w:w="3202"/>
        <w:gridCol w:w="3192"/>
      </w:tblGrid>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1,430,522.06</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9,859,781.76</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二、存货跌价损失</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4,844,770.57</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5,275,813.84</w:t>
            </w:r>
          </w:p>
        </w:tc>
      </w:tr>
      <w:tr>
        <w:trPr>
          <w:trHeight w:val="398"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6,275,292.63</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15,135,595.60</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Heading4"/>
        <w:spacing w:line="335" w:lineRule="exact"/>
        <w:ind w:right="0"/>
        <w:jc w:val="left"/>
        <w:rPr>
          <w:b w:val="0"/>
          <w:bCs w:val="0"/>
        </w:rPr>
      </w:pPr>
      <w:r>
        <w:rPr>
          <w:rFonts w:ascii="Times New Roman" w:hAnsi="Times New Roman" w:cs="Times New Roman" w:eastAsia="Times New Roman" w:hint="default"/>
        </w:rPr>
        <w:t>67</w:t>
      </w:r>
      <w:r>
        <w:rPr/>
        <w:t>、公允价值变动收益</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17" w:right="0"/>
              <w:jc w:val="left"/>
              <w:rPr>
                <w:rFonts w:ascii="宋体" w:hAnsi="宋体" w:cs="宋体" w:eastAsia="宋体" w:hint="default"/>
                <w:sz w:val="18"/>
                <w:szCs w:val="18"/>
              </w:rPr>
            </w:pPr>
            <w:r>
              <w:rPr>
                <w:rFonts w:ascii="宋体" w:hAnsi="宋体" w:cs="宋体" w:eastAsia="宋体" w:hint="default"/>
                <w:spacing w:val="-3"/>
                <w:sz w:val="18"/>
                <w:szCs w:val="18"/>
              </w:rPr>
              <w:t>产生公允价值变动收益的来源</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68</w:t>
      </w:r>
      <w:r>
        <w:rPr/>
        <w:t>、投资收益</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437"/>
        <w:gridCol w:w="3199"/>
        <w:gridCol w:w="2918"/>
      </w:tblGrid>
      <w:tr>
        <w:trPr>
          <w:trHeight w:val="403" w:hRule="exact"/>
        </w:trPr>
        <w:tc>
          <w:tcPr>
            <w:tcW w:w="3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31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98" w:hRule="exact"/>
        </w:trPr>
        <w:tc>
          <w:tcPr>
            <w:tcW w:w="3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可供出售金融资产在持有期间的投资收益</w:t>
            </w:r>
          </w:p>
        </w:tc>
        <w:tc>
          <w:tcPr>
            <w:tcW w:w="31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4,500,000.00</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处置可供出售金融资产取得的投资收益</w:t>
            </w:r>
          </w:p>
        </w:tc>
        <w:tc>
          <w:tcPr>
            <w:tcW w:w="31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41,020,265.00</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45,520,265.00</w:t>
            </w:r>
          </w:p>
        </w:tc>
        <w:tc>
          <w:tcPr>
            <w:tcW w:w="2918" w:type="dxa"/>
            <w:tcBorders>
              <w:top w:val="single" w:sz="4" w:space="0" w:color="000000"/>
              <w:left w:val="single" w:sz="4" w:space="0" w:color="000000"/>
              <w:bottom w:val="single" w:sz="4" w:space="0" w:color="000000"/>
              <w:right w:val="single" w:sz="4" w:space="0" w:color="000000"/>
            </w:tcBorders>
          </w:tcPr>
          <w:p>
            <w:pP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69</w:t>
      </w:r>
      <w:r>
        <w:rPr/>
        <w:t>、营业外收入</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0"/>
        <w:gridCol w:w="2395"/>
        <w:gridCol w:w="2390"/>
        <w:gridCol w:w="2390"/>
      </w:tblGrid>
      <w:tr>
        <w:trPr>
          <w:trHeight w:val="159" w:hRule="exact"/>
        </w:trPr>
        <w:tc>
          <w:tcPr>
            <w:tcW w:w="2390"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5"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0"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1099" w:right="103" w:hanging="989"/>
              <w:jc w:val="left"/>
              <w:rPr>
                <w:rFonts w:ascii="宋体" w:hAnsi="宋体" w:cs="宋体" w:eastAsia="宋体" w:hint="default"/>
                <w:sz w:val="18"/>
                <w:szCs w:val="18"/>
              </w:rPr>
            </w:pPr>
            <w:r>
              <w:rPr>
                <w:rFonts w:ascii="宋体" w:hAnsi="宋体" w:cs="宋体" w:eastAsia="宋体" w:hint="default"/>
                <w:spacing w:val="-3"/>
                <w:sz w:val="18"/>
                <w:szCs w:val="18"/>
              </w:rPr>
              <w:t>计入当期非经常性损益的金</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额</w:t>
            </w:r>
          </w:p>
        </w:tc>
      </w:tr>
      <w:tr>
        <w:trPr>
          <w:trHeight w:val="392" w:hRule="exact"/>
        </w:trPr>
        <w:tc>
          <w:tcPr>
            <w:tcW w:w="23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73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739"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0" w:type="dxa"/>
            <w:vMerge/>
            <w:tcBorders>
              <w:left w:val="single" w:sz="4" w:space="0" w:color="000000"/>
              <w:right w:val="single" w:sz="4" w:space="0" w:color="000000"/>
            </w:tcBorders>
            <w:shd w:val="clear" w:color="auto" w:fill="D2D2D2"/>
          </w:tcPr>
          <w:p>
            <w:pPr/>
          </w:p>
        </w:tc>
      </w:tr>
      <w:tr>
        <w:trPr>
          <w:trHeight w:val="164" w:hRule="exact"/>
        </w:trPr>
        <w:tc>
          <w:tcPr>
            <w:tcW w:w="2390"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5"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0"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0" w:type="dxa"/>
            <w:vMerge/>
            <w:tcBorders>
              <w:left w:val="single" w:sz="4" w:space="0" w:color="000000"/>
              <w:bottom w:val="single" w:sz="4" w:space="0" w:color="000000"/>
              <w:right w:val="single" w:sz="4" w:space="0" w:color="000000"/>
            </w:tcBorders>
            <w:shd w:val="clear" w:color="auto" w:fill="D2D2D2"/>
          </w:tcPr>
          <w:p>
            <w:pPr/>
          </w:p>
        </w:tc>
      </w:tr>
      <w:tr>
        <w:trPr>
          <w:trHeight w:val="398"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非流动资产处置利得合计</w:t>
            </w:r>
          </w:p>
        </w:tc>
        <w:tc>
          <w:tcPr>
            <w:tcW w:w="239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274,242.00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36,717.90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274,242.00</w:t>
            </w:r>
          </w:p>
        </w:tc>
      </w:tr>
      <w:tr>
        <w:trPr>
          <w:trHeight w:val="403"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其中：固定资产处置利得</w:t>
            </w:r>
          </w:p>
        </w:tc>
        <w:tc>
          <w:tcPr>
            <w:tcW w:w="239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274,242.00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36,717.90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274,242.00</w:t>
            </w:r>
          </w:p>
        </w:tc>
      </w:tr>
      <w:tr>
        <w:trPr>
          <w:trHeight w:val="403"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239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3,677,319.57</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6,241,850.92</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3,677,319.57</w:t>
            </w:r>
          </w:p>
        </w:tc>
      </w:tr>
      <w:tr>
        <w:trPr>
          <w:trHeight w:val="403"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225,449.80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96,086.86</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225,449.80</w:t>
            </w:r>
          </w:p>
        </w:tc>
      </w:tr>
      <w:tr>
        <w:trPr>
          <w:trHeight w:val="398"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增值税退税款</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5,384,753.08</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6,167,051.82</w:t>
            </w:r>
          </w:p>
        </w:tc>
        <w:tc>
          <w:tcPr>
            <w:tcW w:w="23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9,561,764.45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12,541,707.50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4,177,011.37</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计入当期损益的政府补助：</w:t>
      </w:r>
    </w:p>
    <w:p>
      <w:pPr>
        <w:spacing w:before="119"/>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066"/>
        <w:gridCol w:w="1061"/>
        <w:gridCol w:w="1066"/>
        <w:gridCol w:w="1061"/>
        <w:gridCol w:w="1066"/>
        <w:gridCol w:w="1061"/>
        <w:gridCol w:w="1066"/>
        <w:gridCol w:w="1061"/>
        <w:gridCol w:w="1066"/>
      </w:tblGrid>
      <w:tr>
        <w:trPr>
          <w:trHeight w:val="715" w:hRule="exact"/>
        </w:trPr>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补助项目</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发放主体</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发放原因</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61"/>
              <w:jc w:val="right"/>
              <w:rPr>
                <w:rFonts w:ascii="宋体" w:hAnsi="宋体" w:cs="宋体" w:eastAsia="宋体" w:hint="default"/>
                <w:sz w:val="18"/>
                <w:szCs w:val="18"/>
              </w:rPr>
            </w:pPr>
            <w:r>
              <w:rPr>
                <w:rFonts w:ascii="宋体" w:hAnsi="宋体" w:cs="宋体" w:eastAsia="宋体" w:hint="default"/>
                <w:spacing w:val="-2"/>
                <w:sz w:val="18"/>
                <w:szCs w:val="18"/>
              </w:rPr>
              <w:t>性质类型</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76" w:right="74"/>
              <w:jc w:val="left"/>
              <w:rPr>
                <w:rFonts w:ascii="宋体" w:hAnsi="宋体" w:cs="宋体" w:eastAsia="宋体" w:hint="default"/>
                <w:sz w:val="18"/>
                <w:szCs w:val="18"/>
              </w:rPr>
            </w:pPr>
            <w:r>
              <w:rPr>
                <w:rFonts w:ascii="宋体" w:hAnsi="宋体" w:cs="宋体" w:eastAsia="宋体" w:hint="default"/>
                <w:spacing w:val="-2"/>
                <w:sz w:val="18"/>
                <w:szCs w:val="18"/>
              </w:rPr>
              <w:t>补贴是否影</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响当年盈亏</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436" w:right="70" w:hanging="360"/>
              <w:jc w:val="left"/>
              <w:rPr>
                <w:rFonts w:ascii="宋体" w:hAnsi="宋体" w:cs="宋体" w:eastAsia="宋体" w:hint="default"/>
                <w:sz w:val="18"/>
                <w:szCs w:val="18"/>
              </w:rPr>
            </w:pPr>
            <w:r>
              <w:rPr>
                <w:rFonts w:ascii="宋体" w:hAnsi="宋体" w:cs="宋体" w:eastAsia="宋体" w:hint="default"/>
                <w:spacing w:val="-2"/>
                <w:sz w:val="18"/>
                <w:szCs w:val="18"/>
              </w:rPr>
              <w:t>是否特殊补</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贴</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436" w:right="74" w:hanging="360"/>
              <w:jc w:val="left"/>
              <w:rPr>
                <w:rFonts w:ascii="宋体" w:hAnsi="宋体" w:cs="宋体" w:eastAsia="宋体" w:hint="default"/>
                <w:sz w:val="18"/>
                <w:szCs w:val="18"/>
              </w:rPr>
            </w:pPr>
            <w:r>
              <w:rPr>
                <w:rFonts w:ascii="宋体" w:hAnsi="宋体" w:cs="宋体" w:eastAsia="宋体" w:hint="default"/>
                <w:spacing w:val="-2"/>
                <w:sz w:val="18"/>
                <w:szCs w:val="18"/>
              </w:rPr>
              <w:t>本期发生金</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额</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432" w:right="74" w:hanging="360"/>
              <w:jc w:val="left"/>
              <w:rPr>
                <w:rFonts w:ascii="宋体" w:hAnsi="宋体" w:cs="宋体" w:eastAsia="宋体" w:hint="default"/>
                <w:sz w:val="18"/>
                <w:szCs w:val="18"/>
              </w:rPr>
            </w:pPr>
            <w:r>
              <w:rPr>
                <w:rFonts w:ascii="宋体" w:hAnsi="宋体" w:cs="宋体" w:eastAsia="宋体" w:hint="default"/>
                <w:spacing w:val="-2"/>
                <w:sz w:val="18"/>
                <w:szCs w:val="18"/>
              </w:rPr>
              <w:t>上期发生金</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76" w:right="48" w:hanging="24"/>
              <w:jc w:val="left"/>
              <w:rPr>
                <w:rFonts w:ascii="宋体" w:hAnsi="宋体" w:cs="宋体" w:eastAsia="宋体" w:hint="default"/>
                <w:sz w:val="18"/>
                <w:szCs w:val="18"/>
              </w:rPr>
            </w:pPr>
            <w:r>
              <w:rPr>
                <w:rFonts w:ascii="宋体" w:hAnsi="宋体" w:cs="宋体" w:eastAsia="宋体" w:hint="default"/>
                <w:spacing w:val="-2"/>
                <w:sz w:val="18"/>
                <w:szCs w:val="18"/>
              </w:rPr>
              <w:t>与资产相关</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31"/>
                <w:sz w:val="18"/>
                <w:szCs w:val="18"/>
              </w:rPr>
              <w:t> </w:t>
            </w:r>
            <w:r>
              <w:rPr>
                <w:rFonts w:ascii="宋体" w:hAnsi="宋体" w:cs="宋体" w:eastAsia="宋体" w:hint="default"/>
                <w:sz w:val="18"/>
                <w:szCs w:val="18"/>
              </w:rPr>
              <w:t>与收益相关</w:t>
            </w:r>
          </w:p>
        </w:tc>
      </w:tr>
      <w:tr>
        <w:trPr>
          <w:trHeight w:val="357" w:hRule="exact"/>
        </w:trPr>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right="122"/>
              <w:jc w:val="right"/>
              <w:rPr>
                <w:rFonts w:ascii="宋体" w:hAnsi="宋体" w:cs="宋体" w:eastAsia="宋体" w:hint="default"/>
                <w:sz w:val="18"/>
                <w:szCs w:val="18"/>
              </w:rPr>
            </w:pPr>
            <w:r>
              <w:rPr>
                <w:rFonts w:ascii="宋体" w:hAnsi="宋体" w:cs="宋体" w:eastAsia="宋体" w:hint="default"/>
                <w:spacing w:val="-2"/>
                <w:sz w:val="18"/>
                <w:szCs w:val="18"/>
              </w:rPr>
              <w:t>因符合地方</w:t>
            </w: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vMerge w:val="restart"/>
            <w:tcBorders>
              <w:top w:val="single" w:sz="4" w:space="0" w:color="000000"/>
              <w:left w:val="single" w:sz="4" w:space="0" w:color="000000"/>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938"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309" w:lineRule="auto" w:before="13"/>
              <w:ind w:left="24" w:right="79"/>
              <w:jc w:val="both"/>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年文化</w:t>
            </w:r>
            <w:r>
              <w:rPr>
                <w:rFonts w:ascii="宋体" w:hAnsi="宋体" w:cs="宋体" w:eastAsia="宋体" w:hint="default"/>
                <w:w w:val="101"/>
                <w:sz w:val="18"/>
                <w:szCs w:val="18"/>
              </w:rPr>
              <w:t> </w:t>
            </w:r>
            <w:r>
              <w:rPr>
                <w:rFonts w:ascii="宋体" w:hAnsi="宋体" w:cs="宋体" w:eastAsia="宋体" w:hint="default"/>
                <w:sz w:val="18"/>
                <w:szCs w:val="18"/>
              </w:rPr>
              <w:t>产业专项资</w:t>
            </w:r>
            <w:r>
              <w:rPr>
                <w:rFonts w:ascii="宋体" w:hAnsi="宋体" w:cs="宋体" w:eastAsia="宋体" w:hint="default"/>
                <w:w w:val="101"/>
                <w:sz w:val="18"/>
                <w:szCs w:val="18"/>
              </w:rPr>
              <w:t> </w:t>
            </w:r>
            <w:r>
              <w:rPr>
                <w:rFonts w:ascii="宋体" w:hAnsi="宋体" w:cs="宋体" w:eastAsia="宋体" w:hint="default"/>
                <w:sz w:val="18"/>
                <w:szCs w:val="18"/>
              </w:rPr>
              <w:t>金补助</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3" w:right="122"/>
              <w:jc w:val="left"/>
              <w:rPr>
                <w:rFonts w:ascii="宋体" w:hAnsi="宋体" w:cs="宋体" w:eastAsia="宋体" w:hint="default"/>
                <w:sz w:val="18"/>
                <w:szCs w:val="18"/>
              </w:rPr>
            </w:pPr>
            <w:r>
              <w:rPr>
                <w:rFonts w:ascii="宋体" w:hAnsi="宋体" w:cs="宋体" w:eastAsia="宋体" w:hint="default"/>
                <w:spacing w:val="-2"/>
                <w:sz w:val="18"/>
                <w:szCs w:val="18"/>
              </w:rPr>
              <w:t>中共泸州市</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委宣传部</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9"/>
              <w:ind w:left="23" w:right="122"/>
              <w:jc w:val="both"/>
              <w:rPr>
                <w:rFonts w:ascii="宋体" w:hAnsi="宋体" w:cs="宋体" w:eastAsia="宋体" w:hint="default"/>
                <w:sz w:val="18"/>
                <w:szCs w:val="18"/>
              </w:rPr>
            </w:pPr>
            <w:r>
              <w:rPr>
                <w:rFonts w:ascii="宋体" w:hAnsi="宋体" w:cs="宋体" w:eastAsia="宋体" w:hint="default"/>
                <w:spacing w:val="-2"/>
                <w:sz w:val="18"/>
                <w:szCs w:val="18"/>
              </w:rPr>
              <w:t>政府招商引</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资等地方性</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扶持政策而</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right="22"/>
              <w:jc w:val="right"/>
              <w:rPr>
                <w:rFonts w:ascii="Times New Roman" w:hAnsi="Times New Roman" w:cs="Times New Roman" w:eastAsia="Times New Roman" w:hint="default"/>
                <w:sz w:val="18"/>
                <w:szCs w:val="18"/>
              </w:rPr>
            </w:pPr>
            <w:r>
              <w:rPr>
                <w:rFonts w:ascii="Times New Roman"/>
                <w:spacing w:val="-1"/>
                <w:sz w:val="18"/>
              </w:rPr>
              <w:t>100,000.00</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56" w:hRule="exact"/>
        </w:trPr>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right="122"/>
              <w:jc w:val="right"/>
              <w:rPr>
                <w:rFonts w:ascii="宋体" w:hAnsi="宋体" w:cs="宋体" w:eastAsia="宋体" w:hint="default"/>
                <w:sz w:val="18"/>
                <w:szCs w:val="18"/>
              </w:rPr>
            </w:pPr>
            <w:r>
              <w:rPr>
                <w:rFonts w:ascii="宋体" w:hAnsi="宋体" w:cs="宋体" w:eastAsia="宋体" w:hint="default"/>
                <w:spacing w:val="-2"/>
                <w:sz w:val="18"/>
                <w:szCs w:val="18"/>
              </w:rPr>
              <w:t>获得的补助</w:t>
            </w: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vMerge/>
            <w:tcBorders>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r>
        <w:trPr>
          <w:trHeight w:val="347" w:hRule="exact"/>
        </w:trPr>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right="122"/>
              <w:jc w:val="right"/>
              <w:rPr>
                <w:rFonts w:ascii="宋体" w:hAnsi="宋体" w:cs="宋体" w:eastAsia="宋体" w:hint="default"/>
                <w:sz w:val="18"/>
                <w:szCs w:val="18"/>
              </w:rPr>
            </w:pPr>
            <w:r>
              <w:rPr>
                <w:rFonts w:ascii="宋体" w:hAnsi="宋体" w:cs="宋体" w:eastAsia="宋体" w:hint="default"/>
                <w:spacing w:val="-2"/>
                <w:sz w:val="18"/>
                <w:szCs w:val="18"/>
              </w:rPr>
              <w:t>因从事国家</w:t>
            </w: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631"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316" w:lineRule="auto"/>
              <w:ind w:left="24" w:right="127"/>
              <w:jc w:val="left"/>
              <w:rPr>
                <w:rFonts w:ascii="宋体" w:hAnsi="宋体" w:cs="宋体" w:eastAsia="宋体" w:hint="default"/>
                <w:sz w:val="18"/>
                <w:szCs w:val="18"/>
              </w:rPr>
            </w:pPr>
            <w:r>
              <w:rPr>
                <w:rFonts w:ascii="宋体" w:hAnsi="宋体" w:cs="宋体" w:eastAsia="宋体" w:hint="default"/>
                <w:spacing w:val="-2"/>
                <w:sz w:val="18"/>
                <w:szCs w:val="18"/>
              </w:rPr>
              <w:t>进口设备贴</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息</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left="23" w:right="0"/>
              <w:jc w:val="left"/>
              <w:rPr>
                <w:rFonts w:ascii="宋体" w:hAnsi="宋体" w:cs="宋体" w:eastAsia="宋体" w:hint="default"/>
                <w:sz w:val="18"/>
                <w:szCs w:val="18"/>
              </w:rPr>
            </w:pPr>
            <w:r>
              <w:rPr>
                <w:rFonts w:ascii="宋体" w:hAnsi="宋体" w:cs="宋体" w:eastAsia="宋体" w:hint="default"/>
                <w:sz w:val="18"/>
                <w:szCs w:val="18"/>
              </w:rPr>
              <w:t>财政部</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18"/>
              <w:ind w:left="23" w:right="12"/>
              <w:jc w:val="left"/>
              <w:rPr>
                <w:rFonts w:ascii="宋体" w:hAnsi="宋体" w:cs="宋体" w:eastAsia="宋体" w:hint="default"/>
                <w:sz w:val="18"/>
                <w:szCs w:val="18"/>
              </w:rPr>
            </w:pPr>
            <w:r>
              <w:rPr>
                <w:rFonts w:ascii="宋体" w:hAnsi="宋体" w:cs="宋体" w:eastAsia="宋体" w:hint="default"/>
                <w:sz w:val="18"/>
                <w:szCs w:val="18"/>
              </w:rPr>
              <w:t>鼓励和扶持</w:t>
            </w:r>
            <w:r>
              <w:rPr>
                <w:rFonts w:ascii="宋体" w:hAnsi="宋体" w:cs="宋体" w:eastAsia="宋体" w:hint="default"/>
                <w:w w:val="101"/>
                <w:sz w:val="18"/>
                <w:szCs w:val="18"/>
              </w:rPr>
              <w:t> </w:t>
            </w:r>
            <w:r>
              <w:rPr>
                <w:rFonts w:ascii="宋体" w:hAnsi="宋体" w:cs="宋体" w:eastAsia="宋体" w:hint="default"/>
                <w:spacing w:val="-14"/>
                <w:sz w:val="18"/>
                <w:szCs w:val="18"/>
              </w:rPr>
              <w:t>特定行业、产</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15" w:right="0"/>
              <w:jc w:val="left"/>
              <w:rPr>
                <w:rFonts w:ascii="Times New Roman" w:hAnsi="Times New Roman" w:cs="Times New Roman" w:eastAsia="Times New Roman" w:hint="default"/>
                <w:sz w:val="18"/>
                <w:szCs w:val="18"/>
              </w:rPr>
            </w:pPr>
            <w:r>
              <w:rPr>
                <w:rFonts w:ascii="Times New Roman"/>
                <w:sz w:val="18"/>
              </w:rPr>
              <w:t>372,502.68</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372,502.68</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318" w:hRule="exact"/>
        </w:trPr>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right="122"/>
              <w:jc w:val="right"/>
              <w:rPr>
                <w:rFonts w:ascii="宋体" w:hAnsi="宋体" w:cs="宋体" w:eastAsia="宋体" w:hint="default"/>
                <w:sz w:val="18"/>
                <w:szCs w:val="18"/>
              </w:rPr>
            </w:pPr>
            <w:r>
              <w:rPr>
                <w:rFonts w:ascii="宋体" w:hAnsi="宋体" w:cs="宋体" w:eastAsia="宋体" w:hint="default"/>
                <w:spacing w:val="-2"/>
                <w:sz w:val="18"/>
                <w:szCs w:val="18"/>
              </w:rPr>
              <w:t>业而获得的</w:t>
            </w: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r>
        <w:rPr/>
        <w:pict>
          <v:group style="position:absolute;margin-left:269.519989pt;margin-top:607.799988pt;width:52.8pt;height:23.2pt;mso-position-horizontal-relative:page;mso-position-vertical-relative:page;z-index:-1068928" coordorigin="5390,12156" coordsize="1056,464">
            <v:shape style="position:absolute;left:5390;top:12156;width:1056;height:464" coordorigin="5390,12156" coordsize="1056,464" path="m5390,12620l6446,12620,6446,12156,5390,12156,5390,12620xe" filled="true" fillcolor="#ffffff" stroked="false">
              <v:path arrowok="t"/>
              <v:fill type="solid"/>
            </v:shape>
            <w10:wrap type="none"/>
          </v:group>
        </w:pict>
      </w:r>
    </w:p>
    <w:p>
      <w:pPr>
        <w:spacing w:line="240" w:lineRule="auto" w:before="9"/>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066"/>
        <w:gridCol w:w="1061"/>
        <w:gridCol w:w="1066"/>
        <w:gridCol w:w="1061"/>
        <w:gridCol w:w="1066"/>
        <w:gridCol w:w="1061"/>
        <w:gridCol w:w="1066"/>
        <w:gridCol w:w="1061"/>
        <w:gridCol w:w="1066"/>
      </w:tblGrid>
      <w:tr>
        <w:trPr>
          <w:trHeight w:val="984" w:hRule="exact"/>
        </w:trPr>
        <w:tc>
          <w:tcPr>
            <w:tcW w:w="106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3" w:right="12"/>
              <w:jc w:val="left"/>
              <w:rPr>
                <w:rFonts w:ascii="宋体" w:hAnsi="宋体" w:cs="宋体" w:eastAsia="宋体" w:hint="default"/>
                <w:sz w:val="18"/>
                <w:szCs w:val="18"/>
              </w:rPr>
            </w:pPr>
            <w:r>
              <w:rPr>
                <w:rFonts w:ascii="宋体" w:hAnsi="宋体" w:cs="宋体" w:eastAsia="宋体" w:hint="default"/>
                <w:spacing w:val="-14"/>
                <w:w w:val="101"/>
                <w:sz w:val="18"/>
                <w:szCs w:val="18"/>
              </w:rPr>
              <w:t>补助（按国家</w:t>
            </w:r>
            <w:r>
              <w:rPr>
                <w:rFonts w:ascii="宋体" w:hAnsi="宋体" w:cs="宋体" w:eastAsia="宋体" w:hint="default"/>
                <w:spacing w:val="-90"/>
                <w:w w:val="101"/>
                <w:sz w:val="18"/>
                <w:szCs w:val="18"/>
              </w:rPr>
              <w:t> </w:t>
            </w:r>
            <w:r>
              <w:rPr>
                <w:rFonts w:ascii="宋体" w:hAnsi="宋体" w:cs="宋体" w:eastAsia="宋体" w:hint="default"/>
                <w:spacing w:val="-90"/>
                <w:w w:val="101"/>
                <w:sz w:val="18"/>
                <w:szCs w:val="18"/>
              </w:rPr>
            </w:r>
            <w:r>
              <w:rPr>
                <w:rFonts w:ascii="宋体" w:hAnsi="宋体" w:cs="宋体" w:eastAsia="宋体" w:hint="default"/>
                <w:sz w:val="18"/>
                <w:szCs w:val="18"/>
              </w:rPr>
              <w:t>级政策规定</w:t>
            </w:r>
            <w:r>
              <w:rPr>
                <w:rFonts w:ascii="宋体" w:hAnsi="宋体" w:cs="宋体" w:eastAsia="宋体" w:hint="default"/>
                <w:w w:val="101"/>
                <w:sz w:val="18"/>
                <w:szCs w:val="18"/>
              </w:rPr>
              <w:t> </w:t>
            </w:r>
            <w:r>
              <w:rPr>
                <w:rFonts w:ascii="宋体" w:hAnsi="宋体" w:cs="宋体" w:eastAsia="宋体" w:hint="default"/>
                <w:sz w:val="18"/>
                <w:szCs w:val="18"/>
              </w:rPr>
              <w:t>依法取得）</w:t>
            </w:r>
          </w:p>
        </w:tc>
        <w:tc>
          <w:tcPr>
            <w:tcW w:w="106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359" w:hRule="exact"/>
        </w:trPr>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因承担国家</w:t>
            </w: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vMerge w:val="restart"/>
            <w:tcBorders>
              <w:top w:val="single" w:sz="4" w:space="0" w:color="000000"/>
              <w:left w:val="single" w:sz="4" w:space="0" w:color="000000"/>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为保障某种</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公用事业或</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626"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321" w:lineRule="auto" w:before="11"/>
              <w:ind w:left="24" w:right="127"/>
              <w:jc w:val="left"/>
              <w:rPr>
                <w:rFonts w:ascii="宋体" w:hAnsi="宋体" w:cs="宋体" w:eastAsia="宋体" w:hint="default"/>
                <w:sz w:val="18"/>
                <w:szCs w:val="18"/>
              </w:rPr>
            </w:pPr>
            <w:r>
              <w:rPr>
                <w:rFonts w:ascii="宋体" w:hAnsi="宋体" w:cs="宋体" w:eastAsia="宋体" w:hint="default"/>
                <w:spacing w:val="-2"/>
                <w:sz w:val="18"/>
                <w:szCs w:val="18"/>
              </w:rPr>
              <w:t>收滨湖区两</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项补贴</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21" w:lineRule="auto" w:before="11"/>
              <w:ind w:left="23" w:right="122"/>
              <w:jc w:val="left"/>
              <w:rPr>
                <w:rFonts w:ascii="宋体" w:hAnsi="宋体" w:cs="宋体" w:eastAsia="宋体" w:hint="default"/>
                <w:sz w:val="18"/>
                <w:szCs w:val="18"/>
              </w:rPr>
            </w:pPr>
            <w:r>
              <w:rPr>
                <w:rFonts w:ascii="宋体" w:hAnsi="宋体" w:cs="宋体" w:eastAsia="宋体" w:hint="default"/>
                <w:spacing w:val="-2"/>
                <w:sz w:val="18"/>
                <w:szCs w:val="18"/>
              </w:rPr>
              <w:t>无锡市滨湖</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区财政局</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11"/>
              <w:ind w:left="23" w:right="122"/>
              <w:jc w:val="left"/>
              <w:rPr>
                <w:rFonts w:ascii="宋体" w:hAnsi="宋体" w:cs="宋体" w:eastAsia="宋体" w:hint="default"/>
                <w:sz w:val="18"/>
                <w:szCs w:val="18"/>
              </w:rPr>
            </w:pPr>
            <w:r>
              <w:rPr>
                <w:rFonts w:ascii="宋体" w:hAnsi="宋体" w:cs="宋体" w:eastAsia="宋体" w:hint="default"/>
                <w:spacing w:val="-2"/>
                <w:sz w:val="18"/>
                <w:szCs w:val="18"/>
              </w:rPr>
              <w:t>社会必要产</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品供应或价</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30,498.00</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10"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格控制职能</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14"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而获得的补</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54" w:hRule="exact"/>
        </w:trPr>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w w:val="101"/>
                <w:sz w:val="18"/>
                <w:szCs w:val="18"/>
              </w:rPr>
              <w:t>助</w:t>
            </w:r>
            <w:r>
              <w:rPr>
                <w:rFonts w:ascii="宋体" w:hAnsi="宋体" w:cs="宋体" w:eastAsia="宋体" w:hint="default"/>
                <w:sz w:val="18"/>
                <w:szCs w:val="18"/>
              </w:rPr>
            </w: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vMerge/>
            <w:tcBorders>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因从事国家</w:t>
            </w: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310"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鼓励和扶持</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936"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316" w:lineRule="auto"/>
              <w:ind w:left="24" w:right="127"/>
              <w:jc w:val="left"/>
              <w:rPr>
                <w:rFonts w:ascii="宋体" w:hAnsi="宋体" w:cs="宋体" w:eastAsia="宋体" w:hint="default"/>
                <w:sz w:val="18"/>
                <w:szCs w:val="18"/>
              </w:rPr>
            </w:pPr>
            <w:r>
              <w:rPr>
                <w:rFonts w:ascii="宋体" w:hAnsi="宋体" w:cs="宋体" w:eastAsia="宋体" w:hint="default"/>
                <w:spacing w:val="-2"/>
                <w:sz w:val="18"/>
                <w:szCs w:val="18"/>
              </w:rPr>
              <w:t>天河区财政</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补贴</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316" w:lineRule="auto"/>
              <w:ind w:left="23" w:right="122"/>
              <w:jc w:val="left"/>
              <w:rPr>
                <w:rFonts w:ascii="宋体" w:hAnsi="宋体" w:cs="宋体" w:eastAsia="宋体" w:hint="default"/>
                <w:sz w:val="18"/>
                <w:szCs w:val="18"/>
              </w:rPr>
            </w:pPr>
            <w:r>
              <w:rPr>
                <w:rFonts w:ascii="宋体" w:hAnsi="宋体" w:cs="宋体" w:eastAsia="宋体" w:hint="default"/>
                <w:spacing w:val="-2"/>
                <w:sz w:val="18"/>
                <w:szCs w:val="18"/>
              </w:rPr>
              <w:t>广东省科技</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厅</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11"/>
              <w:ind w:left="23" w:right="12"/>
              <w:jc w:val="left"/>
              <w:rPr>
                <w:rFonts w:ascii="宋体" w:hAnsi="宋体" w:cs="宋体" w:eastAsia="宋体" w:hint="default"/>
                <w:sz w:val="18"/>
                <w:szCs w:val="18"/>
              </w:rPr>
            </w:pPr>
            <w:r>
              <w:rPr>
                <w:rFonts w:ascii="宋体" w:hAnsi="宋体" w:cs="宋体" w:eastAsia="宋体" w:hint="default"/>
                <w:spacing w:val="-14"/>
                <w:sz w:val="18"/>
                <w:szCs w:val="18"/>
              </w:rPr>
              <w:t>特定行业、产</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业而获得的</w:t>
            </w:r>
            <w:r>
              <w:rPr>
                <w:rFonts w:ascii="宋体" w:hAnsi="宋体" w:cs="宋体" w:eastAsia="宋体" w:hint="default"/>
                <w:w w:val="101"/>
                <w:sz w:val="18"/>
                <w:szCs w:val="18"/>
              </w:rPr>
              <w:t> </w:t>
            </w:r>
            <w:r>
              <w:rPr>
                <w:rFonts w:ascii="宋体" w:hAnsi="宋体" w:cs="宋体" w:eastAsia="宋体" w:hint="default"/>
                <w:spacing w:val="-14"/>
                <w:w w:val="101"/>
                <w:sz w:val="18"/>
                <w:szCs w:val="18"/>
              </w:rPr>
              <w:t>补助（按国家</w:t>
            </w:r>
            <w:r>
              <w:rPr>
                <w:rFonts w:ascii="宋体" w:hAnsi="宋体" w:cs="宋体" w:eastAsia="宋体" w:hint="default"/>
                <w:spacing w:val="-14"/>
                <w:sz w:val="18"/>
                <w:szCs w:val="18"/>
              </w:rPr>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215" w:right="0"/>
              <w:jc w:val="left"/>
              <w:rPr>
                <w:rFonts w:ascii="Times New Roman" w:hAnsi="Times New Roman" w:cs="Times New Roman" w:eastAsia="Times New Roman" w:hint="default"/>
                <w:sz w:val="18"/>
                <w:szCs w:val="18"/>
              </w:rPr>
            </w:pPr>
            <w:r>
              <w:rPr>
                <w:rFonts w:ascii="Times New Roman"/>
                <w:sz w:val="18"/>
              </w:rPr>
              <w:t>300,000.00</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150,000.00</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14"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级政策规定</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58" w:hRule="exact"/>
        </w:trPr>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依法取得）</w:t>
            </w: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因从事国家</w:t>
            </w: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vMerge w:val="restart"/>
            <w:tcBorders>
              <w:top w:val="single" w:sz="4" w:space="0" w:color="000000"/>
              <w:left w:val="single" w:sz="4" w:space="0" w:color="000000"/>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310"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鼓励和扶持</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938"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316" w:lineRule="auto" w:before="16"/>
              <w:ind w:left="24" w:right="127"/>
              <w:jc w:val="both"/>
              <w:rPr>
                <w:rFonts w:ascii="宋体" w:hAnsi="宋体" w:cs="宋体" w:eastAsia="宋体" w:hint="default"/>
                <w:sz w:val="18"/>
                <w:szCs w:val="18"/>
              </w:rPr>
            </w:pPr>
            <w:r>
              <w:rPr>
                <w:rFonts w:ascii="宋体" w:hAnsi="宋体" w:cs="宋体" w:eastAsia="宋体" w:hint="default"/>
                <w:spacing w:val="-2"/>
                <w:sz w:val="18"/>
                <w:szCs w:val="18"/>
              </w:rPr>
              <w:t>工业经济率</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先突破奖励</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补助</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316" w:lineRule="auto"/>
              <w:ind w:left="23" w:right="122"/>
              <w:jc w:val="left"/>
              <w:rPr>
                <w:rFonts w:ascii="宋体" w:hAnsi="宋体" w:cs="宋体" w:eastAsia="宋体" w:hint="default"/>
                <w:sz w:val="18"/>
                <w:szCs w:val="18"/>
              </w:rPr>
            </w:pPr>
            <w:r>
              <w:rPr>
                <w:rFonts w:ascii="宋体" w:hAnsi="宋体" w:cs="宋体" w:eastAsia="宋体" w:hint="default"/>
                <w:spacing w:val="-2"/>
                <w:sz w:val="18"/>
                <w:szCs w:val="18"/>
              </w:rPr>
              <w:t>泸州市财政</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局</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11"/>
              <w:ind w:left="23" w:right="12"/>
              <w:jc w:val="left"/>
              <w:rPr>
                <w:rFonts w:ascii="宋体" w:hAnsi="宋体" w:cs="宋体" w:eastAsia="宋体" w:hint="default"/>
                <w:sz w:val="18"/>
                <w:szCs w:val="18"/>
              </w:rPr>
            </w:pPr>
            <w:r>
              <w:rPr>
                <w:rFonts w:ascii="宋体" w:hAnsi="宋体" w:cs="宋体" w:eastAsia="宋体" w:hint="default"/>
                <w:spacing w:val="-14"/>
                <w:sz w:val="18"/>
                <w:szCs w:val="18"/>
              </w:rPr>
              <w:t>特定行业、产</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业而获得的</w:t>
            </w:r>
            <w:r>
              <w:rPr>
                <w:rFonts w:ascii="宋体" w:hAnsi="宋体" w:cs="宋体" w:eastAsia="宋体" w:hint="default"/>
                <w:w w:val="101"/>
                <w:sz w:val="18"/>
                <w:szCs w:val="18"/>
              </w:rPr>
              <w:t> </w:t>
            </w:r>
            <w:r>
              <w:rPr>
                <w:rFonts w:ascii="宋体" w:hAnsi="宋体" w:cs="宋体" w:eastAsia="宋体" w:hint="default"/>
                <w:spacing w:val="-14"/>
                <w:w w:val="101"/>
                <w:sz w:val="18"/>
                <w:szCs w:val="18"/>
              </w:rPr>
              <w:t>补助（按国家</w:t>
            </w:r>
            <w:r>
              <w:rPr>
                <w:rFonts w:ascii="宋体" w:hAnsi="宋体" w:cs="宋体" w:eastAsia="宋体" w:hint="default"/>
                <w:spacing w:val="-14"/>
                <w:sz w:val="18"/>
                <w:szCs w:val="18"/>
              </w:rPr>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410,400.00</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12"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级政策规定</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58" w:hRule="exact"/>
        </w:trPr>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依法取得）</w:t>
            </w: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vMerge/>
            <w:tcBorders>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因承担国家</w:t>
            </w: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vMerge w:val="restart"/>
            <w:tcBorders>
              <w:top w:val="single" w:sz="4" w:space="0" w:color="000000"/>
              <w:left w:val="single" w:sz="4" w:space="0" w:color="000000"/>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310"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为保障某种</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1248"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309" w:lineRule="auto"/>
              <w:ind w:left="24" w:right="127"/>
              <w:jc w:val="both"/>
              <w:rPr>
                <w:rFonts w:ascii="宋体" w:hAnsi="宋体" w:cs="宋体" w:eastAsia="宋体" w:hint="default"/>
                <w:sz w:val="18"/>
                <w:szCs w:val="18"/>
              </w:rPr>
            </w:pPr>
            <w:r>
              <w:rPr>
                <w:rFonts w:ascii="宋体" w:hAnsi="宋体" w:cs="宋体" w:eastAsia="宋体" w:hint="default"/>
                <w:spacing w:val="-2"/>
                <w:sz w:val="18"/>
                <w:szCs w:val="18"/>
              </w:rPr>
              <w:t>收无锡市财</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政局</w:t>
            </w:r>
            <w:r>
              <w:rPr>
                <w:rFonts w:ascii="Times New Roman" w:hAnsi="Times New Roman" w:cs="Times New Roman" w:eastAsia="Times New Roman" w:hint="default"/>
                <w:sz w:val="18"/>
                <w:szCs w:val="18"/>
              </w:rPr>
              <w:t>"</w:t>
            </w:r>
            <w:r>
              <w:rPr>
                <w:rFonts w:ascii="宋体" w:hAnsi="宋体" w:cs="宋体" w:eastAsia="宋体" w:hint="default"/>
                <w:sz w:val="18"/>
                <w:szCs w:val="18"/>
              </w:rPr>
              <w:t>三代</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手续费</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21"/>
              <w:ind w:left="23" w:right="122"/>
              <w:jc w:val="left"/>
              <w:rPr>
                <w:rFonts w:ascii="宋体" w:hAnsi="宋体" w:cs="宋体" w:eastAsia="宋体" w:hint="default"/>
                <w:sz w:val="18"/>
                <w:szCs w:val="18"/>
              </w:rPr>
            </w:pPr>
            <w:r>
              <w:rPr>
                <w:rFonts w:ascii="宋体" w:hAnsi="宋体" w:cs="宋体" w:eastAsia="宋体" w:hint="default"/>
                <w:spacing w:val="-2"/>
                <w:sz w:val="18"/>
                <w:szCs w:val="18"/>
              </w:rPr>
              <w:t>无锡市财政</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局</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11"/>
              <w:ind w:left="23" w:right="122"/>
              <w:jc w:val="both"/>
              <w:rPr>
                <w:rFonts w:ascii="宋体" w:hAnsi="宋体" w:cs="宋体" w:eastAsia="宋体" w:hint="default"/>
                <w:sz w:val="18"/>
                <w:szCs w:val="18"/>
              </w:rPr>
            </w:pPr>
            <w:r>
              <w:rPr>
                <w:rFonts w:ascii="宋体" w:hAnsi="宋体" w:cs="宋体" w:eastAsia="宋体" w:hint="default"/>
                <w:spacing w:val="-2"/>
                <w:sz w:val="18"/>
                <w:szCs w:val="18"/>
              </w:rPr>
              <w:t>公用事业或</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社会必要产</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品供应或价</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格控制职能</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spacing w:val="-1"/>
                <w:sz w:val="18"/>
              </w:rPr>
              <w:t>28,634.67</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14"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而获得的补</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54" w:hRule="exact"/>
        </w:trPr>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w w:val="101"/>
                <w:sz w:val="18"/>
                <w:szCs w:val="18"/>
              </w:rPr>
              <w:t>助</w:t>
            </w:r>
            <w:r>
              <w:rPr>
                <w:rFonts w:ascii="宋体" w:hAnsi="宋体" w:cs="宋体" w:eastAsia="宋体" w:hint="default"/>
                <w:sz w:val="18"/>
                <w:szCs w:val="18"/>
              </w:rPr>
            </w: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vMerge/>
            <w:tcBorders>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r>
        <w:trPr>
          <w:trHeight w:val="359" w:hRule="exact"/>
        </w:trPr>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因研究开发</w:t>
            </w:r>
          </w:p>
        </w:tc>
        <w:tc>
          <w:tcPr>
            <w:tcW w:w="1066" w:type="dxa"/>
            <w:vMerge w:val="restart"/>
            <w:tcBorders>
              <w:top w:val="single" w:sz="4" w:space="0" w:color="000000"/>
              <w:left w:val="single" w:sz="4" w:space="0" w:color="000000"/>
              <w:right w:val="single" w:sz="4" w:space="0" w:color="000000"/>
            </w:tcBorders>
          </w:tcPr>
          <w:p>
            <w:pPr>
              <w:pStyle w:val="TableParagraph"/>
              <w:spacing w:line="240" w:lineRule="auto" w:before="53"/>
              <w:ind w:left="-135" w:right="0"/>
              <w:jc w:val="left"/>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vMerge w:val="restart"/>
            <w:tcBorders>
              <w:top w:val="single" w:sz="4" w:space="0" w:color="000000"/>
              <w:left w:val="single" w:sz="4" w:space="0" w:color="000000"/>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629"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321" w:lineRule="auto" w:before="11"/>
              <w:ind w:left="24" w:right="127"/>
              <w:jc w:val="left"/>
              <w:rPr>
                <w:rFonts w:ascii="宋体" w:hAnsi="宋体" w:cs="宋体" w:eastAsia="宋体" w:hint="default"/>
                <w:sz w:val="18"/>
                <w:szCs w:val="18"/>
              </w:rPr>
            </w:pPr>
            <w:r>
              <w:rPr>
                <w:rFonts w:ascii="宋体" w:hAnsi="宋体" w:cs="宋体" w:eastAsia="宋体" w:hint="default"/>
                <w:spacing w:val="-2"/>
                <w:sz w:val="18"/>
                <w:szCs w:val="18"/>
              </w:rPr>
              <w:t>福州市财政</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局高新奖励</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21" w:lineRule="auto" w:before="11"/>
              <w:ind w:left="23" w:right="122"/>
              <w:jc w:val="left"/>
              <w:rPr>
                <w:rFonts w:ascii="宋体" w:hAnsi="宋体" w:cs="宋体" w:eastAsia="宋体" w:hint="default"/>
                <w:sz w:val="18"/>
                <w:szCs w:val="18"/>
              </w:rPr>
            </w:pPr>
            <w:r>
              <w:rPr>
                <w:rFonts w:ascii="宋体" w:hAnsi="宋体" w:cs="宋体" w:eastAsia="宋体" w:hint="default"/>
                <w:spacing w:val="-2"/>
                <w:sz w:val="18"/>
                <w:szCs w:val="18"/>
              </w:rPr>
              <w:t>福州市财政</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局</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11"/>
              <w:ind w:left="23" w:right="122"/>
              <w:jc w:val="left"/>
              <w:rPr>
                <w:rFonts w:ascii="宋体" w:hAnsi="宋体" w:cs="宋体" w:eastAsia="宋体" w:hint="default"/>
                <w:sz w:val="18"/>
                <w:szCs w:val="18"/>
              </w:rPr>
            </w:pPr>
            <w:r>
              <w:rPr>
                <w:rFonts w:ascii="宋体" w:hAnsi="宋体" w:cs="宋体" w:eastAsia="宋体" w:hint="default"/>
                <w:spacing w:val="-2"/>
                <w:sz w:val="18"/>
                <w:szCs w:val="18"/>
              </w:rPr>
              <w:t>技术更新及</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改造等获得</w:t>
            </w: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100,000.00</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51" w:hRule="exact"/>
        </w:trPr>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的补助</w:t>
            </w:r>
          </w:p>
        </w:tc>
        <w:tc>
          <w:tcPr>
            <w:tcW w:w="1066" w:type="dxa"/>
            <w:vMerge/>
            <w:tcBorders>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vMerge/>
            <w:tcBorders>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r>
        <w:trPr>
          <w:trHeight w:val="347" w:hRule="exact"/>
        </w:trPr>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因从事国家</w:t>
            </w: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vMerge w:val="restart"/>
            <w:tcBorders>
              <w:top w:val="single" w:sz="4" w:space="0" w:color="000000"/>
              <w:left w:val="single" w:sz="4" w:space="0" w:color="000000"/>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307"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24" w:right="0"/>
              <w:jc w:val="left"/>
              <w:rPr>
                <w:rFonts w:ascii="宋体" w:hAnsi="宋体" w:cs="宋体" w:eastAsia="宋体" w:hint="default"/>
                <w:sz w:val="18"/>
                <w:szCs w:val="18"/>
              </w:rPr>
            </w:pPr>
            <w:r>
              <w:rPr>
                <w:rFonts w:ascii="宋体" w:hAnsi="宋体" w:cs="宋体" w:eastAsia="宋体" w:hint="default"/>
                <w:sz w:val="18"/>
                <w:szCs w:val="18"/>
              </w:rPr>
              <w:t>跨媒体项目</w:t>
            </w: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8"/>
              <w:ind w:left="23" w:right="0"/>
              <w:jc w:val="left"/>
              <w:rPr>
                <w:rFonts w:ascii="宋体" w:hAnsi="宋体" w:cs="宋体" w:eastAsia="宋体" w:hint="default"/>
                <w:sz w:val="18"/>
                <w:szCs w:val="18"/>
              </w:rPr>
            </w:pPr>
            <w:r>
              <w:rPr>
                <w:rFonts w:ascii="宋体" w:hAnsi="宋体" w:cs="宋体" w:eastAsia="宋体" w:hint="default"/>
                <w:sz w:val="18"/>
                <w:szCs w:val="18"/>
              </w:rPr>
              <w:t>鼓励和扶持</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14"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24" w:right="0"/>
              <w:jc w:val="left"/>
              <w:rPr>
                <w:rFonts w:ascii="宋体" w:hAnsi="宋体" w:cs="宋体" w:eastAsia="宋体" w:hint="default"/>
                <w:sz w:val="18"/>
                <w:szCs w:val="18"/>
              </w:rPr>
            </w:pPr>
            <w:r>
              <w:rPr>
                <w:rFonts w:ascii="宋体" w:hAnsi="宋体" w:cs="宋体" w:eastAsia="宋体" w:hint="default"/>
                <w:sz w:val="18"/>
                <w:szCs w:val="18"/>
              </w:rPr>
              <w:t>递延收益转</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宋体" w:hAnsi="宋体" w:cs="宋体" w:eastAsia="宋体" w:hint="default"/>
                <w:sz w:val="18"/>
                <w:szCs w:val="18"/>
              </w:rPr>
            </w:pPr>
            <w:r>
              <w:rPr>
                <w:rFonts w:ascii="宋体" w:hAnsi="宋体" w:cs="宋体" w:eastAsia="宋体" w:hint="default"/>
                <w:sz w:val="18"/>
                <w:szCs w:val="18"/>
              </w:rPr>
              <w:t>财政部</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23" w:right="0"/>
              <w:jc w:val="left"/>
              <w:rPr>
                <w:rFonts w:ascii="宋体" w:hAnsi="宋体" w:cs="宋体" w:eastAsia="宋体" w:hint="default"/>
                <w:sz w:val="18"/>
                <w:szCs w:val="18"/>
              </w:rPr>
            </w:pPr>
            <w:r>
              <w:rPr>
                <w:rFonts w:ascii="宋体" w:hAnsi="宋体" w:cs="宋体" w:eastAsia="宋体" w:hint="default"/>
                <w:spacing w:val="-14"/>
                <w:sz w:val="18"/>
                <w:szCs w:val="18"/>
              </w:rPr>
              <w:t>特定行业、产</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22"/>
              <w:jc w:val="right"/>
              <w:rPr>
                <w:rFonts w:ascii="Times New Roman" w:hAnsi="Times New Roman" w:cs="Times New Roman" w:eastAsia="Times New Roman" w:hint="default"/>
                <w:sz w:val="18"/>
                <w:szCs w:val="18"/>
              </w:rPr>
            </w:pPr>
            <w:r>
              <w:rPr>
                <w:rFonts w:ascii="Times New Roman"/>
                <w:spacing w:val="-1"/>
                <w:sz w:val="18"/>
              </w:rPr>
              <w:t>3,864,485.57</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322"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4" w:right="0"/>
              <w:jc w:val="left"/>
              <w:rPr>
                <w:rFonts w:ascii="宋体" w:hAnsi="宋体" w:cs="宋体" w:eastAsia="宋体" w:hint="default"/>
                <w:sz w:val="18"/>
                <w:szCs w:val="18"/>
              </w:rPr>
            </w:pPr>
            <w:r>
              <w:rPr>
                <w:rFonts w:ascii="宋体" w:hAnsi="宋体" w:cs="宋体" w:eastAsia="宋体" w:hint="default"/>
                <w:sz w:val="18"/>
                <w:szCs w:val="18"/>
              </w:rPr>
              <w:t>收入</w:t>
            </w: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23" w:right="0"/>
              <w:jc w:val="left"/>
              <w:rPr>
                <w:rFonts w:ascii="宋体" w:hAnsi="宋体" w:cs="宋体" w:eastAsia="宋体" w:hint="default"/>
                <w:sz w:val="18"/>
                <w:szCs w:val="18"/>
              </w:rPr>
            </w:pPr>
            <w:r>
              <w:rPr>
                <w:rFonts w:ascii="宋体" w:hAnsi="宋体" w:cs="宋体" w:eastAsia="宋体" w:hint="default"/>
                <w:sz w:val="18"/>
                <w:szCs w:val="18"/>
              </w:rPr>
              <w:t>业而获得的</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22" w:hRule="exact"/>
        </w:trPr>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w w:val="101"/>
                <w:sz w:val="18"/>
                <w:szCs w:val="18"/>
              </w:rPr>
              <w:t>补</w:t>
            </w:r>
            <w:r>
              <w:rPr>
                <w:rFonts w:ascii="宋体" w:hAnsi="宋体" w:cs="宋体" w:eastAsia="宋体" w:hint="default"/>
                <w:spacing w:val="-77"/>
                <w:w w:val="101"/>
                <w:sz w:val="18"/>
                <w:szCs w:val="18"/>
              </w:rPr>
              <w:t>助</w:t>
            </w:r>
            <w:r>
              <w:rPr>
                <w:rFonts w:ascii="宋体" w:hAnsi="宋体" w:cs="宋体" w:eastAsia="宋体" w:hint="default"/>
                <w:w w:val="101"/>
                <w:sz w:val="18"/>
                <w:szCs w:val="18"/>
              </w:rPr>
              <w:t>（</w:t>
            </w:r>
            <w:r>
              <w:rPr>
                <w:rFonts w:ascii="宋体" w:hAnsi="宋体" w:cs="宋体" w:eastAsia="宋体" w:hint="default"/>
                <w:spacing w:val="-5"/>
                <w:w w:val="101"/>
                <w:sz w:val="18"/>
                <w:szCs w:val="18"/>
              </w:rPr>
              <w:t>按</w:t>
            </w:r>
            <w:r>
              <w:rPr>
                <w:rFonts w:ascii="宋体" w:hAnsi="宋体" w:cs="宋体" w:eastAsia="宋体" w:hint="default"/>
                <w:w w:val="101"/>
                <w:sz w:val="18"/>
                <w:szCs w:val="18"/>
              </w:rPr>
              <w:t>国家</w:t>
            </w:r>
            <w:r>
              <w:rPr>
                <w:rFonts w:ascii="宋体" w:hAnsi="宋体" w:cs="宋体" w:eastAsia="宋体" w:hint="default"/>
                <w:sz w:val="18"/>
                <w:szCs w:val="18"/>
              </w:rPr>
            </w: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vMerge/>
            <w:tcBorders>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r>
        <w:rPr/>
        <w:pict>
          <v:group style="position:absolute;margin-left:269.519989pt;margin-top:188.699997pt;width:52.8pt;height:23.3pt;mso-position-horizontal-relative:page;mso-position-vertical-relative:page;z-index:-1068904" coordorigin="5390,3774" coordsize="1056,466">
            <v:shape style="position:absolute;left:5390;top:3774;width:1056;height:466" coordorigin="5390,3774" coordsize="1056,466" path="m5390,4240l6446,4240,6446,3774,5390,3774,5390,4240xe" filled="true" fillcolor="#ffffff" stroked="false">
              <v:path arrowok="t"/>
              <v:fill type="solid"/>
            </v:shape>
            <w10:wrap type="none"/>
          </v:group>
        </w:pict>
      </w:r>
      <w:r>
        <w:rPr/>
        <w:pict>
          <v:group style="position:absolute;margin-left:269.519989pt;margin-top:255.699997pt;width:52.8pt;height:23.3pt;mso-position-horizontal-relative:page;mso-position-vertical-relative:page;z-index:-1068880" coordorigin="5390,5114" coordsize="1056,466">
            <v:shape style="position:absolute;left:5390;top:5114;width:1056;height:466" coordorigin="5390,5114" coordsize="1056,466" path="m5390,5580l6446,5580,6446,5114,5390,5114,5390,5580xe" filled="true" fillcolor="#ffffff" stroked="false">
              <v:path arrowok="t"/>
              <v:fill type="solid"/>
            </v:shape>
            <w10:wrap type="none"/>
          </v:group>
        </w:pict>
      </w:r>
      <w:r>
        <w:rPr/>
        <w:pict>
          <v:group style="position:absolute;margin-left:269.519989pt;margin-top:322.600006pt;width:52.8pt;height:23.3pt;mso-position-horizontal-relative:page;mso-position-vertical-relative:page;z-index:-1068856" coordorigin="5390,6452" coordsize="1056,466">
            <v:shape style="position:absolute;left:5390;top:6452;width:1056;height:466" coordorigin="5390,6452" coordsize="1056,466" path="m5390,6918l6446,6918,6446,6452,5390,6452,5390,6918xe" filled="true" fillcolor="#ffffff" stroked="false">
              <v:path arrowok="t"/>
              <v:fill type="solid"/>
            </v:shape>
            <w10:wrap type="none"/>
          </v:group>
        </w:pict>
      </w:r>
    </w:p>
    <w:p>
      <w:pPr>
        <w:spacing w:line="240" w:lineRule="auto" w:before="9"/>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066"/>
        <w:gridCol w:w="1061"/>
        <w:gridCol w:w="1066"/>
        <w:gridCol w:w="1061"/>
        <w:gridCol w:w="1066"/>
        <w:gridCol w:w="1061"/>
        <w:gridCol w:w="1066"/>
        <w:gridCol w:w="1061"/>
        <w:gridCol w:w="1066"/>
      </w:tblGrid>
      <w:tr>
        <w:trPr>
          <w:trHeight w:val="672" w:hRule="exact"/>
        </w:trPr>
        <w:tc>
          <w:tcPr>
            <w:tcW w:w="106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10"/>
              <w:ind w:left="23" w:right="122"/>
              <w:jc w:val="left"/>
              <w:rPr>
                <w:rFonts w:ascii="宋体" w:hAnsi="宋体" w:cs="宋体" w:eastAsia="宋体" w:hint="default"/>
                <w:sz w:val="18"/>
                <w:szCs w:val="18"/>
              </w:rPr>
            </w:pPr>
            <w:r>
              <w:rPr>
                <w:rFonts w:ascii="宋体" w:hAnsi="宋体" w:cs="宋体" w:eastAsia="宋体" w:hint="default"/>
                <w:spacing w:val="-2"/>
                <w:sz w:val="18"/>
                <w:szCs w:val="18"/>
              </w:rPr>
              <w:t>级政策规定</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依法取得）</w:t>
            </w:r>
          </w:p>
        </w:tc>
        <w:tc>
          <w:tcPr>
            <w:tcW w:w="106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359" w:hRule="exact"/>
        </w:trPr>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因符合地方</w:t>
            </w: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vMerge w:val="restart"/>
            <w:tcBorders>
              <w:top w:val="single" w:sz="4" w:space="0" w:color="000000"/>
              <w:left w:val="single" w:sz="4" w:space="0" w:color="000000"/>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941"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319" w:lineRule="auto" w:before="11"/>
              <w:ind w:left="24" w:right="17"/>
              <w:jc w:val="left"/>
              <w:rPr>
                <w:rFonts w:ascii="宋体" w:hAnsi="宋体" w:cs="宋体" w:eastAsia="宋体" w:hint="default"/>
                <w:sz w:val="18"/>
                <w:szCs w:val="18"/>
              </w:rPr>
            </w:pPr>
            <w:r>
              <w:rPr>
                <w:rFonts w:ascii="宋体" w:hAnsi="宋体" w:cs="宋体" w:eastAsia="宋体" w:hint="default"/>
                <w:spacing w:val="-14"/>
                <w:sz w:val="18"/>
                <w:szCs w:val="18"/>
              </w:rPr>
              <w:t>房产税、土地</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使用税即征</w:t>
            </w:r>
            <w:r>
              <w:rPr>
                <w:rFonts w:ascii="宋体" w:hAnsi="宋体" w:cs="宋体" w:eastAsia="宋体" w:hint="default"/>
                <w:w w:val="101"/>
                <w:sz w:val="18"/>
                <w:szCs w:val="18"/>
              </w:rPr>
              <w:t> </w:t>
            </w:r>
            <w:r>
              <w:rPr>
                <w:rFonts w:ascii="宋体" w:hAnsi="宋体" w:cs="宋体" w:eastAsia="宋体" w:hint="default"/>
                <w:sz w:val="18"/>
                <w:szCs w:val="18"/>
              </w:rPr>
              <w:t>即奖</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321" w:lineRule="auto"/>
              <w:ind w:left="23" w:right="122"/>
              <w:jc w:val="left"/>
              <w:rPr>
                <w:rFonts w:ascii="宋体" w:hAnsi="宋体" w:cs="宋体" w:eastAsia="宋体" w:hint="default"/>
                <w:sz w:val="18"/>
                <w:szCs w:val="18"/>
              </w:rPr>
            </w:pPr>
            <w:r>
              <w:rPr>
                <w:rFonts w:ascii="宋体" w:hAnsi="宋体" w:cs="宋体" w:eastAsia="宋体" w:hint="default"/>
                <w:spacing w:val="-2"/>
                <w:sz w:val="18"/>
                <w:szCs w:val="18"/>
              </w:rPr>
              <w:t>长乐市财政</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局</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left="24"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11"/>
              <w:ind w:left="23" w:right="122"/>
              <w:jc w:val="both"/>
              <w:rPr>
                <w:rFonts w:ascii="宋体" w:hAnsi="宋体" w:cs="宋体" w:eastAsia="宋体" w:hint="default"/>
                <w:sz w:val="18"/>
                <w:szCs w:val="18"/>
              </w:rPr>
            </w:pPr>
            <w:r>
              <w:rPr>
                <w:rFonts w:ascii="宋体" w:hAnsi="宋体" w:cs="宋体" w:eastAsia="宋体" w:hint="default"/>
                <w:spacing w:val="-2"/>
                <w:sz w:val="18"/>
                <w:szCs w:val="18"/>
              </w:rPr>
              <w:t>政府招商引</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资等地方性</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扶持政策而</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right="22"/>
              <w:jc w:val="right"/>
              <w:rPr>
                <w:rFonts w:ascii="Times New Roman" w:hAnsi="Times New Roman" w:cs="Times New Roman" w:eastAsia="Times New Roman" w:hint="default"/>
                <w:sz w:val="18"/>
                <w:szCs w:val="18"/>
              </w:rPr>
            </w:pPr>
            <w:r>
              <w:rPr>
                <w:rFonts w:ascii="Times New Roman"/>
                <w:spacing w:val="-1"/>
                <w:sz w:val="18"/>
              </w:rPr>
              <w:t>955,100.00</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51" w:hRule="exact"/>
        </w:trPr>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获得的补助</w:t>
            </w: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vMerge/>
            <w:tcBorders>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因研究开发</w:t>
            </w:r>
          </w:p>
        </w:tc>
        <w:tc>
          <w:tcPr>
            <w:tcW w:w="1066" w:type="dxa"/>
            <w:vMerge w:val="restart"/>
            <w:tcBorders>
              <w:top w:val="single" w:sz="4" w:space="0" w:color="000000"/>
              <w:left w:val="single" w:sz="4" w:space="0" w:color="000000"/>
              <w:right w:val="single" w:sz="4" w:space="0" w:color="000000"/>
            </w:tcBorders>
          </w:tcPr>
          <w:p>
            <w:pPr>
              <w:pStyle w:val="TableParagraph"/>
              <w:spacing w:line="240" w:lineRule="auto" w:before="53"/>
              <w:ind w:left="-135" w:right="0"/>
              <w:jc w:val="left"/>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vMerge w:val="restart"/>
            <w:tcBorders>
              <w:top w:val="single" w:sz="4" w:space="0" w:color="000000"/>
              <w:left w:val="single" w:sz="4" w:space="0" w:color="000000"/>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626"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316" w:lineRule="auto" w:before="13"/>
              <w:ind w:left="24" w:right="127"/>
              <w:jc w:val="left"/>
              <w:rPr>
                <w:rFonts w:ascii="宋体" w:hAnsi="宋体" w:cs="宋体" w:eastAsia="宋体" w:hint="default"/>
                <w:sz w:val="18"/>
                <w:szCs w:val="18"/>
              </w:rPr>
            </w:pPr>
            <w:r>
              <w:rPr>
                <w:rFonts w:ascii="宋体" w:hAnsi="宋体" w:cs="宋体" w:eastAsia="宋体" w:hint="default"/>
                <w:spacing w:val="-2"/>
                <w:sz w:val="18"/>
                <w:szCs w:val="18"/>
              </w:rPr>
              <w:t>技改项目补</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助</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13"/>
              <w:ind w:left="23" w:right="122"/>
              <w:jc w:val="left"/>
              <w:rPr>
                <w:rFonts w:ascii="宋体" w:hAnsi="宋体" w:cs="宋体" w:eastAsia="宋体" w:hint="default"/>
                <w:sz w:val="18"/>
                <w:szCs w:val="18"/>
              </w:rPr>
            </w:pPr>
            <w:r>
              <w:rPr>
                <w:rFonts w:ascii="宋体" w:hAnsi="宋体" w:cs="宋体" w:eastAsia="宋体" w:hint="default"/>
                <w:spacing w:val="-2"/>
                <w:sz w:val="18"/>
                <w:szCs w:val="18"/>
              </w:rPr>
              <w:t>福州市仓山</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区财政局</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9"/>
              <w:ind w:left="23" w:right="122"/>
              <w:jc w:val="left"/>
              <w:rPr>
                <w:rFonts w:ascii="宋体" w:hAnsi="宋体" w:cs="宋体" w:eastAsia="宋体" w:hint="default"/>
                <w:sz w:val="18"/>
                <w:szCs w:val="18"/>
              </w:rPr>
            </w:pPr>
            <w:r>
              <w:rPr>
                <w:rFonts w:ascii="宋体" w:hAnsi="宋体" w:cs="宋体" w:eastAsia="宋体" w:hint="default"/>
                <w:spacing w:val="-2"/>
                <w:sz w:val="18"/>
                <w:szCs w:val="18"/>
              </w:rPr>
              <w:t>技术更新及</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改造等获得</w:t>
            </w: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200,000.00</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56" w:hRule="exact"/>
        </w:trPr>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的补助</w:t>
            </w:r>
          </w:p>
        </w:tc>
        <w:tc>
          <w:tcPr>
            <w:tcW w:w="1066" w:type="dxa"/>
            <w:vMerge/>
            <w:tcBorders>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vMerge/>
            <w:tcBorders>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因研究开发</w:t>
            </w:r>
          </w:p>
        </w:tc>
        <w:tc>
          <w:tcPr>
            <w:tcW w:w="1066" w:type="dxa"/>
            <w:vMerge w:val="restart"/>
            <w:tcBorders>
              <w:top w:val="single" w:sz="4" w:space="0" w:color="000000"/>
              <w:left w:val="single" w:sz="4" w:space="0" w:color="000000"/>
              <w:right w:val="single" w:sz="4" w:space="0" w:color="000000"/>
            </w:tcBorders>
          </w:tcPr>
          <w:p>
            <w:pPr>
              <w:pStyle w:val="TableParagraph"/>
              <w:spacing w:line="240" w:lineRule="auto" w:before="53"/>
              <w:ind w:left="-135" w:right="0"/>
              <w:jc w:val="left"/>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626"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专利奖励</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13"/>
              <w:ind w:left="23" w:right="122"/>
              <w:jc w:val="left"/>
              <w:rPr>
                <w:rFonts w:ascii="宋体" w:hAnsi="宋体" w:cs="宋体" w:eastAsia="宋体" w:hint="default"/>
                <w:sz w:val="18"/>
                <w:szCs w:val="18"/>
              </w:rPr>
            </w:pPr>
            <w:r>
              <w:rPr>
                <w:rFonts w:ascii="宋体" w:hAnsi="宋体" w:cs="宋体" w:eastAsia="宋体" w:hint="default"/>
                <w:spacing w:val="-2"/>
                <w:sz w:val="18"/>
                <w:szCs w:val="18"/>
              </w:rPr>
              <w:t>福州市财政</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局</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9"/>
              <w:ind w:left="23" w:right="122"/>
              <w:jc w:val="left"/>
              <w:rPr>
                <w:rFonts w:ascii="宋体" w:hAnsi="宋体" w:cs="宋体" w:eastAsia="宋体" w:hint="default"/>
                <w:sz w:val="18"/>
                <w:szCs w:val="18"/>
              </w:rPr>
            </w:pPr>
            <w:r>
              <w:rPr>
                <w:rFonts w:ascii="宋体" w:hAnsi="宋体" w:cs="宋体" w:eastAsia="宋体" w:hint="default"/>
                <w:spacing w:val="-2"/>
                <w:sz w:val="18"/>
                <w:szCs w:val="18"/>
              </w:rPr>
              <w:t>技术更新及</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改造等获得</w:t>
            </w: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212,000.00</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30,230.00</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56" w:hRule="exact"/>
        </w:trPr>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的补助</w:t>
            </w:r>
          </w:p>
        </w:tc>
        <w:tc>
          <w:tcPr>
            <w:tcW w:w="1066" w:type="dxa"/>
            <w:vMerge/>
            <w:tcBorders>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r>
        <w:trPr>
          <w:trHeight w:val="362" w:hRule="exact"/>
        </w:trPr>
        <w:tc>
          <w:tcPr>
            <w:tcW w:w="10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年福建</w:t>
            </w: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因研究开发</w:t>
            </w:r>
          </w:p>
        </w:tc>
        <w:tc>
          <w:tcPr>
            <w:tcW w:w="1066" w:type="dxa"/>
            <w:vMerge w:val="restart"/>
            <w:tcBorders>
              <w:top w:val="single" w:sz="4" w:space="0" w:color="000000"/>
              <w:left w:val="single" w:sz="4" w:space="0" w:color="000000"/>
              <w:right w:val="single" w:sz="4" w:space="0" w:color="000000"/>
            </w:tcBorders>
          </w:tcPr>
          <w:p>
            <w:pPr>
              <w:pStyle w:val="TableParagraph"/>
              <w:spacing w:line="240" w:lineRule="auto" w:before="53"/>
              <w:ind w:left="-135" w:right="0"/>
              <w:jc w:val="left"/>
              <w:rPr>
                <w:rFonts w:ascii="宋体" w:hAnsi="宋体" w:cs="宋体" w:eastAsia="宋体" w:hint="default"/>
                <w:sz w:val="18"/>
                <w:szCs w:val="18"/>
              </w:rPr>
            </w:pPr>
            <w:r>
              <w:rPr>
                <w:rFonts w:ascii="宋体" w:hAnsi="宋体" w:cs="宋体" w:eastAsia="宋体" w:hint="default"/>
                <w:w w:val="101"/>
                <w:sz w:val="18"/>
                <w:szCs w:val="18"/>
              </w:rPr>
              <w:t>、</w:t>
            </w:r>
            <w:r>
              <w:rPr>
                <w:rFonts w:ascii="宋体" w:hAnsi="宋体" w:cs="宋体" w:eastAsia="宋体" w:hint="default"/>
                <w:sz w:val="18"/>
                <w:szCs w:val="18"/>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vMerge w:val="restart"/>
            <w:tcBorders>
              <w:top w:val="single" w:sz="4" w:space="0" w:color="000000"/>
              <w:left w:val="single" w:sz="4" w:space="0" w:color="000000"/>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624"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316" w:lineRule="auto" w:before="4"/>
              <w:ind w:left="24" w:right="50"/>
              <w:jc w:val="left"/>
              <w:rPr>
                <w:rFonts w:ascii="宋体" w:hAnsi="宋体" w:cs="宋体" w:eastAsia="宋体" w:hint="default"/>
                <w:sz w:val="18"/>
                <w:szCs w:val="18"/>
              </w:rPr>
            </w:pPr>
            <w:r>
              <w:rPr>
                <w:rFonts w:ascii="宋体" w:hAnsi="宋体" w:cs="宋体" w:eastAsia="宋体" w:hint="default"/>
                <w:sz w:val="18"/>
                <w:szCs w:val="18"/>
              </w:rPr>
              <w:t>省知识产权</w:t>
            </w:r>
            <w:r>
              <w:rPr>
                <w:rFonts w:ascii="宋体" w:hAnsi="宋体" w:cs="宋体" w:eastAsia="宋体" w:hint="default"/>
                <w:w w:val="101"/>
                <w:sz w:val="18"/>
                <w:szCs w:val="18"/>
              </w:rPr>
              <w:t> </w:t>
            </w:r>
            <w:r>
              <w:rPr>
                <w:rFonts w:ascii="宋体" w:hAnsi="宋体" w:cs="宋体" w:eastAsia="宋体" w:hint="default"/>
                <w:sz w:val="18"/>
                <w:szCs w:val="18"/>
              </w:rPr>
              <w:t>优势企业</w:t>
            </w:r>
            <w:r>
              <w:rPr>
                <w:rFonts w:ascii="Times New Roman" w:hAnsi="Times New Roman" w:cs="Times New Roman" w:eastAsia="Times New Roman" w:hint="default"/>
                <w:sz w:val="18"/>
                <w:szCs w:val="18"/>
              </w:rPr>
              <w:t>"</w:t>
            </w:r>
            <w:r>
              <w:rPr>
                <w:rFonts w:ascii="宋体" w:hAnsi="宋体" w:cs="宋体" w:eastAsia="宋体" w:hint="default"/>
                <w:sz w:val="18"/>
                <w:szCs w:val="18"/>
              </w:rPr>
              <w:t>奖</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8"/>
              <w:ind w:left="23" w:right="122"/>
              <w:jc w:val="left"/>
              <w:rPr>
                <w:rFonts w:ascii="宋体" w:hAnsi="宋体" w:cs="宋体" w:eastAsia="宋体" w:hint="default"/>
                <w:sz w:val="18"/>
                <w:szCs w:val="18"/>
              </w:rPr>
            </w:pPr>
            <w:r>
              <w:rPr>
                <w:rFonts w:ascii="宋体" w:hAnsi="宋体" w:cs="宋体" w:eastAsia="宋体" w:hint="default"/>
                <w:spacing w:val="-2"/>
                <w:sz w:val="18"/>
                <w:szCs w:val="18"/>
              </w:rPr>
              <w:t>福州市仓山</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区财政局</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4"/>
                <w:szCs w:val="1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4"/>
              <w:ind w:left="23" w:right="122"/>
              <w:jc w:val="left"/>
              <w:rPr>
                <w:rFonts w:ascii="宋体" w:hAnsi="宋体" w:cs="宋体" w:eastAsia="宋体" w:hint="default"/>
                <w:sz w:val="18"/>
                <w:szCs w:val="18"/>
              </w:rPr>
            </w:pPr>
            <w:r>
              <w:rPr>
                <w:rFonts w:ascii="宋体" w:hAnsi="宋体" w:cs="宋体" w:eastAsia="宋体" w:hint="default"/>
                <w:spacing w:val="-2"/>
                <w:sz w:val="18"/>
                <w:szCs w:val="18"/>
              </w:rPr>
              <w:t>技术更新及</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改造等获得</w:t>
            </w: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120,000.00</w:t>
            </w: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49" w:hRule="exact"/>
        </w:trPr>
        <w:tc>
          <w:tcPr>
            <w:tcW w:w="106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励经费</w:t>
            </w: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的补助</w:t>
            </w:r>
          </w:p>
        </w:tc>
        <w:tc>
          <w:tcPr>
            <w:tcW w:w="1066" w:type="dxa"/>
            <w:vMerge/>
            <w:tcBorders>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r>
        <w:trPr>
          <w:trHeight w:val="359" w:hRule="exact"/>
        </w:trPr>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因从事国家</w:t>
            </w: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vMerge w:val="restart"/>
            <w:tcBorders>
              <w:top w:val="single" w:sz="4" w:space="0" w:color="000000"/>
              <w:left w:val="single" w:sz="4" w:space="0" w:color="000000"/>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1562"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314" w:lineRule="auto"/>
              <w:ind w:left="24" w:right="79"/>
              <w:jc w:val="both"/>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年国家</w:t>
            </w:r>
            <w:r>
              <w:rPr>
                <w:rFonts w:ascii="宋体" w:hAnsi="宋体" w:cs="宋体" w:eastAsia="宋体" w:hint="default"/>
                <w:w w:val="101"/>
                <w:sz w:val="18"/>
                <w:szCs w:val="18"/>
              </w:rPr>
              <w:t> </w:t>
            </w:r>
            <w:r>
              <w:rPr>
                <w:rFonts w:ascii="宋体" w:hAnsi="宋体" w:cs="宋体" w:eastAsia="宋体" w:hint="default"/>
                <w:sz w:val="18"/>
                <w:szCs w:val="18"/>
              </w:rPr>
              <w:t>科技支撑计</w:t>
            </w:r>
            <w:r>
              <w:rPr>
                <w:rFonts w:ascii="宋体" w:hAnsi="宋体" w:cs="宋体" w:eastAsia="宋体" w:hint="default"/>
                <w:w w:val="101"/>
                <w:sz w:val="18"/>
                <w:szCs w:val="18"/>
              </w:rPr>
              <w:t> </w:t>
            </w:r>
            <w:r>
              <w:rPr>
                <w:rFonts w:ascii="宋体" w:hAnsi="宋体" w:cs="宋体" w:eastAsia="宋体" w:hint="default"/>
                <w:sz w:val="18"/>
                <w:szCs w:val="18"/>
              </w:rPr>
              <w:t>划课题专项</w:t>
            </w:r>
            <w:r>
              <w:rPr>
                <w:rFonts w:ascii="宋体" w:hAnsi="宋体" w:cs="宋体" w:eastAsia="宋体" w:hint="default"/>
                <w:w w:val="101"/>
                <w:sz w:val="18"/>
                <w:szCs w:val="18"/>
              </w:rPr>
              <w:t> </w:t>
            </w:r>
            <w:r>
              <w:rPr>
                <w:rFonts w:ascii="宋体" w:hAnsi="宋体" w:cs="宋体" w:eastAsia="宋体" w:hint="default"/>
                <w:sz w:val="18"/>
                <w:szCs w:val="18"/>
              </w:rPr>
              <w:t>经费</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16"/>
              <w:ind w:left="23" w:right="122"/>
              <w:jc w:val="both"/>
              <w:rPr>
                <w:rFonts w:ascii="宋体" w:hAnsi="宋体" w:cs="宋体" w:eastAsia="宋体" w:hint="default"/>
                <w:sz w:val="18"/>
                <w:szCs w:val="18"/>
              </w:rPr>
            </w:pPr>
            <w:r>
              <w:rPr>
                <w:rFonts w:ascii="宋体" w:hAnsi="宋体" w:cs="宋体" w:eastAsia="宋体" w:hint="default"/>
                <w:spacing w:val="-2"/>
                <w:sz w:val="18"/>
                <w:szCs w:val="18"/>
              </w:rPr>
              <w:t>科学技术部</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资源配置和</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管理司</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11"/>
              <w:ind w:left="23" w:right="12"/>
              <w:jc w:val="left"/>
              <w:rPr>
                <w:rFonts w:ascii="宋体" w:hAnsi="宋体" w:cs="宋体" w:eastAsia="宋体" w:hint="default"/>
                <w:sz w:val="18"/>
                <w:szCs w:val="18"/>
              </w:rPr>
            </w:pPr>
            <w:r>
              <w:rPr>
                <w:rFonts w:ascii="宋体" w:hAnsi="宋体" w:cs="宋体" w:eastAsia="宋体" w:hint="default"/>
                <w:sz w:val="18"/>
                <w:szCs w:val="18"/>
              </w:rPr>
              <w:t>鼓励和扶持</w:t>
            </w:r>
            <w:r>
              <w:rPr>
                <w:rFonts w:ascii="宋体" w:hAnsi="宋体" w:cs="宋体" w:eastAsia="宋体" w:hint="default"/>
                <w:w w:val="101"/>
                <w:sz w:val="18"/>
                <w:szCs w:val="18"/>
              </w:rPr>
              <w:t> </w:t>
            </w:r>
            <w:r>
              <w:rPr>
                <w:rFonts w:ascii="宋体" w:hAnsi="宋体" w:cs="宋体" w:eastAsia="宋体" w:hint="default"/>
                <w:spacing w:val="-14"/>
                <w:sz w:val="18"/>
                <w:szCs w:val="18"/>
              </w:rPr>
              <w:t>特定行业、产</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业而获得的</w:t>
            </w:r>
            <w:r>
              <w:rPr>
                <w:rFonts w:ascii="宋体" w:hAnsi="宋体" w:cs="宋体" w:eastAsia="宋体" w:hint="default"/>
                <w:w w:val="101"/>
                <w:sz w:val="18"/>
                <w:szCs w:val="18"/>
              </w:rPr>
              <w:t> </w:t>
            </w:r>
            <w:r>
              <w:rPr>
                <w:rFonts w:ascii="宋体" w:hAnsi="宋体" w:cs="宋体" w:eastAsia="宋体" w:hint="default"/>
                <w:spacing w:val="-14"/>
                <w:w w:val="101"/>
                <w:sz w:val="18"/>
                <w:szCs w:val="18"/>
              </w:rPr>
              <w:t>补助（按国家</w:t>
            </w:r>
            <w:r>
              <w:rPr>
                <w:rFonts w:ascii="宋体" w:hAnsi="宋体" w:cs="宋体" w:eastAsia="宋体" w:hint="default"/>
                <w:spacing w:val="-90"/>
                <w:w w:val="101"/>
                <w:sz w:val="18"/>
                <w:szCs w:val="18"/>
              </w:rPr>
              <w:t> </w:t>
            </w:r>
            <w:r>
              <w:rPr>
                <w:rFonts w:ascii="宋体" w:hAnsi="宋体" w:cs="宋体" w:eastAsia="宋体" w:hint="default"/>
                <w:spacing w:val="-90"/>
                <w:w w:val="101"/>
                <w:sz w:val="18"/>
                <w:szCs w:val="18"/>
              </w:rPr>
            </w:r>
            <w:r>
              <w:rPr>
                <w:rFonts w:ascii="宋体" w:hAnsi="宋体" w:cs="宋体" w:eastAsia="宋体" w:hint="default"/>
                <w:sz w:val="18"/>
                <w:szCs w:val="18"/>
              </w:rPr>
              <w:t>级政策规定</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130,000.00</w:t>
            </w: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54" w:hRule="exact"/>
        </w:trPr>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依法取得）</w:t>
            </w: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因从事国家</w:t>
            </w: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vMerge w:val="restart"/>
            <w:tcBorders>
              <w:top w:val="single" w:sz="4" w:space="0" w:color="000000"/>
              <w:left w:val="single" w:sz="4" w:space="0" w:color="000000"/>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1560"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312" w:lineRule="auto"/>
              <w:ind w:left="24" w:right="79"/>
              <w:jc w:val="both"/>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年国家</w:t>
            </w:r>
            <w:r>
              <w:rPr>
                <w:rFonts w:ascii="宋体" w:hAnsi="宋体" w:cs="宋体" w:eastAsia="宋体" w:hint="default"/>
                <w:w w:val="101"/>
                <w:sz w:val="18"/>
                <w:szCs w:val="18"/>
              </w:rPr>
              <w:t> </w:t>
            </w:r>
            <w:r>
              <w:rPr>
                <w:rFonts w:ascii="宋体" w:hAnsi="宋体" w:cs="宋体" w:eastAsia="宋体" w:hint="default"/>
                <w:sz w:val="18"/>
                <w:szCs w:val="18"/>
              </w:rPr>
              <w:t>科技支撑计</w:t>
            </w:r>
            <w:r>
              <w:rPr>
                <w:rFonts w:ascii="宋体" w:hAnsi="宋体" w:cs="宋体" w:eastAsia="宋体" w:hint="default"/>
                <w:w w:val="101"/>
                <w:sz w:val="18"/>
                <w:szCs w:val="18"/>
              </w:rPr>
              <w:t> </w:t>
            </w:r>
            <w:r>
              <w:rPr>
                <w:rFonts w:ascii="宋体" w:hAnsi="宋体" w:cs="宋体" w:eastAsia="宋体" w:hint="default"/>
                <w:sz w:val="18"/>
                <w:szCs w:val="18"/>
              </w:rPr>
              <w:t>划课题预算</w:t>
            </w:r>
            <w:r>
              <w:rPr>
                <w:rFonts w:ascii="宋体" w:hAnsi="宋体" w:cs="宋体" w:eastAsia="宋体" w:hint="default"/>
                <w:w w:val="101"/>
                <w:sz w:val="18"/>
                <w:szCs w:val="18"/>
              </w:rPr>
              <w:t> </w:t>
            </w:r>
            <w:r>
              <w:rPr>
                <w:rFonts w:ascii="宋体" w:hAnsi="宋体" w:cs="宋体" w:eastAsia="宋体" w:hint="default"/>
                <w:sz w:val="18"/>
                <w:szCs w:val="18"/>
              </w:rPr>
              <w:t>拨款</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18"/>
              <w:ind w:left="23" w:right="122"/>
              <w:jc w:val="both"/>
              <w:rPr>
                <w:rFonts w:ascii="宋体" w:hAnsi="宋体" w:cs="宋体" w:eastAsia="宋体" w:hint="default"/>
                <w:sz w:val="18"/>
                <w:szCs w:val="18"/>
              </w:rPr>
            </w:pPr>
            <w:r>
              <w:rPr>
                <w:rFonts w:ascii="宋体" w:hAnsi="宋体" w:cs="宋体" w:eastAsia="宋体" w:hint="default"/>
                <w:spacing w:val="-2"/>
                <w:sz w:val="18"/>
                <w:szCs w:val="18"/>
              </w:rPr>
              <w:t>科学技术部</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资源配置和</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管理司</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9"/>
              <w:ind w:left="23" w:right="12"/>
              <w:jc w:val="left"/>
              <w:rPr>
                <w:rFonts w:ascii="宋体" w:hAnsi="宋体" w:cs="宋体" w:eastAsia="宋体" w:hint="default"/>
                <w:sz w:val="18"/>
                <w:szCs w:val="18"/>
              </w:rPr>
            </w:pPr>
            <w:r>
              <w:rPr>
                <w:rFonts w:ascii="宋体" w:hAnsi="宋体" w:cs="宋体" w:eastAsia="宋体" w:hint="default"/>
                <w:sz w:val="18"/>
                <w:szCs w:val="18"/>
              </w:rPr>
              <w:t>鼓励和扶持</w:t>
            </w:r>
            <w:r>
              <w:rPr>
                <w:rFonts w:ascii="宋体" w:hAnsi="宋体" w:cs="宋体" w:eastAsia="宋体" w:hint="default"/>
                <w:w w:val="101"/>
                <w:sz w:val="18"/>
                <w:szCs w:val="18"/>
              </w:rPr>
              <w:t> </w:t>
            </w:r>
            <w:r>
              <w:rPr>
                <w:rFonts w:ascii="宋体" w:hAnsi="宋体" w:cs="宋体" w:eastAsia="宋体" w:hint="default"/>
                <w:spacing w:val="-14"/>
                <w:sz w:val="18"/>
                <w:szCs w:val="18"/>
              </w:rPr>
              <w:t>特定行业、产</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业而获得的</w:t>
            </w:r>
            <w:r>
              <w:rPr>
                <w:rFonts w:ascii="宋体" w:hAnsi="宋体" w:cs="宋体" w:eastAsia="宋体" w:hint="default"/>
                <w:w w:val="101"/>
                <w:sz w:val="18"/>
                <w:szCs w:val="18"/>
              </w:rPr>
              <w:t> </w:t>
            </w:r>
            <w:r>
              <w:rPr>
                <w:rFonts w:ascii="宋体" w:hAnsi="宋体" w:cs="宋体" w:eastAsia="宋体" w:hint="default"/>
                <w:spacing w:val="-14"/>
                <w:w w:val="101"/>
                <w:sz w:val="18"/>
                <w:szCs w:val="18"/>
              </w:rPr>
              <w:t>补助（按国家</w:t>
            </w:r>
            <w:r>
              <w:rPr>
                <w:rFonts w:ascii="宋体" w:hAnsi="宋体" w:cs="宋体" w:eastAsia="宋体" w:hint="default"/>
                <w:spacing w:val="-90"/>
                <w:w w:val="101"/>
                <w:sz w:val="18"/>
                <w:szCs w:val="18"/>
              </w:rPr>
              <w:t> </w:t>
            </w:r>
            <w:r>
              <w:rPr>
                <w:rFonts w:ascii="宋体" w:hAnsi="宋体" w:cs="宋体" w:eastAsia="宋体" w:hint="default"/>
                <w:spacing w:val="-90"/>
                <w:w w:val="101"/>
                <w:sz w:val="18"/>
                <w:szCs w:val="18"/>
              </w:rPr>
            </w:r>
            <w:r>
              <w:rPr>
                <w:rFonts w:ascii="宋体" w:hAnsi="宋体" w:cs="宋体" w:eastAsia="宋体" w:hint="default"/>
                <w:sz w:val="18"/>
                <w:szCs w:val="18"/>
              </w:rPr>
              <w:t>级政策规定</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400,000.00</w:t>
            </w: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58" w:hRule="exact"/>
        </w:trPr>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依法取得）</w:t>
            </w: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因从事国家</w:t>
            </w: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vMerge w:val="restart"/>
            <w:tcBorders>
              <w:top w:val="single" w:sz="4" w:space="0" w:color="000000"/>
              <w:left w:val="single" w:sz="4" w:space="0" w:color="000000"/>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1560"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312" w:lineRule="auto"/>
              <w:ind w:left="24" w:right="79"/>
              <w:jc w:val="both"/>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年度福</w:t>
            </w:r>
            <w:r>
              <w:rPr>
                <w:rFonts w:ascii="宋体" w:hAnsi="宋体" w:cs="宋体" w:eastAsia="宋体" w:hint="default"/>
                <w:w w:val="101"/>
                <w:sz w:val="18"/>
                <w:szCs w:val="18"/>
              </w:rPr>
              <w:t> </w:t>
            </w:r>
            <w:r>
              <w:rPr>
                <w:rFonts w:ascii="宋体" w:hAnsi="宋体" w:cs="宋体" w:eastAsia="宋体" w:hint="default"/>
                <w:sz w:val="18"/>
                <w:szCs w:val="18"/>
              </w:rPr>
              <w:t>建省印刷企</w:t>
            </w:r>
            <w:r>
              <w:rPr>
                <w:rFonts w:ascii="宋体" w:hAnsi="宋体" w:cs="宋体" w:eastAsia="宋体" w:hint="default"/>
                <w:w w:val="101"/>
                <w:sz w:val="18"/>
                <w:szCs w:val="18"/>
              </w:rPr>
              <w:t> </w:t>
            </w:r>
            <w:r>
              <w:rPr>
                <w:rFonts w:ascii="宋体" w:hAnsi="宋体" w:cs="宋体" w:eastAsia="宋体" w:hint="default"/>
                <w:sz w:val="18"/>
                <w:szCs w:val="18"/>
              </w:rPr>
              <w:t>业转型升级</w:t>
            </w:r>
            <w:r>
              <w:rPr>
                <w:rFonts w:ascii="宋体" w:hAnsi="宋体" w:cs="宋体" w:eastAsia="宋体" w:hint="default"/>
                <w:w w:val="101"/>
                <w:sz w:val="18"/>
                <w:szCs w:val="18"/>
              </w:rPr>
              <w:t> </w:t>
            </w:r>
            <w:r>
              <w:rPr>
                <w:rFonts w:ascii="宋体" w:hAnsi="宋体" w:cs="宋体" w:eastAsia="宋体" w:hint="default"/>
                <w:sz w:val="18"/>
                <w:szCs w:val="18"/>
              </w:rPr>
              <w:t>扶持资金</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316" w:lineRule="auto"/>
              <w:ind w:left="23" w:right="122"/>
              <w:jc w:val="left"/>
              <w:rPr>
                <w:rFonts w:ascii="宋体" w:hAnsi="宋体" w:cs="宋体" w:eastAsia="宋体" w:hint="default"/>
                <w:sz w:val="18"/>
                <w:szCs w:val="18"/>
              </w:rPr>
            </w:pPr>
            <w:r>
              <w:rPr>
                <w:rFonts w:ascii="宋体" w:hAnsi="宋体" w:cs="宋体" w:eastAsia="宋体" w:hint="default"/>
                <w:spacing w:val="-2"/>
                <w:sz w:val="18"/>
                <w:szCs w:val="18"/>
              </w:rPr>
              <w:t>福建省新闻</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出版广电局</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9"/>
              <w:ind w:left="23" w:right="12"/>
              <w:jc w:val="left"/>
              <w:rPr>
                <w:rFonts w:ascii="宋体" w:hAnsi="宋体" w:cs="宋体" w:eastAsia="宋体" w:hint="default"/>
                <w:sz w:val="18"/>
                <w:szCs w:val="18"/>
              </w:rPr>
            </w:pPr>
            <w:r>
              <w:rPr>
                <w:rFonts w:ascii="宋体" w:hAnsi="宋体" w:cs="宋体" w:eastAsia="宋体" w:hint="default"/>
                <w:sz w:val="18"/>
                <w:szCs w:val="18"/>
              </w:rPr>
              <w:t>鼓励和扶持</w:t>
            </w:r>
            <w:r>
              <w:rPr>
                <w:rFonts w:ascii="宋体" w:hAnsi="宋体" w:cs="宋体" w:eastAsia="宋体" w:hint="default"/>
                <w:w w:val="101"/>
                <w:sz w:val="18"/>
                <w:szCs w:val="18"/>
              </w:rPr>
              <w:t> </w:t>
            </w:r>
            <w:r>
              <w:rPr>
                <w:rFonts w:ascii="宋体" w:hAnsi="宋体" w:cs="宋体" w:eastAsia="宋体" w:hint="default"/>
                <w:spacing w:val="-14"/>
                <w:sz w:val="18"/>
                <w:szCs w:val="18"/>
              </w:rPr>
              <w:t>特定行业、产</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业而获得的</w:t>
            </w:r>
            <w:r>
              <w:rPr>
                <w:rFonts w:ascii="宋体" w:hAnsi="宋体" w:cs="宋体" w:eastAsia="宋体" w:hint="default"/>
                <w:w w:val="101"/>
                <w:sz w:val="18"/>
                <w:szCs w:val="18"/>
              </w:rPr>
              <w:t> </w:t>
            </w:r>
            <w:r>
              <w:rPr>
                <w:rFonts w:ascii="宋体" w:hAnsi="宋体" w:cs="宋体" w:eastAsia="宋体" w:hint="default"/>
                <w:spacing w:val="-14"/>
                <w:w w:val="101"/>
                <w:sz w:val="18"/>
                <w:szCs w:val="18"/>
              </w:rPr>
              <w:t>补助（按国家</w:t>
            </w:r>
            <w:r>
              <w:rPr>
                <w:rFonts w:ascii="宋体" w:hAnsi="宋体" w:cs="宋体" w:eastAsia="宋体" w:hint="default"/>
                <w:spacing w:val="-90"/>
                <w:w w:val="101"/>
                <w:sz w:val="18"/>
                <w:szCs w:val="18"/>
              </w:rPr>
              <w:t> </w:t>
            </w:r>
            <w:r>
              <w:rPr>
                <w:rFonts w:ascii="宋体" w:hAnsi="宋体" w:cs="宋体" w:eastAsia="宋体" w:hint="default"/>
                <w:spacing w:val="-90"/>
                <w:w w:val="101"/>
                <w:sz w:val="18"/>
                <w:szCs w:val="18"/>
              </w:rPr>
            </w:r>
            <w:r>
              <w:rPr>
                <w:rFonts w:ascii="宋体" w:hAnsi="宋体" w:cs="宋体" w:eastAsia="宋体" w:hint="default"/>
                <w:sz w:val="18"/>
                <w:szCs w:val="18"/>
              </w:rPr>
              <w:t>级政策规定</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200,000.00</w:t>
            </w: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58" w:hRule="exact"/>
        </w:trPr>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依法取得）</w:t>
            </w: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r>
        <w:trPr>
          <w:trHeight w:val="672"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3"/>
              <w:ind w:left="24" w:right="127"/>
              <w:jc w:val="left"/>
              <w:rPr>
                <w:rFonts w:ascii="宋体" w:hAnsi="宋体" w:cs="宋体" w:eastAsia="宋体" w:hint="default"/>
                <w:sz w:val="18"/>
                <w:szCs w:val="18"/>
              </w:rPr>
            </w:pPr>
            <w:r>
              <w:rPr>
                <w:rFonts w:ascii="宋体" w:hAnsi="宋体" w:cs="宋体" w:eastAsia="宋体" w:hint="default"/>
                <w:spacing w:val="-2"/>
                <w:sz w:val="18"/>
                <w:szCs w:val="18"/>
              </w:rPr>
              <w:t>福建省残疾</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人劳动就业</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3"/>
              <w:ind w:left="23" w:right="122"/>
              <w:jc w:val="left"/>
              <w:rPr>
                <w:rFonts w:ascii="宋体" w:hAnsi="宋体" w:cs="宋体" w:eastAsia="宋体" w:hint="default"/>
                <w:sz w:val="18"/>
                <w:szCs w:val="18"/>
              </w:rPr>
            </w:pPr>
            <w:r>
              <w:rPr>
                <w:rFonts w:ascii="宋体" w:hAnsi="宋体" w:cs="宋体" w:eastAsia="宋体" w:hint="default"/>
                <w:spacing w:val="-2"/>
                <w:sz w:val="18"/>
                <w:szCs w:val="18"/>
              </w:rPr>
              <w:t>福建省残疾</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人劳动就业</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3"/>
              <w:ind w:left="23" w:right="122"/>
              <w:jc w:val="left"/>
              <w:rPr>
                <w:rFonts w:ascii="宋体" w:hAnsi="宋体" w:cs="宋体" w:eastAsia="宋体" w:hint="default"/>
                <w:sz w:val="18"/>
                <w:szCs w:val="18"/>
              </w:rPr>
            </w:pPr>
            <w:r>
              <w:rPr>
                <w:rFonts w:ascii="宋体" w:hAnsi="宋体" w:cs="宋体" w:eastAsia="宋体" w:hint="default"/>
                <w:spacing w:val="-2"/>
                <w:sz w:val="18"/>
                <w:szCs w:val="18"/>
              </w:rPr>
              <w:t>因承担国家</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为保障某种</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197,858.00</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066"/>
        <w:gridCol w:w="1061"/>
        <w:gridCol w:w="1066"/>
        <w:gridCol w:w="1061"/>
        <w:gridCol w:w="1066"/>
        <w:gridCol w:w="1061"/>
        <w:gridCol w:w="1066"/>
        <w:gridCol w:w="1061"/>
        <w:gridCol w:w="1066"/>
      </w:tblGrid>
      <w:tr>
        <w:trPr>
          <w:trHeight w:val="318" w:hRule="exact"/>
        </w:trPr>
        <w:tc>
          <w:tcPr>
            <w:tcW w:w="10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服务中心扶</w:t>
            </w: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5"/>
              <w:ind w:left="23" w:right="0"/>
              <w:jc w:val="left"/>
              <w:rPr>
                <w:rFonts w:ascii="宋体" w:hAnsi="宋体" w:cs="宋体" w:eastAsia="宋体" w:hint="default"/>
                <w:sz w:val="18"/>
                <w:szCs w:val="18"/>
              </w:rPr>
            </w:pPr>
            <w:r>
              <w:rPr>
                <w:rFonts w:ascii="宋体" w:hAnsi="宋体" w:cs="宋体" w:eastAsia="宋体" w:hint="default"/>
                <w:sz w:val="18"/>
                <w:szCs w:val="18"/>
              </w:rPr>
              <w:t>服务中心</w:t>
            </w:r>
          </w:p>
        </w:tc>
        <w:tc>
          <w:tcPr>
            <w:tcW w:w="1066" w:type="dxa"/>
            <w:vMerge w:val="restart"/>
            <w:tcBorders>
              <w:top w:val="single" w:sz="4" w:space="0" w:color="000000"/>
              <w:left w:val="single" w:sz="4" w:space="0" w:color="000000"/>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公用事业或</w:t>
            </w:r>
          </w:p>
        </w:tc>
        <w:tc>
          <w:tcPr>
            <w:tcW w:w="1066" w:type="dxa"/>
            <w:vMerge w:val="restart"/>
            <w:tcBorders>
              <w:top w:val="single" w:sz="4" w:space="0" w:color="000000"/>
              <w:left w:val="single" w:sz="4" w:space="0" w:color="000000"/>
              <w:right w:val="single" w:sz="4" w:space="0" w:color="000000"/>
            </w:tcBorders>
          </w:tcPr>
          <w:p>
            <w:pPr/>
          </w:p>
        </w:tc>
        <w:tc>
          <w:tcPr>
            <w:tcW w:w="1061" w:type="dxa"/>
            <w:vMerge w:val="restart"/>
            <w:tcBorders>
              <w:top w:val="single" w:sz="4" w:space="0" w:color="000000"/>
              <w:left w:val="single" w:sz="4" w:space="0" w:color="000000"/>
              <w:right w:val="single" w:sz="4" w:space="0" w:color="000000"/>
            </w:tcBorders>
          </w:tcPr>
          <w:p>
            <w:pPr/>
          </w:p>
        </w:tc>
        <w:tc>
          <w:tcPr>
            <w:tcW w:w="1066" w:type="dxa"/>
            <w:vMerge w:val="restart"/>
            <w:tcBorders>
              <w:top w:val="single" w:sz="4" w:space="0" w:color="000000"/>
              <w:left w:val="single" w:sz="4" w:space="0" w:color="000000"/>
              <w:right w:val="single" w:sz="4" w:space="0" w:color="000000"/>
            </w:tcBorders>
          </w:tcPr>
          <w:p>
            <w:pPr/>
          </w:p>
        </w:tc>
        <w:tc>
          <w:tcPr>
            <w:tcW w:w="1061" w:type="dxa"/>
            <w:vMerge w:val="restart"/>
            <w:tcBorders>
              <w:top w:val="single" w:sz="4" w:space="0" w:color="000000"/>
              <w:left w:val="single" w:sz="4" w:space="0" w:color="000000"/>
              <w:right w:val="single" w:sz="4" w:space="0" w:color="000000"/>
            </w:tcBorders>
          </w:tcPr>
          <w:p>
            <w:pPr/>
          </w:p>
        </w:tc>
        <w:tc>
          <w:tcPr>
            <w:tcW w:w="1066" w:type="dxa"/>
            <w:vMerge w:val="restart"/>
            <w:tcBorders>
              <w:top w:val="single" w:sz="4" w:space="0" w:color="000000"/>
              <w:left w:val="single" w:sz="4" w:space="0" w:color="000000"/>
              <w:right w:val="single" w:sz="4" w:space="0" w:color="000000"/>
            </w:tcBorders>
          </w:tcPr>
          <w:p>
            <w:pPr/>
          </w:p>
        </w:tc>
      </w:tr>
      <w:tr>
        <w:trPr>
          <w:trHeight w:val="310"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4" w:right="0"/>
              <w:jc w:val="left"/>
              <w:rPr>
                <w:rFonts w:ascii="宋体" w:hAnsi="宋体" w:cs="宋体" w:eastAsia="宋体" w:hint="default"/>
                <w:sz w:val="18"/>
                <w:szCs w:val="18"/>
              </w:rPr>
            </w:pPr>
            <w:r>
              <w:rPr>
                <w:rFonts w:ascii="宋体" w:hAnsi="宋体" w:cs="宋体" w:eastAsia="宋体" w:hint="default"/>
                <w:sz w:val="18"/>
                <w:szCs w:val="18"/>
              </w:rPr>
              <w:t>残助残奖励</w:t>
            </w:r>
          </w:p>
        </w:tc>
        <w:tc>
          <w:tcPr>
            <w:tcW w:w="1061" w:type="dxa"/>
            <w:tcBorders>
              <w:top w:val="nil" w:sz="6" w:space="0" w:color="auto"/>
              <w:left w:val="single" w:sz="4" w:space="0" w:color="000000"/>
              <w:bottom w:val="nil" w:sz="6" w:space="0" w:color="auto"/>
              <w:right w:val="single" w:sz="4" w:space="0" w:color="000000"/>
            </w:tcBorders>
          </w:tcPr>
          <w:p>
            <w:pP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社会必要产</w:t>
            </w:r>
          </w:p>
        </w:tc>
        <w:tc>
          <w:tcPr>
            <w:tcW w:w="1066"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1066"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1066" w:type="dxa"/>
            <w:vMerge/>
            <w:tcBorders>
              <w:left w:val="single" w:sz="4" w:space="0" w:color="000000"/>
              <w:right w:val="single" w:sz="4" w:space="0" w:color="000000"/>
            </w:tcBorders>
          </w:tcPr>
          <w:p>
            <w:pPr/>
          </w:p>
        </w:tc>
      </w:tr>
      <w:tr>
        <w:trPr>
          <w:trHeight w:val="314"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24" w:right="0"/>
              <w:jc w:val="left"/>
              <w:rPr>
                <w:rFonts w:ascii="宋体" w:hAnsi="宋体" w:cs="宋体" w:eastAsia="宋体" w:hint="default"/>
                <w:sz w:val="18"/>
                <w:szCs w:val="18"/>
              </w:rPr>
            </w:pPr>
            <w:r>
              <w:rPr>
                <w:rFonts w:ascii="宋体" w:hAnsi="宋体" w:cs="宋体" w:eastAsia="宋体" w:hint="default"/>
                <w:w w:val="101"/>
                <w:sz w:val="18"/>
                <w:szCs w:val="18"/>
              </w:rPr>
              <w:t>费</w:t>
            </w:r>
            <w:r>
              <w:rPr>
                <w:rFonts w:ascii="宋体" w:hAnsi="宋体" w:cs="宋体" w:eastAsia="宋体" w:hint="default"/>
                <w:sz w:val="18"/>
                <w:szCs w:val="18"/>
              </w:rPr>
            </w:r>
          </w:p>
        </w:tc>
        <w:tc>
          <w:tcPr>
            <w:tcW w:w="1061" w:type="dxa"/>
            <w:tcBorders>
              <w:top w:val="nil" w:sz="6" w:space="0" w:color="auto"/>
              <w:left w:val="single" w:sz="4" w:space="0" w:color="000000"/>
              <w:bottom w:val="nil" w:sz="6" w:space="0" w:color="auto"/>
              <w:right w:val="single" w:sz="4" w:space="0" w:color="000000"/>
            </w:tcBorders>
          </w:tcPr>
          <w:p>
            <w:pP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品供应或价</w:t>
            </w:r>
          </w:p>
        </w:tc>
        <w:tc>
          <w:tcPr>
            <w:tcW w:w="1066"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1066"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1066" w:type="dxa"/>
            <w:vMerge/>
            <w:tcBorders>
              <w:left w:val="single" w:sz="4" w:space="0" w:color="000000"/>
              <w:right w:val="single" w:sz="4" w:space="0" w:color="000000"/>
            </w:tcBorders>
          </w:tcPr>
          <w:p>
            <w:pPr/>
          </w:p>
        </w:tc>
      </w:tr>
      <w:tr>
        <w:trPr>
          <w:trHeight w:val="310"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格控制职能</w:t>
            </w:r>
          </w:p>
        </w:tc>
        <w:tc>
          <w:tcPr>
            <w:tcW w:w="1066"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1066"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1066" w:type="dxa"/>
            <w:vMerge/>
            <w:tcBorders>
              <w:left w:val="single" w:sz="4" w:space="0" w:color="000000"/>
              <w:right w:val="single" w:sz="4" w:space="0" w:color="000000"/>
            </w:tcBorders>
          </w:tcPr>
          <w:p>
            <w:pPr/>
          </w:p>
        </w:tc>
      </w:tr>
      <w:tr>
        <w:trPr>
          <w:trHeight w:val="314"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vMerge/>
            <w:tcBorders>
              <w:left w:val="single" w:sz="4" w:space="0" w:color="000000"/>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而获得的补</w:t>
            </w:r>
          </w:p>
        </w:tc>
        <w:tc>
          <w:tcPr>
            <w:tcW w:w="1066"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1066"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1066" w:type="dxa"/>
            <w:vMerge/>
            <w:tcBorders>
              <w:left w:val="single" w:sz="4" w:space="0" w:color="000000"/>
              <w:right w:val="single" w:sz="4" w:space="0" w:color="000000"/>
            </w:tcBorders>
          </w:tcPr>
          <w:p>
            <w:pPr/>
          </w:p>
        </w:tc>
      </w:tr>
      <w:tr>
        <w:trPr>
          <w:trHeight w:val="354" w:hRule="exact"/>
        </w:trPr>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vMerge/>
            <w:tcBorders>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w w:val="101"/>
                <w:sz w:val="18"/>
                <w:szCs w:val="18"/>
              </w:rPr>
              <w:t>助</w:t>
            </w:r>
            <w:r>
              <w:rPr>
                <w:rFonts w:ascii="宋体" w:hAnsi="宋体" w:cs="宋体" w:eastAsia="宋体" w:hint="default"/>
                <w:sz w:val="18"/>
                <w:szCs w:val="18"/>
              </w:rPr>
            </w:r>
          </w:p>
        </w:tc>
        <w:tc>
          <w:tcPr>
            <w:tcW w:w="1066"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6"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6" w:type="dxa"/>
            <w:vMerge/>
            <w:tcBorders>
              <w:left w:val="single" w:sz="4" w:space="0" w:color="000000"/>
              <w:bottom w:val="single" w:sz="4" w:space="0" w:color="000000"/>
              <w:right w:val="single" w:sz="4" w:space="0" w:color="000000"/>
            </w:tcBorders>
          </w:tcPr>
          <w:p>
            <w:pPr/>
          </w:p>
        </w:tc>
      </w:tr>
      <w:tr>
        <w:trPr>
          <w:trHeight w:val="359" w:hRule="exact"/>
        </w:trPr>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因从事国家</w:t>
            </w: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vMerge w:val="restart"/>
            <w:tcBorders>
              <w:top w:val="single" w:sz="4" w:space="0" w:color="000000"/>
              <w:left w:val="single" w:sz="4" w:space="0" w:color="000000"/>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鼓励和扶持</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938"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312" w:lineRule="auto" w:before="11"/>
              <w:ind w:left="24" w:right="79"/>
              <w:jc w:val="both"/>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年仓山</w:t>
            </w:r>
            <w:r>
              <w:rPr>
                <w:rFonts w:ascii="宋体" w:hAnsi="宋体" w:cs="宋体" w:eastAsia="宋体" w:hint="default"/>
                <w:w w:val="101"/>
                <w:sz w:val="18"/>
                <w:szCs w:val="18"/>
              </w:rPr>
              <w:t> </w:t>
            </w:r>
            <w:r>
              <w:rPr>
                <w:rFonts w:ascii="宋体" w:hAnsi="宋体" w:cs="宋体" w:eastAsia="宋体" w:hint="default"/>
                <w:sz w:val="18"/>
                <w:szCs w:val="18"/>
              </w:rPr>
              <w:t>区第二批科</w:t>
            </w:r>
            <w:r>
              <w:rPr>
                <w:rFonts w:ascii="宋体" w:hAnsi="宋体" w:cs="宋体" w:eastAsia="宋体" w:hint="default"/>
                <w:w w:val="101"/>
                <w:sz w:val="18"/>
                <w:szCs w:val="18"/>
              </w:rPr>
              <w:t> </w:t>
            </w:r>
            <w:r>
              <w:rPr>
                <w:rFonts w:ascii="宋体" w:hAnsi="宋体" w:cs="宋体" w:eastAsia="宋体" w:hint="default"/>
                <w:sz w:val="18"/>
                <w:szCs w:val="18"/>
              </w:rPr>
              <w:t>技计划项目</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321" w:lineRule="auto"/>
              <w:ind w:left="23" w:right="122"/>
              <w:jc w:val="left"/>
              <w:rPr>
                <w:rFonts w:ascii="宋体" w:hAnsi="宋体" w:cs="宋体" w:eastAsia="宋体" w:hint="default"/>
                <w:sz w:val="18"/>
                <w:szCs w:val="18"/>
              </w:rPr>
            </w:pPr>
            <w:r>
              <w:rPr>
                <w:rFonts w:ascii="宋体" w:hAnsi="宋体" w:cs="宋体" w:eastAsia="宋体" w:hint="default"/>
                <w:spacing w:val="-2"/>
                <w:sz w:val="18"/>
                <w:szCs w:val="18"/>
              </w:rPr>
              <w:t>福州市仓山</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区科技局</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11"/>
              <w:ind w:left="23" w:right="12"/>
              <w:jc w:val="left"/>
              <w:rPr>
                <w:rFonts w:ascii="宋体" w:hAnsi="宋体" w:cs="宋体" w:eastAsia="宋体" w:hint="default"/>
                <w:sz w:val="18"/>
                <w:szCs w:val="18"/>
              </w:rPr>
            </w:pPr>
            <w:r>
              <w:rPr>
                <w:rFonts w:ascii="宋体" w:hAnsi="宋体" w:cs="宋体" w:eastAsia="宋体" w:hint="default"/>
                <w:spacing w:val="-14"/>
                <w:sz w:val="18"/>
                <w:szCs w:val="18"/>
              </w:rPr>
              <w:t>特定行业、产</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业而获得的</w:t>
            </w:r>
            <w:r>
              <w:rPr>
                <w:rFonts w:ascii="宋体" w:hAnsi="宋体" w:cs="宋体" w:eastAsia="宋体" w:hint="default"/>
                <w:w w:val="101"/>
                <w:sz w:val="18"/>
                <w:szCs w:val="18"/>
              </w:rPr>
              <w:t> </w:t>
            </w:r>
            <w:r>
              <w:rPr>
                <w:rFonts w:ascii="宋体" w:hAnsi="宋体" w:cs="宋体" w:eastAsia="宋体" w:hint="default"/>
                <w:spacing w:val="-14"/>
                <w:w w:val="101"/>
                <w:sz w:val="18"/>
                <w:szCs w:val="18"/>
              </w:rPr>
              <w:t>补助（按国家</w:t>
            </w:r>
            <w:r>
              <w:rPr>
                <w:rFonts w:ascii="宋体" w:hAnsi="宋体" w:cs="宋体" w:eastAsia="宋体" w:hint="default"/>
                <w:spacing w:val="-14"/>
                <w:sz w:val="18"/>
                <w:szCs w:val="18"/>
              </w:rPr>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right="23"/>
              <w:jc w:val="right"/>
              <w:rPr>
                <w:rFonts w:ascii="Times New Roman" w:hAnsi="Times New Roman" w:cs="Times New Roman" w:eastAsia="Times New Roman" w:hint="default"/>
                <w:sz w:val="18"/>
                <w:szCs w:val="18"/>
              </w:rPr>
            </w:pPr>
            <w:r>
              <w:rPr>
                <w:rFonts w:ascii="Times New Roman"/>
                <w:spacing w:val="-2"/>
                <w:sz w:val="18"/>
              </w:rPr>
              <w:t>110,000.00</w:t>
            </w: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12"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级政策规定</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54" w:hRule="exact"/>
        </w:trPr>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依法取得）</w:t>
            </w: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r>
        <w:trPr>
          <w:trHeight w:val="2275"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4" w:right="127"/>
              <w:jc w:val="both"/>
              <w:rPr>
                <w:rFonts w:ascii="宋体" w:hAnsi="宋体" w:cs="宋体" w:eastAsia="宋体" w:hint="default"/>
                <w:sz w:val="18"/>
                <w:szCs w:val="18"/>
              </w:rPr>
            </w:pPr>
            <w:r>
              <w:rPr>
                <w:rFonts w:ascii="宋体" w:hAnsi="宋体" w:cs="宋体" w:eastAsia="宋体" w:hint="default"/>
                <w:spacing w:val="-2"/>
                <w:sz w:val="18"/>
                <w:szCs w:val="18"/>
              </w:rPr>
              <w:t>广州市天河</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区财政局基</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于移动互联</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网终端的无</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纸化购彩平</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台补助</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23" w:right="122"/>
              <w:jc w:val="left"/>
              <w:rPr>
                <w:rFonts w:ascii="宋体" w:hAnsi="宋体" w:cs="宋体" w:eastAsia="宋体" w:hint="default"/>
                <w:sz w:val="18"/>
                <w:szCs w:val="18"/>
              </w:rPr>
            </w:pPr>
            <w:r>
              <w:rPr>
                <w:rFonts w:ascii="宋体" w:hAnsi="宋体" w:cs="宋体" w:eastAsia="宋体" w:hint="default"/>
                <w:spacing w:val="-2"/>
                <w:sz w:val="18"/>
                <w:szCs w:val="18"/>
              </w:rPr>
              <w:t>天河科技园</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管委会</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2"/>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3" w:right="12"/>
              <w:jc w:val="left"/>
              <w:rPr>
                <w:rFonts w:ascii="宋体" w:hAnsi="宋体" w:cs="宋体" w:eastAsia="宋体" w:hint="default"/>
                <w:sz w:val="18"/>
                <w:szCs w:val="18"/>
              </w:rPr>
            </w:pPr>
            <w:r>
              <w:rPr>
                <w:rFonts w:ascii="宋体" w:hAnsi="宋体" w:cs="宋体" w:eastAsia="宋体" w:hint="default"/>
                <w:sz w:val="18"/>
                <w:szCs w:val="18"/>
              </w:rPr>
              <w:t>因从事国家</w:t>
            </w:r>
            <w:r>
              <w:rPr>
                <w:rFonts w:ascii="宋体" w:hAnsi="宋体" w:cs="宋体" w:eastAsia="宋体" w:hint="default"/>
                <w:w w:val="101"/>
                <w:sz w:val="18"/>
                <w:szCs w:val="18"/>
              </w:rPr>
              <w:t> </w:t>
            </w:r>
            <w:r>
              <w:rPr>
                <w:rFonts w:ascii="宋体" w:hAnsi="宋体" w:cs="宋体" w:eastAsia="宋体" w:hint="default"/>
                <w:sz w:val="18"/>
                <w:szCs w:val="18"/>
              </w:rPr>
              <w:t>鼓励和扶持</w:t>
            </w:r>
            <w:r>
              <w:rPr>
                <w:rFonts w:ascii="宋体" w:hAnsi="宋体" w:cs="宋体" w:eastAsia="宋体" w:hint="default"/>
                <w:w w:val="101"/>
                <w:sz w:val="18"/>
                <w:szCs w:val="18"/>
              </w:rPr>
              <w:t> </w:t>
            </w:r>
            <w:r>
              <w:rPr>
                <w:rFonts w:ascii="宋体" w:hAnsi="宋体" w:cs="宋体" w:eastAsia="宋体" w:hint="default"/>
                <w:spacing w:val="-14"/>
                <w:sz w:val="18"/>
                <w:szCs w:val="18"/>
              </w:rPr>
              <w:t>特定行业、产</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业而获得的</w:t>
            </w:r>
            <w:r>
              <w:rPr>
                <w:rFonts w:ascii="宋体" w:hAnsi="宋体" w:cs="宋体" w:eastAsia="宋体" w:hint="default"/>
                <w:w w:val="101"/>
                <w:sz w:val="18"/>
                <w:szCs w:val="18"/>
              </w:rPr>
              <w:t> </w:t>
            </w:r>
            <w:r>
              <w:rPr>
                <w:rFonts w:ascii="宋体" w:hAnsi="宋体" w:cs="宋体" w:eastAsia="宋体" w:hint="default"/>
                <w:spacing w:val="-14"/>
                <w:w w:val="101"/>
                <w:sz w:val="18"/>
                <w:szCs w:val="18"/>
              </w:rPr>
              <w:t>补助（按国家</w:t>
            </w:r>
            <w:r>
              <w:rPr>
                <w:rFonts w:ascii="宋体" w:hAnsi="宋体" w:cs="宋体" w:eastAsia="宋体" w:hint="default"/>
                <w:spacing w:val="-90"/>
                <w:w w:val="101"/>
                <w:sz w:val="18"/>
                <w:szCs w:val="18"/>
              </w:rPr>
              <w:t> </w:t>
            </w:r>
            <w:r>
              <w:rPr>
                <w:rFonts w:ascii="宋体" w:hAnsi="宋体" w:cs="宋体" w:eastAsia="宋体" w:hint="default"/>
                <w:spacing w:val="-90"/>
                <w:w w:val="101"/>
                <w:sz w:val="18"/>
                <w:szCs w:val="18"/>
              </w:rPr>
            </w:r>
            <w:r>
              <w:rPr>
                <w:rFonts w:ascii="宋体" w:hAnsi="宋体" w:cs="宋体" w:eastAsia="宋体" w:hint="default"/>
                <w:sz w:val="18"/>
                <w:szCs w:val="18"/>
              </w:rPr>
              <w:t>级政策规定</w:t>
            </w:r>
            <w:r>
              <w:rPr>
                <w:rFonts w:ascii="宋体" w:hAnsi="宋体" w:cs="宋体" w:eastAsia="宋体" w:hint="default"/>
                <w:w w:val="101"/>
                <w:sz w:val="18"/>
                <w:szCs w:val="18"/>
              </w:rPr>
              <w:t> </w:t>
            </w:r>
            <w:r>
              <w:rPr>
                <w:rFonts w:ascii="宋体" w:hAnsi="宋体" w:cs="宋体" w:eastAsia="宋体" w:hint="default"/>
                <w:sz w:val="18"/>
                <w:szCs w:val="18"/>
              </w:rPr>
              <w:t>依法取得）</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2"/>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2"/>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600,000.00</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2"/>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57" w:hRule="exact"/>
        </w:trPr>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因承担国家</w:t>
            </w: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vMerge w:val="restart"/>
            <w:tcBorders>
              <w:top w:val="single" w:sz="4" w:space="0" w:color="000000"/>
              <w:left w:val="single" w:sz="4" w:space="0" w:color="000000"/>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310"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为保障某种</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1248"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316" w:lineRule="auto"/>
              <w:ind w:left="24" w:right="127"/>
              <w:jc w:val="both"/>
              <w:rPr>
                <w:rFonts w:ascii="宋体" w:hAnsi="宋体" w:cs="宋体" w:eastAsia="宋体" w:hint="default"/>
                <w:sz w:val="18"/>
                <w:szCs w:val="18"/>
              </w:rPr>
            </w:pPr>
            <w:r>
              <w:rPr>
                <w:rFonts w:ascii="宋体" w:hAnsi="宋体" w:cs="宋体" w:eastAsia="宋体" w:hint="default"/>
                <w:spacing w:val="-2"/>
                <w:sz w:val="18"/>
                <w:szCs w:val="18"/>
              </w:rPr>
              <w:t>泸州市纳溪</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区就业服务</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管理局</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316" w:lineRule="auto"/>
              <w:ind w:left="23" w:right="122"/>
              <w:jc w:val="both"/>
              <w:rPr>
                <w:rFonts w:ascii="宋体" w:hAnsi="宋体" w:cs="宋体" w:eastAsia="宋体" w:hint="default"/>
                <w:sz w:val="18"/>
                <w:szCs w:val="18"/>
              </w:rPr>
            </w:pPr>
            <w:r>
              <w:rPr>
                <w:rFonts w:ascii="宋体" w:hAnsi="宋体" w:cs="宋体" w:eastAsia="宋体" w:hint="default"/>
                <w:spacing w:val="-2"/>
                <w:sz w:val="18"/>
                <w:szCs w:val="18"/>
              </w:rPr>
              <w:t>泸州市纳溪</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区就业服务</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管理局</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11"/>
              <w:ind w:left="23" w:right="122"/>
              <w:jc w:val="both"/>
              <w:rPr>
                <w:rFonts w:ascii="宋体" w:hAnsi="宋体" w:cs="宋体" w:eastAsia="宋体" w:hint="default"/>
                <w:sz w:val="18"/>
                <w:szCs w:val="18"/>
              </w:rPr>
            </w:pPr>
            <w:r>
              <w:rPr>
                <w:rFonts w:ascii="宋体" w:hAnsi="宋体" w:cs="宋体" w:eastAsia="宋体" w:hint="default"/>
                <w:spacing w:val="-2"/>
                <w:sz w:val="18"/>
                <w:szCs w:val="18"/>
              </w:rPr>
              <w:t>公用事业或</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社会必要产</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品供应或价</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格控制职能</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spacing w:val="-1"/>
                <w:sz w:val="18"/>
              </w:rPr>
              <w:t>220,342.00</w:t>
            </w: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14"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而获得的补</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58" w:hRule="exact"/>
        </w:trPr>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w w:val="101"/>
                <w:sz w:val="18"/>
                <w:szCs w:val="18"/>
              </w:rPr>
              <w:t>助</w:t>
            </w:r>
            <w:r>
              <w:rPr>
                <w:rFonts w:ascii="宋体" w:hAnsi="宋体" w:cs="宋体" w:eastAsia="宋体" w:hint="default"/>
                <w:sz w:val="18"/>
                <w:szCs w:val="18"/>
              </w:rPr>
            </w: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因从事国家</w:t>
            </w: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vMerge w:val="restart"/>
            <w:tcBorders>
              <w:top w:val="single" w:sz="4" w:space="0" w:color="000000"/>
              <w:left w:val="single" w:sz="4" w:space="0" w:color="000000"/>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310"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鼓励和扶持</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938"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309" w:lineRule="auto" w:before="16"/>
              <w:ind w:left="24" w:right="79"/>
              <w:jc w:val="both"/>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年民营</w:t>
            </w:r>
            <w:r>
              <w:rPr>
                <w:rFonts w:ascii="宋体" w:hAnsi="宋体" w:cs="宋体" w:eastAsia="宋体" w:hint="default"/>
                <w:w w:val="101"/>
                <w:sz w:val="18"/>
                <w:szCs w:val="18"/>
              </w:rPr>
              <w:t> </w:t>
            </w:r>
            <w:r>
              <w:rPr>
                <w:rFonts w:ascii="宋体" w:hAnsi="宋体" w:cs="宋体" w:eastAsia="宋体" w:hint="default"/>
                <w:sz w:val="18"/>
                <w:szCs w:val="18"/>
              </w:rPr>
              <w:t>经济发展专</w:t>
            </w:r>
            <w:r>
              <w:rPr>
                <w:rFonts w:ascii="宋体" w:hAnsi="宋体" w:cs="宋体" w:eastAsia="宋体" w:hint="default"/>
                <w:w w:val="101"/>
                <w:sz w:val="18"/>
                <w:szCs w:val="18"/>
              </w:rPr>
              <w:t> </w:t>
            </w:r>
            <w:r>
              <w:rPr>
                <w:rFonts w:ascii="宋体" w:hAnsi="宋体" w:cs="宋体" w:eastAsia="宋体" w:hint="default"/>
                <w:sz w:val="18"/>
                <w:szCs w:val="18"/>
              </w:rPr>
              <w:t>项资金</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316" w:lineRule="auto"/>
              <w:ind w:left="23" w:right="122"/>
              <w:jc w:val="left"/>
              <w:rPr>
                <w:rFonts w:ascii="宋体" w:hAnsi="宋体" w:cs="宋体" w:eastAsia="宋体" w:hint="default"/>
                <w:sz w:val="18"/>
                <w:szCs w:val="18"/>
              </w:rPr>
            </w:pPr>
            <w:r>
              <w:rPr>
                <w:rFonts w:ascii="宋体" w:hAnsi="宋体" w:cs="宋体" w:eastAsia="宋体" w:hint="default"/>
                <w:spacing w:val="-2"/>
                <w:sz w:val="18"/>
                <w:szCs w:val="18"/>
              </w:rPr>
              <w:t>泸州市财政</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局</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11"/>
              <w:ind w:left="23" w:right="12"/>
              <w:jc w:val="left"/>
              <w:rPr>
                <w:rFonts w:ascii="宋体" w:hAnsi="宋体" w:cs="宋体" w:eastAsia="宋体" w:hint="default"/>
                <w:sz w:val="18"/>
                <w:szCs w:val="18"/>
              </w:rPr>
            </w:pPr>
            <w:r>
              <w:rPr>
                <w:rFonts w:ascii="宋体" w:hAnsi="宋体" w:cs="宋体" w:eastAsia="宋体" w:hint="default"/>
                <w:spacing w:val="-14"/>
                <w:sz w:val="18"/>
                <w:szCs w:val="18"/>
              </w:rPr>
              <w:t>特定行业、产</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业而获得的</w:t>
            </w:r>
            <w:r>
              <w:rPr>
                <w:rFonts w:ascii="宋体" w:hAnsi="宋体" w:cs="宋体" w:eastAsia="宋体" w:hint="default"/>
                <w:w w:val="101"/>
                <w:sz w:val="18"/>
                <w:szCs w:val="18"/>
              </w:rPr>
              <w:t> </w:t>
            </w:r>
            <w:r>
              <w:rPr>
                <w:rFonts w:ascii="宋体" w:hAnsi="宋体" w:cs="宋体" w:eastAsia="宋体" w:hint="default"/>
                <w:spacing w:val="-14"/>
                <w:w w:val="101"/>
                <w:sz w:val="18"/>
                <w:szCs w:val="18"/>
              </w:rPr>
              <w:t>补助（按国家</w:t>
            </w:r>
            <w:r>
              <w:rPr>
                <w:rFonts w:ascii="宋体" w:hAnsi="宋体" w:cs="宋体" w:eastAsia="宋体" w:hint="default"/>
                <w:spacing w:val="-14"/>
                <w:sz w:val="18"/>
                <w:szCs w:val="18"/>
              </w:rPr>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105,000.00</w:t>
            </w: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12"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级政策规定</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54" w:hRule="exact"/>
        </w:trPr>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依法取得）</w:t>
            </w: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r>
        <w:trPr>
          <w:trHeight w:val="359" w:hRule="exact"/>
        </w:trPr>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因从事国家</w:t>
            </w: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vMerge w:val="restart"/>
            <w:tcBorders>
              <w:top w:val="single" w:sz="4" w:space="0" w:color="000000"/>
              <w:left w:val="single" w:sz="4" w:space="0" w:color="000000"/>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鼓励和扶持</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938"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312" w:lineRule="auto" w:before="11"/>
              <w:ind w:left="24" w:right="79"/>
              <w:jc w:val="left"/>
              <w:rPr>
                <w:rFonts w:ascii="宋体" w:hAnsi="宋体" w:cs="宋体" w:eastAsia="宋体" w:hint="default"/>
                <w:sz w:val="18"/>
                <w:szCs w:val="18"/>
              </w:rPr>
            </w:pPr>
            <w:r>
              <w:rPr>
                <w:rFonts w:ascii="宋体" w:hAnsi="宋体" w:cs="宋体" w:eastAsia="宋体" w:hint="default"/>
                <w:sz w:val="18"/>
                <w:szCs w:val="18"/>
              </w:rPr>
              <w:t>绿色印刷</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年上半</w:t>
            </w:r>
            <w:r>
              <w:rPr>
                <w:rFonts w:ascii="宋体" w:hAnsi="宋体" w:cs="宋体" w:eastAsia="宋体" w:hint="default"/>
                <w:w w:val="101"/>
                <w:sz w:val="18"/>
                <w:szCs w:val="18"/>
              </w:rPr>
              <w:t> </w:t>
            </w:r>
            <w:r>
              <w:rPr>
                <w:rFonts w:ascii="宋体" w:hAnsi="宋体" w:cs="宋体" w:eastAsia="宋体" w:hint="default"/>
                <w:sz w:val="18"/>
                <w:szCs w:val="18"/>
              </w:rPr>
              <w:t>年奖励款</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321" w:lineRule="auto"/>
              <w:ind w:left="23" w:right="122"/>
              <w:jc w:val="left"/>
              <w:rPr>
                <w:rFonts w:ascii="宋体" w:hAnsi="宋体" w:cs="宋体" w:eastAsia="宋体" w:hint="default"/>
                <w:sz w:val="18"/>
                <w:szCs w:val="18"/>
              </w:rPr>
            </w:pPr>
            <w:r>
              <w:rPr>
                <w:rFonts w:ascii="宋体" w:hAnsi="宋体" w:cs="宋体" w:eastAsia="宋体" w:hint="default"/>
                <w:spacing w:val="-2"/>
                <w:sz w:val="18"/>
                <w:szCs w:val="18"/>
              </w:rPr>
              <w:t>北京市新闻</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出版广电局</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left="24"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11"/>
              <w:ind w:left="23" w:right="12"/>
              <w:jc w:val="left"/>
              <w:rPr>
                <w:rFonts w:ascii="宋体" w:hAnsi="宋体" w:cs="宋体" w:eastAsia="宋体" w:hint="default"/>
                <w:sz w:val="18"/>
                <w:szCs w:val="18"/>
              </w:rPr>
            </w:pPr>
            <w:r>
              <w:rPr>
                <w:rFonts w:ascii="宋体" w:hAnsi="宋体" w:cs="宋体" w:eastAsia="宋体" w:hint="default"/>
                <w:spacing w:val="-14"/>
                <w:sz w:val="18"/>
                <w:szCs w:val="18"/>
              </w:rPr>
              <w:t>特定行业、产</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业而获得的</w:t>
            </w:r>
            <w:r>
              <w:rPr>
                <w:rFonts w:ascii="宋体" w:hAnsi="宋体" w:cs="宋体" w:eastAsia="宋体" w:hint="default"/>
                <w:w w:val="101"/>
                <w:sz w:val="18"/>
                <w:szCs w:val="18"/>
              </w:rPr>
              <w:t> </w:t>
            </w:r>
            <w:r>
              <w:rPr>
                <w:rFonts w:ascii="宋体" w:hAnsi="宋体" w:cs="宋体" w:eastAsia="宋体" w:hint="default"/>
                <w:spacing w:val="-14"/>
                <w:w w:val="101"/>
                <w:sz w:val="18"/>
                <w:szCs w:val="18"/>
              </w:rPr>
              <w:t>补助（按国家</w:t>
            </w:r>
            <w:r>
              <w:rPr>
                <w:rFonts w:ascii="宋体" w:hAnsi="宋体" w:cs="宋体" w:eastAsia="宋体" w:hint="default"/>
                <w:spacing w:val="-14"/>
                <w:sz w:val="18"/>
                <w:szCs w:val="18"/>
              </w:rPr>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right="22"/>
              <w:jc w:val="right"/>
              <w:rPr>
                <w:rFonts w:ascii="Times New Roman" w:hAnsi="Times New Roman" w:cs="Times New Roman" w:eastAsia="Times New Roman" w:hint="default"/>
                <w:sz w:val="18"/>
                <w:szCs w:val="18"/>
              </w:rPr>
            </w:pPr>
            <w:r>
              <w:rPr>
                <w:rFonts w:ascii="Times New Roman"/>
                <w:spacing w:val="-1"/>
                <w:sz w:val="18"/>
              </w:rPr>
              <w:t>107,996.00</w:t>
            </w: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12"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级政策规定</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54" w:hRule="exact"/>
        </w:trPr>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依法取得）</w:t>
            </w: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066"/>
        <w:gridCol w:w="1061"/>
        <w:gridCol w:w="1066"/>
        <w:gridCol w:w="1061"/>
        <w:gridCol w:w="1066"/>
        <w:gridCol w:w="1061"/>
        <w:gridCol w:w="1066"/>
        <w:gridCol w:w="1061"/>
        <w:gridCol w:w="1066"/>
      </w:tblGrid>
      <w:tr>
        <w:trPr>
          <w:trHeight w:val="357" w:hRule="exact"/>
        </w:trPr>
        <w:tc>
          <w:tcPr>
            <w:tcW w:w="1066" w:type="dxa"/>
            <w:tcBorders>
              <w:top w:val="single" w:sz="4" w:space="0" w:color="000000"/>
              <w:left w:val="single" w:sz="4" w:space="0" w:color="000000"/>
              <w:bottom w:val="nil" w:sz="6" w:space="0" w:color="auto"/>
              <w:right w:val="single" w:sz="4" w:space="0" w:color="000000"/>
            </w:tcBorders>
          </w:tcPr>
          <w:p>
            <w:pPr/>
          </w:p>
        </w:tc>
        <w:tc>
          <w:tcPr>
            <w:tcW w:w="1061" w:type="dxa"/>
            <w:vMerge w:val="restart"/>
            <w:tcBorders>
              <w:top w:val="single" w:sz="4" w:space="0" w:color="000000"/>
              <w:left w:val="single" w:sz="4" w:space="0" w:color="000000"/>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因从事国家</w:t>
            </w: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vMerge w:val="restart"/>
            <w:tcBorders>
              <w:top w:val="single" w:sz="4" w:space="0" w:color="000000"/>
              <w:left w:val="single" w:sz="4" w:space="0" w:color="000000"/>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310"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鼓励和扶持</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936"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316" w:lineRule="auto"/>
              <w:ind w:left="24" w:right="127"/>
              <w:jc w:val="left"/>
              <w:rPr>
                <w:rFonts w:ascii="宋体" w:hAnsi="宋体" w:cs="宋体" w:eastAsia="宋体" w:hint="default"/>
                <w:sz w:val="18"/>
                <w:szCs w:val="18"/>
              </w:rPr>
            </w:pPr>
            <w:r>
              <w:rPr>
                <w:rFonts w:ascii="宋体" w:hAnsi="宋体" w:cs="宋体" w:eastAsia="宋体" w:hint="default"/>
                <w:spacing w:val="-2"/>
                <w:sz w:val="18"/>
                <w:szCs w:val="18"/>
              </w:rPr>
              <w:t>无锡双龙发</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展扶持资金</w:t>
            </w: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11"/>
              <w:ind w:left="23" w:right="12"/>
              <w:jc w:val="left"/>
              <w:rPr>
                <w:rFonts w:ascii="宋体" w:hAnsi="宋体" w:cs="宋体" w:eastAsia="宋体" w:hint="default"/>
                <w:sz w:val="18"/>
                <w:szCs w:val="18"/>
              </w:rPr>
            </w:pPr>
            <w:r>
              <w:rPr>
                <w:rFonts w:ascii="宋体" w:hAnsi="宋体" w:cs="宋体" w:eastAsia="宋体" w:hint="default"/>
                <w:spacing w:val="-14"/>
                <w:sz w:val="18"/>
                <w:szCs w:val="18"/>
              </w:rPr>
              <w:t>特定行业、产</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业而获得的</w:t>
            </w:r>
            <w:r>
              <w:rPr>
                <w:rFonts w:ascii="宋体" w:hAnsi="宋体" w:cs="宋体" w:eastAsia="宋体" w:hint="default"/>
                <w:w w:val="101"/>
                <w:sz w:val="18"/>
                <w:szCs w:val="18"/>
              </w:rPr>
              <w:t> </w:t>
            </w:r>
            <w:r>
              <w:rPr>
                <w:rFonts w:ascii="宋体" w:hAnsi="宋体" w:cs="宋体" w:eastAsia="宋体" w:hint="default"/>
                <w:spacing w:val="-14"/>
                <w:w w:val="101"/>
                <w:sz w:val="18"/>
                <w:szCs w:val="18"/>
              </w:rPr>
              <w:t>补助（按国家</w:t>
            </w:r>
            <w:r>
              <w:rPr>
                <w:rFonts w:ascii="宋体" w:hAnsi="宋体" w:cs="宋体" w:eastAsia="宋体" w:hint="default"/>
                <w:spacing w:val="-14"/>
                <w:sz w:val="18"/>
                <w:szCs w:val="18"/>
              </w:rPr>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239,400.00</w:t>
            </w: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314"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级政策规定</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58" w:hRule="exact"/>
        </w:trPr>
        <w:tc>
          <w:tcPr>
            <w:tcW w:w="1066" w:type="dxa"/>
            <w:tcBorders>
              <w:top w:val="nil" w:sz="6" w:space="0" w:color="auto"/>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依法取得）</w:t>
            </w: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因承担国家</w:t>
            </w: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vMerge w:val="restart"/>
            <w:tcBorders>
              <w:top w:val="single" w:sz="4" w:space="0" w:color="000000"/>
              <w:left w:val="single" w:sz="4" w:space="0" w:color="000000"/>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310"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为保障某种</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公用事业或</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626"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316" w:lineRule="auto" w:before="16"/>
              <w:ind w:left="24" w:right="127"/>
              <w:jc w:val="left"/>
              <w:rPr>
                <w:rFonts w:ascii="宋体" w:hAnsi="宋体" w:cs="宋体" w:eastAsia="宋体" w:hint="default"/>
                <w:sz w:val="18"/>
                <w:szCs w:val="18"/>
              </w:rPr>
            </w:pPr>
            <w:r>
              <w:rPr>
                <w:rFonts w:ascii="宋体" w:hAnsi="宋体" w:cs="宋体" w:eastAsia="宋体" w:hint="default"/>
                <w:spacing w:val="-2"/>
                <w:sz w:val="18"/>
                <w:szCs w:val="18"/>
              </w:rPr>
              <w:t>个税手续费</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返还</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right="482"/>
              <w:jc w:val="right"/>
              <w:rPr>
                <w:rFonts w:ascii="宋体" w:hAnsi="宋体" w:cs="宋体" w:eastAsia="宋体" w:hint="default"/>
                <w:sz w:val="18"/>
                <w:szCs w:val="18"/>
              </w:rPr>
            </w:pPr>
            <w:r>
              <w:rPr>
                <w:rFonts w:ascii="宋体" w:hAnsi="宋体" w:cs="宋体" w:eastAsia="宋体" w:hint="default"/>
                <w:spacing w:val="-2"/>
                <w:sz w:val="18"/>
                <w:szCs w:val="18"/>
              </w:rPr>
              <w:t>税务局</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11"/>
              <w:ind w:left="23" w:right="122"/>
              <w:jc w:val="left"/>
              <w:rPr>
                <w:rFonts w:ascii="宋体" w:hAnsi="宋体" w:cs="宋体" w:eastAsia="宋体" w:hint="default"/>
                <w:sz w:val="18"/>
                <w:szCs w:val="18"/>
              </w:rPr>
            </w:pPr>
            <w:r>
              <w:rPr>
                <w:rFonts w:ascii="宋体" w:hAnsi="宋体" w:cs="宋体" w:eastAsia="宋体" w:hint="default"/>
                <w:spacing w:val="-2"/>
                <w:sz w:val="18"/>
                <w:szCs w:val="18"/>
              </w:rPr>
              <w:t>社会必要产</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品供应或价</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101,393.16</w:t>
            </w: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10"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格控制职能</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14"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而获得的补</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54" w:hRule="exact"/>
        </w:trPr>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w w:val="101"/>
                <w:sz w:val="18"/>
                <w:szCs w:val="18"/>
              </w:rPr>
              <w:t>助</w:t>
            </w:r>
            <w:r>
              <w:rPr>
                <w:rFonts w:ascii="宋体" w:hAnsi="宋体" w:cs="宋体" w:eastAsia="宋体" w:hint="default"/>
                <w:sz w:val="18"/>
                <w:szCs w:val="18"/>
              </w:rPr>
            </w: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r>
        <w:trPr>
          <w:trHeight w:val="359" w:hRule="exact"/>
        </w:trPr>
        <w:tc>
          <w:tcPr>
            <w:tcW w:w="1066" w:type="dxa"/>
            <w:tcBorders>
              <w:top w:val="single" w:sz="4" w:space="0" w:color="000000"/>
              <w:left w:val="single" w:sz="4" w:space="0" w:color="000000"/>
              <w:bottom w:val="nil" w:sz="6" w:space="0" w:color="auto"/>
              <w:right w:val="single" w:sz="4" w:space="0" w:color="000000"/>
            </w:tcBorders>
          </w:tcPr>
          <w:p>
            <w:pPr/>
          </w:p>
        </w:tc>
        <w:tc>
          <w:tcPr>
            <w:tcW w:w="1061" w:type="dxa"/>
            <w:vMerge w:val="restart"/>
            <w:tcBorders>
              <w:top w:val="single" w:sz="4" w:space="0" w:color="000000"/>
              <w:left w:val="single" w:sz="4" w:space="0" w:color="000000"/>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因承担国家</w:t>
            </w: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1" w:type="dxa"/>
            <w:vMerge w:val="restart"/>
            <w:tcBorders>
              <w:top w:val="single" w:sz="4" w:space="0" w:color="000000"/>
              <w:left w:val="single" w:sz="4" w:space="0" w:color="000000"/>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为保障某种</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公用事业或</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626"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321" w:lineRule="auto" w:before="11"/>
              <w:ind w:left="24" w:right="127"/>
              <w:jc w:val="left"/>
              <w:rPr>
                <w:rFonts w:ascii="宋体" w:hAnsi="宋体" w:cs="宋体" w:eastAsia="宋体" w:hint="default"/>
                <w:sz w:val="18"/>
                <w:szCs w:val="18"/>
              </w:rPr>
            </w:pPr>
            <w:r>
              <w:rPr>
                <w:rFonts w:ascii="宋体" w:hAnsi="宋体" w:cs="宋体" w:eastAsia="宋体" w:hint="default"/>
                <w:spacing w:val="-2"/>
                <w:sz w:val="18"/>
                <w:szCs w:val="18"/>
              </w:rPr>
              <w:t>其他政府补</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助</w:t>
            </w: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316" w:lineRule="auto" w:before="11"/>
              <w:ind w:left="23" w:right="122"/>
              <w:jc w:val="left"/>
              <w:rPr>
                <w:rFonts w:ascii="宋体" w:hAnsi="宋体" w:cs="宋体" w:eastAsia="宋体" w:hint="default"/>
                <w:sz w:val="18"/>
                <w:szCs w:val="18"/>
              </w:rPr>
            </w:pPr>
            <w:r>
              <w:rPr>
                <w:rFonts w:ascii="宋体" w:hAnsi="宋体" w:cs="宋体" w:eastAsia="宋体" w:hint="default"/>
                <w:spacing w:val="-2"/>
                <w:sz w:val="18"/>
                <w:szCs w:val="18"/>
              </w:rPr>
              <w:t>社会必要产</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品供应或价</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260,827.73</w:t>
            </w: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10"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格控制职能</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14" w:hRule="exact"/>
        </w:trPr>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而获得的补</w:t>
            </w:r>
          </w:p>
        </w:tc>
        <w:tc>
          <w:tcPr>
            <w:tcW w:w="106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c>
          <w:tcPr>
            <w:tcW w:w="1061" w:type="dxa"/>
            <w:vMerge/>
            <w:tcBorders>
              <w:left w:val="single" w:sz="4" w:space="0" w:color="000000"/>
              <w:right w:val="single" w:sz="4" w:space="0" w:color="000000"/>
            </w:tcBorders>
          </w:tcPr>
          <w:p>
            <w:pPr/>
          </w:p>
        </w:tc>
        <w:tc>
          <w:tcPr>
            <w:tcW w:w="1066" w:type="dxa"/>
            <w:tcBorders>
              <w:top w:val="nil" w:sz="6" w:space="0" w:color="auto"/>
              <w:left w:val="single" w:sz="4" w:space="0" w:color="000000"/>
              <w:bottom w:val="nil" w:sz="6" w:space="0" w:color="auto"/>
              <w:right w:val="single" w:sz="4" w:space="0" w:color="000000"/>
            </w:tcBorders>
          </w:tcPr>
          <w:p>
            <w:pPr/>
          </w:p>
        </w:tc>
      </w:tr>
      <w:tr>
        <w:trPr>
          <w:trHeight w:val="354" w:hRule="exact"/>
        </w:trPr>
        <w:tc>
          <w:tcPr>
            <w:tcW w:w="1066" w:type="dxa"/>
            <w:tcBorders>
              <w:top w:val="nil" w:sz="6" w:space="0" w:color="auto"/>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w w:val="101"/>
                <w:sz w:val="18"/>
                <w:szCs w:val="18"/>
              </w:rPr>
              <w:t>助</w:t>
            </w:r>
            <w:r>
              <w:rPr>
                <w:rFonts w:ascii="宋体" w:hAnsi="宋体" w:cs="宋体" w:eastAsia="宋体" w:hint="default"/>
                <w:sz w:val="18"/>
                <w:szCs w:val="18"/>
              </w:rPr>
            </w: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r>
        <w:trPr>
          <w:trHeight w:val="403" w:hRule="exact"/>
        </w:trPr>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460"/>
              <w:jc w:val="right"/>
              <w:rPr>
                <w:rFonts w:ascii="Times New Roman" w:hAnsi="Times New Roman" w:cs="Times New Roman" w:eastAsia="Times New Roman" w:hint="default"/>
                <w:sz w:val="18"/>
                <w:szCs w:val="18"/>
              </w:rPr>
            </w:pPr>
            <w:r>
              <w:rPr>
                <w:rFonts w:ascii="Times New Roman"/>
                <w:spacing w:val="-2"/>
                <w:sz w:val="18"/>
              </w:rPr>
              <w:t>--</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3" w:right="0"/>
              <w:jc w:val="center"/>
              <w:rPr>
                <w:rFonts w:ascii="Times New Roman" w:hAnsi="Times New Roman" w:cs="Times New Roman" w:eastAsia="Times New Roman" w:hint="default"/>
                <w:sz w:val="18"/>
                <w:szCs w:val="18"/>
              </w:rPr>
            </w:pPr>
            <w:r>
              <w:rPr>
                <w:rFonts w:ascii="Times New Roman"/>
                <w:sz w:val="18"/>
              </w:rPr>
              <w:t>--</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7" w:right="0"/>
              <w:jc w:val="center"/>
              <w:rPr>
                <w:rFonts w:ascii="Times New Roman" w:hAnsi="Times New Roman" w:cs="Times New Roman" w:eastAsia="Times New Roman" w:hint="default"/>
                <w:sz w:val="18"/>
                <w:szCs w:val="18"/>
              </w:rPr>
            </w:pPr>
            <w:r>
              <w:rPr>
                <w:rFonts w:ascii="Times New Roman"/>
                <w:sz w:val="18"/>
              </w:rPr>
              <w:t>--</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3" w:right="0"/>
              <w:jc w:val="center"/>
              <w:rPr>
                <w:rFonts w:ascii="Times New Roman" w:hAnsi="Times New Roman" w:cs="Times New Roman" w:eastAsia="Times New Roman" w:hint="default"/>
                <w:sz w:val="18"/>
                <w:szCs w:val="18"/>
              </w:rPr>
            </w:pPr>
            <w:r>
              <w:rPr>
                <w:rFonts w:ascii="Times New Roman"/>
                <w:sz w:val="18"/>
              </w:rPr>
              <w:t>--</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7" w:right="0"/>
              <w:jc w:val="center"/>
              <w:rPr>
                <w:rFonts w:ascii="Times New Roman" w:hAnsi="Times New Roman" w:cs="Times New Roman" w:eastAsia="Times New Roman" w:hint="default"/>
                <w:sz w:val="18"/>
                <w:szCs w:val="18"/>
              </w:rPr>
            </w:pPr>
            <w:r>
              <w:rPr>
                <w:rFonts w:ascii="Times New Roman"/>
                <w:sz w:val="18"/>
              </w:rPr>
              <w:t>--</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3,677,319.57</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76" w:right="0"/>
              <w:jc w:val="left"/>
              <w:rPr>
                <w:rFonts w:ascii="Times New Roman" w:hAnsi="Times New Roman" w:cs="Times New Roman" w:eastAsia="Times New Roman" w:hint="default"/>
                <w:sz w:val="18"/>
                <w:szCs w:val="18"/>
              </w:rPr>
            </w:pPr>
            <w:r>
              <w:rPr>
                <w:rFonts w:ascii="Times New Roman"/>
                <w:sz w:val="18"/>
              </w:rPr>
              <w:t>6,241,850.92</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3" w:right="0"/>
              <w:jc w:val="center"/>
              <w:rPr>
                <w:rFonts w:ascii="Times New Roman" w:hAnsi="Times New Roman" w:cs="Times New Roman" w:eastAsia="Times New Roman" w:hint="default"/>
                <w:sz w:val="18"/>
                <w:szCs w:val="18"/>
              </w:rPr>
            </w:pPr>
            <w:r>
              <w:rPr>
                <w:rFonts w:ascii="Times New Roman"/>
                <w:sz w:val="18"/>
              </w:rPr>
              <w:t>--</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256" w:lineRule="auto" w:before="89"/>
        <w:ind w:right="0" w:firstLine="422"/>
        <w:jc w:val="left"/>
      </w:pPr>
      <w:r>
        <w:rPr>
          <w:spacing w:val="-2"/>
        </w:rPr>
        <w:t>根据财政部和国家税务总局《关于促进残疾人就业税收优惠政策的通知》（财税字［</w:t>
      </w:r>
      <w:r>
        <w:rPr>
          <w:rFonts w:ascii="Times New Roman" w:hAnsi="Times New Roman" w:cs="Times New Roman" w:eastAsia="Times New Roman" w:hint="default"/>
          <w:spacing w:val="-2"/>
        </w:rPr>
        <w:t>2007</w:t>
      </w:r>
      <w:r>
        <w:rPr>
          <w:spacing w:val="-2"/>
        </w:rPr>
        <w:t>］</w:t>
      </w:r>
      <w:r>
        <w:rPr>
          <w:rFonts w:ascii="Times New Roman" w:hAnsi="Times New Roman" w:cs="Times New Roman" w:eastAsia="Times New Roman" w:hint="default"/>
          <w:spacing w:val="-2"/>
        </w:rPr>
        <w:t>92</w:t>
      </w:r>
      <w:r>
        <w:rPr>
          <w:spacing w:val="-2"/>
        </w:rPr>
        <w:t>号）的</w:t>
      </w:r>
      <w:r>
        <w:rPr>
          <w:w w:val="100"/>
        </w:rPr>
        <w:t> </w:t>
      </w:r>
      <w:r>
        <w:rPr/>
        <w:t>规定，本公司享受增值税的优惠政策为按照实际安置残疾人的人数，实行限额即征即退增值税。</w:t>
      </w:r>
    </w:p>
    <w:p>
      <w:pPr>
        <w:spacing w:line="240" w:lineRule="auto" w:before="9"/>
        <w:rPr>
          <w:rFonts w:ascii="宋体" w:hAnsi="宋体" w:cs="宋体" w:eastAsia="宋体" w:hint="default"/>
          <w:sz w:val="19"/>
          <w:szCs w:val="19"/>
        </w:rPr>
      </w:pPr>
    </w:p>
    <w:p>
      <w:pPr>
        <w:pStyle w:val="Heading4"/>
        <w:spacing w:line="240" w:lineRule="auto"/>
        <w:ind w:right="0"/>
        <w:jc w:val="left"/>
        <w:rPr>
          <w:b w:val="0"/>
          <w:bCs w:val="0"/>
        </w:rPr>
      </w:pPr>
      <w:r>
        <w:rPr>
          <w:rFonts w:ascii="Times New Roman" w:hAnsi="Times New Roman" w:cs="Times New Roman" w:eastAsia="Times New Roman" w:hint="default"/>
        </w:rPr>
        <w:t>70</w:t>
      </w:r>
      <w:r>
        <w:rPr/>
        <w:t>、营业外支出</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0"/>
        <w:gridCol w:w="2395"/>
        <w:gridCol w:w="2390"/>
        <w:gridCol w:w="2390"/>
      </w:tblGrid>
      <w:tr>
        <w:trPr>
          <w:trHeight w:val="158" w:hRule="exact"/>
        </w:trPr>
        <w:tc>
          <w:tcPr>
            <w:tcW w:w="2390"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5"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0"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0" w:type="dxa"/>
            <w:vMerge w:val="restart"/>
            <w:tcBorders>
              <w:top w:val="single" w:sz="4" w:space="0" w:color="000000"/>
              <w:left w:val="single" w:sz="4" w:space="0" w:color="000000"/>
              <w:right w:val="single" w:sz="4" w:space="0" w:color="000000"/>
            </w:tcBorders>
            <w:shd w:val="clear" w:color="auto" w:fill="D2D2D2"/>
          </w:tcPr>
          <w:p>
            <w:pPr>
              <w:pStyle w:val="TableParagraph"/>
              <w:spacing w:line="321" w:lineRule="auto" w:before="53"/>
              <w:ind w:left="1099" w:right="103" w:hanging="989"/>
              <w:jc w:val="left"/>
              <w:rPr>
                <w:rFonts w:ascii="宋体" w:hAnsi="宋体" w:cs="宋体" w:eastAsia="宋体" w:hint="default"/>
                <w:sz w:val="18"/>
                <w:szCs w:val="18"/>
              </w:rPr>
            </w:pPr>
            <w:r>
              <w:rPr>
                <w:rFonts w:ascii="宋体" w:hAnsi="宋体" w:cs="宋体" w:eastAsia="宋体" w:hint="default"/>
                <w:spacing w:val="-3"/>
                <w:sz w:val="18"/>
                <w:szCs w:val="18"/>
              </w:rPr>
              <w:t>计入当期非经常性损益的金</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额</w:t>
            </w:r>
          </w:p>
        </w:tc>
      </w:tr>
      <w:tr>
        <w:trPr>
          <w:trHeight w:val="394" w:hRule="exact"/>
        </w:trPr>
        <w:tc>
          <w:tcPr>
            <w:tcW w:w="23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4"/>
              <w:ind w:left="73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4"/>
              <w:ind w:left="739"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0" w:type="dxa"/>
            <w:vMerge/>
            <w:tcBorders>
              <w:left w:val="single" w:sz="4" w:space="0" w:color="000000"/>
              <w:right w:val="single" w:sz="4" w:space="0" w:color="000000"/>
            </w:tcBorders>
            <w:shd w:val="clear" w:color="auto" w:fill="D2D2D2"/>
          </w:tcPr>
          <w:p>
            <w:pPr/>
          </w:p>
        </w:tc>
      </w:tr>
      <w:tr>
        <w:trPr>
          <w:trHeight w:val="163" w:hRule="exact"/>
        </w:trPr>
        <w:tc>
          <w:tcPr>
            <w:tcW w:w="2390"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5"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0"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0"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pacing w:val="-3"/>
                <w:sz w:val="18"/>
                <w:szCs w:val="18"/>
              </w:rPr>
              <w:t>非流动资产处置损失合计</w:t>
            </w:r>
          </w:p>
        </w:tc>
        <w:tc>
          <w:tcPr>
            <w:tcW w:w="239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13,702.91</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407,497.89</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13,702.91</w:t>
            </w:r>
          </w:p>
        </w:tc>
      </w:tr>
      <w:tr>
        <w:trPr>
          <w:trHeight w:val="403"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其中：固定资产处置损失</w:t>
            </w:r>
          </w:p>
        </w:tc>
        <w:tc>
          <w:tcPr>
            <w:tcW w:w="239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13,702.91</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407,497.89</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13,702.91</w:t>
            </w:r>
          </w:p>
        </w:tc>
      </w:tr>
      <w:tr>
        <w:trPr>
          <w:trHeight w:val="398"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39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119,700.00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143,764.15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119,700.00</w:t>
            </w:r>
          </w:p>
        </w:tc>
      </w:tr>
      <w:tr>
        <w:trPr>
          <w:trHeight w:val="403"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127,387.88</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747,790.45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127,387.88</w:t>
            </w:r>
          </w:p>
        </w:tc>
      </w:tr>
      <w:tr>
        <w:trPr>
          <w:trHeight w:val="403"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260,790.79</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1,299,052.49</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260,790.79</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Heading4"/>
        <w:spacing w:line="335" w:lineRule="exact"/>
        <w:ind w:right="0"/>
        <w:jc w:val="left"/>
        <w:rPr>
          <w:b w:val="0"/>
          <w:bCs w:val="0"/>
        </w:rPr>
      </w:pPr>
      <w:r>
        <w:rPr>
          <w:rFonts w:ascii="Times New Roman" w:hAnsi="Times New Roman" w:cs="Times New Roman" w:eastAsia="Times New Roman" w:hint="default"/>
        </w:rPr>
        <w:t>71</w:t>
      </w:r>
      <w:r>
        <w:rPr/>
        <w:t>、所得税费用</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）所得税费用表</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6"/>
        <w:gridCol w:w="3202"/>
        <w:gridCol w:w="3192"/>
      </w:tblGrid>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98"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当期所得税费用</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13,665,573.88</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15,633,445.33</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递延所得税费用</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-12,403,927.73</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-18,154,391.67</w:t>
            </w:r>
          </w:p>
        </w:tc>
      </w:tr>
      <w:tr>
        <w:trPr>
          <w:trHeight w:val="403" w:hRule="exact"/>
        </w:trPr>
        <w:tc>
          <w:tcPr>
            <w:tcW w:w="3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1,261,646.15</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-2,520,946.34</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）会计利润与所得税费用调整过程</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4757"/>
        <w:gridCol w:w="4798"/>
      </w:tblGrid>
      <w:tr>
        <w:trPr>
          <w:trHeight w:val="398"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3"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79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18,222,520.51</w:t>
            </w:r>
          </w:p>
        </w:tc>
      </w:tr>
      <w:tr>
        <w:trPr>
          <w:trHeight w:val="403"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按法定</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适用税率计算的所得税费用</w:t>
            </w:r>
          </w:p>
        </w:tc>
        <w:tc>
          <w:tcPr>
            <w:tcW w:w="479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2,733,378.08</w:t>
            </w:r>
          </w:p>
        </w:tc>
      </w:tr>
      <w:tr>
        <w:trPr>
          <w:trHeight w:val="403"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子公司适用不同税率的影响</w:t>
            </w:r>
          </w:p>
        </w:tc>
        <w:tc>
          <w:tcPr>
            <w:tcW w:w="479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-1,157,202.07</w:t>
            </w:r>
          </w:p>
        </w:tc>
      </w:tr>
      <w:tr>
        <w:trPr>
          <w:trHeight w:val="398"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调整以前期间所得税的影响</w:t>
            </w:r>
          </w:p>
        </w:tc>
        <w:tc>
          <w:tcPr>
            <w:tcW w:w="479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244,651.23</w:t>
            </w:r>
          </w:p>
        </w:tc>
      </w:tr>
      <w:tr>
        <w:trPr>
          <w:trHeight w:val="403"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479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-1,591,189.74</w:t>
            </w:r>
          </w:p>
        </w:tc>
      </w:tr>
      <w:tr>
        <w:trPr>
          <w:trHeight w:val="403"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不可抵扣的成本、费用和损失的影响</w:t>
            </w:r>
          </w:p>
        </w:tc>
        <w:tc>
          <w:tcPr>
            <w:tcW w:w="479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2,654,660.41</w:t>
            </w:r>
          </w:p>
        </w:tc>
      </w:tr>
      <w:tr>
        <w:trPr>
          <w:trHeight w:val="403" w:hRule="exact"/>
        </w:trPr>
        <w:tc>
          <w:tcPr>
            <w:tcW w:w="4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研究开发费加成扣除的纳税影响（以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填列）</w:t>
            </w:r>
          </w:p>
        </w:tc>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-835,409.20</w:t>
            </w:r>
          </w:p>
        </w:tc>
      </w:tr>
      <w:tr>
        <w:trPr>
          <w:trHeight w:val="398" w:hRule="exact"/>
        </w:trPr>
        <w:tc>
          <w:tcPr>
            <w:tcW w:w="4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-787,242.55</w:t>
            </w:r>
          </w:p>
        </w:tc>
      </w:tr>
      <w:tr>
        <w:trPr>
          <w:trHeight w:val="403"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1,261,646.15</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72</w:t>
      </w:r>
      <w:r>
        <w:rPr/>
        <w:t>、其他综合收益</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详见附注。</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73</w:t>
      </w:r>
      <w:r>
        <w:rPr/>
        <w:t>、现金流量表项目</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）收到的其他与经营活动有关的现金</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1,250,557.55</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1,003,623.71</w:t>
            </w: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营业外收入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政府奖励款等其他收现</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3,290,866.69</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1,495,849.53</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其他往来款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13,627,666.12</w:t>
            </w:r>
          </w:p>
        </w:tc>
        <w:tc>
          <w:tcPr>
            <w:tcW w:w="319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汇票保证金收回</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13,948,332.48</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32,117,422.84</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2,499,473.24</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收到的其他与经营活动有关的现金说明：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）支付的其他与经营活动有关的现金</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398"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33,032,076.84</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31,289,600.43</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55,158,675.53</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33,430,435.70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293,615.82</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2,351,446.62</w:t>
            </w: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其他往来款</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14,454,816.89</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支付的汇票、信用证等保证金</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10,296,550.85</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捐赠赞助、罚款等</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119,700.00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891,554.60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88,604,068.19</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92,714,405.09</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支付的其他与经营活动有关的现金说明：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3</w:t>
      </w:r>
      <w:r>
        <w:rPr/>
        <w:t>）收到的其他与投资活动有关的现金</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无锡双龙收到与资产相关的政府补助</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8,926,715.35</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收购子公司科信盛彩收到的现金净额</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45,313,408.11</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54,240,123.46</w:t>
            </w:r>
          </w:p>
        </w:tc>
        <w:tc>
          <w:tcPr>
            <w:tcW w:w="3192" w:type="dxa"/>
            <w:tcBorders>
              <w:top w:val="single" w:sz="4" w:space="0" w:color="000000"/>
              <w:left w:val="single" w:sz="4" w:space="0" w:color="000000"/>
              <w:bottom w:val="single" w:sz="4" w:space="0" w:color="000000"/>
              <w:right w:val="single" w:sz="4" w:space="0" w:color="000000"/>
            </w:tcBorders>
          </w:tcPr>
          <w:p>
            <w:pP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收到的其他与投资活动有关的现金说明：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4</w:t>
      </w:r>
      <w:r>
        <w:rPr/>
        <w:t>）支付的其他与投资活动有关的现金</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收购科信盛彩多支付的投资款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50,486,894.63</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收购科信盛彩公司支付的费用</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750,000.00</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51,236,894.63</w:t>
            </w:r>
          </w:p>
        </w:tc>
        <w:tc>
          <w:tcPr>
            <w:tcW w:w="3192" w:type="dxa"/>
            <w:tcBorders>
              <w:top w:val="single" w:sz="4" w:space="0" w:color="000000"/>
              <w:left w:val="single" w:sz="4" w:space="0" w:color="000000"/>
              <w:bottom w:val="single" w:sz="4" w:space="0" w:color="000000"/>
              <w:right w:val="single" w:sz="4" w:space="0" w:color="000000"/>
            </w:tcBorders>
          </w:tcPr>
          <w:p>
            <w:pP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支付的其他与投资活动有关的现金说明：</w:t>
      </w:r>
    </w:p>
    <w:p>
      <w:pPr>
        <w:spacing w:after="0"/>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12"/>
        <w:rPr>
          <w:rFonts w:ascii="宋体" w:hAnsi="宋体" w:cs="宋体" w:eastAsia="宋体" w:hint="default"/>
          <w:sz w:val="24"/>
          <w:szCs w:val="24"/>
        </w:rPr>
      </w:pPr>
      <w:r>
        <w:rPr/>
        <w:pict>
          <v:group style="position:absolute;margin-left:224.399994pt;margin-top:747.440002pt;width:150pt;height:19.7pt;mso-position-horizontal-relative:page;mso-position-vertical-relative:page;z-index:-1068832" coordorigin="4488,14949" coordsize="3000,394">
            <v:shape style="position:absolute;left:4488;top:14949;width:3000;height:394" coordorigin="4488,14949" coordsize="3000,394" path="m4488,15342l7488,15342,7488,14949,4488,14949,4488,15342xe" filled="true" fillcolor="#ffffff" stroked="false">
              <v:path arrowok="t"/>
              <v:fill type="solid"/>
            </v:shape>
            <w10:wrap type="none"/>
          </v:group>
        </w:pict>
      </w:r>
    </w:p>
    <w:p>
      <w:pPr>
        <w:pStyle w:val="Heading4"/>
        <w:spacing w:line="335" w:lineRule="exact"/>
        <w:ind w:right="0"/>
        <w:jc w:val="left"/>
        <w:rPr>
          <w:b w:val="0"/>
          <w:bCs w:val="0"/>
        </w:rPr>
      </w:pPr>
      <w:r>
        <w:rPr/>
        <w:t>（</w:t>
      </w:r>
      <w:r>
        <w:rPr>
          <w:rFonts w:ascii="Times New Roman" w:hAnsi="Times New Roman" w:cs="Times New Roman" w:eastAsia="Times New Roman" w:hint="default"/>
        </w:rPr>
        <w:t>5</w:t>
      </w:r>
      <w:r>
        <w:rPr/>
        <w:t>）收到的其他与筹资活动有关的现金</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信用证借款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95,000,000.00</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股东尤丽娟借款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100,000,000.00</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员工持股计划收到资金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6,500,000.00</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201,500,000.00</w:t>
            </w:r>
          </w:p>
        </w:tc>
        <w:tc>
          <w:tcPr>
            <w:tcW w:w="3192" w:type="dxa"/>
            <w:tcBorders>
              <w:top w:val="single" w:sz="4" w:space="0" w:color="000000"/>
              <w:left w:val="single" w:sz="4" w:space="0" w:color="000000"/>
              <w:bottom w:val="single" w:sz="4" w:space="0" w:color="000000"/>
              <w:right w:val="single" w:sz="4" w:space="0" w:color="000000"/>
            </w:tcBorders>
          </w:tcPr>
          <w:p>
            <w:pP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收到的其他与筹资活动有关的现金说明：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6</w:t>
      </w:r>
      <w:r>
        <w:rPr/>
        <w:t>）支付的其他与筹资活动有关的现金</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偿还股东尤丽娟借款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3,600,000.00</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支付信用证保证金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75,000,000.00</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归还信用证借款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20,000,000.00</w:t>
            </w:r>
          </w:p>
        </w:tc>
        <w:tc>
          <w:tcPr>
            <w:tcW w:w="31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98,600,000.00</w:t>
            </w:r>
          </w:p>
        </w:tc>
        <w:tc>
          <w:tcPr>
            <w:tcW w:w="3192" w:type="dxa"/>
            <w:tcBorders>
              <w:top w:val="single" w:sz="4" w:space="0" w:color="000000"/>
              <w:left w:val="single" w:sz="4" w:space="0" w:color="000000"/>
              <w:bottom w:val="single" w:sz="4" w:space="0" w:color="000000"/>
              <w:right w:val="single" w:sz="4" w:space="0" w:color="000000"/>
            </w:tcBorders>
          </w:tcPr>
          <w:p>
            <w:pP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支付的其他与筹资活动有关的现金说明：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74</w:t>
      </w:r>
      <w:r>
        <w:rPr/>
        <w:t>、现金流量表补充资料</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）现金流量表补充资料</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05"/>
        <w:gridCol w:w="3067"/>
        <w:gridCol w:w="3182"/>
      </w:tblGrid>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30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1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．将净利润调节为经营活动现金流量：</w:t>
            </w:r>
          </w:p>
        </w:tc>
        <w:tc>
          <w:tcPr>
            <w:tcW w:w="30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7" w:right="0"/>
              <w:jc w:val="center"/>
              <w:rPr>
                <w:rFonts w:ascii="Times New Roman" w:hAnsi="Times New Roman" w:cs="Times New Roman" w:eastAsia="Times New Roman" w:hint="default"/>
                <w:sz w:val="18"/>
                <w:szCs w:val="18"/>
              </w:rPr>
            </w:pPr>
            <w:r>
              <w:rPr>
                <w:rFonts w:ascii="Times New Roman"/>
                <w:sz w:val="18"/>
              </w:rPr>
              <w:t>--</w:t>
            </w:r>
          </w:p>
        </w:tc>
        <w:tc>
          <w:tcPr>
            <w:tcW w:w="31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7"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06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16,960,874.36</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3"/>
                <w:sz w:val="18"/>
              </w:rPr>
              <w:t>36,443,111.23</w:t>
            </w:r>
          </w:p>
        </w:tc>
      </w:tr>
      <w:tr>
        <w:trPr>
          <w:trHeight w:val="398"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306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6,275,292.63</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15,135,595.60</w:t>
            </w:r>
          </w:p>
        </w:tc>
      </w:tr>
      <w:tr>
        <w:trPr>
          <w:trHeight w:val="715"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1" w:right="36"/>
              <w:jc w:val="left"/>
              <w:rPr>
                <w:rFonts w:ascii="宋体" w:hAnsi="宋体" w:cs="宋体" w:eastAsia="宋体" w:hint="default"/>
                <w:sz w:val="18"/>
                <w:szCs w:val="18"/>
              </w:rPr>
            </w:pPr>
            <w:r>
              <w:rPr>
                <w:rFonts w:ascii="宋体" w:hAnsi="宋体" w:cs="宋体" w:eastAsia="宋体" w:hint="default"/>
                <w:spacing w:val="-3"/>
                <w:sz w:val="18"/>
                <w:szCs w:val="18"/>
              </w:rPr>
              <w:t>固定资产折旧、油气资产折耗、生产性生</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z w:val="18"/>
                <w:szCs w:val="18"/>
              </w:rPr>
              <w:t>物资产折旧</w:t>
            </w:r>
          </w:p>
        </w:tc>
        <w:tc>
          <w:tcPr>
            <w:tcW w:w="306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38,312,174.72</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42,755,300.72</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06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2,239,146.56</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1,512,738.81</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306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1,641,819.16</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1,272,937.24</w:t>
            </w:r>
          </w:p>
        </w:tc>
      </w:tr>
      <w:tr>
        <w:trPr>
          <w:trHeight w:val="710"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36"/>
              <w:jc w:val="left"/>
              <w:rPr>
                <w:rFonts w:ascii="宋体" w:hAnsi="宋体" w:cs="宋体" w:eastAsia="宋体" w:hint="default"/>
                <w:sz w:val="18"/>
                <w:szCs w:val="18"/>
              </w:rPr>
            </w:pPr>
            <w:r>
              <w:rPr>
                <w:rFonts w:ascii="宋体" w:hAnsi="宋体" w:cs="宋体" w:eastAsia="宋体" w:hint="default"/>
                <w:spacing w:val="-3"/>
                <w:sz w:val="18"/>
                <w:szCs w:val="18"/>
              </w:rPr>
              <w:t>处置固定资产、无形资产和其他长期资产</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pacing w:val="-3"/>
                <w:sz w:val="18"/>
                <w:szCs w:val="18"/>
              </w:rPr>
              <w:t>的损失（收益以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306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-260,539.09</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370,779.99</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15,716,920.09</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8,514,939.62</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-45,520,265.00</w:t>
            </w:r>
          </w:p>
        </w:tc>
        <w:tc>
          <w:tcPr>
            <w:tcW w:w="318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05"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5"/>
                <w:sz w:val="18"/>
                <w:szCs w:val="18"/>
              </w:rPr>
              <w:t>递延所得税资产减少（增加以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号填列</w:t>
            </w:r>
          </w:p>
        </w:tc>
        <w:tc>
          <w:tcPr>
            <w:tcW w:w="3067" w:type="dxa"/>
            <w:tcBorders>
              <w:top w:val="single" w:sz="4" w:space="0" w:color="000000"/>
              <w:left w:val="single" w:sz="21" w:space="0" w:color="FFFFFF"/>
              <w:bottom w:val="single" w:sz="4" w:space="0" w:color="000000"/>
              <w:right w:val="single" w:sz="4" w:space="0" w:color="000000"/>
            </w:tcBorders>
          </w:tcPr>
          <w:p>
            <w:pPr>
              <w:pStyle w:val="TableParagraph"/>
              <w:tabs>
                <w:tab w:pos="1912" w:val="left" w:leader="none"/>
              </w:tabs>
              <w:spacing w:line="240" w:lineRule="auto" w:before="53"/>
              <w:ind w:left="-132" w:right="22"/>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pacing w:val="-1"/>
                <w:sz w:val="18"/>
                <w:szCs w:val="18"/>
              </w:rPr>
              <w:t>-12,403,927.73</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-18,154,391.67</w:t>
            </w:r>
          </w:p>
        </w:tc>
      </w:tr>
    </w:tbl>
    <w:p>
      <w:pPr>
        <w:spacing w:after="0" w:line="240" w:lineRule="auto"/>
        <w:jc w:val="right"/>
        <w:rPr>
          <w:rFonts w:ascii="Times New Roman" w:hAnsi="Times New Roman" w:cs="Times New Roman" w:eastAsia="Times New Roman" w:hint="default"/>
          <w:sz w:val="18"/>
          <w:szCs w:val="18"/>
        </w:rPr>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3305"/>
        <w:gridCol w:w="3067"/>
        <w:gridCol w:w="3182"/>
      </w:tblGrid>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存货的减少（增加以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306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5,948,086.34</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-20,390,279.79</w:t>
            </w:r>
          </w:p>
        </w:tc>
      </w:tr>
      <w:tr>
        <w:trPr>
          <w:trHeight w:val="710"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1" w:right="55"/>
              <w:jc w:val="left"/>
              <w:rPr>
                <w:rFonts w:ascii="宋体" w:hAnsi="宋体" w:cs="宋体" w:eastAsia="宋体" w:hint="default"/>
                <w:sz w:val="18"/>
                <w:szCs w:val="18"/>
              </w:rPr>
            </w:pPr>
            <w:r>
              <w:rPr>
                <w:rFonts w:ascii="宋体" w:hAnsi="宋体" w:cs="宋体" w:eastAsia="宋体" w:hint="default"/>
                <w:spacing w:val="-3"/>
                <w:sz w:val="18"/>
                <w:szCs w:val="18"/>
              </w:rPr>
              <w:t>经营性应收项目的减少（增加以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w:t>
            </w:r>
            <w:r>
              <w:rPr>
                <w:rFonts w:ascii="宋体" w:hAnsi="宋体" w:cs="宋体" w:eastAsia="宋体" w:hint="default"/>
                <w:spacing w:val="-31"/>
                <w:sz w:val="18"/>
                <w:szCs w:val="18"/>
              </w:rPr>
              <w:t> </w:t>
            </w:r>
            <w:r>
              <w:rPr>
                <w:rFonts w:ascii="宋体" w:hAnsi="宋体" w:cs="宋体" w:eastAsia="宋体" w:hint="default"/>
                <w:sz w:val="18"/>
                <w:szCs w:val="18"/>
              </w:rPr>
              <w:t>列）</w:t>
            </w:r>
          </w:p>
        </w:tc>
        <w:tc>
          <w:tcPr>
            <w:tcW w:w="306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83,386,831.64</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-100,017,804.49</w:t>
            </w:r>
          </w:p>
        </w:tc>
      </w:tr>
      <w:tr>
        <w:trPr>
          <w:trHeight w:val="715"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4" w:lineRule="auto" w:before="53"/>
              <w:ind w:left="11" w:right="55"/>
              <w:jc w:val="left"/>
              <w:rPr>
                <w:rFonts w:ascii="宋体" w:hAnsi="宋体" w:cs="宋体" w:eastAsia="宋体" w:hint="default"/>
                <w:sz w:val="18"/>
                <w:szCs w:val="18"/>
              </w:rPr>
            </w:pPr>
            <w:r>
              <w:rPr>
                <w:rFonts w:ascii="宋体" w:hAnsi="宋体" w:cs="宋体" w:eastAsia="宋体" w:hint="default"/>
                <w:spacing w:val="-3"/>
                <w:sz w:val="18"/>
                <w:szCs w:val="18"/>
              </w:rPr>
              <w:t>经营性应付项目的增加（减少以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w:t>
            </w:r>
            <w:r>
              <w:rPr>
                <w:rFonts w:ascii="宋体" w:hAnsi="宋体" w:cs="宋体" w:eastAsia="宋体" w:hint="default"/>
                <w:spacing w:val="-31"/>
                <w:sz w:val="18"/>
                <w:szCs w:val="18"/>
              </w:rPr>
              <w:t> </w:t>
            </w:r>
            <w:r>
              <w:rPr>
                <w:rFonts w:ascii="宋体" w:hAnsi="宋体" w:cs="宋体" w:eastAsia="宋体" w:hint="default"/>
                <w:sz w:val="18"/>
                <w:szCs w:val="18"/>
              </w:rPr>
              <w:t>列）</w:t>
            </w:r>
          </w:p>
        </w:tc>
        <w:tc>
          <w:tcPr>
            <w:tcW w:w="306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-11,644,354.24</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53,394,892.09</w:t>
            </w:r>
          </w:p>
        </w:tc>
      </w:tr>
      <w:tr>
        <w:trPr>
          <w:trHeight w:val="40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经营活动产生的现金流量净额</w:t>
            </w:r>
          </w:p>
        </w:tc>
        <w:tc>
          <w:tcPr>
            <w:tcW w:w="306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100,652,059.44</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20,837,819.35</w:t>
            </w:r>
          </w:p>
        </w:tc>
      </w:tr>
      <w:tr>
        <w:trPr>
          <w:trHeight w:val="157" w:hRule="exact"/>
        </w:trPr>
        <w:tc>
          <w:tcPr>
            <w:tcW w:w="3305" w:type="dxa"/>
            <w:vMerge w:val="restart"/>
            <w:tcBorders>
              <w:top w:val="single" w:sz="4" w:space="0" w:color="000000"/>
              <w:left w:val="single" w:sz="4" w:space="0" w:color="000000"/>
              <w:right w:val="single" w:sz="4" w:space="0" w:color="000000"/>
            </w:tcBorders>
            <w:shd w:val="clear" w:color="auto" w:fill="D2D2D2"/>
          </w:tcPr>
          <w:p>
            <w:pPr>
              <w:pStyle w:val="TableParagraph"/>
              <w:spacing w:line="300" w:lineRule="auto" w:before="53"/>
              <w:ind w:left="11" w:right="127"/>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．不涉及现金收支的重大投资和筹资活</w:t>
            </w:r>
            <w:r>
              <w:rPr>
                <w:rFonts w:ascii="宋体" w:hAnsi="宋体" w:cs="宋体" w:eastAsia="宋体" w:hint="default"/>
                <w:spacing w:val="-35"/>
                <w:sz w:val="18"/>
                <w:szCs w:val="18"/>
              </w:rPr>
              <w:t> </w:t>
            </w:r>
            <w:r>
              <w:rPr>
                <w:rFonts w:ascii="宋体" w:hAnsi="宋体" w:cs="宋体" w:eastAsia="宋体" w:hint="default"/>
                <w:spacing w:val="-35"/>
                <w:sz w:val="18"/>
                <w:szCs w:val="18"/>
              </w:rPr>
            </w:r>
            <w:r>
              <w:rPr>
                <w:rFonts w:ascii="宋体" w:hAnsi="宋体" w:cs="宋体" w:eastAsia="宋体" w:hint="default"/>
                <w:sz w:val="18"/>
                <w:szCs w:val="18"/>
              </w:rPr>
              <w:t>动：</w:t>
            </w:r>
          </w:p>
        </w:tc>
        <w:tc>
          <w:tcPr>
            <w:tcW w:w="3067" w:type="dxa"/>
            <w:tcBorders>
              <w:top w:val="single" w:sz="4" w:space="0" w:color="000000"/>
              <w:left w:val="single" w:sz="4" w:space="0" w:color="000000"/>
              <w:bottom w:val="nil" w:sz="6" w:space="0" w:color="auto"/>
              <w:right w:val="single" w:sz="4" w:space="0" w:color="000000"/>
            </w:tcBorders>
            <w:shd w:val="clear" w:color="auto" w:fill="D2D2D2"/>
          </w:tcPr>
          <w:p>
            <w:pPr/>
          </w:p>
        </w:tc>
        <w:tc>
          <w:tcPr>
            <w:tcW w:w="3182"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4" w:hRule="exact"/>
        </w:trPr>
        <w:tc>
          <w:tcPr>
            <w:tcW w:w="3305" w:type="dxa"/>
            <w:vMerge/>
            <w:tcBorders>
              <w:left w:val="single" w:sz="4" w:space="0" w:color="000000"/>
              <w:right w:val="single" w:sz="4" w:space="0" w:color="000000"/>
            </w:tcBorders>
            <w:shd w:val="clear" w:color="auto" w:fill="D2D2D2"/>
          </w:tcPr>
          <w:p>
            <w:pPr/>
          </w:p>
        </w:tc>
        <w:tc>
          <w:tcPr>
            <w:tcW w:w="30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6"/>
              <w:ind w:left="1473" w:right="0"/>
              <w:jc w:val="left"/>
              <w:rPr>
                <w:rFonts w:ascii="Times New Roman" w:hAnsi="Times New Roman" w:cs="Times New Roman" w:eastAsia="Times New Roman" w:hint="default"/>
                <w:sz w:val="18"/>
                <w:szCs w:val="18"/>
              </w:rPr>
            </w:pPr>
            <w:r>
              <w:rPr>
                <w:rFonts w:ascii="Times New Roman"/>
                <w:sz w:val="18"/>
              </w:rPr>
              <w:t>--</w:t>
            </w:r>
          </w:p>
        </w:tc>
        <w:tc>
          <w:tcPr>
            <w:tcW w:w="318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6"/>
              <w:ind w:left="1531" w:right="0"/>
              <w:jc w:val="left"/>
              <w:rPr>
                <w:rFonts w:ascii="Times New Roman" w:hAnsi="Times New Roman" w:cs="Times New Roman" w:eastAsia="Times New Roman" w:hint="default"/>
                <w:sz w:val="18"/>
                <w:szCs w:val="18"/>
              </w:rPr>
            </w:pPr>
            <w:r>
              <w:rPr>
                <w:rFonts w:ascii="Times New Roman"/>
                <w:sz w:val="18"/>
              </w:rPr>
              <w:t>--</w:t>
            </w:r>
          </w:p>
        </w:tc>
      </w:tr>
      <w:tr>
        <w:trPr>
          <w:trHeight w:val="163" w:hRule="exact"/>
        </w:trPr>
        <w:tc>
          <w:tcPr>
            <w:tcW w:w="3305" w:type="dxa"/>
            <w:vMerge/>
            <w:tcBorders>
              <w:left w:val="single" w:sz="4" w:space="0" w:color="000000"/>
              <w:bottom w:val="single" w:sz="4" w:space="0" w:color="000000"/>
              <w:right w:val="single" w:sz="4" w:space="0" w:color="000000"/>
            </w:tcBorders>
            <w:shd w:val="clear" w:color="auto" w:fill="D2D2D2"/>
          </w:tcPr>
          <w:p>
            <w:pPr/>
          </w:p>
        </w:tc>
        <w:tc>
          <w:tcPr>
            <w:tcW w:w="3067" w:type="dxa"/>
            <w:tcBorders>
              <w:top w:val="nil" w:sz="6" w:space="0" w:color="auto"/>
              <w:left w:val="single" w:sz="4" w:space="0" w:color="000000"/>
              <w:bottom w:val="single" w:sz="4" w:space="0" w:color="000000"/>
              <w:right w:val="single" w:sz="4" w:space="0" w:color="000000"/>
            </w:tcBorders>
            <w:shd w:val="clear" w:color="auto" w:fill="D2D2D2"/>
          </w:tcPr>
          <w:p>
            <w:pPr/>
          </w:p>
        </w:tc>
        <w:tc>
          <w:tcPr>
            <w:tcW w:w="3182"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98"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．现金及现金等价物净变动情况：</w:t>
            </w:r>
          </w:p>
        </w:tc>
        <w:tc>
          <w:tcPr>
            <w:tcW w:w="30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1473" w:right="0"/>
              <w:jc w:val="left"/>
              <w:rPr>
                <w:rFonts w:ascii="Times New Roman" w:hAnsi="Times New Roman" w:cs="Times New Roman" w:eastAsia="Times New Roman" w:hint="default"/>
                <w:sz w:val="18"/>
                <w:szCs w:val="18"/>
              </w:rPr>
            </w:pPr>
            <w:r>
              <w:rPr>
                <w:rFonts w:ascii="Times New Roman"/>
                <w:sz w:val="18"/>
              </w:rPr>
              <w:t>--</w:t>
            </w:r>
          </w:p>
        </w:tc>
        <w:tc>
          <w:tcPr>
            <w:tcW w:w="31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1531" w:right="0"/>
              <w:jc w:val="left"/>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现金的期末余额</w:t>
            </w:r>
          </w:p>
        </w:tc>
        <w:tc>
          <w:tcPr>
            <w:tcW w:w="306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421,916,458.49</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127,654,594.35</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减：现金的期初余额</w:t>
            </w:r>
          </w:p>
        </w:tc>
        <w:tc>
          <w:tcPr>
            <w:tcW w:w="306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127,654,594.35</w:t>
            </w:r>
          </w:p>
        </w:tc>
        <w:tc>
          <w:tcPr>
            <w:tcW w:w="318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减：现金等价物的期初余额</w:t>
            </w:r>
          </w:p>
        </w:tc>
        <w:tc>
          <w:tcPr>
            <w:tcW w:w="3067" w:type="dxa"/>
            <w:tcBorders>
              <w:top w:val="single" w:sz="4" w:space="0" w:color="000000"/>
              <w:left w:val="single" w:sz="8" w:space="0" w:color="D2D2D2"/>
              <w:bottom w:val="single" w:sz="4" w:space="0" w:color="000000"/>
              <w:right w:val="single" w:sz="4" w:space="0" w:color="000000"/>
            </w:tcBorders>
          </w:tcPr>
          <w:p>
            <w:pP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112,462,821.41</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现金及现金等价物净增加额</w:t>
            </w:r>
          </w:p>
        </w:tc>
        <w:tc>
          <w:tcPr>
            <w:tcW w:w="306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294,261,864.14</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15,191,772.94</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）本期支付的取得子公司的现金净额</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987"/>
        <w:gridCol w:w="4579"/>
      </w:tblGrid>
      <w:tr>
        <w:trPr>
          <w:trHeight w:val="403" w:hRule="exact"/>
        </w:trPr>
        <w:tc>
          <w:tcPr>
            <w:tcW w:w="498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3" w:hRule="exact"/>
        </w:trPr>
        <w:tc>
          <w:tcPr>
            <w:tcW w:w="49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本期发生的企业合并于本期支付的现金或现金等价物</w:t>
            </w:r>
          </w:p>
        </w:tc>
        <w:tc>
          <w:tcPr>
            <w:tcW w:w="45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112,713,105.37</w:t>
            </w:r>
          </w:p>
        </w:tc>
      </w:tr>
      <w:tr>
        <w:trPr>
          <w:trHeight w:val="398" w:hRule="exact"/>
        </w:trPr>
        <w:tc>
          <w:tcPr>
            <w:tcW w:w="49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3"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4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北京科信盛彩投资有限公司</w:t>
            </w:r>
          </w:p>
        </w:tc>
        <w:tc>
          <w:tcPr>
            <w:tcW w:w="4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112,713,105.37</w:t>
            </w:r>
          </w:p>
        </w:tc>
      </w:tr>
      <w:tr>
        <w:trPr>
          <w:trHeight w:val="403" w:hRule="exact"/>
        </w:trPr>
        <w:tc>
          <w:tcPr>
            <w:tcW w:w="49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减：购买日子公司持有的现金及现金等价物</w:t>
            </w:r>
          </w:p>
        </w:tc>
        <w:tc>
          <w:tcPr>
            <w:tcW w:w="45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158,026,513.48</w:t>
            </w:r>
          </w:p>
        </w:tc>
      </w:tr>
      <w:tr>
        <w:trPr>
          <w:trHeight w:val="403" w:hRule="exact"/>
        </w:trPr>
        <w:tc>
          <w:tcPr>
            <w:tcW w:w="49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3" w:right="0"/>
              <w:jc w:val="center"/>
              <w:rPr>
                <w:rFonts w:ascii="Times New Roman" w:hAnsi="Times New Roman" w:cs="Times New Roman" w:eastAsia="Times New Roman" w:hint="default"/>
                <w:sz w:val="18"/>
                <w:szCs w:val="18"/>
              </w:rPr>
            </w:pPr>
            <w:r>
              <w:rPr>
                <w:rFonts w:ascii="Times New Roman"/>
                <w:sz w:val="18"/>
              </w:rPr>
              <w:t>--</w:t>
            </w:r>
          </w:p>
        </w:tc>
      </w:tr>
      <w:tr>
        <w:trPr>
          <w:trHeight w:val="398" w:hRule="exact"/>
        </w:trPr>
        <w:tc>
          <w:tcPr>
            <w:tcW w:w="4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北京科信盛彩投资有限公司</w:t>
            </w:r>
          </w:p>
        </w:tc>
        <w:tc>
          <w:tcPr>
            <w:tcW w:w="4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158,026,513.48</w:t>
            </w:r>
          </w:p>
        </w:tc>
      </w:tr>
      <w:tr>
        <w:trPr>
          <w:trHeight w:val="403" w:hRule="exact"/>
        </w:trPr>
        <w:tc>
          <w:tcPr>
            <w:tcW w:w="49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3"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4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北京科信盛彩投资有限公司</w:t>
            </w:r>
          </w:p>
        </w:tc>
        <w:tc>
          <w:tcPr>
            <w:tcW w:w="457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9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取得子公司支付的现金净额</w:t>
            </w:r>
          </w:p>
        </w:tc>
        <w:tc>
          <w:tcPr>
            <w:tcW w:w="4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-45,313,408.11</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3</w:t>
      </w:r>
      <w:r>
        <w:rPr/>
        <w:t>）本期收到的处置子公司的现金净额</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987"/>
        <w:gridCol w:w="4579"/>
      </w:tblGrid>
      <w:tr>
        <w:trPr>
          <w:trHeight w:val="398" w:hRule="exact"/>
        </w:trPr>
        <w:tc>
          <w:tcPr>
            <w:tcW w:w="498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3" w:hRule="exact"/>
        </w:trPr>
        <w:tc>
          <w:tcPr>
            <w:tcW w:w="49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本期处置子公司于本期收到的现金或现金等价物</w:t>
            </w:r>
          </w:p>
        </w:tc>
        <w:tc>
          <w:tcPr>
            <w:tcW w:w="45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35,941.92</w:t>
            </w:r>
          </w:p>
        </w:tc>
      </w:tr>
      <w:tr>
        <w:trPr>
          <w:trHeight w:val="403" w:hRule="exact"/>
        </w:trPr>
        <w:tc>
          <w:tcPr>
            <w:tcW w:w="49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3"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4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广州鸿博文化传播有限公司</w:t>
            </w:r>
          </w:p>
        </w:tc>
        <w:tc>
          <w:tcPr>
            <w:tcW w:w="4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5,440.56</w:t>
            </w:r>
          </w:p>
        </w:tc>
      </w:tr>
      <w:tr>
        <w:trPr>
          <w:trHeight w:val="403" w:hRule="exact"/>
        </w:trPr>
        <w:tc>
          <w:tcPr>
            <w:tcW w:w="4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北京青禾阳光文化传播有限公司</w:t>
            </w:r>
          </w:p>
        </w:tc>
        <w:tc>
          <w:tcPr>
            <w:tcW w:w="4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30,501.36</w:t>
            </w:r>
          </w:p>
        </w:tc>
      </w:tr>
    </w:tbl>
    <w:p>
      <w:pPr>
        <w:spacing w:after="0" w:line="240" w:lineRule="auto"/>
        <w:jc w:val="right"/>
        <w:rPr>
          <w:rFonts w:ascii="Times New Roman" w:hAnsi="Times New Roman" w:cs="Times New Roman" w:eastAsia="Times New Roman" w:hint="default"/>
          <w:sz w:val="18"/>
          <w:szCs w:val="18"/>
        </w:rPr>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4987"/>
        <w:gridCol w:w="4579"/>
      </w:tblGrid>
      <w:tr>
        <w:trPr>
          <w:trHeight w:val="403" w:hRule="exact"/>
        </w:trPr>
        <w:tc>
          <w:tcPr>
            <w:tcW w:w="49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减：丧失控制权日子公司持有的现金及现金等价物</w:t>
            </w:r>
          </w:p>
        </w:tc>
        <w:tc>
          <w:tcPr>
            <w:tcW w:w="45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35,941.92</w:t>
            </w:r>
          </w:p>
        </w:tc>
      </w:tr>
      <w:tr>
        <w:trPr>
          <w:trHeight w:val="398" w:hRule="exact"/>
        </w:trPr>
        <w:tc>
          <w:tcPr>
            <w:tcW w:w="49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2227" w:right="0"/>
              <w:jc w:val="left"/>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4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广州鸿博文化传播有限公司</w:t>
            </w:r>
          </w:p>
        </w:tc>
        <w:tc>
          <w:tcPr>
            <w:tcW w:w="4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5,440.56</w:t>
            </w:r>
          </w:p>
        </w:tc>
      </w:tr>
      <w:tr>
        <w:trPr>
          <w:trHeight w:val="403" w:hRule="exact"/>
        </w:trPr>
        <w:tc>
          <w:tcPr>
            <w:tcW w:w="4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北京青禾阳光文化传播有限公司</w:t>
            </w:r>
          </w:p>
        </w:tc>
        <w:tc>
          <w:tcPr>
            <w:tcW w:w="4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30,501.36</w:t>
            </w:r>
          </w:p>
        </w:tc>
      </w:tr>
      <w:tr>
        <w:trPr>
          <w:trHeight w:val="403" w:hRule="exact"/>
        </w:trPr>
        <w:tc>
          <w:tcPr>
            <w:tcW w:w="49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2227" w:right="0"/>
              <w:jc w:val="left"/>
              <w:rPr>
                <w:rFonts w:ascii="Times New Roman" w:hAnsi="Times New Roman" w:cs="Times New Roman" w:eastAsia="Times New Roman" w:hint="default"/>
                <w:sz w:val="18"/>
                <w:szCs w:val="18"/>
              </w:rPr>
            </w:pPr>
            <w:r>
              <w:rPr>
                <w:rFonts w:ascii="Times New Roman"/>
                <w:sz w:val="18"/>
              </w:rPr>
              <w:t>--</w:t>
            </w:r>
          </w:p>
        </w:tc>
      </w:tr>
      <w:tr>
        <w:trPr>
          <w:trHeight w:val="398" w:hRule="exact"/>
        </w:trPr>
        <w:tc>
          <w:tcPr>
            <w:tcW w:w="4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广州鸿博文化传播有限公司</w:t>
            </w:r>
          </w:p>
        </w:tc>
        <w:tc>
          <w:tcPr>
            <w:tcW w:w="457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北京青禾阳光文化传播有限公司</w:t>
            </w:r>
          </w:p>
        </w:tc>
        <w:tc>
          <w:tcPr>
            <w:tcW w:w="457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9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处置子公司收到的现金净额</w:t>
            </w:r>
          </w:p>
        </w:tc>
        <w:tc>
          <w:tcPr>
            <w:tcW w:w="4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0.00</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273" w:lineRule="auto" w:before="89"/>
        <w:ind w:right="0" w:firstLine="422"/>
        <w:jc w:val="left"/>
      </w:pPr>
      <w:r>
        <w:rPr/>
        <w:t>子公司广州鸿博文化传播有限公司于2014年12月2日召开股东会决议解散，于2015年2月16日核准注</w:t>
      </w:r>
      <w:r>
        <w:rPr>
          <w:w w:val="100"/>
        </w:rPr>
        <w:t> </w:t>
      </w:r>
      <w:r>
        <w:rPr>
          <w:spacing w:val="-2"/>
        </w:rPr>
        <w:t>销；本公司之子公司北京青禾阳光文化传播有限公司于2015年2月12日召开股东会决议解散，于2015年9月</w:t>
      </w:r>
      <w:r>
        <w:rPr>
          <w:spacing w:val="-24"/>
        </w:rPr>
        <w:t> </w:t>
      </w:r>
      <w:r>
        <w:rPr>
          <w:spacing w:val="-24"/>
        </w:rPr>
      </w:r>
      <w:r>
        <w:rPr/>
        <w:t>15日核准注销。</w:t>
      </w:r>
    </w:p>
    <w:p>
      <w:pPr>
        <w:spacing w:line="240" w:lineRule="auto" w:before="8"/>
        <w:rPr>
          <w:rFonts w:ascii="宋体" w:hAnsi="宋体" w:cs="宋体" w:eastAsia="宋体" w:hint="default"/>
          <w:sz w:val="18"/>
          <w:szCs w:val="18"/>
        </w:rPr>
      </w:pPr>
    </w:p>
    <w:p>
      <w:pPr>
        <w:pStyle w:val="Heading4"/>
        <w:spacing w:line="240" w:lineRule="auto"/>
        <w:ind w:right="0"/>
        <w:jc w:val="left"/>
        <w:rPr>
          <w:b w:val="0"/>
          <w:bCs w:val="0"/>
        </w:rPr>
      </w:pPr>
      <w:r>
        <w:rPr/>
        <w:t>（</w:t>
      </w:r>
      <w:r>
        <w:rPr>
          <w:rFonts w:ascii="Times New Roman" w:hAnsi="Times New Roman" w:cs="Times New Roman" w:eastAsia="Times New Roman" w:hint="default"/>
        </w:rPr>
        <w:t>4</w:t>
      </w:r>
      <w:r>
        <w:rPr/>
        <w:t>）现金和现金等价物的构成</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05"/>
        <w:gridCol w:w="3067"/>
        <w:gridCol w:w="3182"/>
      </w:tblGrid>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5"/>
              <w:jc w:val="center"/>
              <w:rPr>
                <w:rFonts w:ascii="宋体" w:hAnsi="宋体" w:cs="宋体" w:eastAsia="宋体" w:hint="default"/>
                <w:sz w:val="18"/>
                <w:szCs w:val="18"/>
              </w:rPr>
            </w:pPr>
            <w:r>
              <w:rPr>
                <w:rFonts w:ascii="宋体" w:hAnsi="宋体" w:cs="宋体" w:eastAsia="宋体" w:hint="default"/>
                <w:sz w:val="18"/>
                <w:szCs w:val="18"/>
              </w:rPr>
              <w:t>项目</w:t>
            </w:r>
          </w:p>
        </w:tc>
        <w:tc>
          <w:tcPr>
            <w:tcW w:w="30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6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421,916,458.49</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127,654,594.35</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其中：库存现金</w:t>
            </w:r>
          </w:p>
        </w:tc>
        <w:tc>
          <w:tcPr>
            <w:tcW w:w="306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20,317.07</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14,954.40</w:t>
            </w:r>
          </w:p>
        </w:tc>
      </w:tr>
      <w:tr>
        <w:trPr>
          <w:trHeight w:val="398"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54" w:right="0"/>
              <w:jc w:val="left"/>
              <w:rPr>
                <w:rFonts w:ascii="宋体" w:hAnsi="宋体" w:cs="宋体" w:eastAsia="宋体" w:hint="default"/>
                <w:sz w:val="18"/>
                <w:szCs w:val="18"/>
              </w:rPr>
            </w:pPr>
            <w:r>
              <w:rPr>
                <w:rFonts w:ascii="宋体" w:hAnsi="宋体" w:cs="宋体" w:eastAsia="宋体" w:hint="default"/>
                <w:spacing w:val="-3"/>
                <w:sz w:val="18"/>
                <w:szCs w:val="18"/>
              </w:rPr>
              <w:t>可随时用于支付的银行存款</w:t>
            </w:r>
          </w:p>
        </w:tc>
        <w:tc>
          <w:tcPr>
            <w:tcW w:w="306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421,896,141.42</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127,639,639.95</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三、期末现金及现金等价物余额</w:t>
            </w:r>
          </w:p>
        </w:tc>
        <w:tc>
          <w:tcPr>
            <w:tcW w:w="306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421,916,458.49</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127,654,594.35</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75</w:t>
      </w:r>
      <w:r>
        <w:rPr/>
        <w:t>、所有者权益变动表项目注释</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说明对上年期末余额进行调整的“其他”项目名称及调整金额等事项：</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76</w:t>
      </w:r>
      <w:r>
        <w:rPr/>
        <w:t>、所有权或使用权受到限制的资产</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05"/>
        <w:gridCol w:w="3067"/>
        <w:gridCol w:w="3182"/>
      </w:tblGrid>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5"/>
              <w:jc w:val="center"/>
              <w:rPr>
                <w:rFonts w:ascii="宋体" w:hAnsi="宋体" w:cs="宋体" w:eastAsia="宋体" w:hint="default"/>
                <w:sz w:val="18"/>
                <w:szCs w:val="18"/>
              </w:rPr>
            </w:pPr>
            <w:r>
              <w:rPr>
                <w:rFonts w:ascii="宋体" w:hAnsi="宋体" w:cs="宋体" w:eastAsia="宋体" w:hint="default"/>
                <w:sz w:val="18"/>
                <w:szCs w:val="18"/>
              </w:rPr>
              <w:t>项目</w:t>
            </w:r>
          </w:p>
        </w:tc>
        <w:tc>
          <w:tcPr>
            <w:tcW w:w="30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88"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1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6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90,254,170.12</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保证金</w:t>
            </w:r>
          </w:p>
        </w:tc>
      </w:tr>
      <w:tr>
        <w:trPr>
          <w:trHeight w:val="317" w:hRule="exact"/>
        </w:trPr>
        <w:tc>
          <w:tcPr>
            <w:tcW w:w="3305" w:type="dxa"/>
            <w:tcBorders>
              <w:top w:val="single" w:sz="4" w:space="0" w:color="000000"/>
              <w:left w:val="single" w:sz="4" w:space="0" w:color="000000"/>
              <w:bottom w:val="nil" w:sz="6" w:space="0" w:color="auto"/>
              <w:right w:val="single" w:sz="4" w:space="0" w:color="000000"/>
            </w:tcBorders>
            <w:shd w:val="clear" w:color="auto" w:fill="D2D2D2"/>
          </w:tcPr>
          <w:p>
            <w:pPr/>
          </w:p>
        </w:tc>
        <w:tc>
          <w:tcPr>
            <w:tcW w:w="3067" w:type="dxa"/>
            <w:vMerge w:val="restart"/>
            <w:tcBorders>
              <w:top w:val="single" w:sz="4" w:space="0" w:color="000000"/>
              <w:left w:val="single" w:sz="8"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900" w:right="0"/>
              <w:jc w:val="left"/>
              <w:rPr>
                <w:rFonts w:ascii="Times New Roman" w:hAnsi="Times New Roman" w:cs="Times New Roman" w:eastAsia="Times New Roman" w:hint="default"/>
                <w:sz w:val="18"/>
                <w:szCs w:val="18"/>
              </w:rPr>
            </w:pPr>
            <w:r>
              <w:rPr>
                <w:rFonts w:ascii="Times New Roman"/>
                <w:sz w:val="18"/>
              </w:rPr>
              <w:t>142,084,976.70</w:t>
            </w:r>
          </w:p>
        </w:tc>
        <w:tc>
          <w:tcPr>
            <w:tcW w:w="3182" w:type="dxa"/>
            <w:vMerge w:val="restart"/>
            <w:tcBorders>
              <w:top w:val="single" w:sz="4" w:space="0" w:color="000000"/>
              <w:left w:val="single" w:sz="4" w:space="0" w:color="000000"/>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宋体" w:hAnsi="宋体" w:cs="宋体" w:eastAsia="宋体" w:hint="default"/>
                <w:spacing w:val="-2"/>
                <w:sz w:val="18"/>
                <w:szCs w:val="18"/>
              </w:rPr>
              <w:t>其中诉讼财产保全担保的资产</w:t>
            </w:r>
            <w:r>
              <w:rPr>
                <w:rFonts w:ascii="宋体" w:hAnsi="宋体" w:cs="宋体" w:eastAsia="宋体" w:hint="default"/>
                <w:spacing w:val="-3"/>
                <w:sz w:val="18"/>
                <w:szCs w:val="18"/>
              </w:rPr>
              <w:t> </w:t>
            </w:r>
            <w:r>
              <w:rPr>
                <w:rFonts w:ascii="Times New Roman" w:hAnsi="Times New Roman" w:cs="Times New Roman" w:eastAsia="Times New Roman" w:hint="default"/>
                <w:spacing w:val="-2"/>
                <w:sz w:val="18"/>
                <w:szCs w:val="18"/>
              </w:rPr>
              <w:t>4,826.98</w:t>
            </w:r>
          </w:p>
          <w:p>
            <w:pPr>
              <w:pStyle w:val="TableParagraph"/>
              <w:spacing w:line="304" w:lineRule="auto" w:before="58"/>
              <w:ind w:left="23" w:right="84"/>
              <w:jc w:val="left"/>
              <w:rPr>
                <w:rFonts w:ascii="宋体" w:hAnsi="宋体" w:cs="宋体" w:eastAsia="宋体" w:hint="default"/>
                <w:sz w:val="18"/>
                <w:szCs w:val="18"/>
              </w:rPr>
            </w:pPr>
            <w:r>
              <w:rPr>
                <w:rFonts w:ascii="宋体" w:hAnsi="宋体" w:cs="宋体" w:eastAsia="宋体" w:hint="default"/>
                <w:spacing w:val="-3"/>
                <w:sz w:val="18"/>
                <w:szCs w:val="18"/>
              </w:rPr>
              <w:t>万元，抵押担保的固定资产</w:t>
            </w:r>
            <w:r>
              <w:rPr>
                <w:rFonts w:ascii="宋体" w:hAnsi="宋体" w:cs="宋体" w:eastAsia="宋体" w:hint="default"/>
                <w:spacing w:val="-28"/>
                <w:sz w:val="18"/>
                <w:szCs w:val="18"/>
              </w:rPr>
              <w:t> </w:t>
            </w:r>
            <w:r>
              <w:rPr>
                <w:rFonts w:ascii="Times New Roman" w:hAnsi="Times New Roman" w:cs="Times New Roman" w:eastAsia="Times New Roman" w:hint="default"/>
                <w:sz w:val="18"/>
                <w:szCs w:val="18"/>
              </w:rPr>
              <w:t>9,351.51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万</w:t>
            </w:r>
            <w:r>
              <w:rPr>
                <w:rFonts w:ascii="宋体" w:hAnsi="宋体" w:cs="宋体" w:eastAsia="宋体" w:hint="default"/>
                <w:spacing w:val="-83"/>
                <w:sz w:val="18"/>
                <w:szCs w:val="18"/>
              </w:rPr>
              <w:t> </w:t>
            </w:r>
            <w:r>
              <w:rPr>
                <w:rFonts w:ascii="宋体" w:hAnsi="宋体" w:cs="宋体" w:eastAsia="宋体" w:hint="default"/>
                <w:sz w:val="18"/>
                <w:szCs w:val="18"/>
              </w:rPr>
              <w:t>元</w:t>
            </w:r>
          </w:p>
        </w:tc>
      </w:tr>
      <w:tr>
        <w:trPr>
          <w:trHeight w:val="394" w:hRule="exact"/>
        </w:trPr>
        <w:tc>
          <w:tcPr>
            <w:tcW w:w="330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067" w:type="dxa"/>
            <w:vMerge/>
            <w:tcBorders>
              <w:left w:val="single" w:sz="8" w:space="0" w:color="D2D2D2"/>
              <w:right w:val="single" w:sz="4" w:space="0" w:color="000000"/>
            </w:tcBorders>
          </w:tcPr>
          <w:p>
            <w:pPr/>
          </w:p>
        </w:tc>
        <w:tc>
          <w:tcPr>
            <w:tcW w:w="3182" w:type="dxa"/>
            <w:vMerge/>
            <w:tcBorders>
              <w:left w:val="single" w:sz="4" w:space="0" w:color="000000"/>
              <w:right w:val="single" w:sz="4" w:space="0" w:color="000000"/>
            </w:tcBorders>
          </w:tcPr>
          <w:p>
            <w:pPr/>
          </w:p>
        </w:tc>
      </w:tr>
      <w:tr>
        <w:trPr>
          <w:trHeight w:val="316" w:hRule="exact"/>
        </w:trPr>
        <w:tc>
          <w:tcPr>
            <w:tcW w:w="3305" w:type="dxa"/>
            <w:tcBorders>
              <w:top w:val="nil" w:sz="6" w:space="0" w:color="auto"/>
              <w:left w:val="single" w:sz="4" w:space="0" w:color="000000"/>
              <w:bottom w:val="single" w:sz="4" w:space="0" w:color="000000"/>
              <w:right w:val="single" w:sz="4" w:space="0" w:color="000000"/>
            </w:tcBorders>
            <w:shd w:val="clear" w:color="auto" w:fill="D2D2D2"/>
          </w:tcPr>
          <w:p>
            <w:pPr/>
          </w:p>
        </w:tc>
        <w:tc>
          <w:tcPr>
            <w:tcW w:w="3067" w:type="dxa"/>
            <w:vMerge/>
            <w:tcBorders>
              <w:left w:val="single" w:sz="8" w:space="0" w:color="D2D2D2"/>
              <w:bottom w:val="single" w:sz="4" w:space="0" w:color="000000"/>
              <w:right w:val="single" w:sz="4" w:space="0" w:color="000000"/>
            </w:tcBorders>
          </w:tcPr>
          <w:p>
            <w:pPr/>
          </w:p>
        </w:tc>
        <w:tc>
          <w:tcPr>
            <w:tcW w:w="3182" w:type="dxa"/>
            <w:vMerge/>
            <w:tcBorders>
              <w:left w:val="single" w:sz="4" w:space="0" w:color="000000"/>
              <w:bottom w:val="single" w:sz="4" w:space="0" w:color="000000"/>
              <w:right w:val="single" w:sz="4" w:space="0" w:color="000000"/>
            </w:tcBorders>
          </w:tcPr>
          <w:p>
            <w:pPr/>
          </w:p>
        </w:tc>
      </w:tr>
      <w:tr>
        <w:trPr>
          <w:trHeight w:val="398"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67" w:type="dxa"/>
            <w:tcBorders>
              <w:top w:val="single" w:sz="4" w:space="0" w:color="000000"/>
              <w:left w:val="single" w:sz="8" w:space="0" w:color="D2D2D2"/>
              <w:bottom w:val="single" w:sz="4" w:space="0" w:color="000000"/>
              <w:right w:val="single" w:sz="10" w:space="0" w:color="D2D2D2"/>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232,339,146.82</w:t>
            </w:r>
          </w:p>
        </w:tc>
        <w:tc>
          <w:tcPr>
            <w:tcW w:w="31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7" w:right="0"/>
              <w:jc w:val="center"/>
              <w:rPr>
                <w:rFonts w:ascii="Times New Roman" w:hAnsi="Times New Roman" w:cs="Times New Roman" w:eastAsia="Times New Roman" w:hint="default"/>
                <w:sz w:val="18"/>
                <w:szCs w:val="18"/>
              </w:rPr>
            </w:pPr>
            <w:r>
              <w:rPr>
                <w:rFonts w:ascii="Times New Roman"/>
                <w:sz w:val="18"/>
              </w:rPr>
              <w:t>--</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8"/>
        <w:rPr>
          <w:rFonts w:ascii="宋体" w:hAnsi="宋体" w:cs="宋体" w:eastAsia="宋体" w:hint="default"/>
          <w:sz w:val="26"/>
          <w:szCs w:val="26"/>
        </w:rPr>
      </w:pPr>
    </w:p>
    <w:p>
      <w:pPr>
        <w:pStyle w:val="BodyText"/>
        <w:spacing w:line="240" w:lineRule="auto"/>
        <w:ind w:left="575" w:right="0"/>
        <w:jc w:val="left"/>
      </w:pPr>
      <w:r>
        <w:rPr/>
        <w:t>使用权受到限制货币资金性质内容详见七、合并财务报表项目注释1货币资金；19、固定资产。</w:t>
      </w:r>
    </w:p>
    <w:p>
      <w:pPr>
        <w:spacing w:after="0" w:line="240" w:lineRule="auto"/>
        <w:jc w:val="left"/>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Heading4"/>
        <w:spacing w:line="335" w:lineRule="exact"/>
        <w:ind w:right="0"/>
        <w:jc w:val="left"/>
        <w:rPr>
          <w:b w:val="0"/>
          <w:bCs w:val="0"/>
        </w:rPr>
      </w:pPr>
      <w:r>
        <w:rPr>
          <w:rFonts w:ascii="Times New Roman" w:hAnsi="Times New Roman" w:cs="Times New Roman" w:eastAsia="Times New Roman" w:hint="default"/>
        </w:rPr>
        <w:t>77</w:t>
      </w:r>
      <w:r>
        <w:rPr/>
        <w:t>、外币货币性项目</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）外币货币性项目</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472"/>
        <w:gridCol w:w="2306"/>
        <w:gridCol w:w="2386"/>
        <w:gridCol w:w="2390"/>
      </w:tblGrid>
      <w:tr>
        <w:trPr>
          <w:trHeight w:val="403" w:hRule="exact"/>
        </w:trPr>
        <w:tc>
          <w:tcPr>
            <w:tcW w:w="24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11" w:right="0"/>
              <w:jc w:val="left"/>
              <w:rPr>
                <w:rFonts w:ascii="宋体" w:hAnsi="宋体" w:cs="宋体" w:eastAsia="宋体" w:hint="default"/>
                <w:sz w:val="18"/>
                <w:szCs w:val="18"/>
              </w:rPr>
            </w:pPr>
            <w:r>
              <w:rPr>
                <w:rFonts w:ascii="宋体" w:hAnsi="宋体" w:cs="宋体" w:eastAsia="宋体" w:hint="default"/>
                <w:sz w:val="18"/>
                <w:szCs w:val="18"/>
              </w:rPr>
              <w:t>期末外币余额</w:t>
            </w:r>
          </w:p>
        </w:tc>
        <w:tc>
          <w:tcPr>
            <w:tcW w:w="23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7"/>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9" w:right="0"/>
              <w:jc w:val="left"/>
              <w:rPr>
                <w:rFonts w:ascii="宋体" w:hAnsi="宋体" w:cs="宋体" w:eastAsia="宋体" w:hint="default"/>
                <w:sz w:val="18"/>
                <w:szCs w:val="18"/>
              </w:rPr>
            </w:pPr>
            <w:r>
              <w:rPr>
                <w:rFonts w:ascii="宋体" w:hAnsi="宋体" w:cs="宋体" w:eastAsia="宋体" w:hint="default"/>
                <w:spacing w:val="-3"/>
                <w:sz w:val="18"/>
                <w:szCs w:val="18"/>
              </w:rPr>
              <w:t>期末折算人民币余额</w:t>
            </w:r>
          </w:p>
        </w:tc>
      </w:tr>
      <w:tr>
        <w:trPr>
          <w:trHeight w:val="398" w:hRule="exact"/>
        </w:trPr>
        <w:tc>
          <w:tcPr>
            <w:tcW w:w="24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131,211.71</w:t>
            </w:r>
          </w:p>
        </w:tc>
        <w:tc>
          <w:tcPr>
            <w:tcW w:w="2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9" w:right="0"/>
              <w:jc w:val="left"/>
              <w:rPr>
                <w:rFonts w:ascii="Times New Roman" w:hAnsi="Times New Roman" w:cs="Times New Roman" w:eastAsia="Times New Roman" w:hint="default"/>
                <w:sz w:val="18"/>
                <w:szCs w:val="18"/>
              </w:rPr>
            </w:pPr>
            <w:r>
              <w:rPr>
                <w:rFonts w:ascii="Times New Roman"/>
                <w:sz w:val="18"/>
              </w:rPr>
              <w:t>6.4936</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852,036.36</w:t>
            </w:r>
          </w:p>
        </w:tc>
      </w:tr>
      <w:tr>
        <w:trPr>
          <w:trHeight w:val="403" w:hRule="exact"/>
        </w:trPr>
        <w:tc>
          <w:tcPr>
            <w:tcW w:w="24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54" w:right="0"/>
              <w:jc w:val="left"/>
              <w:rPr>
                <w:rFonts w:ascii="宋体" w:hAnsi="宋体" w:cs="宋体" w:eastAsia="宋体" w:hint="default"/>
                <w:sz w:val="18"/>
                <w:szCs w:val="18"/>
              </w:rPr>
            </w:pPr>
            <w:r>
              <w:rPr>
                <w:rFonts w:ascii="宋体" w:hAnsi="宋体" w:cs="宋体" w:eastAsia="宋体" w:hint="default"/>
                <w:spacing w:val="-3"/>
                <w:sz w:val="18"/>
                <w:szCs w:val="18"/>
              </w:rPr>
              <w:t>欧元</w:t>
            </w:r>
          </w:p>
        </w:tc>
        <w:tc>
          <w:tcPr>
            <w:tcW w:w="23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1.45</w:t>
            </w:r>
          </w:p>
        </w:tc>
        <w:tc>
          <w:tcPr>
            <w:tcW w:w="2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9" w:right="0"/>
              <w:jc w:val="left"/>
              <w:rPr>
                <w:rFonts w:ascii="Times New Roman" w:hAnsi="Times New Roman" w:cs="Times New Roman" w:eastAsia="Times New Roman" w:hint="default"/>
                <w:sz w:val="18"/>
                <w:szCs w:val="18"/>
              </w:rPr>
            </w:pPr>
            <w:r>
              <w:rPr>
                <w:rFonts w:ascii="Times New Roman"/>
                <w:sz w:val="18"/>
              </w:rPr>
              <w:t>7.0894</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10.29</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2"/>
        <w:rPr>
          <w:rFonts w:ascii="宋体" w:hAnsi="宋体" w:cs="宋体" w:eastAsia="宋体" w:hint="default"/>
          <w:sz w:val="26"/>
          <w:szCs w:val="26"/>
        </w:rPr>
      </w:pPr>
    </w:p>
    <w:p>
      <w:pPr>
        <w:pStyle w:val="Heading4"/>
        <w:spacing w:line="308" w:lineRule="exact"/>
        <w:ind w:right="0"/>
        <w:jc w:val="left"/>
        <w:rPr>
          <w:b w:val="0"/>
          <w:bCs w:val="0"/>
        </w:rPr>
      </w:pPr>
      <w:r>
        <w:rPr/>
        <w:t>（</w:t>
      </w:r>
      <w:r>
        <w:rPr>
          <w:rFonts w:ascii="Times New Roman" w:hAnsi="Times New Roman" w:cs="Times New Roman" w:eastAsia="Times New Roman" w:hint="default"/>
        </w:rPr>
        <w:t>2</w:t>
      </w:r>
      <w:r>
        <w:rPr/>
        <w:t>）境外经营实体说明，包括对于重要的境外经营实体，应披露其境外主要经营地、记账本位币及选择</w:t>
      </w:r>
      <w:r>
        <w:rPr>
          <w:spacing w:val="23"/>
        </w:rPr>
        <w:t> </w:t>
      </w:r>
      <w:r>
        <w:rPr>
          <w:spacing w:val="23"/>
        </w:rPr>
      </w:r>
      <w:r>
        <w:rPr/>
        <w:t>依据，记账本位币发生变化的还应披露原因。</w:t>
      </w:r>
      <w:r>
        <w:rPr>
          <w:b w:val="0"/>
          <w:bCs w:val="0"/>
        </w:rPr>
      </w:r>
    </w:p>
    <w:p>
      <w:pPr>
        <w:spacing w:line="240" w:lineRule="auto" w:before="7"/>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78</w:t>
      </w:r>
      <w:r>
        <w:rPr/>
        <w:t>、套期</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按照套期类别披露套期项目及相关套期工具、被套期风险的定性和定量信息：</w:t>
      </w:r>
    </w:p>
    <w:p>
      <w:pPr>
        <w:spacing w:line="240" w:lineRule="auto" w:before="7"/>
        <w:rPr>
          <w:rFonts w:ascii="宋体" w:hAnsi="宋体" w:cs="宋体" w:eastAsia="宋体" w:hint="default"/>
          <w:sz w:val="21"/>
          <w:szCs w:val="21"/>
        </w:rPr>
      </w:pPr>
    </w:p>
    <w:p>
      <w:pPr>
        <w:spacing w:line="374" w:lineRule="auto" w:before="0"/>
        <w:ind w:left="152" w:right="735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79</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b/>
          <w:bCs/>
          <w:spacing w:val="-48"/>
          <w:sz w:val="21"/>
          <w:szCs w:val="21"/>
        </w:rPr>
        <w:t> </w:t>
      </w:r>
      <w:r>
        <w:rPr>
          <w:rFonts w:ascii="Microsoft JhengHei" w:hAnsi="Microsoft JhengHei" w:cs="Microsoft JhengHei" w:eastAsia="Microsoft JhengHei" w:hint="default"/>
          <w:b/>
          <w:bCs/>
          <w:sz w:val="24"/>
          <w:szCs w:val="24"/>
        </w:rPr>
        <w:t>八、合并范围的变更</w:t>
      </w:r>
      <w:r>
        <w:rPr>
          <w:rFonts w:ascii="Microsoft JhengHei" w:hAnsi="Microsoft JhengHei" w:cs="Microsoft JhengHei" w:eastAsia="Microsoft JhengHei" w:hint="default"/>
          <w:b/>
          <w:bCs/>
          <w:spacing w:val="-53"/>
          <w:sz w:val="24"/>
          <w:szCs w:val="24"/>
        </w:rPr>
        <w:t> </w:t>
      </w:r>
      <w:r>
        <w:rPr>
          <w:rFonts w:ascii="Microsoft JhengHei" w:hAnsi="Microsoft JhengHei" w:cs="Microsoft JhengHei" w:eastAsia="Microsoft JhengHei" w:hint="default"/>
          <w:b/>
          <w:bCs/>
          <w:spacing w:val="-53"/>
          <w:sz w:val="24"/>
          <w:szCs w:val="24"/>
        </w:rPr>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、非同一控制下企业合并</w:t>
      </w:r>
      <w:r>
        <w:rPr>
          <w:rFonts w:ascii="Microsoft JhengHei" w:hAnsi="Microsoft JhengHei" w:cs="Microsoft JhengHei" w:eastAsia="Microsoft JhengHei" w:hint="default"/>
          <w:sz w:val="21"/>
          <w:szCs w:val="21"/>
        </w:rPr>
      </w:r>
    </w:p>
    <w:p>
      <w:pPr>
        <w:pStyle w:val="Heading4"/>
        <w:spacing w:line="240" w:lineRule="auto" w:before="92"/>
        <w:ind w:right="0"/>
        <w:jc w:val="left"/>
        <w:rPr>
          <w:b w:val="0"/>
          <w:bCs w:val="0"/>
        </w:rPr>
      </w:pPr>
      <w:r>
        <w:rPr/>
        <w:t>（</w:t>
      </w:r>
      <w:r>
        <w:rPr>
          <w:rFonts w:ascii="Times New Roman" w:hAnsi="Times New Roman" w:cs="Times New Roman" w:eastAsia="Times New Roman" w:hint="default"/>
        </w:rPr>
        <w:t>1</w:t>
      </w:r>
      <w:r>
        <w:rPr/>
        <w:t>）本期发生的非同一控制下企业合并</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061"/>
        <w:gridCol w:w="1066"/>
        <w:gridCol w:w="1066"/>
        <w:gridCol w:w="1061"/>
        <w:gridCol w:w="1066"/>
        <w:gridCol w:w="1066"/>
        <w:gridCol w:w="1061"/>
        <w:gridCol w:w="1061"/>
        <w:gridCol w:w="1066"/>
      </w:tblGrid>
      <w:tr>
        <w:trPr>
          <w:trHeight w:val="1027" w:hRule="exact"/>
        </w:trPr>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436" w:right="70" w:hanging="360"/>
              <w:jc w:val="left"/>
              <w:rPr>
                <w:rFonts w:ascii="宋体" w:hAnsi="宋体" w:cs="宋体" w:eastAsia="宋体" w:hint="default"/>
                <w:sz w:val="18"/>
                <w:szCs w:val="18"/>
              </w:rPr>
            </w:pPr>
            <w:r>
              <w:rPr>
                <w:rFonts w:ascii="宋体" w:hAnsi="宋体" w:cs="宋体" w:eastAsia="宋体" w:hint="default"/>
                <w:spacing w:val="-2"/>
                <w:sz w:val="18"/>
                <w:szCs w:val="18"/>
              </w:rPr>
              <w:t>被购买方名</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称</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436" w:right="74" w:hanging="360"/>
              <w:jc w:val="left"/>
              <w:rPr>
                <w:rFonts w:ascii="宋体" w:hAnsi="宋体" w:cs="宋体" w:eastAsia="宋体" w:hint="default"/>
                <w:sz w:val="18"/>
                <w:szCs w:val="18"/>
              </w:rPr>
            </w:pPr>
            <w:r>
              <w:rPr>
                <w:rFonts w:ascii="宋体" w:hAnsi="宋体" w:cs="宋体" w:eastAsia="宋体" w:hint="default"/>
                <w:spacing w:val="-2"/>
                <w:sz w:val="18"/>
                <w:szCs w:val="18"/>
              </w:rPr>
              <w:t>股权取得时</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点</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436" w:right="74" w:hanging="360"/>
              <w:jc w:val="left"/>
              <w:rPr>
                <w:rFonts w:ascii="宋体" w:hAnsi="宋体" w:cs="宋体" w:eastAsia="宋体" w:hint="default"/>
                <w:sz w:val="18"/>
                <w:szCs w:val="18"/>
              </w:rPr>
            </w:pPr>
            <w:r>
              <w:rPr>
                <w:rFonts w:ascii="宋体" w:hAnsi="宋体" w:cs="宋体" w:eastAsia="宋体" w:hint="default"/>
                <w:spacing w:val="-2"/>
                <w:sz w:val="18"/>
                <w:szCs w:val="18"/>
              </w:rPr>
              <w:t>股权取得成</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本</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436" w:right="70" w:hanging="360"/>
              <w:jc w:val="left"/>
              <w:rPr>
                <w:rFonts w:ascii="宋体" w:hAnsi="宋体" w:cs="宋体" w:eastAsia="宋体" w:hint="default"/>
                <w:sz w:val="18"/>
                <w:szCs w:val="18"/>
              </w:rPr>
            </w:pPr>
            <w:r>
              <w:rPr>
                <w:rFonts w:ascii="宋体" w:hAnsi="宋体" w:cs="宋体" w:eastAsia="宋体" w:hint="default"/>
                <w:spacing w:val="-2"/>
                <w:sz w:val="18"/>
                <w:szCs w:val="18"/>
              </w:rPr>
              <w:t>股权取得比</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例</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436" w:right="74" w:hanging="360"/>
              <w:jc w:val="left"/>
              <w:rPr>
                <w:rFonts w:ascii="宋体" w:hAnsi="宋体" w:cs="宋体" w:eastAsia="宋体" w:hint="default"/>
                <w:sz w:val="18"/>
                <w:szCs w:val="18"/>
              </w:rPr>
            </w:pPr>
            <w:r>
              <w:rPr>
                <w:rFonts w:ascii="宋体" w:hAnsi="宋体" w:cs="宋体" w:eastAsia="宋体" w:hint="default"/>
                <w:spacing w:val="-2"/>
                <w:sz w:val="18"/>
                <w:szCs w:val="18"/>
              </w:rPr>
              <w:t>股权取得方</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式</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254" w:right="0"/>
              <w:jc w:val="left"/>
              <w:rPr>
                <w:rFonts w:ascii="宋体" w:hAnsi="宋体" w:cs="宋体" w:eastAsia="宋体" w:hint="default"/>
                <w:sz w:val="18"/>
                <w:szCs w:val="18"/>
              </w:rPr>
            </w:pPr>
            <w:r>
              <w:rPr>
                <w:rFonts w:ascii="宋体" w:hAnsi="宋体" w:cs="宋体" w:eastAsia="宋体" w:hint="default"/>
                <w:sz w:val="18"/>
                <w:szCs w:val="18"/>
              </w:rPr>
              <w:t>购买日</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254" w:right="70" w:hanging="178"/>
              <w:jc w:val="left"/>
              <w:rPr>
                <w:rFonts w:ascii="宋体" w:hAnsi="宋体" w:cs="宋体" w:eastAsia="宋体" w:hint="default"/>
                <w:sz w:val="18"/>
                <w:szCs w:val="18"/>
              </w:rPr>
            </w:pPr>
            <w:r>
              <w:rPr>
                <w:rFonts w:ascii="宋体" w:hAnsi="宋体" w:cs="宋体" w:eastAsia="宋体" w:hint="default"/>
                <w:spacing w:val="-2"/>
                <w:sz w:val="18"/>
                <w:szCs w:val="18"/>
              </w:rPr>
              <w:t>购买日的确</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定依据</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76" w:right="70"/>
              <w:jc w:val="center"/>
              <w:rPr>
                <w:rFonts w:ascii="宋体" w:hAnsi="宋体" w:cs="宋体" w:eastAsia="宋体" w:hint="default"/>
                <w:sz w:val="18"/>
                <w:szCs w:val="18"/>
              </w:rPr>
            </w:pPr>
            <w:r>
              <w:rPr>
                <w:rFonts w:ascii="宋体" w:hAnsi="宋体" w:cs="宋体" w:eastAsia="宋体" w:hint="default"/>
                <w:spacing w:val="-2"/>
                <w:sz w:val="18"/>
                <w:szCs w:val="18"/>
              </w:rPr>
              <w:t>购买日至期</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末被购买方</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的收入</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76" w:right="74"/>
              <w:jc w:val="both"/>
              <w:rPr>
                <w:rFonts w:ascii="宋体" w:hAnsi="宋体" w:cs="宋体" w:eastAsia="宋体" w:hint="default"/>
                <w:sz w:val="18"/>
                <w:szCs w:val="18"/>
              </w:rPr>
            </w:pPr>
            <w:r>
              <w:rPr>
                <w:rFonts w:ascii="宋体" w:hAnsi="宋体" w:cs="宋体" w:eastAsia="宋体" w:hint="default"/>
                <w:spacing w:val="-2"/>
                <w:sz w:val="18"/>
                <w:szCs w:val="18"/>
              </w:rPr>
              <w:t>购买日至期</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末被购买方</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的净利润</w:t>
            </w:r>
          </w:p>
        </w:tc>
      </w:tr>
      <w:tr>
        <w:trPr>
          <w:trHeight w:val="1339"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316" w:lineRule="auto"/>
              <w:ind w:left="24" w:right="122"/>
              <w:jc w:val="both"/>
              <w:rPr>
                <w:rFonts w:ascii="宋体" w:hAnsi="宋体" w:cs="宋体" w:eastAsia="宋体" w:hint="default"/>
                <w:sz w:val="18"/>
                <w:szCs w:val="18"/>
              </w:rPr>
            </w:pPr>
            <w:r>
              <w:rPr>
                <w:rFonts w:ascii="宋体" w:hAnsi="宋体" w:cs="宋体" w:eastAsia="宋体" w:hint="default"/>
                <w:spacing w:val="-2"/>
                <w:sz w:val="18"/>
                <w:szCs w:val="18"/>
              </w:rPr>
              <w:t>北京科信盛</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彩投资有限</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2"/>
                <w:sz w:val="18"/>
              </w:rPr>
              <w:t>112,713,105.</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37</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383" w:right="0"/>
              <w:jc w:val="left"/>
              <w:rPr>
                <w:rFonts w:ascii="Times New Roman" w:hAnsi="Times New Roman" w:cs="Times New Roman" w:eastAsia="Times New Roman" w:hint="default"/>
                <w:sz w:val="18"/>
                <w:szCs w:val="18"/>
              </w:rPr>
            </w:pPr>
            <w:r>
              <w:rPr>
                <w:rFonts w:ascii="Times New Roman"/>
                <w:sz w:val="18"/>
              </w:rPr>
              <w:t>100.00%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收购</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3" w:right="122"/>
              <w:jc w:val="both"/>
              <w:rPr>
                <w:rFonts w:ascii="宋体" w:hAnsi="宋体" w:cs="宋体" w:eastAsia="宋体" w:hint="default"/>
                <w:sz w:val="18"/>
                <w:szCs w:val="18"/>
              </w:rPr>
            </w:pPr>
            <w:r>
              <w:rPr>
                <w:rFonts w:ascii="宋体" w:hAnsi="宋体" w:cs="宋体" w:eastAsia="宋体" w:hint="default"/>
                <w:spacing w:val="-2"/>
                <w:sz w:val="18"/>
                <w:szCs w:val="18"/>
              </w:rPr>
              <w:t>已完成相关</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股权转让的</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工商变更登</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记手续</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0.00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0.00</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273" w:lineRule="auto" w:before="89"/>
        <w:ind w:right="0" w:firstLine="422"/>
        <w:jc w:val="left"/>
      </w:pPr>
      <w:r>
        <w:rPr/>
        <w:t>本集团于2015年11月17日召开第三届董事会第十二次会议以及2015年12月3日召开的2015年第五次临</w:t>
      </w:r>
      <w:r>
        <w:rPr>
          <w:w w:val="100"/>
        </w:rPr>
        <w:t> </w:t>
      </w:r>
      <w:r>
        <w:rPr>
          <w:spacing w:val="-2"/>
        </w:rPr>
        <w:t>时股东大会审议通过了《关于收购北京科信盛彩投资有限公司》，于2015年12月25日完成了北京科信盛彩</w:t>
      </w:r>
      <w:r>
        <w:rPr>
          <w:spacing w:val="-27"/>
        </w:rPr>
        <w:t> </w:t>
      </w:r>
      <w:r>
        <w:rPr>
          <w:spacing w:val="-27"/>
        </w:rPr>
      </w:r>
      <w:r>
        <w:rPr/>
        <w:t>投资有限公司（以下简称科信盛彩）的工商变更登记手续。</w:t>
      </w:r>
    </w:p>
    <w:p>
      <w:pPr>
        <w:spacing w:line="240" w:lineRule="auto" w:before="8"/>
        <w:rPr>
          <w:rFonts w:ascii="宋体" w:hAnsi="宋体" w:cs="宋体" w:eastAsia="宋体" w:hint="default"/>
          <w:sz w:val="18"/>
          <w:szCs w:val="18"/>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）合并成本及商誉</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after="0"/>
        <w:jc w:val="right"/>
        <w:rPr>
          <w:rFonts w:ascii="宋体" w:hAnsi="宋体" w:cs="宋体" w:eastAsia="宋体" w:hint="default"/>
          <w:sz w:val="18"/>
          <w:szCs w:val="18"/>
        </w:rPr>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4786"/>
        <w:gridCol w:w="4781"/>
      </w:tblGrid>
      <w:tr>
        <w:trPr>
          <w:trHeight w:val="403" w:hRule="exact"/>
        </w:trPr>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合并成本</w:t>
            </w:r>
          </w:p>
        </w:tc>
        <w:tc>
          <w:tcPr>
            <w:tcW w:w="4781" w:type="dxa"/>
            <w:tcBorders>
              <w:top w:val="single" w:sz="4" w:space="0" w:color="000000"/>
              <w:left w:val="single" w:sz="4" w:space="0" w:color="000000"/>
              <w:bottom w:val="single" w:sz="4" w:space="0" w:color="000000"/>
              <w:right w:val="single" w:sz="4" w:space="0" w:color="000000"/>
            </w:tcBorders>
            <w:shd w:val="clear" w:color="auto" w:fill="E0FFFF"/>
          </w:tcPr>
          <w:p>
            <w:pPr/>
          </w:p>
        </w:tc>
      </w:tr>
      <w:tr>
        <w:trPr>
          <w:trHeight w:val="398" w:hRule="exact"/>
        </w:trPr>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现金</w:t>
            </w:r>
          </w:p>
        </w:tc>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112,713,105.37</w:t>
            </w:r>
          </w:p>
        </w:tc>
      </w:tr>
      <w:tr>
        <w:trPr>
          <w:trHeight w:val="403" w:hRule="exact"/>
        </w:trPr>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合并成本合计</w:t>
            </w:r>
          </w:p>
        </w:tc>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112,713,105.37</w:t>
            </w:r>
          </w:p>
        </w:tc>
      </w:tr>
      <w:tr>
        <w:trPr>
          <w:trHeight w:val="403" w:hRule="exact"/>
        </w:trPr>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减：取得的可辨认净资产公允价值份额</w:t>
            </w:r>
          </w:p>
        </w:tc>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49,391,752.24</w:t>
            </w:r>
          </w:p>
        </w:tc>
      </w:tr>
      <w:tr>
        <w:trPr>
          <w:trHeight w:val="715" w:hRule="exact"/>
        </w:trPr>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24" w:right="194"/>
              <w:jc w:val="left"/>
              <w:rPr>
                <w:rFonts w:ascii="宋体" w:hAnsi="宋体" w:cs="宋体" w:eastAsia="宋体" w:hint="default"/>
                <w:sz w:val="18"/>
                <w:szCs w:val="18"/>
              </w:rPr>
            </w:pPr>
            <w:r>
              <w:rPr>
                <w:rFonts w:ascii="宋体" w:hAnsi="宋体" w:cs="宋体" w:eastAsia="宋体" w:hint="default"/>
                <w:spacing w:val="-3"/>
                <w:sz w:val="18"/>
                <w:szCs w:val="18"/>
              </w:rPr>
              <w:t>商誉</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合并成本小于取得的可辨认净资产公允价值份额的金</w:t>
            </w:r>
            <w:r>
              <w:rPr>
                <w:rFonts w:ascii="宋体" w:hAnsi="宋体" w:cs="宋体" w:eastAsia="宋体" w:hint="default"/>
                <w:spacing w:val="-11"/>
                <w:sz w:val="18"/>
                <w:szCs w:val="18"/>
              </w:rPr>
              <w:t> </w:t>
            </w:r>
            <w:r>
              <w:rPr>
                <w:rFonts w:ascii="宋体" w:hAnsi="宋体" w:cs="宋体" w:eastAsia="宋体" w:hint="default"/>
                <w:spacing w:val="-11"/>
                <w:sz w:val="18"/>
                <w:szCs w:val="18"/>
              </w:rPr>
            </w:r>
            <w:r>
              <w:rPr>
                <w:rFonts w:ascii="宋体" w:hAnsi="宋体" w:cs="宋体" w:eastAsia="宋体" w:hint="default"/>
                <w:sz w:val="18"/>
                <w:szCs w:val="18"/>
              </w:rPr>
              <w:t>额</w:t>
            </w:r>
          </w:p>
        </w:tc>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63,321,353.13</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合并成本公允价值的确定方法、或有对价及其变动的说明：</w:t>
      </w:r>
    </w:p>
    <w:p>
      <w:pPr>
        <w:spacing w:line="240" w:lineRule="auto" w:before="9"/>
        <w:rPr>
          <w:rFonts w:ascii="宋体" w:hAnsi="宋体" w:cs="宋体" w:eastAsia="宋体" w:hint="default"/>
          <w:sz w:val="12"/>
          <w:szCs w:val="12"/>
        </w:rPr>
      </w:pPr>
    </w:p>
    <w:p>
      <w:pPr>
        <w:pStyle w:val="BodyText"/>
        <w:spacing w:line="240" w:lineRule="auto"/>
        <w:ind w:left="575" w:right="0"/>
        <w:jc w:val="left"/>
      </w:pPr>
      <w:r>
        <w:rPr/>
        <w:t>（1）合并成本的确定</w:t>
      </w:r>
    </w:p>
    <w:p>
      <w:pPr>
        <w:spacing w:line="240" w:lineRule="auto" w:before="5"/>
        <w:rPr>
          <w:rFonts w:ascii="宋体" w:hAnsi="宋体" w:cs="宋体" w:eastAsia="宋体" w:hint="default"/>
          <w:sz w:val="19"/>
          <w:szCs w:val="19"/>
        </w:rPr>
      </w:pPr>
    </w:p>
    <w:p>
      <w:pPr>
        <w:pStyle w:val="BodyText"/>
        <w:spacing w:line="273" w:lineRule="auto"/>
        <w:ind w:right="122" w:firstLine="422"/>
        <w:jc w:val="both"/>
      </w:pPr>
      <w:r>
        <w:rPr>
          <w:spacing w:val="-2"/>
        </w:rPr>
        <w:t>根据本公司与科信盛彩原股东天津华科创业投资合伙企业（有限合伙）（以下简称天津华科）、新疆</w:t>
      </w:r>
      <w:r>
        <w:rPr>
          <w:w w:val="100"/>
        </w:rPr>
        <w:t> </w:t>
      </w:r>
      <w:r>
        <w:rPr>
          <w:spacing w:val="-2"/>
        </w:rPr>
        <w:t>通泰股权投资有限公司合伙企业（以下简称新疆通泰）签订的《北京科信盛彩投资有限公司股权转让协议</w:t>
      </w:r>
      <w:r>
        <w:rPr>
          <w:spacing w:val="-35"/>
        </w:rPr>
        <w:t> </w:t>
      </w:r>
      <w:r>
        <w:rPr>
          <w:spacing w:val="-35"/>
        </w:rPr>
      </w:r>
      <w:r>
        <w:rPr>
          <w:spacing w:val="-2"/>
        </w:rPr>
        <w:t>书》《北京科信盛彩投资有限公司股权转让补充协议书》（以下简称“股权转让协议书并补充协议”），</w:t>
      </w:r>
      <w:r>
        <w:rPr>
          <w:spacing w:val="-16"/>
        </w:rPr>
        <w:t> </w:t>
      </w:r>
      <w:r>
        <w:rPr>
          <w:spacing w:val="-16"/>
        </w:rPr>
      </w:r>
      <w:r>
        <w:rPr>
          <w:spacing w:val="-2"/>
        </w:rPr>
        <w:t>本公司以现金收购科信盛彩原股东天津华科持有的80.00%股权，新疆通泰持有的20.00%的股权，并间接持</w:t>
      </w:r>
      <w:r>
        <w:rPr>
          <w:spacing w:val="-25"/>
        </w:rPr>
        <w:t> </w:t>
      </w:r>
      <w:r>
        <w:rPr>
          <w:spacing w:val="-25"/>
        </w:rPr>
      </w:r>
      <w:r>
        <w:rPr/>
        <w:t>有科信盛彩持有的中科彩公司51.00%的股权。</w:t>
      </w:r>
    </w:p>
    <w:p>
      <w:pPr>
        <w:spacing w:line="240" w:lineRule="auto" w:before="1"/>
        <w:rPr>
          <w:rFonts w:ascii="宋体" w:hAnsi="宋体" w:cs="宋体" w:eastAsia="宋体" w:hint="default"/>
          <w:sz w:val="17"/>
          <w:szCs w:val="17"/>
        </w:rPr>
      </w:pPr>
    </w:p>
    <w:p>
      <w:pPr>
        <w:pStyle w:val="BodyText"/>
        <w:spacing w:line="273" w:lineRule="auto"/>
        <w:ind w:right="142" w:firstLine="528"/>
        <w:jc w:val="both"/>
      </w:pPr>
      <w:r>
        <w:rPr/>
        <w:t>“股权转让协议书并补充协议”约定转让价款为人民币20,400万元，并约定了中科彩公司业绩承诺</w:t>
      </w:r>
      <w:r>
        <w:rPr>
          <w:w w:val="100"/>
        </w:rPr>
        <w:t> </w:t>
      </w:r>
      <w:r>
        <w:rPr>
          <w:spacing w:val="-2"/>
        </w:rPr>
        <w:t>条款，原股东天津华科、新疆通泰承诺，中科彩公司2015年实现的经具有证券从业资格会计师事务所审计</w:t>
      </w:r>
      <w:r>
        <w:rPr>
          <w:spacing w:val="-37"/>
        </w:rPr>
        <w:t> </w:t>
      </w:r>
      <w:r>
        <w:rPr>
          <w:spacing w:val="-37"/>
        </w:rPr>
      </w:r>
      <w:r>
        <w:rPr/>
        <w:t>确认的扣除非经常性损益后的净利润不低于人民币3,800万元。若中科彩公司业绩承诺未实现，原股东天</w:t>
      </w:r>
      <w:r>
        <w:rPr>
          <w:spacing w:val="-32"/>
        </w:rPr>
        <w:t> </w:t>
      </w:r>
      <w:r>
        <w:rPr>
          <w:spacing w:val="-32"/>
        </w:rPr>
      </w:r>
      <w:r>
        <w:rPr>
          <w:spacing w:val="-7"/>
        </w:rPr>
        <w:t>津华科、新疆通泰将按照其在科信盛彩的持股比例以现金方式向本集团母公司补偿，补偿计算方式根据“股</w:t>
      </w:r>
      <w:r>
        <w:rPr>
          <w:spacing w:val="-8"/>
        </w:rPr>
        <w:t> </w:t>
      </w:r>
      <w:r>
        <w:rPr>
          <w:spacing w:val="-8"/>
        </w:rPr>
      </w:r>
      <w:r>
        <w:rPr/>
        <w:t>权转让协议书并补充协议”约定方式计算。</w:t>
      </w:r>
    </w:p>
    <w:p>
      <w:pPr>
        <w:spacing w:line="240" w:lineRule="auto" w:before="1"/>
        <w:rPr>
          <w:rFonts w:ascii="宋体" w:hAnsi="宋体" w:cs="宋体" w:eastAsia="宋体" w:hint="default"/>
          <w:sz w:val="17"/>
          <w:szCs w:val="17"/>
        </w:rPr>
      </w:pPr>
    </w:p>
    <w:p>
      <w:pPr>
        <w:pStyle w:val="BodyText"/>
        <w:spacing w:line="273" w:lineRule="auto"/>
        <w:ind w:right="137" w:firstLine="422"/>
        <w:jc w:val="both"/>
      </w:pPr>
      <w:r>
        <w:rPr>
          <w:spacing w:val="-2"/>
        </w:rPr>
        <w:t>另外，“股权转让协议书并补充协议”约定就中科彩公司外方股东对科信盛彩公司收取的彩票游戏产</w:t>
      </w:r>
      <w:r>
        <w:rPr>
          <w:w w:val="100"/>
        </w:rPr>
        <w:t> </w:t>
      </w:r>
      <w:r>
        <w:rPr>
          <w:spacing w:val="-2"/>
        </w:rPr>
        <w:t>品技术服务费事项进行补偿，由原股东天津华科、新疆通泰将按照其在科信盛彩的持股比例以现金方式向</w:t>
      </w:r>
      <w:r>
        <w:rPr>
          <w:spacing w:val="-35"/>
        </w:rPr>
        <w:t> </w:t>
      </w:r>
      <w:r>
        <w:rPr>
          <w:spacing w:val="-35"/>
        </w:rPr>
      </w:r>
      <w:r>
        <w:rPr/>
        <w:t>本公司补偿，补偿计算方式根据“股权转让协议书并补充协议”约定方式计算。</w:t>
      </w:r>
    </w:p>
    <w:p>
      <w:pPr>
        <w:spacing w:line="240" w:lineRule="auto" w:before="1"/>
        <w:rPr>
          <w:rFonts w:ascii="宋体" w:hAnsi="宋体" w:cs="宋体" w:eastAsia="宋体" w:hint="default"/>
          <w:sz w:val="17"/>
          <w:szCs w:val="17"/>
        </w:rPr>
      </w:pPr>
    </w:p>
    <w:p>
      <w:pPr>
        <w:pStyle w:val="BodyText"/>
        <w:spacing w:line="273" w:lineRule="auto"/>
        <w:ind w:right="142" w:firstLine="422"/>
        <w:jc w:val="both"/>
      </w:pPr>
      <w:r>
        <w:rPr>
          <w:spacing w:val="-2"/>
        </w:rPr>
        <w:t>截止报告日，中科彩公司财务报表业经致同会计师事务所（特殊普通合伙）出具致同审字（2016）第</w:t>
      </w:r>
      <w:r>
        <w:rPr>
          <w:w w:val="100"/>
        </w:rPr>
        <w:t> </w:t>
      </w:r>
      <w:r>
        <w:rPr>
          <w:spacing w:val="-2"/>
        </w:rPr>
        <w:t>351FC0102号审计报告验证，其扣除非经常性损益后的净利润为24,681,313.95元，未达到“股权转让协议</w:t>
      </w:r>
      <w:r>
        <w:rPr>
          <w:spacing w:val="-19"/>
        </w:rPr>
        <w:t> </w:t>
      </w:r>
      <w:r>
        <w:rPr>
          <w:spacing w:val="-19"/>
        </w:rPr>
      </w:r>
      <w:r>
        <w:rPr>
          <w:spacing w:val="-2"/>
        </w:rPr>
        <w:t>书并补充协议”中业绩承诺，按照“股权转让协议书并补充协议”约定计算方式算出原股东天津华科、新</w:t>
      </w:r>
      <w:r>
        <w:rPr>
          <w:spacing w:val="-40"/>
        </w:rPr>
        <w:t> </w:t>
      </w:r>
      <w:r>
        <w:rPr>
          <w:spacing w:val="-40"/>
        </w:rPr>
      </w:r>
      <w:r>
        <w:rPr/>
        <w:t>疆通泰应补偿金额71,500,314.58元；按照“股权转让协议书并补充协议”约定计算方式算出中科彩公司</w:t>
      </w:r>
      <w:r>
        <w:rPr>
          <w:spacing w:val="-33"/>
        </w:rPr>
        <w:t> </w:t>
      </w:r>
      <w:r>
        <w:rPr>
          <w:spacing w:val="-33"/>
        </w:rPr>
      </w:r>
      <w:r>
        <w:rPr>
          <w:spacing w:val="6"/>
        </w:rPr>
        <w:t>外方股东对科信盛彩公司收取的彩票游戏产品技术服务费事项原股东天津华科、新疆通泰应补偿金额</w:t>
      </w:r>
      <w:r>
        <w:rPr>
          <w:spacing w:val="8"/>
        </w:rPr>
        <w:t> </w:t>
      </w:r>
      <w:r>
        <w:rPr>
          <w:spacing w:val="8"/>
        </w:rPr>
      </w:r>
      <w:r>
        <w:rPr>
          <w:spacing w:val="-2"/>
        </w:rPr>
        <w:t>19,786,580.05元；合计原股东天津华科、新疆通泰应补偿本公司鸿博股份金额91,286,894.63元，即本公</w:t>
      </w:r>
      <w:r>
        <w:rPr>
          <w:spacing w:val="-15"/>
        </w:rPr>
        <w:t> </w:t>
      </w:r>
      <w:r>
        <w:rPr>
          <w:spacing w:val="-15"/>
        </w:rPr>
      </w:r>
      <w:r>
        <w:rPr/>
        <w:t>司收购科信盛彩公司成本为112,713,105.37元。</w:t>
      </w:r>
    </w:p>
    <w:p>
      <w:pPr>
        <w:spacing w:line="240" w:lineRule="auto" w:before="1"/>
        <w:rPr>
          <w:rFonts w:ascii="宋体" w:hAnsi="宋体" w:cs="宋体" w:eastAsia="宋体" w:hint="default"/>
          <w:sz w:val="17"/>
          <w:szCs w:val="17"/>
        </w:rPr>
      </w:pPr>
    </w:p>
    <w:p>
      <w:pPr>
        <w:pStyle w:val="BodyText"/>
        <w:spacing w:line="273" w:lineRule="auto"/>
        <w:ind w:right="142" w:firstLine="422"/>
        <w:jc w:val="both"/>
      </w:pPr>
      <w:r>
        <w:rPr/>
        <w:t>（2）“股权转让协议书并补充协议”约定科信盛彩（含中科彩公司）2014年度及之前实现的经具有</w:t>
      </w:r>
      <w:r>
        <w:rPr>
          <w:w w:val="100"/>
        </w:rPr>
        <w:t> </w:t>
      </w:r>
      <w:r>
        <w:rPr>
          <w:spacing w:val="-2"/>
        </w:rPr>
        <w:t>证券从业资格会计师事务所审计确认的未分配利润归属科信盛彩原股东天津华科、新疆通泰享有，科信盛</w:t>
      </w:r>
      <w:r>
        <w:rPr>
          <w:spacing w:val="-35"/>
        </w:rPr>
        <w:t> </w:t>
      </w:r>
      <w:r>
        <w:rPr>
          <w:spacing w:val="-35"/>
        </w:rPr>
      </w:r>
      <w:r>
        <w:rPr>
          <w:spacing w:val="-2"/>
        </w:rPr>
        <w:t>彩（含中科彩公司）2015年度实现的经致同会计师事务所确认的净利润归属本公司享有。科信盛彩2015年</w:t>
      </w:r>
      <w:r>
        <w:rPr>
          <w:spacing w:val="-27"/>
        </w:rPr>
        <w:t> </w:t>
      </w:r>
      <w:r>
        <w:rPr>
          <w:spacing w:val="-27"/>
        </w:rPr>
      </w:r>
      <w:r>
        <w:rPr/>
        <w:t>度财务报表业经致同会计师事务所出具编号为致同审字（2016）第351FC0103号审计报告验证，科信盛彩</w:t>
      </w:r>
    </w:p>
    <w:p>
      <w:pPr>
        <w:pStyle w:val="BodyText"/>
        <w:spacing w:line="273" w:lineRule="auto" w:before="7"/>
        <w:ind w:right="0"/>
        <w:jc w:val="left"/>
      </w:pPr>
      <w:r>
        <w:rPr/>
        <w:t>（含中科彩公司）2015年度实现的经致同会计师事务所确认的归属于公司的净利润为19,390,308.43元，</w:t>
      </w:r>
      <w:r>
        <w:rPr>
          <w:spacing w:val="-27"/>
        </w:rPr>
        <w:t> </w:t>
      </w:r>
      <w:r>
        <w:rPr>
          <w:spacing w:val="-27"/>
        </w:rPr>
      </w:r>
      <w:r>
        <w:rPr/>
        <w:t>即，本次收购合并取得的可辨认净资产公允价值份额49,391,752.24元。</w:t>
      </w:r>
    </w:p>
    <w:p>
      <w:pPr>
        <w:spacing w:line="240" w:lineRule="auto" w:before="5"/>
        <w:rPr>
          <w:rFonts w:ascii="宋体" w:hAnsi="宋体" w:cs="宋体" w:eastAsia="宋体" w:hint="default"/>
          <w:sz w:val="19"/>
          <w:szCs w:val="19"/>
        </w:rPr>
      </w:pPr>
    </w:p>
    <w:p>
      <w:pPr>
        <w:spacing w:line="357" w:lineRule="auto" w:before="0"/>
        <w:ind w:left="152" w:right="7353" w:firstLine="0"/>
        <w:jc w:val="left"/>
        <w:rPr>
          <w:rFonts w:ascii="宋体" w:hAnsi="宋体" w:cs="宋体" w:eastAsia="宋体" w:hint="default"/>
          <w:sz w:val="18"/>
          <w:szCs w:val="18"/>
        </w:rPr>
      </w:pPr>
      <w:r>
        <w:rPr>
          <w:rFonts w:ascii="宋体" w:hAnsi="宋体" w:cs="宋体" w:eastAsia="宋体" w:hint="default"/>
          <w:spacing w:val="-3"/>
          <w:sz w:val="18"/>
          <w:szCs w:val="18"/>
        </w:rPr>
        <w:t>大额商誉形成的主要原因：</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其他说明：</w:t>
      </w:r>
    </w:p>
    <w:p>
      <w:pPr>
        <w:spacing w:after="0" w:line="357" w:lineRule="auto"/>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Heading4"/>
        <w:spacing w:line="335" w:lineRule="exact"/>
        <w:ind w:right="0"/>
        <w:jc w:val="left"/>
        <w:rPr>
          <w:b w:val="0"/>
          <w:bCs w:val="0"/>
        </w:rPr>
      </w:pPr>
      <w:r>
        <w:rPr/>
        <w:t>（</w:t>
      </w:r>
      <w:r>
        <w:rPr>
          <w:rFonts w:ascii="Times New Roman" w:hAnsi="Times New Roman" w:cs="Times New Roman" w:eastAsia="Times New Roman" w:hint="default"/>
        </w:rPr>
        <w:t>3</w:t>
      </w:r>
      <w:r>
        <w:rPr/>
        <w:t>）被购买方于购买日可辨认资产、负债</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92"/>
        <w:gridCol w:w="3187"/>
        <w:gridCol w:w="3192"/>
      </w:tblGrid>
      <w:tr>
        <w:trPr>
          <w:trHeight w:val="398"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379" w:type="dxa"/>
            <w:gridSpan w:val="2"/>
            <w:tcBorders>
              <w:top w:val="single" w:sz="4" w:space="0" w:color="000000"/>
              <w:left w:val="single" w:sz="13" w:space="0" w:color="D2D2D2"/>
              <w:bottom w:val="single" w:sz="4" w:space="0" w:color="000000"/>
              <w:right w:val="single" w:sz="4" w:space="0" w:color="000000"/>
            </w:tcBorders>
            <w:shd w:val="clear" w:color="auto" w:fill="E0FFFF"/>
          </w:tcPr>
          <w:p>
            <w:pPr/>
          </w:p>
        </w:tc>
      </w:tr>
      <w:tr>
        <w:trPr>
          <w:trHeight w:val="408"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955" w:right="0"/>
              <w:jc w:val="left"/>
              <w:rPr>
                <w:rFonts w:ascii="宋体" w:hAnsi="宋体" w:cs="宋体" w:eastAsia="宋体" w:hint="default"/>
                <w:sz w:val="18"/>
                <w:szCs w:val="18"/>
              </w:rPr>
            </w:pPr>
            <w:r>
              <w:rPr>
                <w:rFonts w:ascii="宋体" w:hAnsi="宋体" w:cs="宋体" w:eastAsia="宋体" w:hint="default"/>
                <w:spacing w:val="-3"/>
                <w:sz w:val="18"/>
                <w:szCs w:val="18"/>
              </w:rPr>
              <w:t>购买日公允价值</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959" w:right="0"/>
              <w:jc w:val="left"/>
              <w:rPr>
                <w:rFonts w:ascii="宋体" w:hAnsi="宋体" w:cs="宋体" w:eastAsia="宋体" w:hint="default"/>
                <w:sz w:val="18"/>
                <w:szCs w:val="18"/>
              </w:rPr>
            </w:pPr>
            <w:r>
              <w:rPr>
                <w:rFonts w:ascii="宋体" w:hAnsi="宋体" w:cs="宋体" w:eastAsia="宋体" w:hint="default"/>
                <w:spacing w:val="-3"/>
                <w:sz w:val="18"/>
                <w:szCs w:val="18"/>
              </w:rPr>
              <w:t>购买日账面价值</w:t>
            </w:r>
          </w:p>
        </w:tc>
      </w:tr>
      <w:tr>
        <w:trPr>
          <w:trHeight w:val="398"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资产：</w:t>
            </w:r>
          </w:p>
        </w:tc>
        <w:tc>
          <w:tcPr>
            <w:tcW w:w="318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437,736,156.50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437,736,156.50</w:t>
            </w:r>
          </w:p>
        </w:tc>
      </w:tr>
      <w:tr>
        <w:trPr>
          <w:trHeight w:val="403"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18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158,026,513.48</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158,026,513.48</w:t>
            </w:r>
          </w:p>
        </w:tc>
      </w:tr>
      <w:tr>
        <w:trPr>
          <w:trHeight w:val="403"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应收款项</w:t>
            </w:r>
          </w:p>
        </w:tc>
        <w:tc>
          <w:tcPr>
            <w:tcW w:w="318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58,663,244.69</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58,663,244.69</w:t>
            </w:r>
          </w:p>
        </w:tc>
      </w:tr>
      <w:tr>
        <w:trPr>
          <w:trHeight w:val="403"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18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41,430,990.01</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41,430,990.01</w:t>
            </w:r>
          </w:p>
        </w:tc>
      </w:tr>
      <w:tr>
        <w:trPr>
          <w:trHeight w:val="398"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18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123,550,449.31</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123,550,449.31</w:t>
            </w:r>
          </w:p>
        </w:tc>
      </w:tr>
      <w:tr>
        <w:trPr>
          <w:trHeight w:val="403"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18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67,025.13</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67,025.13</w:t>
            </w:r>
          </w:p>
        </w:tc>
      </w:tr>
      <w:tr>
        <w:trPr>
          <w:trHeight w:val="403" w:hRule="exact"/>
        </w:trPr>
        <w:tc>
          <w:tcPr>
            <w:tcW w:w="319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2,281,402.80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2,281,402.80</w:t>
            </w:r>
          </w:p>
        </w:tc>
      </w:tr>
      <w:tr>
        <w:trPr>
          <w:trHeight w:val="403" w:hRule="exact"/>
        </w:trPr>
        <w:tc>
          <w:tcPr>
            <w:tcW w:w="319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5,133,949.99</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5,133,949.99</w:t>
            </w:r>
          </w:p>
        </w:tc>
      </w:tr>
      <w:tr>
        <w:trPr>
          <w:trHeight w:val="398" w:hRule="exact"/>
        </w:trPr>
        <w:tc>
          <w:tcPr>
            <w:tcW w:w="319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42,060,952.85</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42,060,952.85</w:t>
            </w:r>
          </w:p>
        </w:tc>
      </w:tr>
      <w:tr>
        <w:trPr>
          <w:trHeight w:val="403" w:hRule="exact"/>
        </w:trPr>
        <w:tc>
          <w:tcPr>
            <w:tcW w:w="319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w:t>
            </w:r>
          </w:p>
        </w:tc>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5,315,013.01</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5,315,013.01</w:t>
            </w:r>
          </w:p>
        </w:tc>
      </w:tr>
      <w:tr>
        <w:trPr>
          <w:trHeight w:val="403"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负债：</w:t>
            </w:r>
          </w:p>
        </w:tc>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314,791,467.74</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314,791,467.74</w:t>
            </w:r>
          </w:p>
        </w:tc>
      </w:tr>
      <w:tr>
        <w:trPr>
          <w:trHeight w:val="403"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借款</w:t>
            </w:r>
          </w:p>
        </w:tc>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85,143,500.17</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85,143,500.17</w:t>
            </w:r>
          </w:p>
        </w:tc>
      </w:tr>
      <w:tr>
        <w:trPr>
          <w:trHeight w:val="398"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应付款项</w:t>
            </w:r>
          </w:p>
        </w:tc>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14,779,649.91</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14,779,649.91</w:t>
            </w:r>
          </w:p>
        </w:tc>
      </w:tr>
      <w:tr>
        <w:trPr>
          <w:trHeight w:val="403"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w:t>
            </w:r>
          </w:p>
        </w:tc>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631,486.64</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631,486.64</w:t>
            </w:r>
          </w:p>
        </w:tc>
      </w:tr>
      <w:tr>
        <w:trPr>
          <w:trHeight w:val="403" w:hRule="exact"/>
        </w:trPr>
        <w:tc>
          <w:tcPr>
            <w:tcW w:w="319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8,769,224.96</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8,769,224.96</w:t>
            </w:r>
          </w:p>
        </w:tc>
      </w:tr>
      <w:tr>
        <w:trPr>
          <w:trHeight w:val="403" w:hRule="exact"/>
        </w:trPr>
        <w:tc>
          <w:tcPr>
            <w:tcW w:w="319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12,386,226.16</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12,386,226.16</w:t>
            </w:r>
          </w:p>
        </w:tc>
      </w:tr>
      <w:tr>
        <w:trPr>
          <w:trHeight w:val="398" w:hRule="exact"/>
        </w:trPr>
        <w:tc>
          <w:tcPr>
            <w:tcW w:w="319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171,365,399.68</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171,365,399.68</w:t>
            </w:r>
          </w:p>
        </w:tc>
      </w:tr>
      <w:tr>
        <w:trPr>
          <w:trHeight w:val="403" w:hRule="exact"/>
        </w:trPr>
        <w:tc>
          <w:tcPr>
            <w:tcW w:w="319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20,383,623.96</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20,383,623.96</w:t>
            </w:r>
          </w:p>
        </w:tc>
      </w:tr>
      <w:tr>
        <w:trPr>
          <w:trHeight w:val="403"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178,165,470.40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178,165,470.40</w:t>
            </w:r>
          </w:p>
        </w:tc>
      </w:tr>
      <w:tr>
        <w:trPr>
          <w:trHeight w:val="403"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减：少数股东权益</w:t>
            </w:r>
          </w:p>
        </w:tc>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128,773,718.16</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128,773,718.16</w:t>
            </w:r>
          </w:p>
        </w:tc>
      </w:tr>
      <w:tr>
        <w:trPr>
          <w:trHeight w:val="398"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取得的净资产</w:t>
            </w:r>
          </w:p>
        </w:tc>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49,391,752.24</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49,391,752.24</w:t>
            </w:r>
          </w:p>
        </w:tc>
      </w:tr>
    </w:tbl>
    <w:p>
      <w:pPr>
        <w:spacing w:line="360" w:lineRule="auto" w:before="53"/>
        <w:ind w:left="152" w:right="6540" w:firstLine="0"/>
        <w:jc w:val="both"/>
        <w:rPr>
          <w:rFonts w:ascii="宋体" w:hAnsi="宋体" w:cs="宋体" w:eastAsia="宋体" w:hint="default"/>
          <w:sz w:val="18"/>
          <w:szCs w:val="18"/>
        </w:rPr>
      </w:pPr>
      <w:r>
        <w:rPr>
          <w:rFonts w:ascii="宋体" w:hAnsi="宋体" w:cs="宋体" w:eastAsia="宋体" w:hint="default"/>
          <w:spacing w:val="-3"/>
          <w:sz w:val="18"/>
          <w:szCs w:val="18"/>
        </w:rPr>
        <w:t>可辨认资产、负债公允价值的确定方法：</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pacing w:val="-3"/>
          <w:sz w:val="18"/>
          <w:szCs w:val="18"/>
        </w:rPr>
        <w:t>企业合并中承担的被购买方的或有负债：</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z w:val="18"/>
          <w:szCs w:val="18"/>
        </w:rPr>
        <w:t>其他说明：</w:t>
      </w:r>
    </w:p>
    <w:p>
      <w:pPr>
        <w:spacing w:before="25"/>
        <w:ind w:left="152" w:right="0" w:firstLine="0"/>
        <w:jc w:val="both"/>
        <w:rPr>
          <w:rFonts w:ascii="宋体" w:hAnsi="宋体" w:cs="宋体" w:eastAsia="宋体" w:hint="default"/>
          <w:sz w:val="18"/>
          <w:szCs w:val="18"/>
        </w:rPr>
      </w:pPr>
      <w:r>
        <w:rPr>
          <w:rFonts w:ascii="宋体" w:hAnsi="宋体" w:cs="宋体" w:eastAsia="宋体" w:hint="default"/>
          <w:spacing w:val="-3"/>
          <w:sz w:val="18"/>
          <w:szCs w:val="18"/>
        </w:rPr>
        <w:t>科信盛彩</w:t>
      </w:r>
      <w:r>
        <w:rPr>
          <w:rFonts w:ascii="Times New Roman" w:hAnsi="Times New Roman" w:cs="Times New Roman" w:eastAsia="Times New Roman" w:hint="default"/>
          <w:spacing w:val="-3"/>
          <w:sz w:val="18"/>
          <w:szCs w:val="18"/>
        </w:rPr>
        <w:t>2015</w:t>
      </w:r>
      <w:r>
        <w:rPr>
          <w:rFonts w:ascii="宋体" w:hAnsi="宋体" w:cs="宋体" w:eastAsia="宋体" w:hint="default"/>
          <w:spacing w:val="-3"/>
          <w:sz w:val="18"/>
          <w:szCs w:val="18"/>
        </w:rPr>
        <w:t>年度财务报表业经致同会计师事务所出具编号为致同审字（</w:t>
      </w:r>
      <w:r>
        <w:rPr>
          <w:rFonts w:ascii="Times New Roman" w:hAnsi="Times New Roman" w:cs="Times New Roman" w:eastAsia="Times New Roman" w:hint="default"/>
          <w:spacing w:val="-3"/>
          <w:sz w:val="18"/>
          <w:szCs w:val="18"/>
        </w:rPr>
        <w:t>2016</w:t>
      </w:r>
      <w:r>
        <w:rPr>
          <w:rFonts w:ascii="宋体" w:hAnsi="宋体" w:cs="宋体" w:eastAsia="宋体" w:hint="default"/>
          <w:spacing w:val="-3"/>
          <w:sz w:val="18"/>
          <w:szCs w:val="18"/>
        </w:rPr>
        <w:t>）第</w:t>
      </w:r>
      <w:r>
        <w:rPr>
          <w:rFonts w:ascii="Times New Roman" w:hAnsi="Times New Roman" w:cs="Times New Roman" w:eastAsia="Times New Roman" w:hint="default"/>
          <w:spacing w:val="-3"/>
          <w:sz w:val="18"/>
          <w:szCs w:val="18"/>
        </w:rPr>
        <w:t>351FC0103</w:t>
      </w:r>
      <w:r>
        <w:rPr>
          <w:rFonts w:ascii="宋体" w:hAnsi="宋体" w:cs="宋体" w:eastAsia="宋体" w:hint="default"/>
          <w:spacing w:val="-3"/>
          <w:sz w:val="18"/>
          <w:szCs w:val="18"/>
        </w:rPr>
        <w:t>号审计报告验证。</w:t>
      </w:r>
    </w:p>
    <w:p>
      <w:pPr>
        <w:spacing w:line="240" w:lineRule="auto" w:before="11"/>
        <w:rPr>
          <w:rFonts w:ascii="宋体" w:hAnsi="宋体" w:cs="宋体" w:eastAsia="宋体" w:hint="default"/>
          <w:sz w:val="20"/>
          <w:szCs w:val="20"/>
        </w:rPr>
      </w:pPr>
    </w:p>
    <w:p>
      <w:pPr>
        <w:pStyle w:val="Heading4"/>
        <w:spacing w:line="240" w:lineRule="auto"/>
        <w:ind w:right="0"/>
        <w:jc w:val="both"/>
        <w:rPr>
          <w:b w:val="0"/>
          <w:bCs w:val="0"/>
        </w:rPr>
      </w:pPr>
      <w:r>
        <w:rPr/>
        <w:t>（</w:t>
      </w:r>
      <w:r>
        <w:rPr>
          <w:rFonts w:ascii="Times New Roman" w:hAnsi="Times New Roman" w:cs="Times New Roman" w:eastAsia="Times New Roman" w:hint="default"/>
        </w:rPr>
        <w:t>4</w:t>
      </w:r>
      <w:r>
        <w:rPr/>
        <w:t>）购买日之前持有的股权按照公允价值重新计量产生的利得或损失</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152" w:right="0" w:firstLine="0"/>
        <w:jc w:val="both"/>
        <w:rPr>
          <w:rFonts w:ascii="宋体" w:hAnsi="宋体" w:cs="宋体" w:eastAsia="宋体" w:hint="default"/>
          <w:sz w:val="18"/>
          <w:szCs w:val="18"/>
        </w:rPr>
      </w:pPr>
      <w:r>
        <w:rPr>
          <w:rFonts w:ascii="宋体" w:hAnsi="宋体" w:cs="宋体" w:eastAsia="宋体" w:hint="default"/>
          <w:spacing w:val="-3"/>
          <w:sz w:val="18"/>
          <w:szCs w:val="18"/>
        </w:rPr>
        <w:t>是否存在通过多次交易分步实现企业合并且在报告期内取得控制权的交易</w:t>
      </w:r>
    </w:p>
    <w:p>
      <w:pPr>
        <w:spacing w:before="115"/>
        <w:ind w:left="152" w:right="0" w:firstLine="0"/>
        <w:jc w:val="both"/>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2"/>
          <w:sz w:val="18"/>
          <w:szCs w:val="18"/>
        </w:rPr>
        <w:t> </w:t>
      </w:r>
      <w:r>
        <w:rPr>
          <w:rFonts w:ascii="宋体" w:hAnsi="宋体" w:cs="宋体" w:eastAsia="宋体" w:hint="default"/>
          <w:sz w:val="18"/>
          <w:szCs w:val="18"/>
        </w:rPr>
        <w:t>否</w:t>
      </w:r>
    </w:p>
    <w:p>
      <w:pPr>
        <w:spacing w:after="0"/>
        <w:jc w:val="both"/>
        <w:rPr>
          <w:rFonts w:ascii="宋体" w:hAnsi="宋体" w:cs="宋体" w:eastAsia="宋体" w:hint="default"/>
          <w:sz w:val="18"/>
          <w:szCs w:val="18"/>
        </w:rPr>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Heading4"/>
        <w:spacing w:line="335" w:lineRule="exact"/>
        <w:ind w:right="0"/>
        <w:jc w:val="left"/>
        <w:rPr>
          <w:b w:val="0"/>
          <w:bCs w:val="0"/>
        </w:rPr>
      </w:pPr>
      <w:r>
        <w:rPr/>
        <w:t>（</w:t>
      </w:r>
      <w:r>
        <w:rPr>
          <w:rFonts w:ascii="Times New Roman" w:hAnsi="Times New Roman" w:cs="Times New Roman" w:eastAsia="Times New Roman" w:hint="default"/>
        </w:rPr>
        <w:t>5</w:t>
      </w:r>
      <w:r>
        <w:rPr/>
        <w:t>）购买日或合并当期期末无法合理确定合并对价或被购买方可辨认资产、负债公允价值的相关说明</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6</w:t>
      </w:r>
      <w:r>
        <w:rPr/>
        <w:t>）其他说明</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rFonts w:ascii="Times New Roman" w:hAnsi="Times New Roman" w:cs="Times New Roman" w:eastAsia="Times New Roman" w:hint="default"/>
        </w:rPr>
        <w:t>2</w:t>
      </w:r>
      <w:r>
        <w:rPr/>
        <w:t>、同一控制下企业合并</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）本期发生的同一控制下企业合并</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061"/>
        <w:gridCol w:w="1061"/>
        <w:gridCol w:w="1066"/>
        <w:gridCol w:w="1061"/>
        <w:gridCol w:w="1066"/>
        <w:gridCol w:w="1066"/>
        <w:gridCol w:w="1061"/>
        <w:gridCol w:w="1066"/>
        <w:gridCol w:w="1066"/>
      </w:tblGrid>
      <w:tr>
        <w:trPr>
          <w:trHeight w:val="1339" w:hRule="exact"/>
        </w:trPr>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21" w:lineRule="auto" w:before="130"/>
              <w:ind w:left="432" w:right="70" w:hanging="356"/>
              <w:jc w:val="left"/>
              <w:rPr>
                <w:rFonts w:ascii="宋体" w:hAnsi="宋体" w:cs="宋体" w:eastAsia="宋体" w:hint="default"/>
                <w:sz w:val="18"/>
                <w:szCs w:val="18"/>
              </w:rPr>
            </w:pPr>
            <w:r>
              <w:rPr>
                <w:rFonts w:ascii="宋体" w:hAnsi="宋体" w:cs="宋体" w:eastAsia="宋体" w:hint="default"/>
                <w:spacing w:val="-2"/>
                <w:sz w:val="18"/>
                <w:szCs w:val="18"/>
              </w:rPr>
              <w:t>被合并方名</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称</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76" w:right="70"/>
              <w:jc w:val="center"/>
              <w:rPr>
                <w:rFonts w:ascii="宋体" w:hAnsi="宋体" w:cs="宋体" w:eastAsia="宋体" w:hint="default"/>
                <w:sz w:val="18"/>
                <w:szCs w:val="18"/>
              </w:rPr>
            </w:pPr>
            <w:r>
              <w:rPr>
                <w:rFonts w:ascii="宋体" w:hAnsi="宋体" w:cs="宋体" w:eastAsia="宋体" w:hint="default"/>
                <w:spacing w:val="-2"/>
                <w:sz w:val="18"/>
                <w:szCs w:val="18"/>
              </w:rPr>
              <w:t>企业合并中</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取得的权益</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比例</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76" w:right="74"/>
              <w:jc w:val="both"/>
              <w:rPr>
                <w:rFonts w:ascii="宋体" w:hAnsi="宋体" w:cs="宋体" w:eastAsia="宋体" w:hint="default"/>
                <w:sz w:val="18"/>
                <w:szCs w:val="18"/>
              </w:rPr>
            </w:pPr>
            <w:r>
              <w:rPr>
                <w:rFonts w:ascii="宋体" w:hAnsi="宋体" w:cs="宋体" w:eastAsia="宋体" w:hint="default"/>
                <w:spacing w:val="-2"/>
                <w:sz w:val="18"/>
                <w:szCs w:val="18"/>
              </w:rPr>
              <w:t>构成同一控</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制下企业合</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并的依据</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合并日</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21" w:lineRule="auto" w:before="130"/>
              <w:ind w:left="254" w:right="74" w:hanging="178"/>
              <w:jc w:val="left"/>
              <w:rPr>
                <w:rFonts w:ascii="宋体" w:hAnsi="宋体" w:cs="宋体" w:eastAsia="宋体" w:hint="default"/>
                <w:sz w:val="18"/>
                <w:szCs w:val="18"/>
              </w:rPr>
            </w:pPr>
            <w:r>
              <w:rPr>
                <w:rFonts w:ascii="宋体" w:hAnsi="宋体" w:cs="宋体" w:eastAsia="宋体" w:hint="default"/>
                <w:spacing w:val="-2"/>
                <w:sz w:val="18"/>
                <w:szCs w:val="18"/>
              </w:rPr>
              <w:t>合并日的确</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定依据</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76" w:right="74"/>
              <w:jc w:val="center"/>
              <w:rPr>
                <w:rFonts w:ascii="宋体" w:hAnsi="宋体" w:cs="宋体" w:eastAsia="宋体" w:hint="default"/>
                <w:sz w:val="18"/>
                <w:szCs w:val="18"/>
              </w:rPr>
            </w:pPr>
            <w:r>
              <w:rPr>
                <w:rFonts w:ascii="宋体" w:hAnsi="宋体" w:cs="宋体" w:eastAsia="宋体" w:hint="default"/>
                <w:spacing w:val="-2"/>
                <w:sz w:val="18"/>
                <w:szCs w:val="18"/>
              </w:rPr>
              <w:t>合并当期期</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初至合并日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被合并方的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收入</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71" w:right="74"/>
              <w:jc w:val="center"/>
              <w:rPr>
                <w:rFonts w:ascii="宋体" w:hAnsi="宋体" w:cs="宋体" w:eastAsia="宋体" w:hint="default"/>
                <w:sz w:val="18"/>
                <w:szCs w:val="18"/>
              </w:rPr>
            </w:pPr>
            <w:r>
              <w:rPr>
                <w:rFonts w:ascii="宋体" w:hAnsi="宋体" w:cs="宋体" w:eastAsia="宋体" w:hint="default"/>
                <w:spacing w:val="-2"/>
                <w:sz w:val="18"/>
                <w:szCs w:val="18"/>
              </w:rPr>
              <w:t>合并当期期</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初至合并日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被合并方的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净利润</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76" w:right="74"/>
              <w:jc w:val="center"/>
              <w:rPr>
                <w:rFonts w:ascii="宋体" w:hAnsi="宋体" w:cs="宋体" w:eastAsia="宋体" w:hint="default"/>
                <w:sz w:val="18"/>
                <w:szCs w:val="18"/>
              </w:rPr>
            </w:pPr>
            <w:r>
              <w:rPr>
                <w:rFonts w:ascii="宋体" w:hAnsi="宋体" w:cs="宋体" w:eastAsia="宋体" w:hint="default"/>
                <w:spacing w:val="-2"/>
                <w:sz w:val="18"/>
                <w:szCs w:val="18"/>
              </w:rPr>
              <w:t>比较期间被</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合并方的收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入</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76" w:right="74"/>
              <w:jc w:val="center"/>
              <w:rPr>
                <w:rFonts w:ascii="宋体" w:hAnsi="宋体" w:cs="宋体" w:eastAsia="宋体" w:hint="default"/>
                <w:sz w:val="18"/>
                <w:szCs w:val="18"/>
              </w:rPr>
            </w:pPr>
            <w:r>
              <w:rPr>
                <w:rFonts w:ascii="宋体" w:hAnsi="宋体" w:cs="宋体" w:eastAsia="宋体" w:hint="default"/>
                <w:spacing w:val="-2"/>
                <w:sz w:val="18"/>
                <w:szCs w:val="18"/>
              </w:rPr>
              <w:t>比较期间被</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合并方的净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利润</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）合并成本</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7"/>
          <w:szCs w:val="7"/>
        </w:rPr>
      </w:pPr>
    </w:p>
    <w:p>
      <w:pPr>
        <w:spacing w:line="422" w:lineRule="exact"/>
        <w:ind w:left="148"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8pt;height:21.15pt;mso-position-horizontal-relative:char;mso-position-vertical-relative:line" coordorigin="0,0" coordsize="9576,423">
            <v:group style="position:absolute;left:22;top:14;width:2;height:394" coordorigin="22,14" coordsize="2,394">
              <v:shape style="position:absolute;left:22;top:14;width:2;height:394" coordorigin="22,14" coordsize="0,394" path="m22,14l22,408e" filled="false" stroked="true" strokeweight="1.2pt" strokecolor="#d2d2d2">
                <v:path arrowok="t"/>
              </v:shape>
            </v:group>
            <v:group style="position:absolute;left:4774;top:14;width:2;height:394" coordorigin="4774,14" coordsize="2,394">
              <v:shape style="position:absolute;left:4774;top:14;width:2;height:394" coordorigin="4774,14" coordsize="0,394" path="m4774,14l4774,408e" filled="false" stroked="true" strokeweight="1.2pt" strokecolor="#d2d2d2">
                <v:path arrowok="t"/>
              </v:shape>
            </v:group>
            <v:group style="position:absolute;left:34;top:14;width:4728;height:394" coordorigin="34,14" coordsize="4728,394">
              <v:shape style="position:absolute;left:34;top:14;width:4728;height:394" coordorigin="34,14" coordsize="4728,394" path="m34,408l4762,408,4762,14,34,14,34,408xe" filled="true" fillcolor="#d2d2d2" stroked="false">
                <v:path arrowok="t"/>
                <v:fill type="solid"/>
              </v:shape>
            </v:group>
            <v:group style="position:absolute;left:4807;top:14;width:2;height:394" coordorigin="4807,14" coordsize="2,394">
              <v:shape style="position:absolute;left:4807;top:14;width:2;height:394" coordorigin="4807,14" coordsize="0,394" path="m4807,14l4807,408e" filled="false" stroked="true" strokeweight="1.2pt" strokecolor="#e0ffff">
                <v:path arrowok="t"/>
              </v:shape>
            </v:group>
            <v:group style="position:absolute;left:9557;top:14;width:2;height:394" coordorigin="9557,14" coordsize="2,394">
              <v:shape style="position:absolute;left:9557;top:14;width:2;height:394" coordorigin="9557,14" coordsize="0,394" path="m9557,14l9557,408e" filled="false" stroked="true" strokeweight=".96pt" strokecolor="#e0ffff">
                <v:path arrowok="t"/>
              </v:shape>
            </v:group>
            <v:group style="position:absolute;left:4819;top:14;width:4728;height:394" coordorigin="4819,14" coordsize="4728,394">
              <v:shape style="position:absolute;left:4819;top:14;width:4728;height:394" coordorigin="4819,14" coordsize="4728,394" path="m4819,408l9547,408,9547,14,4819,14,4819,408xe" filled="true" fillcolor="#e0ffff" stroked="false">
                <v:path arrowok="t"/>
                <v:fill type="solid"/>
              </v:shape>
            </v:group>
            <v:group style="position:absolute;left:10;top:10;width:4776;height:2" coordorigin="10,10" coordsize="4776,2">
              <v:shape style="position:absolute;left:10;top:10;width:4776;height:2" coordorigin="10,10" coordsize="4776,0" path="m10,10l4786,10e" filled="false" stroked="true" strokeweight=".48pt" strokecolor="#000000">
                <v:path arrowok="t"/>
              </v:shape>
            </v:group>
            <v:group style="position:absolute;left:4795;top:10;width:4772;height:2" coordorigin="4795,10" coordsize="4772,2">
              <v:shape style="position:absolute;left:4795;top:10;width:4772;height:2" coordorigin="4795,10" coordsize="4772,0" path="m4795,10l9566,10e" filled="false" stroked="true" strokeweight=".48pt" strokecolor="#000000">
                <v:path arrowok="t"/>
              </v:shape>
            </v:group>
            <v:group style="position:absolute;left:5;top:5;width:2;height:413" coordorigin="5,5" coordsize="2,413">
              <v:shape style="position:absolute;left:5;top:5;width:2;height:413" coordorigin="5,5" coordsize="0,413" path="m5,5l5,418e" filled="false" stroked="true" strokeweight=".48pt" strokecolor="#000000">
                <v:path arrowok="t"/>
              </v:shape>
            </v:group>
            <v:group style="position:absolute;left:10;top:413;width:4776;height:2" coordorigin="10,413" coordsize="4776,2">
              <v:shape style="position:absolute;left:10;top:413;width:4776;height:2" coordorigin="10,413" coordsize="4776,0" path="m10,413l4786,413e" filled="false" stroked="true" strokeweight=".48pt" strokecolor="#000000">
                <v:path arrowok="t"/>
              </v:shape>
            </v:group>
            <v:group style="position:absolute;left:4790;top:5;width:2;height:413" coordorigin="4790,5" coordsize="2,413">
              <v:shape style="position:absolute;left:4790;top:5;width:2;height:413" coordorigin="4790,5" coordsize="0,413" path="m4790,5l4790,418e" filled="false" stroked="true" strokeweight=".48pt" strokecolor="#000000">
                <v:path arrowok="t"/>
              </v:shape>
            </v:group>
            <v:group style="position:absolute;left:4795;top:413;width:4772;height:2" coordorigin="4795,413" coordsize="4772,2">
              <v:shape style="position:absolute;left:4795;top:413;width:4772;height:2" coordorigin="4795,413" coordsize="4772,0" path="m4795,413l9566,413e" filled="false" stroked="true" strokeweight=".48pt" strokecolor="#000000">
                <v:path arrowok="t"/>
              </v:shape>
            </v:group>
            <v:group style="position:absolute;left:9571;top:5;width:2;height:413" coordorigin="9571,5" coordsize="2,413">
              <v:shape style="position:absolute;left:9571;top:5;width:2;height:413" coordorigin="9571,5" coordsize="0,413" path="m9571,5l9571,418e" filled="false" stroked="true" strokeweight=".48pt" strokecolor="#000000">
                <v:path arrowok="t"/>
              </v:shape>
              <v:shape style="position:absolute;left:5;top:10;width:4786;height:404" type="#_x0000_t202" filled="false" stroked="false">
                <v:textbox inset="0,0,0,0">
                  <w:txbxContent>
                    <w:p>
                      <w:pPr>
                        <w:spacing w:before="58"/>
                        <w:ind w:left="0" w:right="0" w:firstLine="0"/>
                        <w:jc w:val="center"/>
                        <w:rPr>
                          <w:rFonts w:ascii="宋体" w:hAnsi="宋体" w:cs="宋体" w:eastAsia="宋体" w:hint="default"/>
                          <w:sz w:val="18"/>
                          <w:szCs w:val="18"/>
                        </w:rPr>
                      </w:pPr>
                      <w:r>
                        <w:rPr>
                          <w:rFonts w:ascii="宋体" w:hAnsi="宋体" w:cs="宋体" w:eastAsia="宋体" w:hint="default"/>
                          <w:sz w:val="18"/>
                          <w:szCs w:val="18"/>
                        </w:rPr>
                        <w:t>合并成本</w:t>
                      </w:r>
                    </w:p>
                  </w:txbxContent>
                </v:textbox>
                <w10:wrap type="none"/>
              </v:shape>
            </v:group>
          </v:group>
        </w:pict>
      </w:r>
      <w:r>
        <w:rPr>
          <w:rFonts w:ascii="宋体" w:hAnsi="宋体" w:cs="宋体" w:eastAsia="宋体" w:hint="default"/>
          <w:position w:val="-7"/>
          <w:sz w:val="20"/>
          <w:szCs w:val="20"/>
        </w:rPr>
      </w:r>
    </w:p>
    <w:p>
      <w:pPr>
        <w:spacing w:line="362" w:lineRule="auto" w:before="49"/>
        <w:ind w:left="152" w:right="7353" w:firstLine="0"/>
        <w:jc w:val="left"/>
        <w:rPr>
          <w:rFonts w:ascii="宋体" w:hAnsi="宋体" w:cs="宋体" w:eastAsia="宋体" w:hint="default"/>
          <w:sz w:val="18"/>
          <w:szCs w:val="18"/>
        </w:rPr>
      </w:pPr>
      <w:r>
        <w:rPr>
          <w:rFonts w:ascii="宋体" w:hAnsi="宋体" w:cs="宋体" w:eastAsia="宋体" w:hint="default"/>
          <w:spacing w:val="-3"/>
          <w:sz w:val="18"/>
          <w:szCs w:val="18"/>
        </w:rPr>
        <w:t>或有对价及其变动的说明：</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其他说明：</w:t>
      </w:r>
    </w:p>
    <w:p>
      <w:pPr>
        <w:spacing w:line="240" w:lineRule="auto" w:before="2"/>
        <w:rPr>
          <w:rFonts w:ascii="宋体" w:hAnsi="宋体" w:cs="宋体" w:eastAsia="宋体" w:hint="default"/>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3</w:t>
      </w:r>
      <w:r>
        <w:rPr/>
        <w:t>）合并日被合并方资产、负债的账面价值</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7"/>
          <w:szCs w:val="7"/>
        </w:rPr>
      </w:pPr>
    </w:p>
    <w:p>
      <w:pPr>
        <w:spacing w:line="825" w:lineRule="exact"/>
        <w:ind w:left="148"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79.05pt;height:41.3pt;mso-position-horizontal-relative:char;mso-position-vertical-relative:line" coordorigin="0,0" coordsize="9581,826">
            <v:group style="position:absolute;left:22;top:14;width:2;height:394" coordorigin="22,14" coordsize="2,394">
              <v:shape style="position:absolute;left:22;top:14;width:2;height:394" coordorigin="22,14" coordsize="0,394" path="m22,14l22,408e" filled="false" stroked="true" strokeweight="1.2pt" strokecolor="#d2d2d2">
                <v:path arrowok="t"/>
              </v:shape>
            </v:group>
            <v:group style="position:absolute;left:3180;top:14;width:2;height:394" coordorigin="3180,14" coordsize="2,394">
              <v:shape style="position:absolute;left:3180;top:14;width:2;height:394" coordorigin="3180,14" coordsize="0,394" path="m3180,14l3180,408e" filled="false" stroked="true" strokeweight="1.2pt" strokecolor="#d2d2d2">
                <v:path arrowok="t"/>
              </v:shape>
            </v:group>
            <v:group style="position:absolute;left:34;top:14;width:3135;height:394" coordorigin="34,14" coordsize="3135,394">
              <v:shape style="position:absolute;left:34;top:14;width:3135;height:394" coordorigin="34,14" coordsize="3135,394" path="m34,408l3168,408,3168,14,34,14,34,408xe" filled="true" fillcolor="#d2d2d2" stroked="false">
                <v:path arrowok="t"/>
                <v:fill type="solid"/>
              </v:shape>
            </v:group>
            <v:group style="position:absolute;left:3211;top:14;width:2;height:394" coordorigin="3211,14" coordsize="2,394">
              <v:shape style="position:absolute;left:3211;top:14;width:2;height:394" coordorigin="3211,14" coordsize="0,394" path="m3211,14l3211,408e" filled="false" stroked="true" strokeweight=".96pt" strokecolor="#e0ffff">
                <v:path arrowok="t"/>
              </v:shape>
            </v:group>
            <v:group style="position:absolute;left:9559;top:14;width:2;height:394" coordorigin="9559,14" coordsize="2,394">
              <v:shape style="position:absolute;left:9559;top:14;width:2;height:394" coordorigin="9559,14" coordsize="0,394" path="m9559,14l9559,408e" filled="false" stroked="true" strokeweight="1.2pt" strokecolor="#e0ffff">
                <v:path arrowok="t"/>
              </v:shape>
            </v:group>
            <v:group style="position:absolute;left:3221;top:14;width:6327;height:394" coordorigin="3221,14" coordsize="6327,394">
              <v:shape style="position:absolute;left:3221;top:14;width:6327;height:394" coordorigin="3221,14" coordsize="6327,394" path="m3221,408l9547,408,9547,14,3221,14,3221,408xe" filled="true" fillcolor="#e0ffff" stroked="false">
                <v:path arrowok="t"/>
                <v:fill type="solid"/>
              </v:shape>
            </v:group>
            <v:group style="position:absolute;left:10;top:10;width:3183;height:2" coordorigin="10,10" coordsize="3183,2">
              <v:shape style="position:absolute;left:10;top:10;width:3183;height:2" coordorigin="10,10" coordsize="3183,0" path="m10,10l3192,10e" filled="false" stroked="true" strokeweight=".48pt" strokecolor="#000000">
                <v:path arrowok="t"/>
              </v:shape>
            </v:group>
            <v:group style="position:absolute;left:3202;top:10;width:6370;height:2" coordorigin="3202,10" coordsize="6370,2">
              <v:shape style="position:absolute;left:3202;top:10;width:6370;height:2" coordorigin="3202,10" coordsize="6370,0" path="m3202,10l9571,10e" filled="false" stroked="true" strokeweight=".48pt" strokecolor="#000000">
                <v:path arrowok="t"/>
              </v:shape>
            </v:group>
            <v:group style="position:absolute;left:22;top:418;width:2;height:394" coordorigin="22,418" coordsize="2,394">
              <v:shape style="position:absolute;left:22;top:418;width:2;height:394" coordorigin="22,418" coordsize="0,394" path="m22,418l22,811e" filled="false" stroked="true" strokeweight="1.2pt" strokecolor="#d2d2d2">
                <v:path arrowok="t"/>
              </v:shape>
            </v:group>
            <v:group style="position:absolute;left:3180;top:418;width:2;height:394" coordorigin="3180,418" coordsize="2,394">
              <v:shape style="position:absolute;left:3180;top:418;width:2;height:394" coordorigin="3180,418" coordsize="0,394" path="m3180,418l3180,811e" filled="false" stroked="true" strokeweight="1.2pt" strokecolor="#d2d2d2">
                <v:path arrowok="t"/>
              </v:shape>
            </v:group>
            <v:group style="position:absolute;left:34;top:418;width:3135;height:394" coordorigin="34,418" coordsize="3135,394">
              <v:shape style="position:absolute;left:34;top:418;width:3135;height:394" coordorigin="34,418" coordsize="3135,394" path="m34,811l3168,811,3168,418,34,418,34,811xe" filled="true" fillcolor="#d2d2d2" stroked="false">
                <v:path arrowok="t"/>
                <v:fill type="solid"/>
              </v:shape>
            </v:group>
            <v:group style="position:absolute;left:3211;top:418;width:2;height:394" coordorigin="3211,418" coordsize="2,394">
              <v:shape style="position:absolute;left:3211;top:418;width:2;height:394" coordorigin="3211,418" coordsize="0,394" path="m3211,418l3211,811e" filled="false" stroked="true" strokeweight=".96pt" strokecolor="#d2d2d2">
                <v:path arrowok="t"/>
              </v:shape>
            </v:group>
            <v:group style="position:absolute;left:6367;top:418;width:2;height:394" coordorigin="6367,418" coordsize="2,394">
              <v:shape style="position:absolute;left:6367;top:418;width:2;height:394" coordorigin="6367,418" coordsize="0,394" path="m6367,418l6367,811e" filled="false" stroked="true" strokeweight="1.2pt" strokecolor="#d2d2d2">
                <v:path arrowok="t"/>
              </v:shape>
            </v:group>
            <v:group style="position:absolute;left:3221;top:418;width:3135;height:394" coordorigin="3221,418" coordsize="3135,394">
              <v:shape style="position:absolute;left:3221;top:418;width:3135;height:394" coordorigin="3221,418" coordsize="3135,394" path="m3221,811l6355,811,6355,418,3221,418,3221,811xe" filled="true" fillcolor="#d2d2d2" stroked="false">
                <v:path arrowok="t"/>
                <v:fill type="solid"/>
              </v:shape>
            </v:group>
            <v:group style="position:absolute;left:6401;top:418;width:2;height:394" coordorigin="6401,418" coordsize="2,394">
              <v:shape style="position:absolute;left:6401;top:418;width:2;height:394" coordorigin="6401,418" coordsize="0,394" path="m6401,418l6401,811e" filled="false" stroked="true" strokeweight="1.2pt" strokecolor="#d2d2d2">
                <v:path arrowok="t"/>
              </v:shape>
            </v:group>
            <v:group style="position:absolute;left:9559;top:418;width:2;height:394" coordorigin="9559,418" coordsize="2,394">
              <v:shape style="position:absolute;left:9559;top:418;width:2;height:394" coordorigin="9559,418" coordsize="0,394" path="m9559,418l9559,811e" filled="false" stroked="true" strokeweight="1.2pt" strokecolor="#d2d2d2">
                <v:path arrowok="t"/>
              </v:shape>
            </v:group>
            <v:group style="position:absolute;left:6413;top:418;width:3135;height:394" coordorigin="6413,418" coordsize="3135,394">
              <v:shape style="position:absolute;left:6413;top:418;width:3135;height:394" coordorigin="6413,418" coordsize="3135,394" path="m6413,811l9547,811,9547,418,6413,418,6413,811xe" filled="true" fillcolor="#d2d2d2" stroked="false">
                <v:path arrowok="t"/>
                <v:fill type="solid"/>
              </v:shape>
            </v:group>
            <v:group style="position:absolute;left:10;top:413;width:3183;height:2" coordorigin="10,413" coordsize="3183,2">
              <v:shape style="position:absolute;left:10;top:413;width:3183;height:2" coordorigin="10,413" coordsize="3183,0" path="m10,413l3192,413e" filled="false" stroked="true" strokeweight=".48pt" strokecolor="#000000">
                <v:path arrowok="t"/>
              </v:shape>
            </v:group>
            <v:group style="position:absolute;left:3202;top:413;width:3178;height:2" coordorigin="3202,413" coordsize="3178,2">
              <v:shape style="position:absolute;left:3202;top:413;width:3178;height:2" coordorigin="3202,413" coordsize="3178,0" path="m3202,413l6379,413e" filled="false" stroked="true" strokeweight=".48pt" strokecolor="#000000">
                <v:path arrowok="t"/>
              </v:shape>
            </v:group>
            <v:group style="position:absolute;left:6389;top:413;width:3183;height:2" coordorigin="6389,413" coordsize="3183,2">
              <v:shape style="position:absolute;left:6389;top:413;width:3183;height:2" coordorigin="6389,413" coordsize="3183,0" path="m6389,413l9571,413e" filled="false" stroked="true" strokeweight=".48pt" strokecolor="#000000">
                <v:path arrowok="t"/>
              </v:shape>
            </v:group>
            <v:group style="position:absolute;left:5;top:5;width:2;height:816" coordorigin="5,5" coordsize="2,816">
              <v:shape style="position:absolute;left:5;top:5;width:2;height:816" coordorigin="5,5" coordsize="0,816" path="m5,5l5,821e" filled="false" stroked="true" strokeweight=".48pt" strokecolor="#000000">
                <v:path arrowok="t"/>
              </v:shape>
            </v:group>
            <v:group style="position:absolute;left:10;top:816;width:3183;height:2" coordorigin="10,816" coordsize="3183,2">
              <v:shape style="position:absolute;left:10;top:816;width:3183;height:2" coordorigin="10,816" coordsize="3183,0" path="m10,816l3192,816e" filled="false" stroked="true" strokeweight=".48pt" strokecolor="#000000">
                <v:path arrowok="t"/>
              </v:shape>
            </v:group>
            <v:group style="position:absolute;left:3197;top:5;width:2;height:816" coordorigin="3197,5" coordsize="2,816">
              <v:shape style="position:absolute;left:3197;top:5;width:2;height:816" coordorigin="3197,5" coordsize="0,816" path="m3197,5l3197,821e" filled="false" stroked="true" strokeweight=".48pt" strokecolor="#000000">
                <v:path arrowok="t"/>
              </v:shape>
            </v:group>
            <v:group style="position:absolute;left:3202;top:816;width:3178;height:2" coordorigin="3202,816" coordsize="3178,2">
              <v:shape style="position:absolute;left:3202;top:816;width:3178;height:2" coordorigin="3202,816" coordsize="3178,0" path="m3202,816l6379,816e" filled="false" stroked="true" strokeweight=".48pt" strokecolor="#000000">
                <v:path arrowok="t"/>
              </v:shape>
            </v:group>
            <v:group style="position:absolute;left:6384;top:408;width:2;height:413" coordorigin="6384,408" coordsize="2,413">
              <v:shape style="position:absolute;left:6384;top:408;width:2;height:413" coordorigin="6384,408" coordsize="0,413" path="m6384,408l6384,821e" filled="false" stroked="true" strokeweight=".48pt" strokecolor="#000000">
                <v:path arrowok="t"/>
              </v:shape>
            </v:group>
            <v:group style="position:absolute;left:6389;top:816;width:3183;height:2" coordorigin="6389,816" coordsize="3183,2">
              <v:shape style="position:absolute;left:6389;top:816;width:3183;height:2" coordorigin="6389,816" coordsize="3183,0" path="m6389,816l9571,816e" filled="false" stroked="true" strokeweight=".48pt" strokecolor="#000000">
                <v:path arrowok="t"/>
              </v:shape>
            </v:group>
            <v:group style="position:absolute;left:9576;top:5;width:2;height:816" coordorigin="9576,5" coordsize="2,816">
              <v:shape style="position:absolute;left:9576;top:5;width:2;height:816" coordorigin="9576,5" coordsize="0,816" path="m9576,5l9576,821e" filled="false" stroked="true" strokeweight=".48pt" strokecolor="#000000">
                <v:path arrowok="t"/>
              </v:shape>
              <v:shape style="position:absolute;left:3185;top:408;width:3200;height:408" type="#_x0000_t202" filled="false" stroked="false">
                <v:textbox inset="0,0,0,0">
                  <w:txbxContent>
                    <w:p>
                      <w:pPr>
                        <w:spacing w:before="63"/>
                        <w:ind w:left="7" w:right="0" w:firstLine="0"/>
                        <w:jc w:val="center"/>
                        <w:rPr>
                          <w:rFonts w:ascii="宋体" w:hAnsi="宋体" w:cs="宋体" w:eastAsia="宋体" w:hint="default"/>
                          <w:sz w:val="18"/>
                          <w:szCs w:val="18"/>
                        </w:rPr>
                      </w:pPr>
                      <w:r>
                        <w:rPr>
                          <w:rFonts w:ascii="宋体" w:hAnsi="宋体" w:cs="宋体" w:eastAsia="宋体" w:hint="default"/>
                          <w:sz w:val="18"/>
                          <w:szCs w:val="18"/>
                        </w:rPr>
                        <w:t>合并日</w:t>
                      </w:r>
                    </w:p>
                  </w:txbxContent>
                </v:textbox>
                <w10:wrap type="none"/>
              </v:shape>
              <v:shape style="position:absolute;left:6384;top:408;width:3192;height:408" type="#_x0000_t202" filled="false" stroked="false">
                <v:textbox inset="0,0,0,0">
                  <w:txbxContent>
                    <w:p>
                      <w:pPr>
                        <w:spacing w:before="63"/>
                        <w:ind w:left="0" w:right="0" w:firstLine="0"/>
                        <w:jc w:val="center"/>
                        <w:rPr>
                          <w:rFonts w:ascii="宋体" w:hAnsi="宋体" w:cs="宋体" w:eastAsia="宋体" w:hint="default"/>
                          <w:sz w:val="18"/>
                          <w:szCs w:val="18"/>
                        </w:rPr>
                      </w:pPr>
                      <w:r>
                        <w:rPr>
                          <w:rFonts w:ascii="宋体" w:hAnsi="宋体" w:cs="宋体" w:eastAsia="宋体" w:hint="default"/>
                          <w:sz w:val="18"/>
                          <w:szCs w:val="18"/>
                        </w:rPr>
                        <w:t>上期期末</w:t>
                      </w:r>
                    </w:p>
                  </w:txbxContent>
                </v:textbox>
                <w10:wrap type="none"/>
              </v:shape>
            </v:group>
          </v:group>
        </w:pict>
      </w:r>
      <w:r>
        <w:rPr>
          <w:rFonts w:ascii="宋体" w:hAnsi="宋体" w:cs="宋体" w:eastAsia="宋体" w:hint="default"/>
          <w:position w:val="-16"/>
          <w:sz w:val="20"/>
          <w:szCs w:val="20"/>
        </w:rPr>
      </w:r>
    </w:p>
    <w:p>
      <w:pPr>
        <w:spacing w:line="362" w:lineRule="auto" w:before="49"/>
        <w:ind w:left="152" w:right="6405" w:firstLine="0"/>
        <w:jc w:val="left"/>
        <w:rPr>
          <w:rFonts w:ascii="宋体" w:hAnsi="宋体" w:cs="宋体" w:eastAsia="宋体" w:hint="default"/>
          <w:sz w:val="18"/>
          <w:szCs w:val="18"/>
        </w:rPr>
      </w:pPr>
      <w:r>
        <w:rPr>
          <w:rFonts w:ascii="宋体" w:hAnsi="宋体" w:cs="宋体" w:eastAsia="宋体" w:hint="default"/>
          <w:spacing w:val="-3"/>
          <w:sz w:val="18"/>
          <w:szCs w:val="18"/>
        </w:rPr>
        <w:t>企业合并中承担的被合并方的或有负债：</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z w:val="18"/>
          <w:szCs w:val="18"/>
        </w:rPr>
        <w:t>其他说明：</w:t>
      </w:r>
    </w:p>
    <w:p>
      <w:pPr>
        <w:spacing w:line="240" w:lineRule="auto" w:before="2"/>
        <w:rPr>
          <w:rFonts w:ascii="宋体" w:hAnsi="宋体" w:cs="宋体" w:eastAsia="宋体" w:hint="default"/>
          <w:sz w:val="14"/>
          <w:szCs w:val="14"/>
        </w:rPr>
      </w:pPr>
    </w:p>
    <w:p>
      <w:pPr>
        <w:pStyle w:val="Heading4"/>
        <w:spacing w:line="240" w:lineRule="auto"/>
        <w:ind w:right="0"/>
        <w:jc w:val="left"/>
        <w:rPr>
          <w:b w:val="0"/>
          <w:bCs w:val="0"/>
        </w:rPr>
      </w:pPr>
      <w:r>
        <w:rPr>
          <w:rFonts w:ascii="Times New Roman" w:hAnsi="Times New Roman" w:cs="Times New Roman" w:eastAsia="Times New Roman" w:hint="default"/>
        </w:rPr>
        <w:t>3</w:t>
      </w:r>
      <w:r>
        <w:rPr/>
        <w:t>、反向购买</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line="321" w:lineRule="auto" w:before="0"/>
        <w:ind w:left="152" w:right="0" w:firstLine="0"/>
        <w:jc w:val="left"/>
        <w:rPr>
          <w:rFonts w:ascii="宋体" w:hAnsi="宋体" w:cs="宋体" w:eastAsia="宋体" w:hint="default"/>
          <w:sz w:val="18"/>
          <w:szCs w:val="18"/>
        </w:rPr>
      </w:pPr>
      <w:r>
        <w:rPr>
          <w:rFonts w:ascii="宋体" w:hAnsi="宋体" w:cs="宋体" w:eastAsia="宋体" w:hint="default"/>
          <w:spacing w:val="-4"/>
          <w:sz w:val="18"/>
          <w:szCs w:val="18"/>
        </w:rPr>
        <w:t>交易基本信息、交易构成反向购买的依据、上市公司保留的资产、负债是否构成业务及其依据、合并成本的确定、按照权益</w:t>
      </w:r>
      <w:r>
        <w:rPr>
          <w:rFonts w:ascii="宋体" w:hAnsi="宋体" w:cs="宋体" w:eastAsia="宋体" w:hint="default"/>
          <w:spacing w:val="38"/>
          <w:sz w:val="18"/>
          <w:szCs w:val="18"/>
        </w:rPr>
        <w:t> </w:t>
      </w:r>
      <w:r>
        <w:rPr>
          <w:rFonts w:ascii="宋体" w:hAnsi="宋体" w:cs="宋体" w:eastAsia="宋体" w:hint="default"/>
          <w:spacing w:val="38"/>
          <w:sz w:val="18"/>
          <w:szCs w:val="18"/>
        </w:rPr>
      </w:r>
      <w:r>
        <w:rPr>
          <w:rFonts w:ascii="宋体" w:hAnsi="宋体" w:cs="宋体" w:eastAsia="宋体" w:hint="default"/>
          <w:spacing w:val="-3"/>
          <w:sz w:val="18"/>
          <w:szCs w:val="18"/>
        </w:rPr>
        <w:t>性交易处理时调整权益的金额及其计算：</w:t>
      </w:r>
    </w:p>
    <w:p>
      <w:pPr>
        <w:spacing w:line="240" w:lineRule="auto" w:before="6"/>
        <w:rPr>
          <w:rFonts w:ascii="宋体" w:hAnsi="宋体" w:cs="宋体" w:eastAsia="宋体" w:hint="default"/>
          <w:sz w:val="16"/>
          <w:szCs w:val="16"/>
        </w:rPr>
      </w:pPr>
    </w:p>
    <w:p>
      <w:pPr>
        <w:pStyle w:val="Heading4"/>
        <w:spacing w:line="240" w:lineRule="auto"/>
        <w:ind w:right="0"/>
        <w:jc w:val="left"/>
        <w:rPr>
          <w:b w:val="0"/>
          <w:bCs w:val="0"/>
        </w:rPr>
      </w:pPr>
      <w:r>
        <w:rPr>
          <w:rFonts w:ascii="Times New Roman" w:hAnsi="Times New Roman" w:cs="Times New Roman" w:eastAsia="Times New Roman" w:hint="default"/>
        </w:rPr>
        <w:t>4</w:t>
      </w:r>
      <w:r>
        <w:rPr/>
        <w:t>、处置子公司</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after="0" w:line="240" w:lineRule="auto"/>
        <w:rPr>
          <w:rFonts w:ascii="Microsoft JhengHei" w:hAnsi="Microsoft JhengHei" w:cs="Microsoft JhengHei" w:eastAsia="Microsoft JhengHei" w:hint="default"/>
          <w:sz w:val="17"/>
          <w:szCs w:val="17"/>
        </w:rPr>
        <w:sectPr>
          <w:pgSz w:w="11900" w:h="16840"/>
          <w:pgMar w:header="872" w:footer="984" w:top="1060" w:bottom="1180" w:left="980" w:right="980"/>
        </w:sectPr>
      </w:pPr>
    </w:p>
    <w:p>
      <w:pPr>
        <w:spacing w:before="46"/>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是否存在单次处置对子公司投资即丧失控制权的情形</w:t>
      </w:r>
    </w:p>
    <w:p>
      <w:pPr>
        <w:spacing w:before="115"/>
        <w:ind w:left="152" w:right="0" w:firstLine="0"/>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2"/>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00" w:h="16840"/>
          <w:pgMar w:top="1060" w:bottom="1180" w:left="980" w:right="980"/>
          <w:cols w:num="2" w:equalWidth="0">
            <w:col w:w="4295" w:space="4527"/>
            <w:col w:w="1118"/>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734"/>
        <w:gridCol w:w="739"/>
        <w:gridCol w:w="734"/>
        <w:gridCol w:w="734"/>
        <w:gridCol w:w="734"/>
        <w:gridCol w:w="734"/>
        <w:gridCol w:w="739"/>
        <w:gridCol w:w="734"/>
        <w:gridCol w:w="734"/>
        <w:gridCol w:w="739"/>
        <w:gridCol w:w="734"/>
        <w:gridCol w:w="734"/>
        <w:gridCol w:w="739"/>
      </w:tblGrid>
      <w:tr>
        <w:trPr>
          <w:trHeight w:val="706" w:hRule="exact"/>
        </w:trPr>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4"/>
              <w:ind w:left="182" w:right="84" w:hanging="87"/>
              <w:jc w:val="left"/>
              <w:rPr>
                <w:rFonts w:ascii="宋体" w:hAnsi="宋体" w:cs="宋体" w:eastAsia="宋体" w:hint="default"/>
                <w:sz w:val="18"/>
                <w:szCs w:val="18"/>
              </w:rPr>
            </w:pPr>
            <w:r>
              <w:rPr>
                <w:rFonts w:ascii="宋体" w:hAnsi="宋体" w:cs="宋体" w:eastAsia="宋体" w:hint="default"/>
                <w:sz w:val="18"/>
                <w:szCs w:val="18"/>
              </w:rPr>
              <w:t>子公司</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名称</w:t>
            </w:r>
          </w:p>
        </w:tc>
        <w:tc>
          <w:tcPr>
            <w:tcW w:w="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4"/>
              <w:ind w:left="91" w:right="89" w:firstLine="4"/>
              <w:jc w:val="left"/>
              <w:rPr>
                <w:rFonts w:ascii="宋体" w:hAnsi="宋体" w:cs="宋体" w:eastAsia="宋体" w:hint="default"/>
                <w:sz w:val="18"/>
                <w:szCs w:val="18"/>
              </w:rPr>
            </w:pPr>
            <w:r>
              <w:rPr>
                <w:rFonts w:ascii="宋体" w:hAnsi="宋体" w:cs="宋体" w:eastAsia="宋体" w:hint="default"/>
                <w:sz w:val="18"/>
                <w:szCs w:val="18"/>
              </w:rPr>
              <w:t>股权处</w:t>
            </w:r>
            <w:r>
              <w:rPr>
                <w:rFonts w:ascii="宋体" w:hAnsi="宋体" w:cs="宋体" w:eastAsia="宋体" w:hint="default"/>
                <w:w w:val="101"/>
                <w:sz w:val="18"/>
                <w:szCs w:val="18"/>
              </w:rPr>
              <w:t> </w:t>
            </w:r>
            <w:r>
              <w:rPr>
                <w:rFonts w:ascii="宋体" w:hAnsi="宋体" w:cs="宋体" w:eastAsia="宋体" w:hint="default"/>
                <w:sz w:val="18"/>
                <w:szCs w:val="18"/>
              </w:rPr>
              <w:t>置价款</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4"/>
              <w:ind w:left="91" w:right="84" w:firstLine="4"/>
              <w:jc w:val="left"/>
              <w:rPr>
                <w:rFonts w:ascii="宋体" w:hAnsi="宋体" w:cs="宋体" w:eastAsia="宋体" w:hint="default"/>
                <w:sz w:val="18"/>
                <w:szCs w:val="18"/>
              </w:rPr>
            </w:pPr>
            <w:r>
              <w:rPr>
                <w:rFonts w:ascii="宋体" w:hAnsi="宋体" w:cs="宋体" w:eastAsia="宋体" w:hint="default"/>
                <w:sz w:val="18"/>
                <w:szCs w:val="18"/>
              </w:rPr>
              <w:t>股权处</w:t>
            </w:r>
            <w:r>
              <w:rPr>
                <w:rFonts w:ascii="宋体" w:hAnsi="宋体" w:cs="宋体" w:eastAsia="宋体" w:hint="default"/>
                <w:w w:val="101"/>
                <w:sz w:val="18"/>
                <w:szCs w:val="18"/>
              </w:rPr>
              <w:t> </w:t>
            </w:r>
            <w:r>
              <w:rPr>
                <w:rFonts w:ascii="宋体" w:hAnsi="宋体" w:cs="宋体" w:eastAsia="宋体" w:hint="default"/>
                <w:sz w:val="18"/>
                <w:szCs w:val="18"/>
              </w:rPr>
              <w:t>置比例</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4"/>
              <w:ind w:left="91" w:right="89"/>
              <w:jc w:val="left"/>
              <w:rPr>
                <w:rFonts w:ascii="宋体" w:hAnsi="宋体" w:cs="宋体" w:eastAsia="宋体" w:hint="default"/>
                <w:sz w:val="18"/>
                <w:szCs w:val="18"/>
              </w:rPr>
            </w:pPr>
            <w:r>
              <w:rPr>
                <w:rFonts w:ascii="宋体" w:hAnsi="宋体" w:cs="宋体" w:eastAsia="宋体" w:hint="default"/>
                <w:sz w:val="18"/>
                <w:szCs w:val="18"/>
              </w:rPr>
              <w:t>股权处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置方式</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63"/>
              <w:ind w:left="91" w:right="89"/>
              <w:jc w:val="left"/>
              <w:rPr>
                <w:rFonts w:ascii="宋体" w:hAnsi="宋体" w:cs="宋体" w:eastAsia="宋体" w:hint="default"/>
                <w:sz w:val="18"/>
                <w:szCs w:val="18"/>
              </w:rPr>
            </w:pPr>
            <w:r>
              <w:rPr>
                <w:rFonts w:ascii="宋体" w:hAnsi="宋体" w:cs="宋体" w:eastAsia="宋体" w:hint="default"/>
                <w:sz w:val="18"/>
                <w:szCs w:val="18"/>
              </w:rPr>
              <w:t>丧失控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制权的</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63"/>
              <w:ind w:left="91" w:right="89"/>
              <w:jc w:val="left"/>
              <w:rPr>
                <w:rFonts w:ascii="宋体" w:hAnsi="宋体" w:cs="宋体" w:eastAsia="宋体" w:hint="default"/>
                <w:sz w:val="18"/>
                <w:szCs w:val="18"/>
              </w:rPr>
            </w:pPr>
            <w:r>
              <w:rPr>
                <w:rFonts w:ascii="宋体" w:hAnsi="宋体" w:cs="宋体" w:eastAsia="宋体" w:hint="default"/>
                <w:sz w:val="18"/>
                <w:szCs w:val="18"/>
              </w:rPr>
              <w:t>丧失控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制权时</w:t>
            </w:r>
          </w:p>
        </w:tc>
        <w:tc>
          <w:tcPr>
            <w:tcW w:w="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63"/>
              <w:ind w:left="91" w:right="94"/>
              <w:jc w:val="left"/>
              <w:rPr>
                <w:rFonts w:ascii="宋体" w:hAnsi="宋体" w:cs="宋体" w:eastAsia="宋体" w:hint="default"/>
                <w:sz w:val="18"/>
                <w:szCs w:val="18"/>
              </w:rPr>
            </w:pPr>
            <w:r>
              <w:rPr>
                <w:rFonts w:ascii="宋体" w:hAnsi="宋体" w:cs="宋体" w:eastAsia="宋体" w:hint="default"/>
                <w:sz w:val="18"/>
                <w:szCs w:val="18"/>
              </w:rPr>
              <w:t>处置价</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款与处</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63"/>
              <w:ind w:left="86" w:right="94"/>
              <w:jc w:val="left"/>
              <w:rPr>
                <w:rFonts w:ascii="宋体" w:hAnsi="宋体" w:cs="宋体" w:eastAsia="宋体" w:hint="default"/>
                <w:sz w:val="18"/>
                <w:szCs w:val="18"/>
              </w:rPr>
            </w:pPr>
            <w:r>
              <w:rPr>
                <w:rFonts w:ascii="宋体" w:hAnsi="宋体" w:cs="宋体" w:eastAsia="宋体" w:hint="default"/>
                <w:sz w:val="18"/>
                <w:szCs w:val="18"/>
              </w:rPr>
              <w:t>丧失控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制权之</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63"/>
              <w:ind w:left="91" w:right="89"/>
              <w:jc w:val="left"/>
              <w:rPr>
                <w:rFonts w:ascii="宋体" w:hAnsi="宋体" w:cs="宋体" w:eastAsia="宋体" w:hint="default"/>
                <w:sz w:val="18"/>
                <w:szCs w:val="18"/>
              </w:rPr>
            </w:pPr>
            <w:r>
              <w:rPr>
                <w:rFonts w:ascii="宋体" w:hAnsi="宋体" w:cs="宋体" w:eastAsia="宋体" w:hint="default"/>
                <w:sz w:val="18"/>
                <w:szCs w:val="18"/>
              </w:rPr>
              <w:t>丧失控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制权之</w:t>
            </w:r>
          </w:p>
        </w:tc>
        <w:tc>
          <w:tcPr>
            <w:tcW w:w="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63"/>
              <w:ind w:left="95" w:right="89"/>
              <w:jc w:val="left"/>
              <w:rPr>
                <w:rFonts w:ascii="宋体" w:hAnsi="宋体" w:cs="宋体" w:eastAsia="宋体" w:hint="default"/>
                <w:sz w:val="18"/>
                <w:szCs w:val="18"/>
              </w:rPr>
            </w:pPr>
            <w:r>
              <w:rPr>
                <w:rFonts w:ascii="宋体" w:hAnsi="宋体" w:cs="宋体" w:eastAsia="宋体" w:hint="default"/>
                <w:sz w:val="18"/>
                <w:szCs w:val="18"/>
              </w:rPr>
              <w:t>丧失控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制权之</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63"/>
              <w:ind w:left="91" w:right="89"/>
              <w:jc w:val="left"/>
              <w:rPr>
                <w:rFonts w:ascii="宋体" w:hAnsi="宋体" w:cs="宋体" w:eastAsia="宋体" w:hint="default"/>
                <w:sz w:val="18"/>
                <w:szCs w:val="18"/>
              </w:rPr>
            </w:pPr>
            <w:r>
              <w:rPr>
                <w:rFonts w:ascii="宋体" w:hAnsi="宋体" w:cs="宋体" w:eastAsia="宋体" w:hint="default"/>
                <w:sz w:val="18"/>
                <w:szCs w:val="18"/>
              </w:rPr>
              <w:t>按照公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允价值</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63"/>
              <w:ind w:left="95" w:right="84"/>
              <w:jc w:val="left"/>
              <w:rPr>
                <w:rFonts w:ascii="宋体" w:hAnsi="宋体" w:cs="宋体" w:eastAsia="宋体" w:hint="default"/>
                <w:sz w:val="18"/>
                <w:szCs w:val="18"/>
              </w:rPr>
            </w:pPr>
            <w:r>
              <w:rPr>
                <w:rFonts w:ascii="宋体" w:hAnsi="宋体" w:cs="宋体" w:eastAsia="宋体" w:hint="default"/>
                <w:sz w:val="18"/>
                <w:szCs w:val="18"/>
              </w:rPr>
              <w:t>丧失控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制权之</w:t>
            </w:r>
          </w:p>
        </w:tc>
        <w:tc>
          <w:tcPr>
            <w:tcW w:w="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63"/>
              <w:ind w:left="96" w:right="89"/>
              <w:jc w:val="left"/>
              <w:rPr>
                <w:rFonts w:ascii="宋体" w:hAnsi="宋体" w:cs="宋体" w:eastAsia="宋体" w:hint="default"/>
                <w:sz w:val="18"/>
                <w:szCs w:val="18"/>
              </w:rPr>
            </w:pPr>
            <w:r>
              <w:rPr>
                <w:rFonts w:ascii="宋体" w:hAnsi="宋体" w:cs="宋体" w:eastAsia="宋体" w:hint="default"/>
                <w:sz w:val="18"/>
                <w:szCs w:val="18"/>
              </w:rPr>
              <w:t>与原子</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公司股</w:t>
            </w:r>
          </w:p>
        </w:tc>
      </w:tr>
    </w:tbl>
    <w:p>
      <w:pPr>
        <w:spacing w:after="0" w:line="312" w:lineRule="auto"/>
        <w:jc w:val="left"/>
        <w:rPr>
          <w:rFonts w:ascii="宋体" w:hAnsi="宋体" w:cs="宋体" w:eastAsia="宋体" w:hint="default"/>
          <w:sz w:val="18"/>
          <w:szCs w:val="18"/>
        </w:rPr>
        <w:sectPr>
          <w:type w:val="continuous"/>
          <w:pgSz w:w="11900" w:h="16840"/>
          <w:pgMar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734"/>
        <w:gridCol w:w="739"/>
        <w:gridCol w:w="734"/>
        <w:gridCol w:w="734"/>
        <w:gridCol w:w="734"/>
        <w:gridCol w:w="734"/>
        <w:gridCol w:w="739"/>
        <w:gridCol w:w="734"/>
        <w:gridCol w:w="734"/>
        <w:gridCol w:w="739"/>
        <w:gridCol w:w="734"/>
        <w:gridCol w:w="734"/>
        <w:gridCol w:w="739"/>
      </w:tblGrid>
      <w:tr>
        <w:trPr>
          <w:trHeight w:val="318" w:hRule="exact"/>
        </w:trPr>
        <w:tc>
          <w:tcPr>
            <w:tcW w:w="734" w:type="dxa"/>
            <w:vMerge w:val="restart"/>
            <w:tcBorders>
              <w:top w:val="single" w:sz="4" w:space="0" w:color="000000"/>
              <w:left w:val="single" w:sz="4" w:space="0" w:color="000000"/>
              <w:right w:val="single" w:sz="4" w:space="0" w:color="000000"/>
            </w:tcBorders>
            <w:shd w:val="clear" w:color="auto" w:fill="D2D2D2"/>
          </w:tcPr>
          <w:p>
            <w:pPr/>
          </w:p>
        </w:tc>
        <w:tc>
          <w:tcPr>
            <w:tcW w:w="739" w:type="dxa"/>
            <w:vMerge w:val="restart"/>
            <w:tcBorders>
              <w:top w:val="single" w:sz="4" w:space="0" w:color="000000"/>
              <w:left w:val="single" w:sz="4" w:space="0" w:color="000000"/>
              <w:right w:val="single" w:sz="4" w:space="0" w:color="000000"/>
            </w:tcBorders>
            <w:shd w:val="clear" w:color="auto" w:fill="D2D2D2"/>
          </w:tcPr>
          <w:p>
            <w:pPr/>
          </w:p>
        </w:tc>
        <w:tc>
          <w:tcPr>
            <w:tcW w:w="734" w:type="dxa"/>
            <w:vMerge w:val="restart"/>
            <w:tcBorders>
              <w:top w:val="single" w:sz="4" w:space="0" w:color="000000"/>
              <w:left w:val="single" w:sz="4" w:space="0" w:color="000000"/>
              <w:right w:val="single" w:sz="4" w:space="0" w:color="000000"/>
            </w:tcBorders>
            <w:shd w:val="clear" w:color="auto" w:fill="D2D2D2"/>
          </w:tcPr>
          <w:p>
            <w:pPr/>
          </w:p>
        </w:tc>
        <w:tc>
          <w:tcPr>
            <w:tcW w:w="734" w:type="dxa"/>
            <w:vMerge w:val="restart"/>
            <w:tcBorders>
              <w:top w:val="single" w:sz="4" w:space="0" w:color="000000"/>
              <w:left w:val="single" w:sz="4" w:space="0" w:color="000000"/>
              <w:right w:val="single" w:sz="4" w:space="0" w:color="000000"/>
            </w:tcBorders>
            <w:shd w:val="clear" w:color="auto" w:fill="D2D2D2"/>
          </w:tcPr>
          <w:p>
            <w:pPr/>
          </w:p>
        </w:tc>
        <w:tc>
          <w:tcPr>
            <w:tcW w:w="734"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5"/>
              <w:ind w:left="177" w:right="0"/>
              <w:jc w:val="left"/>
              <w:rPr>
                <w:rFonts w:ascii="宋体" w:hAnsi="宋体" w:cs="宋体" w:eastAsia="宋体" w:hint="default"/>
                <w:sz w:val="18"/>
                <w:szCs w:val="18"/>
              </w:rPr>
            </w:pPr>
            <w:r>
              <w:rPr>
                <w:rFonts w:ascii="宋体" w:hAnsi="宋体" w:cs="宋体" w:eastAsia="宋体" w:hint="default"/>
                <w:sz w:val="18"/>
                <w:szCs w:val="18"/>
              </w:rPr>
              <w:t>时点</w:t>
            </w:r>
          </w:p>
        </w:tc>
        <w:tc>
          <w:tcPr>
            <w:tcW w:w="734"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点的确</w:t>
            </w:r>
          </w:p>
        </w:tc>
        <w:tc>
          <w:tcPr>
            <w:tcW w:w="739"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置投资</w:t>
            </w:r>
          </w:p>
        </w:tc>
        <w:tc>
          <w:tcPr>
            <w:tcW w:w="734"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0"/>
              <w:ind w:right="7"/>
              <w:jc w:val="center"/>
              <w:rPr>
                <w:rFonts w:ascii="宋体" w:hAnsi="宋体" w:cs="宋体" w:eastAsia="宋体" w:hint="default"/>
                <w:sz w:val="18"/>
                <w:szCs w:val="18"/>
              </w:rPr>
            </w:pPr>
            <w:r>
              <w:rPr>
                <w:rFonts w:ascii="宋体" w:hAnsi="宋体" w:cs="宋体" w:eastAsia="宋体" w:hint="default"/>
                <w:sz w:val="18"/>
                <w:szCs w:val="18"/>
              </w:rPr>
              <w:t>日剩余</w:t>
            </w:r>
          </w:p>
        </w:tc>
        <w:tc>
          <w:tcPr>
            <w:tcW w:w="734"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日剩余</w:t>
            </w:r>
          </w:p>
        </w:tc>
        <w:tc>
          <w:tcPr>
            <w:tcW w:w="739"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日剩余</w:t>
            </w:r>
          </w:p>
        </w:tc>
        <w:tc>
          <w:tcPr>
            <w:tcW w:w="734"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重新计</w:t>
            </w:r>
          </w:p>
        </w:tc>
        <w:tc>
          <w:tcPr>
            <w:tcW w:w="734"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日剩余</w:t>
            </w:r>
          </w:p>
        </w:tc>
        <w:tc>
          <w:tcPr>
            <w:tcW w:w="739"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0"/>
              <w:ind w:left="96" w:right="0"/>
              <w:jc w:val="left"/>
              <w:rPr>
                <w:rFonts w:ascii="宋体" w:hAnsi="宋体" w:cs="宋体" w:eastAsia="宋体" w:hint="default"/>
                <w:sz w:val="18"/>
                <w:szCs w:val="18"/>
              </w:rPr>
            </w:pPr>
            <w:r>
              <w:rPr>
                <w:rFonts w:ascii="宋体" w:hAnsi="宋体" w:cs="宋体" w:eastAsia="宋体" w:hint="default"/>
                <w:sz w:val="18"/>
                <w:szCs w:val="18"/>
              </w:rPr>
              <w:t>权投资</w:t>
            </w:r>
          </w:p>
        </w:tc>
      </w:tr>
      <w:tr>
        <w:trPr>
          <w:trHeight w:val="312" w:hRule="exact"/>
        </w:trPr>
        <w:tc>
          <w:tcPr>
            <w:tcW w:w="734" w:type="dxa"/>
            <w:vMerge/>
            <w:tcBorders>
              <w:left w:val="single" w:sz="4" w:space="0" w:color="000000"/>
              <w:right w:val="single" w:sz="4" w:space="0" w:color="000000"/>
            </w:tcBorders>
            <w:shd w:val="clear" w:color="auto" w:fill="D2D2D2"/>
          </w:tcPr>
          <w:p>
            <w:pPr/>
          </w:p>
        </w:tc>
        <w:tc>
          <w:tcPr>
            <w:tcW w:w="739"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定依据</w:t>
            </w:r>
          </w:p>
        </w:tc>
        <w:tc>
          <w:tcPr>
            <w:tcW w:w="7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sz w:val="18"/>
                <w:szCs w:val="18"/>
              </w:rPr>
              <w:t>对应的</w:t>
            </w: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7"/>
              <w:jc w:val="center"/>
              <w:rPr>
                <w:rFonts w:ascii="宋体" w:hAnsi="宋体" w:cs="宋体" w:eastAsia="宋体" w:hint="default"/>
                <w:sz w:val="18"/>
                <w:szCs w:val="18"/>
              </w:rPr>
            </w:pPr>
            <w:r>
              <w:rPr>
                <w:rFonts w:ascii="宋体" w:hAnsi="宋体" w:cs="宋体" w:eastAsia="宋体" w:hint="default"/>
                <w:sz w:val="18"/>
                <w:szCs w:val="18"/>
              </w:rPr>
              <w:t>股权的</w:t>
            </w: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股权的</w:t>
            </w:r>
          </w:p>
        </w:tc>
        <w:tc>
          <w:tcPr>
            <w:tcW w:w="7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left="4" w:right="0"/>
              <w:jc w:val="center"/>
              <w:rPr>
                <w:rFonts w:ascii="宋体" w:hAnsi="宋体" w:cs="宋体" w:eastAsia="宋体" w:hint="default"/>
                <w:sz w:val="18"/>
                <w:szCs w:val="18"/>
              </w:rPr>
            </w:pPr>
            <w:r>
              <w:rPr>
                <w:rFonts w:ascii="宋体" w:hAnsi="宋体" w:cs="宋体" w:eastAsia="宋体" w:hint="default"/>
                <w:sz w:val="18"/>
                <w:szCs w:val="18"/>
              </w:rPr>
              <w:t>股权的</w:t>
            </w: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量剩余</w:t>
            </w: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left="9" w:right="0"/>
              <w:jc w:val="center"/>
              <w:rPr>
                <w:rFonts w:ascii="宋体" w:hAnsi="宋体" w:cs="宋体" w:eastAsia="宋体" w:hint="default"/>
                <w:sz w:val="18"/>
                <w:szCs w:val="18"/>
              </w:rPr>
            </w:pPr>
            <w:r>
              <w:rPr>
                <w:rFonts w:ascii="宋体" w:hAnsi="宋体" w:cs="宋体" w:eastAsia="宋体" w:hint="default"/>
                <w:sz w:val="18"/>
                <w:szCs w:val="18"/>
              </w:rPr>
              <w:t>股权公</w:t>
            </w:r>
          </w:p>
        </w:tc>
        <w:tc>
          <w:tcPr>
            <w:tcW w:w="7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left="96" w:right="0"/>
              <w:jc w:val="left"/>
              <w:rPr>
                <w:rFonts w:ascii="宋体" w:hAnsi="宋体" w:cs="宋体" w:eastAsia="宋体" w:hint="default"/>
                <w:sz w:val="18"/>
                <w:szCs w:val="18"/>
              </w:rPr>
            </w:pPr>
            <w:r>
              <w:rPr>
                <w:rFonts w:ascii="宋体" w:hAnsi="宋体" w:cs="宋体" w:eastAsia="宋体" w:hint="default"/>
                <w:sz w:val="18"/>
                <w:szCs w:val="18"/>
              </w:rPr>
              <w:t>相关的</w:t>
            </w:r>
          </w:p>
        </w:tc>
      </w:tr>
      <w:tr>
        <w:trPr>
          <w:trHeight w:val="312" w:hRule="exact"/>
        </w:trPr>
        <w:tc>
          <w:tcPr>
            <w:tcW w:w="734" w:type="dxa"/>
            <w:vMerge/>
            <w:tcBorders>
              <w:left w:val="single" w:sz="4" w:space="0" w:color="000000"/>
              <w:right w:val="single" w:sz="4" w:space="0" w:color="000000"/>
            </w:tcBorders>
            <w:shd w:val="clear" w:color="auto" w:fill="D2D2D2"/>
          </w:tcPr>
          <w:p>
            <w:pPr/>
          </w:p>
        </w:tc>
        <w:tc>
          <w:tcPr>
            <w:tcW w:w="739"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sz w:val="18"/>
                <w:szCs w:val="18"/>
              </w:rPr>
              <w:t>合并财</w:t>
            </w: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right="12"/>
              <w:jc w:val="center"/>
              <w:rPr>
                <w:rFonts w:ascii="宋体" w:hAnsi="宋体" w:cs="宋体" w:eastAsia="宋体" w:hint="default"/>
                <w:sz w:val="18"/>
                <w:szCs w:val="18"/>
              </w:rPr>
            </w:pPr>
            <w:r>
              <w:rPr>
                <w:rFonts w:ascii="宋体" w:hAnsi="宋体" w:cs="宋体" w:eastAsia="宋体" w:hint="default"/>
                <w:sz w:val="18"/>
                <w:szCs w:val="18"/>
              </w:rPr>
              <w:t>比例</w:t>
            </w: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账面价</w:t>
            </w:r>
          </w:p>
        </w:tc>
        <w:tc>
          <w:tcPr>
            <w:tcW w:w="7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left="4" w:right="0"/>
              <w:jc w:val="center"/>
              <w:rPr>
                <w:rFonts w:ascii="宋体" w:hAnsi="宋体" w:cs="宋体" w:eastAsia="宋体" w:hint="default"/>
                <w:sz w:val="18"/>
                <w:szCs w:val="18"/>
              </w:rPr>
            </w:pPr>
            <w:r>
              <w:rPr>
                <w:rFonts w:ascii="宋体" w:hAnsi="宋体" w:cs="宋体" w:eastAsia="宋体" w:hint="default"/>
                <w:sz w:val="18"/>
                <w:szCs w:val="18"/>
              </w:rPr>
              <w:t>公允价</w:t>
            </w: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股权产</w:t>
            </w: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left="9" w:right="0"/>
              <w:jc w:val="center"/>
              <w:rPr>
                <w:rFonts w:ascii="宋体" w:hAnsi="宋体" w:cs="宋体" w:eastAsia="宋体" w:hint="default"/>
                <w:sz w:val="18"/>
                <w:szCs w:val="18"/>
              </w:rPr>
            </w:pPr>
            <w:r>
              <w:rPr>
                <w:rFonts w:ascii="宋体" w:hAnsi="宋体" w:cs="宋体" w:eastAsia="宋体" w:hint="default"/>
                <w:sz w:val="18"/>
                <w:szCs w:val="18"/>
              </w:rPr>
              <w:t>允价值</w:t>
            </w:r>
          </w:p>
        </w:tc>
        <w:tc>
          <w:tcPr>
            <w:tcW w:w="7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left="96" w:right="0"/>
              <w:jc w:val="left"/>
              <w:rPr>
                <w:rFonts w:ascii="宋体" w:hAnsi="宋体" w:cs="宋体" w:eastAsia="宋体" w:hint="default"/>
                <w:sz w:val="18"/>
                <w:szCs w:val="18"/>
              </w:rPr>
            </w:pPr>
            <w:r>
              <w:rPr>
                <w:rFonts w:ascii="宋体" w:hAnsi="宋体" w:cs="宋体" w:eastAsia="宋体" w:hint="default"/>
                <w:sz w:val="18"/>
                <w:szCs w:val="18"/>
              </w:rPr>
              <w:t>其他综</w:t>
            </w:r>
          </w:p>
        </w:tc>
      </w:tr>
      <w:tr>
        <w:trPr>
          <w:trHeight w:val="312" w:hRule="exact"/>
        </w:trPr>
        <w:tc>
          <w:tcPr>
            <w:tcW w:w="734" w:type="dxa"/>
            <w:vMerge/>
            <w:tcBorders>
              <w:left w:val="single" w:sz="4" w:space="0" w:color="000000"/>
              <w:right w:val="single" w:sz="4" w:space="0" w:color="000000"/>
            </w:tcBorders>
            <w:shd w:val="clear" w:color="auto" w:fill="D2D2D2"/>
          </w:tcPr>
          <w:p>
            <w:pPr/>
          </w:p>
        </w:tc>
        <w:tc>
          <w:tcPr>
            <w:tcW w:w="739"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sz w:val="18"/>
                <w:szCs w:val="18"/>
              </w:rPr>
              <w:t>务报表</w:t>
            </w: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right="2"/>
              <w:jc w:val="center"/>
              <w:rPr>
                <w:rFonts w:ascii="宋体" w:hAnsi="宋体" w:cs="宋体" w:eastAsia="宋体" w:hint="default"/>
                <w:sz w:val="18"/>
                <w:szCs w:val="18"/>
              </w:rPr>
            </w:pPr>
            <w:r>
              <w:rPr>
                <w:rFonts w:ascii="宋体" w:hAnsi="宋体" w:cs="宋体" w:eastAsia="宋体" w:hint="default"/>
                <w:w w:val="101"/>
                <w:sz w:val="18"/>
                <w:szCs w:val="18"/>
              </w:rPr>
              <w:t>值</w:t>
            </w:r>
            <w:r>
              <w:rPr>
                <w:rFonts w:ascii="宋体" w:hAnsi="宋体" w:cs="宋体" w:eastAsia="宋体" w:hint="default"/>
                <w:sz w:val="18"/>
                <w:szCs w:val="18"/>
              </w:rPr>
            </w:r>
          </w:p>
        </w:tc>
        <w:tc>
          <w:tcPr>
            <w:tcW w:w="7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w w:val="101"/>
                <w:sz w:val="18"/>
                <w:szCs w:val="18"/>
              </w:rPr>
              <w:t>值</w:t>
            </w:r>
            <w:r>
              <w:rPr>
                <w:rFonts w:ascii="宋体" w:hAnsi="宋体" w:cs="宋体" w:eastAsia="宋体" w:hint="default"/>
                <w:sz w:val="18"/>
                <w:szCs w:val="18"/>
              </w:rPr>
            </w: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生的利</w:t>
            </w: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left="9" w:right="0"/>
              <w:jc w:val="center"/>
              <w:rPr>
                <w:rFonts w:ascii="宋体" w:hAnsi="宋体" w:cs="宋体" w:eastAsia="宋体" w:hint="default"/>
                <w:sz w:val="18"/>
                <w:szCs w:val="18"/>
              </w:rPr>
            </w:pPr>
            <w:r>
              <w:rPr>
                <w:rFonts w:ascii="宋体" w:hAnsi="宋体" w:cs="宋体" w:eastAsia="宋体" w:hint="default"/>
                <w:sz w:val="18"/>
                <w:szCs w:val="18"/>
              </w:rPr>
              <w:t>的确定</w:t>
            </w:r>
          </w:p>
        </w:tc>
        <w:tc>
          <w:tcPr>
            <w:tcW w:w="7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left="96" w:right="0"/>
              <w:jc w:val="left"/>
              <w:rPr>
                <w:rFonts w:ascii="宋体" w:hAnsi="宋体" w:cs="宋体" w:eastAsia="宋体" w:hint="default"/>
                <w:sz w:val="18"/>
                <w:szCs w:val="18"/>
              </w:rPr>
            </w:pPr>
            <w:r>
              <w:rPr>
                <w:rFonts w:ascii="宋体" w:hAnsi="宋体" w:cs="宋体" w:eastAsia="宋体" w:hint="default"/>
                <w:sz w:val="18"/>
                <w:szCs w:val="18"/>
              </w:rPr>
              <w:t>合收益</w:t>
            </w:r>
          </w:p>
        </w:tc>
      </w:tr>
      <w:tr>
        <w:trPr>
          <w:trHeight w:val="310" w:hRule="exact"/>
        </w:trPr>
        <w:tc>
          <w:tcPr>
            <w:tcW w:w="734" w:type="dxa"/>
            <w:vMerge/>
            <w:tcBorders>
              <w:left w:val="single" w:sz="4" w:space="0" w:color="000000"/>
              <w:right w:val="single" w:sz="4" w:space="0" w:color="000000"/>
            </w:tcBorders>
            <w:shd w:val="clear" w:color="auto" w:fill="D2D2D2"/>
          </w:tcPr>
          <w:p>
            <w:pPr/>
          </w:p>
        </w:tc>
        <w:tc>
          <w:tcPr>
            <w:tcW w:w="739"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sz w:val="18"/>
                <w:szCs w:val="18"/>
              </w:rPr>
              <w:t>层面享</w:t>
            </w: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9"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得或损</w:t>
            </w: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left="9" w:right="0"/>
              <w:jc w:val="center"/>
              <w:rPr>
                <w:rFonts w:ascii="宋体" w:hAnsi="宋体" w:cs="宋体" w:eastAsia="宋体" w:hint="default"/>
                <w:sz w:val="18"/>
                <w:szCs w:val="18"/>
              </w:rPr>
            </w:pPr>
            <w:r>
              <w:rPr>
                <w:rFonts w:ascii="宋体" w:hAnsi="宋体" w:cs="宋体" w:eastAsia="宋体" w:hint="default"/>
                <w:sz w:val="18"/>
                <w:szCs w:val="18"/>
              </w:rPr>
              <w:t>方法及</w:t>
            </w:r>
          </w:p>
        </w:tc>
        <w:tc>
          <w:tcPr>
            <w:tcW w:w="7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left="96" w:right="0"/>
              <w:jc w:val="left"/>
              <w:rPr>
                <w:rFonts w:ascii="宋体" w:hAnsi="宋体" w:cs="宋体" w:eastAsia="宋体" w:hint="default"/>
                <w:sz w:val="18"/>
                <w:szCs w:val="18"/>
              </w:rPr>
            </w:pPr>
            <w:r>
              <w:rPr>
                <w:rFonts w:ascii="宋体" w:hAnsi="宋体" w:cs="宋体" w:eastAsia="宋体" w:hint="default"/>
                <w:sz w:val="18"/>
                <w:szCs w:val="18"/>
              </w:rPr>
              <w:t>转入投</w:t>
            </w:r>
          </w:p>
        </w:tc>
      </w:tr>
      <w:tr>
        <w:trPr>
          <w:trHeight w:val="314" w:hRule="exact"/>
        </w:trPr>
        <w:tc>
          <w:tcPr>
            <w:tcW w:w="734" w:type="dxa"/>
            <w:vMerge/>
            <w:tcBorders>
              <w:left w:val="single" w:sz="4" w:space="0" w:color="000000"/>
              <w:right w:val="single" w:sz="4" w:space="0" w:color="000000"/>
            </w:tcBorders>
            <w:shd w:val="clear" w:color="auto" w:fill="D2D2D2"/>
          </w:tcPr>
          <w:p>
            <w:pPr/>
          </w:p>
        </w:tc>
        <w:tc>
          <w:tcPr>
            <w:tcW w:w="739"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1"/>
              <w:ind w:right="2"/>
              <w:jc w:val="center"/>
              <w:rPr>
                <w:rFonts w:ascii="宋体" w:hAnsi="宋体" w:cs="宋体" w:eastAsia="宋体" w:hint="default"/>
                <w:sz w:val="18"/>
                <w:szCs w:val="18"/>
              </w:rPr>
            </w:pPr>
            <w:r>
              <w:rPr>
                <w:rFonts w:ascii="宋体" w:hAnsi="宋体" w:cs="宋体" w:eastAsia="宋体" w:hint="default"/>
                <w:sz w:val="18"/>
                <w:szCs w:val="18"/>
              </w:rPr>
              <w:t>有该子</w:t>
            </w: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9"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6"/>
              <w:ind w:right="2"/>
              <w:jc w:val="center"/>
              <w:rPr>
                <w:rFonts w:ascii="宋体" w:hAnsi="宋体" w:cs="宋体" w:eastAsia="宋体" w:hint="default"/>
                <w:sz w:val="18"/>
                <w:szCs w:val="18"/>
              </w:rPr>
            </w:pPr>
            <w:r>
              <w:rPr>
                <w:rFonts w:ascii="宋体" w:hAnsi="宋体" w:cs="宋体" w:eastAsia="宋体" w:hint="default"/>
                <w:w w:val="101"/>
                <w:sz w:val="18"/>
                <w:szCs w:val="18"/>
              </w:rPr>
              <w:t>失</w:t>
            </w:r>
            <w:r>
              <w:rPr>
                <w:rFonts w:ascii="宋体" w:hAnsi="宋体" w:cs="宋体" w:eastAsia="宋体" w:hint="default"/>
                <w:sz w:val="18"/>
                <w:szCs w:val="18"/>
              </w:rPr>
            </w: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1"/>
              <w:ind w:left="9" w:right="0"/>
              <w:jc w:val="center"/>
              <w:rPr>
                <w:rFonts w:ascii="宋体" w:hAnsi="宋体" w:cs="宋体" w:eastAsia="宋体" w:hint="default"/>
                <w:sz w:val="18"/>
                <w:szCs w:val="18"/>
              </w:rPr>
            </w:pPr>
            <w:r>
              <w:rPr>
                <w:rFonts w:ascii="宋体" w:hAnsi="宋体" w:cs="宋体" w:eastAsia="宋体" w:hint="default"/>
                <w:sz w:val="18"/>
                <w:szCs w:val="18"/>
              </w:rPr>
              <w:t>主要假</w:t>
            </w:r>
          </w:p>
        </w:tc>
        <w:tc>
          <w:tcPr>
            <w:tcW w:w="7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1"/>
              <w:ind w:left="96" w:right="0"/>
              <w:jc w:val="left"/>
              <w:rPr>
                <w:rFonts w:ascii="宋体" w:hAnsi="宋体" w:cs="宋体" w:eastAsia="宋体" w:hint="default"/>
                <w:sz w:val="18"/>
                <w:szCs w:val="18"/>
              </w:rPr>
            </w:pPr>
            <w:r>
              <w:rPr>
                <w:rFonts w:ascii="宋体" w:hAnsi="宋体" w:cs="宋体" w:eastAsia="宋体" w:hint="default"/>
                <w:sz w:val="18"/>
                <w:szCs w:val="18"/>
              </w:rPr>
              <w:t>资损益</w:t>
            </w:r>
          </w:p>
        </w:tc>
      </w:tr>
      <w:tr>
        <w:trPr>
          <w:trHeight w:val="312" w:hRule="exact"/>
        </w:trPr>
        <w:tc>
          <w:tcPr>
            <w:tcW w:w="734" w:type="dxa"/>
            <w:vMerge/>
            <w:tcBorders>
              <w:left w:val="single" w:sz="4" w:space="0" w:color="000000"/>
              <w:right w:val="single" w:sz="4" w:space="0" w:color="000000"/>
            </w:tcBorders>
            <w:shd w:val="clear" w:color="auto" w:fill="D2D2D2"/>
          </w:tcPr>
          <w:p>
            <w:pPr/>
          </w:p>
        </w:tc>
        <w:tc>
          <w:tcPr>
            <w:tcW w:w="739"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sz w:val="18"/>
                <w:szCs w:val="18"/>
              </w:rPr>
              <w:t>公司净</w:t>
            </w: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9"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left="4" w:right="0"/>
              <w:jc w:val="center"/>
              <w:rPr>
                <w:rFonts w:ascii="宋体" w:hAnsi="宋体" w:cs="宋体" w:eastAsia="宋体" w:hint="default"/>
                <w:sz w:val="18"/>
                <w:szCs w:val="18"/>
              </w:rPr>
            </w:pPr>
            <w:r>
              <w:rPr>
                <w:rFonts w:ascii="宋体" w:hAnsi="宋体" w:cs="宋体" w:eastAsia="宋体" w:hint="default"/>
                <w:w w:val="101"/>
                <w:sz w:val="18"/>
                <w:szCs w:val="18"/>
              </w:rPr>
              <w:t>设</w:t>
            </w:r>
            <w:r>
              <w:rPr>
                <w:rFonts w:ascii="宋体" w:hAnsi="宋体" w:cs="宋体" w:eastAsia="宋体" w:hint="default"/>
                <w:sz w:val="18"/>
                <w:szCs w:val="18"/>
              </w:rPr>
            </w:r>
          </w:p>
        </w:tc>
        <w:tc>
          <w:tcPr>
            <w:tcW w:w="7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left="91" w:right="0"/>
              <w:jc w:val="left"/>
              <w:rPr>
                <w:rFonts w:ascii="宋体" w:hAnsi="宋体" w:cs="宋体" w:eastAsia="宋体" w:hint="default"/>
                <w:sz w:val="18"/>
                <w:szCs w:val="18"/>
              </w:rPr>
            </w:pPr>
            <w:r>
              <w:rPr>
                <w:rFonts w:ascii="宋体" w:hAnsi="宋体" w:cs="宋体" w:eastAsia="宋体" w:hint="default"/>
                <w:sz w:val="18"/>
                <w:szCs w:val="18"/>
              </w:rPr>
              <w:t>的金额</w:t>
            </w:r>
          </w:p>
        </w:tc>
      </w:tr>
      <w:tr>
        <w:trPr>
          <w:trHeight w:val="310" w:hRule="exact"/>
        </w:trPr>
        <w:tc>
          <w:tcPr>
            <w:tcW w:w="734" w:type="dxa"/>
            <w:vMerge/>
            <w:tcBorders>
              <w:left w:val="single" w:sz="4" w:space="0" w:color="000000"/>
              <w:right w:val="single" w:sz="4" w:space="0" w:color="000000"/>
            </w:tcBorders>
            <w:shd w:val="clear" w:color="auto" w:fill="D2D2D2"/>
          </w:tcPr>
          <w:p>
            <w:pPr/>
          </w:p>
        </w:tc>
        <w:tc>
          <w:tcPr>
            <w:tcW w:w="739"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sz w:val="18"/>
                <w:szCs w:val="18"/>
              </w:rPr>
              <w:t>资产份</w:t>
            </w: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9"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9" w:type="dxa"/>
            <w:tcBorders>
              <w:top w:val="nil" w:sz="6" w:space="0" w:color="auto"/>
              <w:left w:val="single" w:sz="4" w:space="0" w:color="000000"/>
              <w:bottom w:val="nil" w:sz="6" w:space="0" w:color="auto"/>
              <w:right w:val="single" w:sz="4" w:space="0" w:color="000000"/>
            </w:tcBorders>
            <w:shd w:val="clear" w:color="auto" w:fill="D2D2D2"/>
          </w:tcPr>
          <w:p>
            <w:pPr/>
          </w:p>
        </w:tc>
      </w:tr>
      <w:tr>
        <w:trPr>
          <w:trHeight w:val="314" w:hRule="exact"/>
        </w:trPr>
        <w:tc>
          <w:tcPr>
            <w:tcW w:w="734" w:type="dxa"/>
            <w:vMerge/>
            <w:tcBorders>
              <w:left w:val="single" w:sz="4" w:space="0" w:color="000000"/>
              <w:right w:val="single" w:sz="4" w:space="0" w:color="000000"/>
            </w:tcBorders>
            <w:shd w:val="clear" w:color="auto" w:fill="D2D2D2"/>
          </w:tcPr>
          <w:p>
            <w:pPr/>
          </w:p>
        </w:tc>
        <w:tc>
          <w:tcPr>
            <w:tcW w:w="739"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1"/>
              <w:ind w:right="2"/>
              <w:jc w:val="center"/>
              <w:rPr>
                <w:rFonts w:ascii="宋体" w:hAnsi="宋体" w:cs="宋体" w:eastAsia="宋体" w:hint="default"/>
                <w:sz w:val="18"/>
                <w:szCs w:val="18"/>
              </w:rPr>
            </w:pPr>
            <w:r>
              <w:rPr>
                <w:rFonts w:ascii="宋体" w:hAnsi="宋体" w:cs="宋体" w:eastAsia="宋体" w:hint="default"/>
                <w:sz w:val="18"/>
                <w:szCs w:val="18"/>
              </w:rPr>
              <w:t>额的差</w:t>
            </w: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9"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9" w:type="dxa"/>
            <w:tcBorders>
              <w:top w:val="nil" w:sz="6" w:space="0" w:color="auto"/>
              <w:left w:val="single" w:sz="4" w:space="0" w:color="000000"/>
              <w:bottom w:val="nil" w:sz="6" w:space="0" w:color="auto"/>
              <w:right w:val="single" w:sz="4" w:space="0" w:color="000000"/>
            </w:tcBorders>
            <w:shd w:val="clear" w:color="auto" w:fill="D2D2D2"/>
          </w:tcPr>
          <w:p>
            <w:pPr/>
          </w:p>
        </w:tc>
      </w:tr>
      <w:tr>
        <w:trPr>
          <w:trHeight w:val="354" w:hRule="exact"/>
        </w:trPr>
        <w:tc>
          <w:tcPr>
            <w:tcW w:w="734" w:type="dxa"/>
            <w:vMerge/>
            <w:tcBorders>
              <w:left w:val="single" w:sz="4" w:space="0" w:color="000000"/>
              <w:bottom w:val="single" w:sz="4" w:space="0" w:color="000000"/>
              <w:right w:val="single" w:sz="4" w:space="0" w:color="000000"/>
            </w:tcBorders>
            <w:shd w:val="clear" w:color="auto" w:fill="D2D2D2"/>
          </w:tcPr>
          <w:p>
            <w:pPr/>
          </w:p>
        </w:tc>
        <w:tc>
          <w:tcPr>
            <w:tcW w:w="739" w:type="dxa"/>
            <w:vMerge/>
            <w:tcBorders>
              <w:left w:val="single" w:sz="4" w:space="0" w:color="000000"/>
              <w:bottom w:val="single" w:sz="4" w:space="0" w:color="000000"/>
              <w:right w:val="single" w:sz="4" w:space="0" w:color="000000"/>
            </w:tcBorders>
            <w:shd w:val="clear" w:color="auto" w:fill="D2D2D2"/>
          </w:tcPr>
          <w:p>
            <w:pPr/>
          </w:p>
        </w:tc>
        <w:tc>
          <w:tcPr>
            <w:tcW w:w="734" w:type="dxa"/>
            <w:vMerge/>
            <w:tcBorders>
              <w:left w:val="single" w:sz="4" w:space="0" w:color="000000"/>
              <w:bottom w:val="single" w:sz="4" w:space="0" w:color="000000"/>
              <w:right w:val="single" w:sz="4" w:space="0" w:color="000000"/>
            </w:tcBorders>
            <w:shd w:val="clear" w:color="auto" w:fill="D2D2D2"/>
          </w:tcPr>
          <w:p>
            <w:pPr/>
          </w:p>
        </w:tc>
        <w:tc>
          <w:tcPr>
            <w:tcW w:w="734" w:type="dxa"/>
            <w:vMerge/>
            <w:tcBorders>
              <w:left w:val="single" w:sz="4" w:space="0" w:color="000000"/>
              <w:bottom w:val="single" w:sz="4" w:space="0" w:color="000000"/>
              <w:right w:val="single" w:sz="4" w:space="0" w:color="000000"/>
            </w:tcBorders>
            <w:shd w:val="clear" w:color="auto" w:fill="D2D2D2"/>
          </w:tcPr>
          <w:p>
            <w:pPr/>
          </w:p>
        </w:tc>
        <w:tc>
          <w:tcPr>
            <w:tcW w:w="734" w:type="dxa"/>
            <w:tcBorders>
              <w:top w:val="nil" w:sz="6" w:space="0" w:color="auto"/>
              <w:left w:val="single" w:sz="4" w:space="0" w:color="000000"/>
              <w:bottom w:val="single" w:sz="4" w:space="0" w:color="000000"/>
              <w:right w:val="single" w:sz="4" w:space="0" w:color="000000"/>
            </w:tcBorders>
            <w:shd w:val="clear" w:color="auto" w:fill="D2D2D2"/>
          </w:tcPr>
          <w:p>
            <w:pPr/>
          </w:p>
        </w:tc>
        <w:tc>
          <w:tcPr>
            <w:tcW w:w="734" w:type="dxa"/>
            <w:tcBorders>
              <w:top w:val="nil" w:sz="6" w:space="0" w:color="auto"/>
              <w:left w:val="single" w:sz="4" w:space="0" w:color="000000"/>
              <w:bottom w:val="single" w:sz="4" w:space="0" w:color="000000"/>
              <w:right w:val="single" w:sz="4" w:space="0" w:color="000000"/>
            </w:tcBorders>
            <w:shd w:val="clear" w:color="auto" w:fill="D2D2D2"/>
          </w:tcPr>
          <w:p>
            <w:pPr/>
          </w:p>
        </w:tc>
        <w:tc>
          <w:tcPr>
            <w:tcW w:w="739"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3"/>
              <w:ind w:right="7"/>
              <w:jc w:val="center"/>
              <w:rPr>
                <w:rFonts w:ascii="宋体" w:hAnsi="宋体" w:cs="宋体" w:eastAsia="宋体" w:hint="default"/>
                <w:sz w:val="18"/>
                <w:szCs w:val="18"/>
              </w:rPr>
            </w:pPr>
            <w:r>
              <w:rPr>
                <w:rFonts w:ascii="宋体" w:hAnsi="宋体" w:cs="宋体" w:eastAsia="宋体" w:hint="default"/>
                <w:w w:val="101"/>
                <w:sz w:val="18"/>
                <w:szCs w:val="18"/>
              </w:rPr>
              <w:t>额</w:t>
            </w:r>
            <w:r>
              <w:rPr>
                <w:rFonts w:ascii="宋体" w:hAnsi="宋体" w:cs="宋体" w:eastAsia="宋体" w:hint="default"/>
                <w:sz w:val="18"/>
                <w:szCs w:val="18"/>
              </w:rPr>
            </w:r>
          </w:p>
        </w:tc>
        <w:tc>
          <w:tcPr>
            <w:tcW w:w="734" w:type="dxa"/>
            <w:tcBorders>
              <w:top w:val="nil" w:sz="6" w:space="0" w:color="auto"/>
              <w:left w:val="single" w:sz="4" w:space="0" w:color="000000"/>
              <w:bottom w:val="single" w:sz="4" w:space="0" w:color="000000"/>
              <w:right w:val="single" w:sz="4" w:space="0" w:color="000000"/>
            </w:tcBorders>
            <w:shd w:val="clear" w:color="auto" w:fill="D2D2D2"/>
          </w:tcPr>
          <w:p>
            <w:pPr/>
          </w:p>
        </w:tc>
        <w:tc>
          <w:tcPr>
            <w:tcW w:w="734" w:type="dxa"/>
            <w:tcBorders>
              <w:top w:val="nil" w:sz="6" w:space="0" w:color="auto"/>
              <w:left w:val="single" w:sz="4" w:space="0" w:color="000000"/>
              <w:bottom w:val="single" w:sz="4" w:space="0" w:color="000000"/>
              <w:right w:val="single" w:sz="4" w:space="0" w:color="000000"/>
            </w:tcBorders>
            <w:shd w:val="clear" w:color="auto" w:fill="D2D2D2"/>
          </w:tcPr>
          <w:p>
            <w:pPr/>
          </w:p>
        </w:tc>
        <w:tc>
          <w:tcPr>
            <w:tcW w:w="739" w:type="dxa"/>
            <w:tcBorders>
              <w:top w:val="nil" w:sz="6" w:space="0" w:color="auto"/>
              <w:left w:val="single" w:sz="4" w:space="0" w:color="000000"/>
              <w:bottom w:val="single" w:sz="4" w:space="0" w:color="000000"/>
              <w:right w:val="single" w:sz="4" w:space="0" w:color="000000"/>
            </w:tcBorders>
            <w:shd w:val="clear" w:color="auto" w:fill="D2D2D2"/>
          </w:tcPr>
          <w:p>
            <w:pPr/>
          </w:p>
        </w:tc>
        <w:tc>
          <w:tcPr>
            <w:tcW w:w="734" w:type="dxa"/>
            <w:tcBorders>
              <w:top w:val="nil" w:sz="6" w:space="0" w:color="auto"/>
              <w:left w:val="single" w:sz="4" w:space="0" w:color="000000"/>
              <w:bottom w:val="single" w:sz="4" w:space="0" w:color="000000"/>
              <w:right w:val="single" w:sz="4" w:space="0" w:color="000000"/>
            </w:tcBorders>
            <w:shd w:val="clear" w:color="auto" w:fill="D2D2D2"/>
          </w:tcPr>
          <w:p>
            <w:pPr/>
          </w:p>
        </w:tc>
        <w:tc>
          <w:tcPr>
            <w:tcW w:w="734" w:type="dxa"/>
            <w:tcBorders>
              <w:top w:val="nil" w:sz="6" w:space="0" w:color="auto"/>
              <w:left w:val="single" w:sz="4" w:space="0" w:color="000000"/>
              <w:bottom w:val="single" w:sz="4" w:space="0" w:color="000000"/>
              <w:right w:val="single" w:sz="4" w:space="0" w:color="000000"/>
            </w:tcBorders>
            <w:shd w:val="clear" w:color="auto" w:fill="D2D2D2"/>
          </w:tcPr>
          <w:p>
            <w:pPr/>
          </w:p>
        </w:tc>
        <w:tc>
          <w:tcPr>
            <w:tcW w:w="73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339" w:hRule="exact"/>
        </w:trPr>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24" w:right="156"/>
              <w:jc w:val="both"/>
              <w:rPr>
                <w:rFonts w:ascii="宋体" w:hAnsi="宋体" w:cs="宋体" w:eastAsia="宋体" w:hint="default"/>
                <w:sz w:val="18"/>
                <w:szCs w:val="18"/>
              </w:rPr>
            </w:pPr>
            <w:r>
              <w:rPr>
                <w:rFonts w:ascii="宋体" w:hAnsi="宋体" w:cs="宋体" w:eastAsia="宋体" w:hint="default"/>
                <w:sz w:val="18"/>
                <w:szCs w:val="18"/>
              </w:rPr>
              <w:t>广州鸿</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博文化</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传播有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限公司</w:t>
            </w: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2,354,55</w:t>
            </w:r>
          </w:p>
          <w:p>
            <w:pPr>
              <w:pStyle w:val="TableParagraph"/>
              <w:spacing w:line="240" w:lineRule="auto" w:before="110"/>
              <w:ind w:left="383" w:right="0"/>
              <w:jc w:val="left"/>
              <w:rPr>
                <w:rFonts w:ascii="Times New Roman" w:hAnsi="Times New Roman" w:cs="Times New Roman" w:eastAsia="Times New Roman" w:hint="default"/>
                <w:sz w:val="18"/>
                <w:szCs w:val="18"/>
              </w:rPr>
            </w:pPr>
            <w:r>
              <w:rPr>
                <w:rFonts w:ascii="Times New Roman"/>
                <w:sz w:val="18"/>
              </w:rPr>
              <w:t>9.44</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100.00%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注销</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21" w:lineRule="auto" w:before="130"/>
              <w:ind w:left="23" w:right="156"/>
              <w:jc w:val="left"/>
              <w:rPr>
                <w:rFonts w:ascii="宋体" w:hAnsi="宋体" w:cs="宋体" w:eastAsia="宋体" w:hint="default"/>
                <w:sz w:val="18"/>
                <w:szCs w:val="18"/>
              </w:rPr>
            </w:pPr>
            <w:r>
              <w:rPr>
                <w:rFonts w:ascii="宋体" w:hAnsi="宋体" w:cs="宋体" w:eastAsia="宋体" w:hint="default"/>
                <w:sz w:val="18"/>
                <w:szCs w:val="18"/>
              </w:rPr>
              <w:t>工商登</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记注销</w:t>
            </w:r>
          </w:p>
        </w:tc>
        <w:tc>
          <w:tcPr>
            <w:tcW w:w="739"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r>
      <w:tr>
        <w:trPr>
          <w:trHeight w:val="357" w:hRule="exact"/>
        </w:trPr>
        <w:tc>
          <w:tcPr>
            <w:tcW w:w="7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北京青</w:t>
            </w:r>
          </w:p>
        </w:tc>
        <w:tc>
          <w:tcPr>
            <w:tcW w:w="739"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9" w:type="dxa"/>
            <w:vMerge w:val="restart"/>
            <w:tcBorders>
              <w:top w:val="single" w:sz="4" w:space="0" w:color="000000"/>
              <w:left w:val="single" w:sz="4" w:space="0" w:color="000000"/>
              <w:right w:val="single" w:sz="4" w:space="0" w:color="000000"/>
            </w:tcBorders>
          </w:tcPr>
          <w:p>
            <w:pPr/>
          </w:p>
        </w:tc>
        <w:tc>
          <w:tcPr>
            <w:tcW w:w="734" w:type="dxa"/>
            <w:vMerge w:val="restart"/>
            <w:tcBorders>
              <w:top w:val="single" w:sz="4" w:space="0" w:color="000000"/>
              <w:left w:val="single" w:sz="4" w:space="0" w:color="000000"/>
              <w:right w:val="single" w:sz="4" w:space="0" w:color="000000"/>
            </w:tcBorders>
          </w:tcPr>
          <w:p>
            <w:pPr/>
          </w:p>
        </w:tc>
        <w:tc>
          <w:tcPr>
            <w:tcW w:w="734" w:type="dxa"/>
            <w:vMerge w:val="restart"/>
            <w:tcBorders>
              <w:top w:val="single" w:sz="4" w:space="0" w:color="000000"/>
              <w:left w:val="single" w:sz="4" w:space="0" w:color="000000"/>
              <w:right w:val="single" w:sz="4" w:space="0" w:color="000000"/>
            </w:tcBorders>
          </w:tcPr>
          <w:p>
            <w:pPr/>
          </w:p>
        </w:tc>
        <w:tc>
          <w:tcPr>
            <w:tcW w:w="739" w:type="dxa"/>
            <w:vMerge w:val="restart"/>
            <w:tcBorders>
              <w:top w:val="single" w:sz="4" w:space="0" w:color="000000"/>
              <w:left w:val="single" w:sz="4" w:space="0" w:color="000000"/>
              <w:right w:val="single" w:sz="4" w:space="0" w:color="000000"/>
            </w:tcBorders>
          </w:tcPr>
          <w:p>
            <w:pPr/>
          </w:p>
        </w:tc>
        <w:tc>
          <w:tcPr>
            <w:tcW w:w="734" w:type="dxa"/>
            <w:vMerge w:val="restart"/>
            <w:tcBorders>
              <w:top w:val="single" w:sz="4" w:space="0" w:color="000000"/>
              <w:left w:val="single" w:sz="4" w:space="0" w:color="000000"/>
              <w:right w:val="single" w:sz="4" w:space="0" w:color="000000"/>
            </w:tcBorders>
          </w:tcPr>
          <w:p>
            <w:pPr/>
          </w:p>
        </w:tc>
        <w:tc>
          <w:tcPr>
            <w:tcW w:w="734" w:type="dxa"/>
            <w:vMerge w:val="restart"/>
            <w:tcBorders>
              <w:top w:val="single" w:sz="4" w:space="0" w:color="000000"/>
              <w:left w:val="single" w:sz="4" w:space="0" w:color="000000"/>
              <w:right w:val="single" w:sz="4" w:space="0" w:color="000000"/>
            </w:tcBorders>
          </w:tcPr>
          <w:p>
            <w:pPr/>
          </w:p>
        </w:tc>
        <w:tc>
          <w:tcPr>
            <w:tcW w:w="739" w:type="dxa"/>
            <w:vMerge w:val="restart"/>
            <w:tcBorders>
              <w:top w:val="single" w:sz="4" w:space="0" w:color="000000"/>
              <w:left w:val="single" w:sz="4" w:space="0" w:color="000000"/>
              <w:right w:val="single" w:sz="4" w:space="0" w:color="000000"/>
            </w:tcBorders>
          </w:tcPr>
          <w:p>
            <w:pPr/>
          </w:p>
        </w:tc>
      </w:tr>
      <w:tr>
        <w:trPr>
          <w:trHeight w:val="938" w:hRule="exact"/>
        </w:trPr>
        <w:tc>
          <w:tcPr>
            <w:tcW w:w="734" w:type="dxa"/>
            <w:tcBorders>
              <w:top w:val="nil" w:sz="6" w:space="0" w:color="auto"/>
              <w:left w:val="single" w:sz="4" w:space="0" w:color="000000"/>
              <w:bottom w:val="nil" w:sz="6" w:space="0" w:color="auto"/>
              <w:right w:val="single" w:sz="4" w:space="0" w:color="000000"/>
            </w:tcBorders>
          </w:tcPr>
          <w:p>
            <w:pPr>
              <w:pStyle w:val="TableParagraph"/>
              <w:spacing w:line="316" w:lineRule="auto" w:before="9"/>
              <w:ind w:left="24" w:right="156"/>
              <w:jc w:val="both"/>
              <w:rPr>
                <w:rFonts w:ascii="宋体" w:hAnsi="宋体" w:cs="宋体" w:eastAsia="宋体" w:hint="default"/>
                <w:sz w:val="18"/>
                <w:szCs w:val="18"/>
              </w:rPr>
            </w:pPr>
            <w:r>
              <w:rPr>
                <w:rFonts w:ascii="宋体" w:hAnsi="宋体" w:cs="宋体" w:eastAsia="宋体" w:hint="default"/>
                <w:sz w:val="18"/>
                <w:szCs w:val="18"/>
              </w:rPr>
              <w:t>禾阳光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文化传</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播有限</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5,119,49</w:t>
            </w:r>
          </w:p>
          <w:p>
            <w:pPr>
              <w:pStyle w:val="TableParagraph"/>
              <w:spacing w:line="240" w:lineRule="auto" w:before="105"/>
              <w:ind w:left="383" w:right="0"/>
              <w:jc w:val="left"/>
              <w:rPr>
                <w:rFonts w:ascii="Times New Roman" w:hAnsi="Times New Roman" w:cs="Times New Roman" w:eastAsia="Times New Roman" w:hint="default"/>
                <w:sz w:val="18"/>
                <w:szCs w:val="18"/>
              </w:rPr>
            </w:pPr>
            <w:r>
              <w:rPr>
                <w:rFonts w:ascii="Times New Roman"/>
                <w:sz w:val="18"/>
              </w:rPr>
              <w:t>8.64</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left="57" w:right="0"/>
              <w:jc w:val="left"/>
              <w:rPr>
                <w:rFonts w:ascii="Times New Roman" w:hAnsi="Times New Roman" w:cs="Times New Roman" w:eastAsia="Times New Roman" w:hint="default"/>
                <w:sz w:val="18"/>
                <w:szCs w:val="18"/>
              </w:rPr>
            </w:pPr>
            <w:r>
              <w:rPr>
                <w:rFonts w:ascii="Times New Roman"/>
                <w:sz w:val="18"/>
              </w:rPr>
              <w:t>100.00%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注销</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58"/>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15</w:t>
            </w:r>
          </w:p>
          <w:p>
            <w:pPr>
              <w:pStyle w:val="TableParagraph"/>
              <w:spacing w:line="240" w:lineRule="auto" w:before="67"/>
              <w:ind w:left="23" w:right="0"/>
              <w:jc w:val="left"/>
              <w:rPr>
                <w:rFonts w:ascii="宋体" w:hAnsi="宋体" w:cs="宋体" w:eastAsia="宋体" w:hint="default"/>
                <w:sz w:val="18"/>
                <w:szCs w:val="18"/>
              </w:rPr>
            </w:pPr>
            <w:r>
              <w:rPr>
                <w:rFonts w:ascii="宋体" w:hAnsi="宋体" w:cs="宋体" w:eastAsia="宋体" w:hint="default"/>
                <w:w w:val="101"/>
                <w:sz w:val="18"/>
                <w:szCs w:val="18"/>
              </w:rPr>
              <w:t>日</w:t>
            </w:r>
            <w:r>
              <w:rPr>
                <w:rFonts w:ascii="宋体" w:hAnsi="宋体" w:cs="宋体" w:eastAsia="宋体" w:hint="default"/>
                <w:sz w:val="18"/>
                <w:szCs w:val="18"/>
              </w:rPr>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3" w:right="156"/>
              <w:jc w:val="left"/>
              <w:rPr>
                <w:rFonts w:ascii="宋体" w:hAnsi="宋体" w:cs="宋体" w:eastAsia="宋体" w:hint="default"/>
                <w:sz w:val="18"/>
                <w:szCs w:val="18"/>
              </w:rPr>
            </w:pPr>
            <w:r>
              <w:rPr>
                <w:rFonts w:ascii="宋体" w:hAnsi="宋体" w:cs="宋体" w:eastAsia="宋体" w:hint="default"/>
                <w:sz w:val="18"/>
                <w:szCs w:val="18"/>
              </w:rPr>
              <w:t>工商登</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记注销</w:t>
            </w:r>
          </w:p>
        </w:tc>
        <w:tc>
          <w:tcPr>
            <w:tcW w:w="739" w:type="dxa"/>
            <w:vMerge/>
            <w:tcBorders>
              <w:left w:val="single" w:sz="4" w:space="0" w:color="000000"/>
              <w:right w:val="single" w:sz="4" w:space="0" w:color="000000"/>
            </w:tcBorders>
          </w:tcPr>
          <w:p>
            <w:pPr/>
          </w:p>
        </w:tc>
        <w:tc>
          <w:tcPr>
            <w:tcW w:w="734" w:type="dxa"/>
            <w:vMerge/>
            <w:tcBorders>
              <w:left w:val="single" w:sz="4" w:space="0" w:color="000000"/>
              <w:right w:val="single" w:sz="4" w:space="0" w:color="000000"/>
            </w:tcBorders>
          </w:tcPr>
          <w:p>
            <w:pPr/>
          </w:p>
        </w:tc>
        <w:tc>
          <w:tcPr>
            <w:tcW w:w="734" w:type="dxa"/>
            <w:vMerge/>
            <w:tcBorders>
              <w:left w:val="single" w:sz="4" w:space="0" w:color="000000"/>
              <w:right w:val="single" w:sz="4" w:space="0" w:color="000000"/>
            </w:tcBorders>
          </w:tcPr>
          <w:p>
            <w:pPr/>
          </w:p>
        </w:tc>
        <w:tc>
          <w:tcPr>
            <w:tcW w:w="739" w:type="dxa"/>
            <w:vMerge/>
            <w:tcBorders>
              <w:left w:val="single" w:sz="4" w:space="0" w:color="000000"/>
              <w:right w:val="single" w:sz="4" w:space="0" w:color="000000"/>
            </w:tcBorders>
          </w:tcPr>
          <w:p>
            <w:pPr/>
          </w:p>
        </w:tc>
        <w:tc>
          <w:tcPr>
            <w:tcW w:w="734" w:type="dxa"/>
            <w:vMerge/>
            <w:tcBorders>
              <w:left w:val="single" w:sz="4" w:space="0" w:color="000000"/>
              <w:right w:val="single" w:sz="4" w:space="0" w:color="000000"/>
            </w:tcBorders>
          </w:tcPr>
          <w:p>
            <w:pPr/>
          </w:p>
        </w:tc>
        <w:tc>
          <w:tcPr>
            <w:tcW w:w="734" w:type="dxa"/>
            <w:vMerge/>
            <w:tcBorders>
              <w:left w:val="single" w:sz="4" w:space="0" w:color="000000"/>
              <w:right w:val="single" w:sz="4" w:space="0" w:color="000000"/>
            </w:tcBorders>
          </w:tcPr>
          <w:p>
            <w:pPr/>
          </w:p>
        </w:tc>
        <w:tc>
          <w:tcPr>
            <w:tcW w:w="739" w:type="dxa"/>
            <w:vMerge/>
            <w:tcBorders>
              <w:left w:val="single" w:sz="4" w:space="0" w:color="000000"/>
              <w:right w:val="single" w:sz="4" w:space="0" w:color="000000"/>
            </w:tcBorders>
          </w:tcPr>
          <w:p>
            <w:pPr/>
          </w:p>
        </w:tc>
      </w:tr>
      <w:tr>
        <w:trPr>
          <w:trHeight w:val="356" w:hRule="exact"/>
        </w:trPr>
        <w:tc>
          <w:tcPr>
            <w:tcW w:w="73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39"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9" w:type="dxa"/>
            <w:vMerge/>
            <w:tcBorders>
              <w:left w:val="single" w:sz="4" w:space="0" w:color="000000"/>
              <w:bottom w:val="single" w:sz="4" w:space="0" w:color="000000"/>
              <w:right w:val="single" w:sz="4" w:space="0" w:color="000000"/>
            </w:tcBorders>
          </w:tcPr>
          <w:p>
            <w:pPr/>
          </w:p>
        </w:tc>
        <w:tc>
          <w:tcPr>
            <w:tcW w:w="734" w:type="dxa"/>
            <w:vMerge/>
            <w:tcBorders>
              <w:left w:val="single" w:sz="4" w:space="0" w:color="000000"/>
              <w:bottom w:val="single" w:sz="4" w:space="0" w:color="000000"/>
              <w:right w:val="single" w:sz="4" w:space="0" w:color="000000"/>
            </w:tcBorders>
          </w:tcPr>
          <w:p>
            <w:pPr/>
          </w:p>
        </w:tc>
        <w:tc>
          <w:tcPr>
            <w:tcW w:w="734" w:type="dxa"/>
            <w:vMerge/>
            <w:tcBorders>
              <w:left w:val="single" w:sz="4" w:space="0" w:color="000000"/>
              <w:bottom w:val="single" w:sz="4" w:space="0" w:color="000000"/>
              <w:right w:val="single" w:sz="4" w:space="0" w:color="000000"/>
            </w:tcBorders>
          </w:tcPr>
          <w:p>
            <w:pPr/>
          </w:p>
        </w:tc>
        <w:tc>
          <w:tcPr>
            <w:tcW w:w="739" w:type="dxa"/>
            <w:vMerge/>
            <w:tcBorders>
              <w:left w:val="single" w:sz="4" w:space="0" w:color="000000"/>
              <w:bottom w:val="single" w:sz="4" w:space="0" w:color="000000"/>
              <w:right w:val="single" w:sz="4" w:space="0" w:color="000000"/>
            </w:tcBorders>
          </w:tcPr>
          <w:p>
            <w:pPr/>
          </w:p>
        </w:tc>
        <w:tc>
          <w:tcPr>
            <w:tcW w:w="734" w:type="dxa"/>
            <w:vMerge/>
            <w:tcBorders>
              <w:left w:val="single" w:sz="4" w:space="0" w:color="000000"/>
              <w:bottom w:val="single" w:sz="4" w:space="0" w:color="000000"/>
              <w:right w:val="single" w:sz="4" w:space="0" w:color="000000"/>
            </w:tcBorders>
          </w:tcPr>
          <w:p>
            <w:pPr/>
          </w:p>
        </w:tc>
        <w:tc>
          <w:tcPr>
            <w:tcW w:w="734" w:type="dxa"/>
            <w:vMerge/>
            <w:tcBorders>
              <w:left w:val="single" w:sz="4" w:space="0" w:color="000000"/>
              <w:bottom w:val="single" w:sz="4" w:space="0" w:color="000000"/>
              <w:right w:val="single" w:sz="4" w:space="0" w:color="000000"/>
            </w:tcBorders>
          </w:tcPr>
          <w:p>
            <w:pPr/>
          </w:p>
        </w:tc>
        <w:tc>
          <w:tcPr>
            <w:tcW w:w="739" w:type="dxa"/>
            <w:vMerge/>
            <w:tcBorders>
              <w:left w:val="single" w:sz="4" w:space="0" w:color="000000"/>
              <w:bottom w:val="single" w:sz="4" w:space="0" w:color="000000"/>
              <w:right w:val="single" w:sz="4" w:space="0" w:color="000000"/>
            </w:tcBorders>
          </w:tcPr>
          <w:p>
            <w:pPr/>
          </w:p>
        </w:tc>
      </w:tr>
    </w:tbl>
    <w:p>
      <w:pPr>
        <w:spacing w:line="362" w:lineRule="auto" w:before="53"/>
        <w:ind w:left="152" w:right="3736" w:firstLine="0"/>
        <w:jc w:val="left"/>
        <w:rPr>
          <w:rFonts w:ascii="宋体" w:hAnsi="宋体" w:cs="宋体" w:eastAsia="宋体" w:hint="default"/>
          <w:sz w:val="18"/>
          <w:szCs w:val="18"/>
        </w:rPr>
      </w:pPr>
      <w:r>
        <w:rPr>
          <w:rFonts w:ascii="宋体" w:hAnsi="宋体" w:cs="宋体" w:eastAsia="宋体" w:hint="default"/>
          <w:sz w:val="18"/>
          <w:szCs w:val="18"/>
        </w:rPr>
        <w:t>其他说明：</w:t>
      </w:r>
      <w:r>
        <w:rPr>
          <w:rFonts w:ascii="宋体" w:hAnsi="宋体" w:cs="宋体" w:eastAsia="宋体" w:hint="default"/>
          <w:w w:val="101"/>
          <w:sz w:val="18"/>
          <w:szCs w:val="18"/>
        </w:rPr>
        <w:t> </w:t>
      </w:r>
      <w:r>
        <w:rPr>
          <w:rFonts w:ascii="宋体" w:hAnsi="宋体" w:cs="宋体" w:eastAsia="宋体" w:hint="default"/>
          <w:spacing w:val="-3"/>
          <w:sz w:val="18"/>
          <w:szCs w:val="18"/>
        </w:rPr>
        <w:t>是否存在通过多次交易分步处置对子公司投资且在本期丧失控制权的情形</w:t>
      </w:r>
    </w:p>
    <w:p>
      <w:pPr>
        <w:spacing w:before="23"/>
        <w:ind w:left="152" w:right="0" w:firstLine="0"/>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2"/>
          <w:sz w:val="18"/>
          <w:szCs w:val="18"/>
        </w:rPr>
        <w:t> </w:t>
      </w:r>
      <w:r>
        <w:rPr>
          <w:rFonts w:ascii="宋体" w:hAnsi="宋体" w:cs="宋体" w:eastAsia="宋体" w:hint="default"/>
          <w:sz w:val="18"/>
          <w:szCs w:val="18"/>
        </w:rPr>
        <w:t>否</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5</w:t>
      </w:r>
      <w:r>
        <w:rPr/>
        <w:t>、其他原因的合并范围变动</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说明其他原因导致的合并范围变动（如，新设子公司、清算子公司等）及其相关情况：</w:t>
      </w:r>
    </w:p>
    <w:p>
      <w:pPr>
        <w:spacing w:line="240" w:lineRule="auto" w:before="1"/>
        <w:rPr>
          <w:rFonts w:ascii="宋体" w:hAnsi="宋体" w:cs="宋体" w:eastAsia="宋体" w:hint="default"/>
          <w:sz w:val="13"/>
          <w:szCs w:val="13"/>
        </w:rPr>
      </w:pPr>
    </w:p>
    <w:p>
      <w:pPr>
        <w:pStyle w:val="BodyText"/>
        <w:spacing w:line="268" w:lineRule="auto"/>
        <w:ind w:right="0" w:firstLine="422"/>
        <w:jc w:val="left"/>
      </w:pPr>
      <w:r>
        <w:rPr>
          <w:spacing w:val="-2"/>
        </w:rPr>
        <w:t>本公司报告期内新设子公司深圳青石软件有限公司，法定代表人为苏凤娇，由本公司持有股权100%，</w:t>
      </w:r>
      <w:r>
        <w:rPr>
          <w:w w:val="100"/>
        </w:rPr>
        <w:t> </w:t>
      </w:r>
      <w:r>
        <w:rPr/>
        <w:t>截至报告日未投入注册资本，公司无经济业务发生。</w:t>
      </w:r>
    </w:p>
    <w:p>
      <w:pPr>
        <w:spacing w:line="240" w:lineRule="auto" w:before="12"/>
        <w:rPr>
          <w:rFonts w:ascii="宋体" w:hAnsi="宋体" w:cs="宋体" w:eastAsia="宋体" w:hint="default"/>
          <w:sz w:val="18"/>
          <w:szCs w:val="18"/>
        </w:rPr>
      </w:pPr>
    </w:p>
    <w:p>
      <w:pPr>
        <w:spacing w:line="374" w:lineRule="auto" w:before="0"/>
        <w:ind w:left="152" w:right="7128"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b/>
          <w:bCs/>
          <w:spacing w:val="-49"/>
          <w:sz w:val="21"/>
          <w:szCs w:val="21"/>
        </w:rPr>
        <w:t> </w:t>
      </w:r>
      <w:r>
        <w:rPr>
          <w:rFonts w:ascii="Microsoft JhengHei" w:hAnsi="Microsoft JhengHei" w:cs="Microsoft JhengHei" w:eastAsia="Microsoft JhengHei" w:hint="default"/>
          <w:b/>
          <w:bCs/>
          <w:sz w:val="24"/>
          <w:szCs w:val="24"/>
        </w:rPr>
        <w:t>九、在其他主体中的权益</w:t>
      </w:r>
      <w:r>
        <w:rPr>
          <w:rFonts w:ascii="Microsoft JhengHei" w:hAnsi="Microsoft JhengHei" w:cs="Microsoft JhengHei" w:eastAsia="Microsoft JhengHei" w:hint="default"/>
          <w:b/>
          <w:bCs/>
          <w:spacing w:val="-53"/>
          <w:sz w:val="24"/>
          <w:szCs w:val="24"/>
        </w:rPr>
        <w:t> </w:t>
      </w:r>
      <w:r>
        <w:rPr>
          <w:rFonts w:ascii="Microsoft JhengHei" w:hAnsi="Microsoft JhengHei" w:cs="Microsoft JhengHei" w:eastAsia="Microsoft JhengHei" w:hint="default"/>
          <w:b/>
          <w:bCs/>
          <w:spacing w:val="-53"/>
          <w:sz w:val="24"/>
          <w:szCs w:val="24"/>
        </w:rPr>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、在子公司中的权益</w:t>
      </w:r>
      <w:r>
        <w:rPr>
          <w:rFonts w:ascii="Microsoft JhengHei" w:hAnsi="Microsoft JhengHei" w:cs="Microsoft JhengHei" w:eastAsia="Microsoft JhengHei" w:hint="default"/>
          <w:sz w:val="21"/>
          <w:szCs w:val="21"/>
        </w:rPr>
      </w:r>
    </w:p>
    <w:p>
      <w:pPr>
        <w:pStyle w:val="Heading4"/>
        <w:spacing w:line="240" w:lineRule="auto" w:before="92"/>
        <w:ind w:right="0"/>
        <w:jc w:val="left"/>
        <w:rPr>
          <w:b w:val="0"/>
          <w:bCs w:val="0"/>
        </w:rPr>
      </w:pPr>
      <w:r>
        <w:rPr/>
        <w:t>（</w:t>
      </w:r>
      <w:r>
        <w:rPr>
          <w:rFonts w:ascii="Times New Roman" w:hAnsi="Times New Roman" w:cs="Times New Roman" w:eastAsia="Times New Roman" w:hint="default"/>
        </w:rPr>
        <w:t>1</w:t>
      </w:r>
      <w:r>
        <w:rPr/>
        <w:t>）企业集团的构成</w:t>
      </w:r>
      <w:r>
        <w:rPr>
          <w:b w:val="0"/>
          <w:bCs w:val="0"/>
        </w:rPr>
      </w:r>
    </w:p>
    <w:p>
      <w:pPr>
        <w:spacing w:line="240" w:lineRule="auto" w:before="17"/>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1373"/>
        <w:gridCol w:w="1363"/>
        <w:gridCol w:w="1368"/>
        <w:gridCol w:w="1368"/>
        <w:gridCol w:w="1368"/>
        <w:gridCol w:w="1363"/>
        <w:gridCol w:w="1368"/>
      </w:tblGrid>
      <w:tr>
        <w:trPr>
          <w:trHeight w:val="403" w:hRule="exact"/>
        </w:trPr>
        <w:tc>
          <w:tcPr>
            <w:tcW w:w="137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Microsoft JhengHei" w:hAnsi="Microsoft JhengHei" w:cs="Microsoft JhengHei" w:eastAsia="Microsoft JhengHei" w:hint="default"/>
                <w:b/>
                <w:bCs/>
                <w:sz w:val="14"/>
                <w:szCs w:val="14"/>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3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Microsoft JhengHei" w:hAnsi="Microsoft JhengHei" w:cs="Microsoft JhengHei" w:eastAsia="Microsoft JhengHei" w:hint="default"/>
                <w:b/>
                <w:bCs/>
                <w:sz w:val="14"/>
                <w:szCs w:val="14"/>
              </w:rPr>
            </w:pPr>
          </w:p>
          <w:p>
            <w:pPr>
              <w:pStyle w:val="TableParagraph"/>
              <w:spacing w:line="240" w:lineRule="auto"/>
              <w:ind w:left="220"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Microsoft JhengHei" w:hAnsi="Microsoft JhengHei" w:cs="Microsoft JhengHei" w:eastAsia="Microsoft JhengHei" w:hint="default"/>
                <w:b/>
                <w:bCs/>
                <w:sz w:val="14"/>
                <w:szCs w:val="14"/>
              </w:rPr>
            </w:pPr>
          </w:p>
          <w:p>
            <w:pPr>
              <w:pStyle w:val="TableParagraph"/>
              <w:spacing w:line="240" w:lineRule="auto"/>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Microsoft JhengHei" w:hAnsi="Microsoft JhengHei" w:cs="Microsoft JhengHei" w:eastAsia="Microsoft JhengHei" w:hint="default"/>
                <w:b/>
                <w:bCs/>
                <w:sz w:val="14"/>
                <w:szCs w:val="14"/>
              </w:rPr>
            </w:pPr>
          </w:p>
          <w:p>
            <w:pPr>
              <w:pStyle w:val="TableParagraph"/>
              <w:spacing w:line="240" w:lineRule="auto"/>
              <w:ind w:left="316"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Microsoft JhengHei" w:hAnsi="Microsoft JhengHei" w:cs="Microsoft JhengHei" w:eastAsia="Microsoft JhengHei" w:hint="default"/>
                <w:b/>
                <w:bCs/>
                <w:sz w:val="14"/>
                <w:szCs w:val="14"/>
              </w:rPr>
            </w:pPr>
          </w:p>
          <w:p>
            <w:pPr>
              <w:pStyle w:val="TableParagraph"/>
              <w:spacing w:line="240" w:lineRule="auto"/>
              <w:ind w:left="316"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398" w:hRule="exact"/>
        </w:trPr>
        <w:tc>
          <w:tcPr>
            <w:tcW w:w="1373" w:type="dxa"/>
            <w:vMerge/>
            <w:tcBorders>
              <w:left w:val="single" w:sz="4" w:space="0" w:color="000000"/>
              <w:bottom w:val="single" w:sz="4" w:space="0" w:color="000000"/>
              <w:right w:val="single" w:sz="4" w:space="0" w:color="000000"/>
            </w:tcBorders>
            <w:shd w:val="clear" w:color="auto" w:fill="D2D2D2"/>
          </w:tcPr>
          <w:p>
            <w:pPr/>
          </w:p>
        </w:tc>
        <w:tc>
          <w:tcPr>
            <w:tcW w:w="1363"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直接</w:t>
            </w:r>
          </w:p>
        </w:tc>
        <w:tc>
          <w:tcPr>
            <w:tcW w:w="13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715"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4" w:right="74"/>
              <w:jc w:val="left"/>
              <w:rPr>
                <w:rFonts w:ascii="宋体" w:hAnsi="宋体" w:cs="宋体" w:eastAsia="宋体" w:hint="default"/>
                <w:sz w:val="18"/>
                <w:szCs w:val="18"/>
              </w:rPr>
            </w:pPr>
            <w:r>
              <w:rPr>
                <w:rFonts w:ascii="宋体" w:hAnsi="宋体" w:cs="宋体" w:eastAsia="宋体" w:hint="default"/>
                <w:spacing w:val="-3"/>
                <w:sz w:val="18"/>
                <w:szCs w:val="18"/>
              </w:rPr>
              <w:t>福州港龙贸易有</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限公司</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福州</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福州</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贸易行业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2"/>
                <w:sz w:val="18"/>
              </w:rPr>
              <w:t>100.00%</w:t>
            </w:r>
          </w:p>
        </w:tc>
        <w:tc>
          <w:tcPr>
            <w:tcW w:w="136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投资设立</w:t>
            </w:r>
          </w:p>
        </w:tc>
      </w:tr>
      <w:tr>
        <w:trPr>
          <w:trHeight w:val="403"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24" w:right="0"/>
              <w:jc w:val="left"/>
              <w:rPr>
                <w:rFonts w:ascii="宋体" w:hAnsi="宋体" w:cs="宋体" w:eastAsia="宋体" w:hint="default"/>
                <w:sz w:val="18"/>
                <w:szCs w:val="18"/>
              </w:rPr>
            </w:pPr>
            <w:r>
              <w:rPr>
                <w:rFonts w:ascii="宋体" w:hAnsi="宋体" w:cs="宋体" w:eastAsia="宋体" w:hint="default"/>
                <w:spacing w:val="-3"/>
                <w:sz w:val="18"/>
                <w:szCs w:val="18"/>
              </w:rPr>
              <w:t>鸿博（福建）数</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9" w:right="0"/>
              <w:jc w:val="left"/>
              <w:rPr>
                <w:rFonts w:ascii="宋体" w:hAnsi="宋体" w:cs="宋体" w:eastAsia="宋体" w:hint="default"/>
                <w:sz w:val="18"/>
                <w:szCs w:val="18"/>
              </w:rPr>
            </w:pPr>
            <w:r>
              <w:rPr>
                <w:rFonts w:ascii="宋体" w:hAnsi="宋体" w:cs="宋体" w:eastAsia="宋体" w:hint="default"/>
                <w:sz w:val="18"/>
                <w:szCs w:val="18"/>
              </w:rPr>
              <w:t>福州</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福州</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服务业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100.00%</w:t>
            </w:r>
          </w:p>
        </w:tc>
        <w:tc>
          <w:tcPr>
            <w:tcW w:w="136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投资设立</w:t>
            </w:r>
          </w:p>
        </w:tc>
      </w:tr>
    </w:tbl>
    <w:p>
      <w:pPr>
        <w:spacing w:after="0" w:line="240" w:lineRule="auto"/>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12"/>
        <w:rPr>
          <w:rFonts w:ascii="Microsoft JhengHei" w:hAnsi="Microsoft JhengHei" w:cs="Microsoft JhengHei" w:eastAsia="Microsoft JhengHei" w:hint="default"/>
          <w:b/>
          <w:bCs/>
          <w:sz w:val="21"/>
          <w:szCs w:val="21"/>
        </w:rPr>
      </w:pPr>
    </w:p>
    <w:tbl>
      <w:tblPr>
        <w:tblW w:w="0" w:type="auto"/>
        <w:jc w:val="left"/>
        <w:tblInd w:w="148" w:type="dxa"/>
        <w:tblLayout w:type="fixed"/>
        <w:tblCellMar>
          <w:top w:w="0" w:type="dxa"/>
          <w:left w:w="0" w:type="dxa"/>
          <w:bottom w:w="0" w:type="dxa"/>
          <w:right w:w="0" w:type="dxa"/>
        </w:tblCellMar>
        <w:tblLook w:val="01E0"/>
      </w:tblPr>
      <w:tblGrid>
        <w:gridCol w:w="1373"/>
        <w:gridCol w:w="1363"/>
        <w:gridCol w:w="1368"/>
        <w:gridCol w:w="1368"/>
        <w:gridCol w:w="1368"/>
        <w:gridCol w:w="1363"/>
        <w:gridCol w:w="1368"/>
      </w:tblGrid>
      <w:tr>
        <w:trPr>
          <w:trHeight w:val="672"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10"/>
              <w:ind w:left="24" w:right="74"/>
              <w:jc w:val="left"/>
              <w:rPr>
                <w:rFonts w:ascii="宋体" w:hAnsi="宋体" w:cs="宋体" w:eastAsia="宋体" w:hint="default"/>
                <w:sz w:val="18"/>
                <w:szCs w:val="18"/>
              </w:rPr>
            </w:pPr>
            <w:r>
              <w:rPr>
                <w:rFonts w:ascii="宋体" w:hAnsi="宋体" w:cs="宋体" w:eastAsia="宋体" w:hint="default"/>
                <w:spacing w:val="-3"/>
                <w:sz w:val="18"/>
                <w:szCs w:val="18"/>
              </w:rPr>
              <w:t>据网络科技股份</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有限公司</w:t>
            </w:r>
          </w:p>
        </w:tc>
        <w:tc>
          <w:tcPr>
            <w:tcW w:w="136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4" w:right="74"/>
              <w:jc w:val="left"/>
              <w:rPr>
                <w:rFonts w:ascii="宋体" w:hAnsi="宋体" w:cs="宋体" w:eastAsia="宋体" w:hint="default"/>
                <w:sz w:val="18"/>
                <w:szCs w:val="18"/>
              </w:rPr>
            </w:pPr>
            <w:r>
              <w:rPr>
                <w:rFonts w:ascii="宋体" w:hAnsi="宋体" w:cs="宋体" w:eastAsia="宋体" w:hint="default"/>
                <w:spacing w:val="-3"/>
                <w:sz w:val="18"/>
                <w:szCs w:val="18"/>
              </w:rPr>
              <w:t>福建鸿博致远信</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息科技有限公司</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福州</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福州</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服务业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2"/>
                <w:sz w:val="18"/>
              </w:rPr>
              <w:t>100.00%</w:t>
            </w:r>
          </w:p>
        </w:tc>
        <w:tc>
          <w:tcPr>
            <w:tcW w:w="136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投资设立</w:t>
            </w:r>
          </w:p>
        </w:tc>
      </w:tr>
      <w:tr>
        <w:trPr>
          <w:trHeight w:val="715"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74"/>
              <w:jc w:val="left"/>
              <w:rPr>
                <w:rFonts w:ascii="宋体" w:hAnsi="宋体" w:cs="宋体" w:eastAsia="宋体" w:hint="default"/>
                <w:sz w:val="18"/>
                <w:szCs w:val="18"/>
              </w:rPr>
            </w:pPr>
            <w:r>
              <w:rPr>
                <w:rFonts w:ascii="宋体" w:hAnsi="宋体" w:cs="宋体" w:eastAsia="宋体" w:hint="default"/>
                <w:spacing w:val="-3"/>
                <w:sz w:val="18"/>
                <w:szCs w:val="18"/>
              </w:rPr>
              <w:t>鸿博昊天科技有</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限公司</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印刷业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2"/>
                <w:sz w:val="18"/>
              </w:rPr>
              <w:t>100.00%</w:t>
            </w:r>
          </w:p>
        </w:tc>
        <w:tc>
          <w:tcPr>
            <w:tcW w:w="136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投资设立</w:t>
            </w:r>
          </w:p>
        </w:tc>
      </w:tr>
      <w:tr>
        <w:trPr>
          <w:trHeight w:val="357" w:hRule="exact"/>
        </w:trPr>
        <w:tc>
          <w:tcPr>
            <w:tcW w:w="137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钻研（北京）国</w:t>
            </w:r>
          </w:p>
        </w:tc>
        <w:tc>
          <w:tcPr>
            <w:tcW w:w="1363" w:type="dxa"/>
            <w:tcBorders>
              <w:top w:val="single" w:sz="4" w:space="0" w:color="000000"/>
              <w:left w:val="single" w:sz="4" w:space="0" w:color="000000"/>
              <w:bottom w:val="nil" w:sz="6" w:space="0" w:color="auto"/>
              <w:right w:val="single" w:sz="4" w:space="0" w:color="000000"/>
            </w:tcBorders>
          </w:tcPr>
          <w:p>
            <w:pPr/>
          </w:p>
        </w:tc>
        <w:tc>
          <w:tcPr>
            <w:tcW w:w="1368" w:type="dxa"/>
            <w:tcBorders>
              <w:top w:val="single" w:sz="4" w:space="0" w:color="000000"/>
              <w:left w:val="single" w:sz="4" w:space="0" w:color="000000"/>
              <w:bottom w:val="nil" w:sz="6" w:space="0" w:color="auto"/>
              <w:right w:val="single" w:sz="4" w:space="0" w:color="000000"/>
            </w:tcBorders>
          </w:tcPr>
          <w:p>
            <w:pPr/>
          </w:p>
        </w:tc>
        <w:tc>
          <w:tcPr>
            <w:tcW w:w="1368" w:type="dxa"/>
            <w:tcBorders>
              <w:top w:val="single" w:sz="4" w:space="0" w:color="000000"/>
              <w:left w:val="single" w:sz="4" w:space="0" w:color="000000"/>
              <w:bottom w:val="nil" w:sz="6" w:space="0" w:color="auto"/>
              <w:right w:val="single" w:sz="4" w:space="0" w:color="000000"/>
            </w:tcBorders>
          </w:tcPr>
          <w:p>
            <w:pPr/>
          </w:p>
        </w:tc>
        <w:tc>
          <w:tcPr>
            <w:tcW w:w="1368" w:type="dxa"/>
            <w:tcBorders>
              <w:top w:val="single" w:sz="4" w:space="0" w:color="000000"/>
              <w:left w:val="single" w:sz="4" w:space="0" w:color="000000"/>
              <w:bottom w:val="nil" w:sz="6" w:space="0" w:color="auto"/>
              <w:right w:val="single" w:sz="4" w:space="0" w:color="000000"/>
            </w:tcBorders>
          </w:tcPr>
          <w:p>
            <w:pPr/>
          </w:p>
        </w:tc>
        <w:tc>
          <w:tcPr>
            <w:tcW w:w="1363" w:type="dxa"/>
            <w:vMerge w:val="restart"/>
            <w:tcBorders>
              <w:top w:val="single" w:sz="4" w:space="0" w:color="000000"/>
              <w:left w:val="single" w:sz="4" w:space="0" w:color="000000"/>
              <w:right w:val="single" w:sz="4" w:space="0" w:color="000000"/>
            </w:tcBorders>
          </w:tcPr>
          <w:p>
            <w:pPr/>
          </w:p>
        </w:tc>
        <w:tc>
          <w:tcPr>
            <w:tcW w:w="1368" w:type="dxa"/>
            <w:tcBorders>
              <w:top w:val="single" w:sz="4" w:space="0" w:color="000000"/>
              <w:left w:val="single" w:sz="4" w:space="0" w:color="000000"/>
              <w:bottom w:val="nil" w:sz="6" w:space="0" w:color="auto"/>
              <w:right w:val="single" w:sz="4" w:space="0" w:color="000000"/>
            </w:tcBorders>
          </w:tcPr>
          <w:p>
            <w:pPr/>
          </w:p>
        </w:tc>
      </w:tr>
      <w:tr>
        <w:trPr>
          <w:trHeight w:val="319" w:hRule="exact"/>
        </w:trPr>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4" w:right="0"/>
              <w:jc w:val="left"/>
              <w:rPr>
                <w:rFonts w:ascii="宋体" w:hAnsi="宋体" w:cs="宋体" w:eastAsia="宋体" w:hint="default"/>
                <w:sz w:val="18"/>
                <w:szCs w:val="18"/>
              </w:rPr>
            </w:pPr>
            <w:r>
              <w:rPr>
                <w:rFonts w:ascii="宋体" w:hAnsi="宋体" w:cs="宋体" w:eastAsia="宋体" w:hint="default"/>
                <w:spacing w:val="-3"/>
                <w:sz w:val="18"/>
                <w:szCs w:val="18"/>
              </w:rPr>
              <w:t>际文化传媒有限</w:t>
            </w:r>
          </w:p>
        </w:tc>
        <w:tc>
          <w:tcPr>
            <w:tcW w:w="1363"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left="19"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服务业</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23"/>
              <w:jc w:val="right"/>
              <w:rPr>
                <w:rFonts w:ascii="Times New Roman" w:hAnsi="Times New Roman" w:cs="Times New Roman" w:eastAsia="Times New Roman" w:hint="default"/>
                <w:sz w:val="18"/>
                <w:szCs w:val="18"/>
              </w:rPr>
            </w:pPr>
            <w:r>
              <w:rPr>
                <w:rFonts w:ascii="Times New Roman"/>
                <w:spacing w:val="-2"/>
                <w:sz w:val="18"/>
              </w:rPr>
              <w:t>100.00%</w:t>
            </w:r>
          </w:p>
        </w:tc>
        <w:tc>
          <w:tcPr>
            <w:tcW w:w="1363" w:type="dxa"/>
            <w:vMerge/>
            <w:tcBorders>
              <w:left w:val="single" w:sz="4" w:space="0" w:color="000000"/>
              <w:right w:val="single" w:sz="4" w:space="0" w:color="000000"/>
            </w:tcBorders>
          </w:tcPr>
          <w:p>
            <w:pP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投资设立</w:t>
            </w:r>
          </w:p>
        </w:tc>
      </w:tr>
      <w:tr>
        <w:trPr>
          <w:trHeight w:val="351" w:hRule="exact"/>
        </w:trPr>
        <w:tc>
          <w:tcPr>
            <w:tcW w:w="137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363" w:type="dxa"/>
            <w:tcBorders>
              <w:top w:val="nil" w:sz="6" w:space="0" w:color="auto"/>
              <w:left w:val="single" w:sz="4" w:space="0" w:color="000000"/>
              <w:bottom w:val="single" w:sz="4" w:space="0" w:color="000000"/>
              <w:right w:val="single" w:sz="4" w:space="0" w:color="000000"/>
            </w:tcBorders>
          </w:tcPr>
          <w:p>
            <w:pPr/>
          </w:p>
        </w:tc>
        <w:tc>
          <w:tcPr>
            <w:tcW w:w="1368" w:type="dxa"/>
            <w:tcBorders>
              <w:top w:val="nil" w:sz="6" w:space="0" w:color="auto"/>
              <w:left w:val="single" w:sz="4" w:space="0" w:color="000000"/>
              <w:bottom w:val="single" w:sz="4" w:space="0" w:color="000000"/>
              <w:right w:val="single" w:sz="4" w:space="0" w:color="000000"/>
            </w:tcBorders>
          </w:tcPr>
          <w:p>
            <w:pPr/>
          </w:p>
        </w:tc>
        <w:tc>
          <w:tcPr>
            <w:tcW w:w="1368" w:type="dxa"/>
            <w:tcBorders>
              <w:top w:val="nil" w:sz="6" w:space="0" w:color="auto"/>
              <w:left w:val="single" w:sz="4" w:space="0" w:color="000000"/>
              <w:bottom w:val="single" w:sz="4" w:space="0" w:color="000000"/>
              <w:right w:val="single" w:sz="4" w:space="0" w:color="000000"/>
            </w:tcBorders>
          </w:tcPr>
          <w:p>
            <w:pPr/>
          </w:p>
        </w:tc>
        <w:tc>
          <w:tcPr>
            <w:tcW w:w="1368" w:type="dxa"/>
            <w:tcBorders>
              <w:top w:val="nil" w:sz="6" w:space="0" w:color="auto"/>
              <w:left w:val="single" w:sz="4" w:space="0" w:color="000000"/>
              <w:bottom w:val="single" w:sz="4" w:space="0" w:color="000000"/>
              <w:right w:val="single" w:sz="4" w:space="0" w:color="000000"/>
            </w:tcBorders>
          </w:tcPr>
          <w:p>
            <w:pPr/>
          </w:p>
        </w:tc>
        <w:tc>
          <w:tcPr>
            <w:tcW w:w="1363" w:type="dxa"/>
            <w:vMerge/>
            <w:tcBorders>
              <w:left w:val="single" w:sz="4" w:space="0" w:color="000000"/>
              <w:bottom w:val="single" w:sz="4" w:space="0" w:color="000000"/>
              <w:right w:val="single" w:sz="4" w:space="0" w:color="000000"/>
            </w:tcBorders>
          </w:tcPr>
          <w:p>
            <w:pPr/>
          </w:p>
        </w:tc>
        <w:tc>
          <w:tcPr>
            <w:tcW w:w="1368" w:type="dxa"/>
            <w:tcBorders>
              <w:top w:val="nil" w:sz="6" w:space="0" w:color="auto"/>
              <w:left w:val="single" w:sz="4" w:space="0" w:color="000000"/>
              <w:bottom w:val="single" w:sz="4" w:space="0" w:color="000000"/>
              <w:right w:val="single" w:sz="4" w:space="0" w:color="000000"/>
            </w:tcBorders>
          </w:tcPr>
          <w:p>
            <w:pPr/>
          </w:p>
        </w:tc>
      </w:tr>
      <w:tr>
        <w:trPr>
          <w:trHeight w:val="710"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74"/>
              <w:jc w:val="left"/>
              <w:rPr>
                <w:rFonts w:ascii="宋体" w:hAnsi="宋体" w:cs="宋体" w:eastAsia="宋体" w:hint="default"/>
                <w:sz w:val="18"/>
                <w:szCs w:val="18"/>
              </w:rPr>
            </w:pPr>
            <w:r>
              <w:rPr>
                <w:rFonts w:ascii="宋体" w:hAnsi="宋体" w:cs="宋体" w:eastAsia="宋体" w:hint="default"/>
                <w:spacing w:val="-3"/>
                <w:sz w:val="18"/>
                <w:szCs w:val="18"/>
              </w:rPr>
              <w:t>重庆市鸿海印务</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有限公司</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重庆</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重庆</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印刷业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2"/>
                <w:sz w:val="18"/>
              </w:rPr>
              <w:t>100.00%</w:t>
            </w:r>
          </w:p>
        </w:tc>
        <w:tc>
          <w:tcPr>
            <w:tcW w:w="136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3" w:right="70"/>
              <w:jc w:val="left"/>
              <w:rPr>
                <w:rFonts w:ascii="宋体" w:hAnsi="宋体" w:cs="宋体" w:eastAsia="宋体" w:hint="default"/>
                <w:sz w:val="18"/>
                <w:szCs w:val="18"/>
              </w:rPr>
            </w:pPr>
            <w:r>
              <w:rPr>
                <w:rFonts w:ascii="宋体" w:hAnsi="宋体" w:cs="宋体" w:eastAsia="宋体" w:hint="default"/>
                <w:spacing w:val="-3"/>
                <w:sz w:val="18"/>
                <w:szCs w:val="18"/>
              </w:rPr>
              <w:t>同一控制下企业</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合并</w:t>
            </w:r>
          </w:p>
        </w:tc>
      </w:tr>
      <w:tr>
        <w:trPr>
          <w:trHeight w:val="715"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4" w:right="74"/>
              <w:jc w:val="left"/>
              <w:rPr>
                <w:rFonts w:ascii="宋体" w:hAnsi="宋体" w:cs="宋体" w:eastAsia="宋体" w:hint="default"/>
                <w:sz w:val="18"/>
                <w:szCs w:val="18"/>
              </w:rPr>
            </w:pPr>
            <w:r>
              <w:rPr>
                <w:rFonts w:ascii="宋体" w:hAnsi="宋体" w:cs="宋体" w:eastAsia="宋体" w:hint="default"/>
                <w:spacing w:val="-3"/>
                <w:sz w:val="18"/>
                <w:szCs w:val="18"/>
              </w:rPr>
              <w:t>无锡双龙信息纸</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有限公司</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无锡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印刷业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60.00%</w:t>
            </w:r>
          </w:p>
        </w:tc>
        <w:tc>
          <w:tcPr>
            <w:tcW w:w="136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3" w:right="70"/>
              <w:jc w:val="left"/>
              <w:rPr>
                <w:rFonts w:ascii="宋体" w:hAnsi="宋体" w:cs="宋体" w:eastAsia="宋体" w:hint="default"/>
                <w:sz w:val="18"/>
                <w:szCs w:val="18"/>
              </w:rPr>
            </w:pPr>
            <w:r>
              <w:rPr>
                <w:rFonts w:ascii="宋体" w:hAnsi="宋体" w:cs="宋体" w:eastAsia="宋体" w:hint="default"/>
                <w:spacing w:val="-3"/>
                <w:sz w:val="18"/>
                <w:szCs w:val="18"/>
              </w:rPr>
              <w:t>非同一控制下企</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业合并</w:t>
            </w:r>
          </w:p>
        </w:tc>
      </w:tr>
      <w:tr>
        <w:trPr>
          <w:trHeight w:val="715"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74"/>
              <w:jc w:val="left"/>
              <w:rPr>
                <w:rFonts w:ascii="宋体" w:hAnsi="宋体" w:cs="宋体" w:eastAsia="宋体" w:hint="default"/>
                <w:sz w:val="18"/>
                <w:szCs w:val="18"/>
              </w:rPr>
            </w:pPr>
            <w:r>
              <w:rPr>
                <w:rFonts w:ascii="宋体" w:hAnsi="宋体" w:cs="宋体" w:eastAsia="宋体" w:hint="default"/>
                <w:spacing w:val="-3"/>
                <w:sz w:val="18"/>
                <w:szCs w:val="18"/>
              </w:rPr>
              <w:t>广州彩创网络技</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术有限公司</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广州</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广州</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服务业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75.00%</w:t>
            </w:r>
          </w:p>
        </w:tc>
        <w:tc>
          <w:tcPr>
            <w:tcW w:w="136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3" w:right="70"/>
              <w:jc w:val="left"/>
              <w:rPr>
                <w:rFonts w:ascii="宋体" w:hAnsi="宋体" w:cs="宋体" w:eastAsia="宋体" w:hint="default"/>
                <w:sz w:val="18"/>
                <w:szCs w:val="18"/>
              </w:rPr>
            </w:pPr>
            <w:r>
              <w:rPr>
                <w:rFonts w:ascii="宋体" w:hAnsi="宋体" w:cs="宋体" w:eastAsia="宋体" w:hint="default"/>
                <w:spacing w:val="-3"/>
                <w:sz w:val="18"/>
                <w:szCs w:val="18"/>
              </w:rPr>
              <w:t>非同一控制下企</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业合并</w:t>
            </w:r>
          </w:p>
        </w:tc>
      </w:tr>
      <w:tr>
        <w:trPr>
          <w:trHeight w:val="715"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74"/>
              <w:jc w:val="left"/>
              <w:rPr>
                <w:rFonts w:ascii="宋体" w:hAnsi="宋体" w:cs="宋体" w:eastAsia="宋体" w:hint="default"/>
                <w:sz w:val="18"/>
                <w:szCs w:val="18"/>
              </w:rPr>
            </w:pPr>
            <w:r>
              <w:rPr>
                <w:rFonts w:ascii="宋体" w:hAnsi="宋体" w:cs="宋体" w:eastAsia="宋体" w:hint="default"/>
                <w:spacing w:val="-3"/>
                <w:sz w:val="18"/>
                <w:szCs w:val="18"/>
              </w:rPr>
              <w:t>北京科信盛彩投</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资有限公司</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服务业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2"/>
                <w:sz w:val="18"/>
              </w:rPr>
              <w:t>100.00%</w:t>
            </w:r>
          </w:p>
        </w:tc>
        <w:tc>
          <w:tcPr>
            <w:tcW w:w="136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3" w:right="70"/>
              <w:jc w:val="left"/>
              <w:rPr>
                <w:rFonts w:ascii="宋体" w:hAnsi="宋体" w:cs="宋体" w:eastAsia="宋体" w:hint="default"/>
                <w:sz w:val="18"/>
                <w:szCs w:val="18"/>
              </w:rPr>
            </w:pPr>
            <w:r>
              <w:rPr>
                <w:rFonts w:ascii="宋体" w:hAnsi="宋体" w:cs="宋体" w:eastAsia="宋体" w:hint="default"/>
                <w:spacing w:val="-3"/>
                <w:sz w:val="18"/>
                <w:szCs w:val="18"/>
              </w:rPr>
              <w:t>非同一控制下企</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业合并</w:t>
            </w:r>
          </w:p>
        </w:tc>
      </w:tr>
      <w:tr>
        <w:trPr>
          <w:trHeight w:val="710"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74"/>
              <w:jc w:val="left"/>
              <w:rPr>
                <w:rFonts w:ascii="宋体" w:hAnsi="宋体" w:cs="宋体" w:eastAsia="宋体" w:hint="default"/>
                <w:sz w:val="18"/>
                <w:szCs w:val="18"/>
              </w:rPr>
            </w:pPr>
            <w:r>
              <w:rPr>
                <w:rFonts w:ascii="宋体" w:hAnsi="宋体" w:cs="宋体" w:eastAsia="宋体" w:hint="default"/>
                <w:spacing w:val="-3"/>
                <w:sz w:val="18"/>
                <w:szCs w:val="18"/>
              </w:rPr>
              <w:t>深圳青石软件有</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限公司</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服务业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2"/>
                <w:sz w:val="18"/>
              </w:rPr>
              <w:t>100.00%</w:t>
            </w:r>
          </w:p>
        </w:tc>
        <w:tc>
          <w:tcPr>
            <w:tcW w:w="1363"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投资设立</w:t>
            </w:r>
          </w:p>
        </w:tc>
      </w:tr>
    </w:tbl>
    <w:p>
      <w:pPr>
        <w:spacing w:line="360" w:lineRule="auto"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在子公司的持股比例不同于表决权比例的说明：</w:t>
      </w:r>
      <w:r>
        <w:rPr>
          <w:rFonts w:ascii="宋体" w:hAnsi="宋体" w:cs="宋体" w:eastAsia="宋体" w:hint="default"/>
          <w:spacing w:val="-28"/>
          <w:sz w:val="18"/>
          <w:szCs w:val="18"/>
        </w:rPr>
        <w:t> </w:t>
      </w:r>
      <w:r>
        <w:rPr>
          <w:rFonts w:ascii="宋体" w:hAnsi="宋体" w:cs="宋体" w:eastAsia="宋体" w:hint="default"/>
          <w:spacing w:val="-28"/>
          <w:sz w:val="18"/>
          <w:szCs w:val="18"/>
        </w:rPr>
      </w:r>
      <w:r>
        <w:rPr>
          <w:rFonts w:ascii="宋体" w:hAnsi="宋体" w:cs="宋体" w:eastAsia="宋体" w:hint="default"/>
          <w:spacing w:val="-3"/>
          <w:sz w:val="18"/>
          <w:szCs w:val="18"/>
        </w:rPr>
        <w:t>持有半数或以下表决权但仍控制被投资单位、以及持有半数以上表决权但不控制被投资单位的依据：</w:t>
      </w:r>
      <w:r>
        <w:rPr>
          <w:rFonts w:ascii="宋体" w:hAnsi="宋体" w:cs="宋体" w:eastAsia="宋体" w:hint="default"/>
          <w:spacing w:val="35"/>
          <w:sz w:val="18"/>
          <w:szCs w:val="18"/>
        </w:rPr>
        <w:t> </w:t>
      </w:r>
      <w:r>
        <w:rPr>
          <w:rFonts w:ascii="宋体" w:hAnsi="宋体" w:cs="宋体" w:eastAsia="宋体" w:hint="default"/>
          <w:spacing w:val="35"/>
          <w:sz w:val="18"/>
          <w:szCs w:val="18"/>
        </w:rPr>
      </w:r>
      <w:r>
        <w:rPr>
          <w:rFonts w:ascii="宋体" w:hAnsi="宋体" w:cs="宋体" w:eastAsia="宋体" w:hint="default"/>
          <w:spacing w:val="-3"/>
          <w:sz w:val="18"/>
          <w:szCs w:val="18"/>
        </w:rPr>
        <w:t>对于纳入合并范围的重要的结构化主体，控制的依据：</w:t>
      </w:r>
    </w:p>
    <w:p>
      <w:pPr>
        <w:spacing w:line="357" w:lineRule="auto" w:before="29"/>
        <w:ind w:left="152" w:right="6405" w:firstLine="0"/>
        <w:jc w:val="left"/>
        <w:rPr>
          <w:rFonts w:ascii="宋体" w:hAnsi="宋体" w:cs="宋体" w:eastAsia="宋体" w:hint="default"/>
          <w:sz w:val="18"/>
          <w:szCs w:val="18"/>
        </w:rPr>
      </w:pPr>
      <w:r>
        <w:rPr>
          <w:rFonts w:ascii="宋体" w:hAnsi="宋体" w:cs="宋体" w:eastAsia="宋体" w:hint="default"/>
          <w:spacing w:val="-3"/>
          <w:sz w:val="18"/>
          <w:szCs w:val="18"/>
        </w:rPr>
        <w:t>确定公司是代理人还是委托人的依据：</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其他说明：</w:t>
      </w:r>
    </w:p>
    <w:p>
      <w:pPr>
        <w:spacing w:line="240" w:lineRule="auto" w:before="6"/>
        <w:rPr>
          <w:rFonts w:ascii="宋体" w:hAnsi="宋体" w:cs="宋体" w:eastAsia="宋体" w:hint="default"/>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）重要的非全资子公司</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5"/>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5"/>
        <w:gridCol w:w="1915"/>
        <w:gridCol w:w="1915"/>
        <w:gridCol w:w="1910"/>
        <w:gridCol w:w="1915"/>
      </w:tblGrid>
      <w:tr>
        <w:trPr>
          <w:trHeight w:val="758" w:hRule="exact"/>
        </w:trPr>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504"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少数股东持股比例</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67"/>
              <w:ind w:left="768" w:right="46" w:hanging="716"/>
              <w:jc w:val="left"/>
              <w:rPr>
                <w:rFonts w:ascii="宋体" w:hAnsi="宋体" w:cs="宋体" w:eastAsia="宋体" w:hint="default"/>
                <w:sz w:val="18"/>
                <w:szCs w:val="18"/>
              </w:rPr>
            </w:pPr>
            <w:r>
              <w:rPr>
                <w:rFonts w:ascii="宋体" w:hAnsi="宋体" w:cs="宋体" w:eastAsia="宋体" w:hint="default"/>
                <w:spacing w:val="-2"/>
                <w:sz w:val="18"/>
                <w:szCs w:val="18"/>
              </w:rPr>
              <w:t>本期归属于少数股东的</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损益</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67"/>
              <w:ind w:left="590" w:right="41" w:hanging="538"/>
              <w:jc w:val="left"/>
              <w:rPr>
                <w:rFonts w:ascii="宋体" w:hAnsi="宋体" w:cs="宋体" w:eastAsia="宋体" w:hint="default"/>
                <w:sz w:val="18"/>
                <w:szCs w:val="18"/>
              </w:rPr>
            </w:pPr>
            <w:r>
              <w:rPr>
                <w:rFonts w:ascii="宋体" w:hAnsi="宋体" w:cs="宋体" w:eastAsia="宋体" w:hint="default"/>
                <w:spacing w:val="-2"/>
                <w:sz w:val="18"/>
                <w:szCs w:val="18"/>
              </w:rPr>
              <w:t>本期向少数股东宣告分</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派的股利</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50"/>
              <w:jc w:val="right"/>
              <w:rPr>
                <w:rFonts w:ascii="宋体" w:hAnsi="宋体" w:cs="宋体" w:eastAsia="宋体" w:hint="default"/>
                <w:sz w:val="18"/>
                <w:szCs w:val="18"/>
              </w:rPr>
            </w:pPr>
            <w:r>
              <w:rPr>
                <w:rFonts w:ascii="宋体" w:hAnsi="宋体" w:cs="宋体" w:eastAsia="宋体" w:hint="default"/>
                <w:spacing w:val="-2"/>
                <w:sz w:val="18"/>
                <w:szCs w:val="18"/>
              </w:rPr>
              <w:t>期末少数股东权益余额</w:t>
            </w:r>
          </w:p>
        </w:tc>
      </w:tr>
      <w:tr>
        <w:trPr>
          <w:trHeight w:val="715"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74"/>
              <w:jc w:val="left"/>
              <w:rPr>
                <w:rFonts w:ascii="宋体" w:hAnsi="宋体" w:cs="宋体" w:eastAsia="宋体" w:hint="default"/>
                <w:sz w:val="18"/>
                <w:szCs w:val="18"/>
              </w:rPr>
            </w:pPr>
            <w:r>
              <w:rPr>
                <w:rFonts w:ascii="宋体" w:hAnsi="宋体" w:cs="宋体" w:eastAsia="宋体" w:hint="default"/>
                <w:spacing w:val="-2"/>
                <w:sz w:val="18"/>
                <w:szCs w:val="18"/>
              </w:rPr>
              <w:t>无锡双龙信息纸有限公</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司</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40.00%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8,226,993.28</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31" w:right="0"/>
              <w:jc w:val="left"/>
              <w:rPr>
                <w:rFonts w:ascii="Times New Roman" w:hAnsi="Times New Roman" w:cs="Times New Roman" w:eastAsia="Times New Roman" w:hint="default"/>
                <w:sz w:val="18"/>
                <w:szCs w:val="18"/>
              </w:rPr>
            </w:pPr>
            <w:r>
              <w:rPr>
                <w:rFonts w:ascii="Times New Roman"/>
                <w:sz w:val="18"/>
              </w:rPr>
              <w:t>7,248,970.29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33,876,804.52</w:t>
            </w:r>
          </w:p>
        </w:tc>
      </w:tr>
      <w:tr>
        <w:trPr>
          <w:trHeight w:val="710"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74"/>
              <w:jc w:val="left"/>
              <w:rPr>
                <w:rFonts w:ascii="宋体" w:hAnsi="宋体" w:cs="宋体" w:eastAsia="宋体" w:hint="default"/>
                <w:sz w:val="18"/>
                <w:szCs w:val="18"/>
              </w:rPr>
            </w:pPr>
            <w:r>
              <w:rPr>
                <w:rFonts w:ascii="宋体" w:hAnsi="宋体" w:cs="宋体" w:eastAsia="宋体" w:hint="default"/>
                <w:spacing w:val="-2"/>
                <w:sz w:val="18"/>
                <w:szCs w:val="18"/>
              </w:rPr>
              <w:t>广州彩创网络技术有限</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公司</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25.00%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-439,639.14</w:t>
            </w: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13,002,145.73</w:t>
            </w:r>
          </w:p>
        </w:tc>
      </w:tr>
      <w:tr>
        <w:trPr>
          <w:trHeight w:val="715"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4" w:right="74"/>
              <w:jc w:val="left"/>
              <w:rPr>
                <w:rFonts w:ascii="宋体" w:hAnsi="宋体" w:cs="宋体" w:eastAsia="宋体" w:hint="default"/>
                <w:sz w:val="18"/>
                <w:szCs w:val="18"/>
              </w:rPr>
            </w:pPr>
            <w:r>
              <w:rPr>
                <w:rFonts w:ascii="宋体" w:hAnsi="宋体" w:cs="宋体" w:eastAsia="宋体" w:hint="default"/>
                <w:spacing w:val="-2"/>
                <w:sz w:val="18"/>
                <w:szCs w:val="18"/>
              </w:rPr>
              <w:t>北京中科彩技术有限公</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司</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49.00%</w:t>
            </w:r>
          </w:p>
        </w:tc>
        <w:tc>
          <w:tcPr>
            <w:tcW w:w="1915"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bl>
    <w:p>
      <w:pPr>
        <w:spacing w:line="362" w:lineRule="auto" w:before="53"/>
        <w:ind w:left="152" w:right="5284" w:firstLine="0"/>
        <w:jc w:val="left"/>
        <w:rPr>
          <w:rFonts w:ascii="宋体" w:hAnsi="宋体" w:cs="宋体" w:eastAsia="宋体" w:hint="default"/>
          <w:sz w:val="18"/>
          <w:szCs w:val="18"/>
        </w:rPr>
      </w:pPr>
      <w:r>
        <w:rPr>
          <w:rFonts w:ascii="宋体" w:hAnsi="宋体" w:cs="宋体" w:eastAsia="宋体" w:hint="default"/>
          <w:spacing w:val="-3"/>
          <w:sz w:val="18"/>
          <w:szCs w:val="18"/>
        </w:rPr>
        <w:t>子公司少数股东的持股比例不同于表决权比例的说明：</w:t>
      </w:r>
      <w:r>
        <w:rPr>
          <w:rFonts w:ascii="宋体" w:hAnsi="宋体" w:cs="宋体" w:eastAsia="宋体" w:hint="default"/>
          <w:spacing w:val="-17"/>
          <w:sz w:val="18"/>
          <w:szCs w:val="18"/>
        </w:rPr>
        <w:t> </w:t>
      </w:r>
      <w:r>
        <w:rPr>
          <w:rFonts w:ascii="宋体" w:hAnsi="宋体" w:cs="宋体" w:eastAsia="宋体" w:hint="default"/>
          <w:spacing w:val="-17"/>
          <w:sz w:val="18"/>
          <w:szCs w:val="18"/>
        </w:rPr>
      </w:r>
      <w:r>
        <w:rPr>
          <w:rFonts w:ascii="宋体" w:hAnsi="宋体" w:cs="宋体" w:eastAsia="宋体" w:hint="default"/>
          <w:sz w:val="18"/>
          <w:szCs w:val="18"/>
        </w:rPr>
        <w:t>其他说明：</w:t>
      </w:r>
    </w:p>
    <w:p>
      <w:pPr>
        <w:pStyle w:val="BodyText"/>
        <w:spacing w:line="240" w:lineRule="auto" w:before="74"/>
        <w:ind w:left="575" w:right="0"/>
        <w:jc w:val="left"/>
      </w:pPr>
      <w:r>
        <w:rPr/>
        <w:t>中科彩公司系本集团于2015年12月25日收购全资子公司科信盛彩从而间接持有其51.00%股权达到控</w:t>
      </w:r>
    </w:p>
    <w:p>
      <w:pPr>
        <w:spacing w:after="0" w:line="240" w:lineRule="auto"/>
        <w:jc w:val="left"/>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BodyText"/>
        <w:spacing w:line="240" w:lineRule="auto" w:before="36"/>
        <w:ind w:right="0"/>
        <w:jc w:val="left"/>
      </w:pPr>
      <w:r>
        <w:rPr/>
        <w:t>制的非全资孙公司，该公司2015年度损益均不归属于本集团，利润表不纳入本集团财务报表范围。</w:t>
      </w:r>
    </w:p>
    <w:p>
      <w:pPr>
        <w:spacing w:line="240" w:lineRule="auto" w:before="11"/>
        <w:rPr>
          <w:rFonts w:ascii="宋体" w:hAnsi="宋体" w:cs="宋体" w:eastAsia="宋体" w:hint="default"/>
          <w:sz w:val="20"/>
          <w:szCs w:val="20"/>
        </w:rPr>
      </w:pPr>
    </w:p>
    <w:p>
      <w:pPr>
        <w:pStyle w:val="Heading4"/>
        <w:spacing w:line="240" w:lineRule="auto"/>
        <w:ind w:right="0"/>
        <w:jc w:val="left"/>
        <w:rPr>
          <w:b w:val="0"/>
          <w:bCs w:val="0"/>
        </w:rPr>
      </w:pPr>
      <w:r>
        <w:rPr/>
        <w:t>（</w:t>
      </w:r>
      <w:r>
        <w:rPr>
          <w:rFonts w:ascii="Times New Roman" w:hAnsi="Times New Roman" w:cs="Times New Roman" w:eastAsia="Times New Roman" w:hint="default"/>
        </w:rPr>
        <w:t>3</w:t>
      </w:r>
      <w:r>
        <w:rPr/>
        <w:t>）重要非全资子公司的主要财务信息</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734"/>
        <w:gridCol w:w="739"/>
        <w:gridCol w:w="734"/>
        <w:gridCol w:w="734"/>
        <w:gridCol w:w="739"/>
        <w:gridCol w:w="734"/>
        <w:gridCol w:w="734"/>
        <w:gridCol w:w="734"/>
        <w:gridCol w:w="734"/>
        <w:gridCol w:w="734"/>
        <w:gridCol w:w="739"/>
        <w:gridCol w:w="734"/>
        <w:gridCol w:w="739"/>
      </w:tblGrid>
      <w:tr>
        <w:trPr>
          <w:trHeight w:val="398" w:hRule="exact"/>
        </w:trPr>
        <w:tc>
          <w:tcPr>
            <w:tcW w:w="73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8"/>
                <w:szCs w:val="18"/>
              </w:rPr>
            </w:pPr>
          </w:p>
          <w:p>
            <w:pPr>
              <w:pStyle w:val="TableParagraph"/>
              <w:spacing w:line="316" w:lineRule="auto"/>
              <w:ind w:left="182" w:right="84" w:hanging="87"/>
              <w:jc w:val="left"/>
              <w:rPr>
                <w:rFonts w:ascii="宋体" w:hAnsi="宋体" w:cs="宋体" w:eastAsia="宋体" w:hint="default"/>
                <w:sz w:val="18"/>
                <w:szCs w:val="18"/>
              </w:rPr>
            </w:pPr>
            <w:r>
              <w:rPr>
                <w:rFonts w:ascii="宋体" w:hAnsi="宋体" w:cs="宋体" w:eastAsia="宋体" w:hint="default"/>
                <w:sz w:val="18"/>
                <w:szCs w:val="18"/>
              </w:rPr>
              <w:t>子公司</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名称</w:t>
            </w:r>
          </w:p>
        </w:tc>
        <w:tc>
          <w:tcPr>
            <w:tcW w:w="4416"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416"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715" w:hRule="exact"/>
        </w:trPr>
        <w:tc>
          <w:tcPr>
            <w:tcW w:w="734" w:type="dxa"/>
            <w:vMerge/>
            <w:tcBorders>
              <w:left w:val="single" w:sz="4" w:space="0" w:color="000000"/>
              <w:bottom w:val="single" w:sz="4" w:space="0" w:color="000000"/>
              <w:right w:val="single" w:sz="4" w:space="0" w:color="000000"/>
            </w:tcBorders>
            <w:shd w:val="clear" w:color="auto" w:fill="D2D2D2"/>
          </w:tcPr>
          <w:p>
            <w:pPr/>
          </w:p>
        </w:tc>
        <w:tc>
          <w:tcPr>
            <w:tcW w:w="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73" w:right="89" w:hanging="178"/>
              <w:jc w:val="left"/>
              <w:rPr>
                <w:rFonts w:ascii="宋体" w:hAnsi="宋体" w:cs="宋体" w:eastAsia="宋体" w:hint="default"/>
                <w:sz w:val="18"/>
                <w:szCs w:val="18"/>
              </w:rPr>
            </w:pPr>
            <w:r>
              <w:rPr>
                <w:rFonts w:ascii="宋体" w:hAnsi="宋体" w:cs="宋体" w:eastAsia="宋体" w:hint="default"/>
                <w:sz w:val="18"/>
                <w:szCs w:val="18"/>
              </w:rPr>
              <w:t>流动资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产</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82" w:right="84" w:hanging="87"/>
              <w:jc w:val="left"/>
              <w:rPr>
                <w:rFonts w:ascii="宋体" w:hAnsi="宋体" w:cs="宋体" w:eastAsia="宋体" w:hint="default"/>
                <w:sz w:val="18"/>
                <w:szCs w:val="18"/>
              </w:rPr>
            </w:pPr>
            <w:r>
              <w:rPr>
                <w:rFonts w:ascii="宋体" w:hAnsi="宋体" w:cs="宋体" w:eastAsia="宋体" w:hint="default"/>
                <w:sz w:val="18"/>
                <w:szCs w:val="18"/>
              </w:rPr>
              <w:t>非流动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资产</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73" w:right="84" w:hanging="178"/>
              <w:jc w:val="left"/>
              <w:rPr>
                <w:rFonts w:ascii="宋体" w:hAnsi="宋体" w:cs="宋体" w:eastAsia="宋体" w:hint="default"/>
                <w:sz w:val="18"/>
                <w:szCs w:val="18"/>
              </w:rPr>
            </w:pPr>
            <w:r>
              <w:rPr>
                <w:rFonts w:ascii="宋体" w:hAnsi="宋体" w:cs="宋体" w:eastAsia="宋体" w:hint="default"/>
                <w:sz w:val="18"/>
                <w:szCs w:val="18"/>
              </w:rPr>
              <w:t>资产合</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计</w:t>
            </w:r>
          </w:p>
        </w:tc>
        <w:tc>
          <w:tcPr>
            <w:tcW w:w="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73" w:right="89" w:hanging="178"/>
              <w:jc w:val="left"/>
              <w:rPr>
                <w:rFonts w:ascii="宋体" w:hAnsi="宋体" w:cs="宋体" w:eastAsia="宋体" w:hint="default"/>
                <w:sz w:val="18"/>
                <w:szCs w:val="18"/>
              </w:rPr>
            </w:pPr>
            <w:r>
              <w:rPr>
                <w:rFonts w:ascii="宋体" w:hAnsi="宋体" w:cs="宋体" w:eastAsia="宋体" w:hint="default"/>
                <w:sz w:val="18"/>
                <w:szCs w:val="18"/>
              </w:rPr>
              <w:t>流动负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债</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77" w:right="89" w:hanging="87"/>
              <w:jc w:val="left"/>
              <w:rPr>
                <w:rFonts w:ascii="宋体" w:hAnsi="宋体" w:cs="宋体" w:eastAsia="宋体" w:hint="default"/>
                <w:sz w:val="18"/>
                <w:szCs w:val="18"/>
              </w:rPr>
            </w:pPr>
            <w:r>
              <w:rPr>
                <w:rFonts w:ascii="宋体" w:hAnsi="宋体" w:cs="宋体" w:eastAsia="宋体" w:hint="default"/>
                <w:sz w:val="18"/>
                <w:szCs w:val="18"/>
              </w:rPr>
              <w:t>非流动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负债</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68" w:right="89" w:hanging="178"/>
              <w:jc w:val="left"/>
              <w:rPr>
                <w:rFonts w:ascii="宋体" w:hAnsi="宋体" w:cs="宋体" w:eastAsia="宋体" w:hint="default"/>
                <w:sz w:val="18"/>
                <w:szCs w:val="18"/>
              </w:rPr>
            </w:pPr>
            <w:r>
              <w:rPr>
                <w:rFonts w:ascii="宋体" w:hAnsi="宋体" w:cs="宋体" w:eastAsia="宋体" w:hint="default"/>
                <w:sz w:val="18"/>
                <w:szCs w:val="18"/>
              </w:rPr>
              <w:t>负债合</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计</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68" w:right="89" w:hanging="178"/>
              <w:jc w:val="left"/>
              <w:rPr>
                <w:rFonts w:ascii="宋体" w:hAnsi="宋体" w:cs="宋体" w:eastAsia="宋体" w:hint="default"/>
                <w:sz w:val="18"/>
                <w:szCs w:val="18"/>
              </w:rPr>
            </w:pPr>
            <w:r>
              <w:rPr>
                <w:rFonts w:ascii="宋体" w:hAnsi="宋体" w:cs="宋体" w:eastAsia="宋体" w:hint="default"/>
                <w:sz w:val="18"/>
                <w:szCs w:val="18"/>
              </w:rPr>
              <w:t>流动资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产</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77" w:right="89" w:hanging="87"/>
              <w:jc w:val="left"/>
              <w:rPr>
                <w:rFonts w:ascii="宋体" w:hAnsi="宋体" w:cs="宋体" w:eastAsia="宋体" w:hint="default"/>
                <w:sz w:val="18"/>
                <w:szCs w:val="18"/>
              </w:rPr>
            </w:pPr>
            <w:r>
              <w:rPr>
                <w:rFonts w:ascii="宋体" w:hAnsi="宋体" w:cs="宋体" w:eastAsia="宋体" w:hint="default"/>
                <w:sz w:val="18"/>
                <w:szCs w:val="18"/>
              </w:rPr>
              <w:t>非流动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资产</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68" w:right="89" w:hanging="178"/>
              <w:jc w:val="left"/>
              <w:rPr>
                <w:rFonts w:ascii="宋体" w:hAnsi="宋体" w:cs="宋体" w:eastAsia="宋体" w:hint="default"/>
                <w:sz w:val="18"/>
                <w:szCs w:val="18"/>
              </w:rPr>
            </w:pPr>
            <w:r>
              <w:rPr>
                <w:rFonts w:ascii="宋体" w:hAnsi="宋体" w:cs="宋体" w:eastAsia="宋体" w:hint="default"/>
                <w:sz w:val="18"/>
                <w:szCs w:val="18"/>
              </w:rPr>
              <w:t>资产合</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计</w:t>
            </w:r>
          </w:p>
        </w:tc>
        <w:tc>
          <w:tcPr>
            <w:tcW w:w="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73" w:right="89" w:hanging="178"/>
              <w:jc w:val="left"/>
              <w:rPr>
                <w:rFonts w:ascii="宋体" w:hAnsi="宋体" w:cs="宋体" w:eastAsia="宋体" w:hint="default"/>
                <w:sz w:val="18"/>
                <w:szCs w:val="18"/>
              </w:rPr>
            </w:pPr>
            <w:r>
              <w:rPr>
                <w:rFonts w:ascii="宋体" w:hAnsi="宋体" w:cs="宋体" w:eastAsia="宋体" w:hint="default"/>
                <w:sz w:val="18"/>
                <w:szCs w:val="18"/>
              </w:rPr>
              <w:t>流动负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债</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82" w:right="84" w:hanging="87"/>
              <w:jc w:val="left"/>
              <w:rPr>
                <w:rFonts w:ascii="宋体" w:hAnsi="宋体" w:cs="宋体" w:eastAsia="宋体" w:hint="default"/>
                <w:sz w:val="18"/>
                <w:szCs w:val="18"/>
              </w:rPr>
            </w:pPr>
            <w:r>
              <w:rPr>
                <w:rFonts w:ascii="宋体" w:hAnsi="宋体" w:cs="宋体" w:eastAsia="宋体" w:hint="default"/>
                <w:sz w:val="18"/>
                <w:szCs w:val="18"/>
              </w:rPr>
              <w:t>非流动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负债</w:t>
            </w:r>
          </w:p>
        </w:tc>
        <w:tc>
          <w:tcPr>
            <w:tcW w:w="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273" w:right="89" w:hanging="178"/>
              <w:jc w:val="left"/>
              <w:rPr>
                <w:rFonts w:ascii="宋体" w:hAnsi="宋体" w:cs="宋体" w:eastAsia="宋体" w:hint="default"/>
                <w:sz w:val="18"/>
                <w:szCs w:val="18"/>
              </w:rPr>
            </w:pPr>
            <w:r>
              <w:rPr>
                <w:rFonts w:ascii="宋体" w:hAnsi="宋体" w:cs="宋体" w:eastAsia="宋体" w:hint="default"/>
                <w:sz w:val="18"/>
                <w:szCs w:val="18"/>
              </w:rPr>
              <w:t>负债合</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计</w:t>
            </w:r>
          </w:p>
        </w:tc>
      </w:tr>
      <w:tr>
        <w:trPr>
          <w:trHeight w:val="357" w:hRule="exact"/>
        </w:trPr>
        <w:tc>
          <w:tcPr>
            <w:tcW w:w="7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无锡双</w:t>
            </w:r>
          </w:p>
        </w:tc>
        <w:tc>
          <w:tcPr>
            <w:tcW w:w="739"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9"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9" w:type="dxa"/>
            <w:tcBorders>
              <w:top w:val="single" w:sz="4" w:space="0" w:color="000000"/>
              <w:left w:val="single" w:sz="4" w:space="0" w:color="000000"/>
              <w:bottom w:val="nil" w:sz="6" w:space="0" w:color="auto"/>
              <w:right w:val="single" w:sz="4" w:space="0" w:color="000000"/>
            </w:tcBorders>
          </w:tcPr>
          <w:p>
            <w:pPr/>
          </w:p>
        </w:tc>
        <w:tc>
          <w:tcPr>
            <w:tcW w:w="734" w:type="dxa"/>
            <w:vMerge w:val="restart"/>
            <w:tcBorders>
              <w:top w:val="single" w:sz="4" w:space="0" w:color="000000"/>
              <w:left w:val="single" w:sz="4" w:space="0" w:color="000000"/>
              <w:right w:val="single" w:sz="4" w:space="0" w:color="000000"/>
            </w:tcBorders>
          </w:tcPr>
          <w:p>
            <w:pPr/>
          </w:p>
        </w:tc>
        <w:tc>
          <w:tcPr>
            <w:tcW w:w="739" w:type="dxa"/>
            <w:tcBorders>
              <w:top w:val="single" w:sz="4" w:space="0" w:color="000000"/>
              <w:left w:val="single" w:sz="4" w:space="0" w:color="000000"/>
              <w:bottom w:val="nil" w:sz="6" w:space="0" w:color="auto"/>
              <w:right w:val="single" w:sz="4" w:space="0" w:color="000000"/>
            </w:tcBorders>
          </w:tcPr>
          <w:p>
            <w:pPr/>
          </w:p>
        </w:tc>
      </w:tr>
      <w:tr>
        <w:trPr>
          <w:trHeight w:val="317" w:hRule="exact"/>
        </w:trPr>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4" w:right="0"/>
              <w:jc w:val="left"/>
              <w:rPr>
                <w:rFonts w:ascii="宋体" w:hAnsi="宋体" w:cs="宋体" w:eastAsia="宋体" w:hint="default"/>
                <w:sz w:val="18"/>
                <w:szCs w:val="18"/>
              </w:rPr>
            </w:pPr>
            <w:r>
              <w:rPr>
                <w:rFonts w:ascii="宋体" w:hAnsi="宋体" w:cs="宋体" w:eastAsia="宋体" w:hint="default"/>
                <w:sz w:val="18"/>
                <w:szCs w:val="18"/>
              </w:rPr>
              <w:t>龙信息</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7"/>
              <w:jc w:val="right"/>
              <w:rPr>
                <w:rFonts w:ascii="Times New Roman" w:hAnsi="Times New Roman" w:cs="Times New Roman" w:eastAsia="Times New Roman" w:hint="default"/>
                <w:sz w:val="18"/>
                <w:szCs w:val="18"/>
              </w:rPr>
            </w:pPr>
            <w:r>
              <w:rPr>
                <w:rFonts w:ascii="Times New Roman"/>
                <w:spacing w:val="-1"/>
                <w:sz w:val="18"/>
              </w:rPr>
              <w:t>75,877,5</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2"/>
              <w:jc w:val="right"/>
              <w:rPr>
                <w:rFonts w:ascii="Times New Roman" w:hAnsi="Times New Roman" w:cs="Times New Roman" w:eastAsia="Times New Roman" w:hint="default"/>
                <w:sz w:val="18"/>
                <w:szCs w:val="18"/>
              </w:rPr>
            </w:pPr>
            <w:r>
              <w:rPr>
                <w:rFonts w:ascii="Times New Roman"/>
                <w:spacing w:val="-1"/>
                <w:sz w:val="18"/>
              </w:rPr>
              <w:t>46,689,2</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4"/>
              <w:jc w:val="right"/>
              <w:rPr>
                <w:rFonts w:ascii="Times New Roman" w:hAnsi="Times New Roman" w:cs="Times New Roman" w:eastAsia="Times New Roman" w:hint="default"/>
                <w:sz w:val="18"/>
                <w:szCs w:val="18"/>
              </w:rPr>
            </w:pPr>
            <w:r>
              <w:rPr>
                <w:rFonts w:ascii="Times New Roman"/>
                <w:spacing w:val="-1"/>
                <w:sz w:val="18"/>
              </w:rPr>
              <w:t>122,566,</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7"/>
              <w:jc w:val="right"/>
              <w:rPr>
                <w:rFonts w:ascii="Times New Roman" w:hAnsi="Times New Roman" w:cs="Times New Roman" w:eastAsia="Times New Roman" w:hint="default"/>
                <w:sz w:val="18"/>
                <w:szCs w:val="18"/>
              </w:rPr>
            </w:pPr>
            <w:r>
              <w:rPr>
                <w:rFonts w:ascii="Times New Roman"/>
                <w:spacing w:val="-1"/>
                <w:sz w:val="18"/>
              </w:rPr>
              <w:t>29,187,4</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7"/>
              <w:jc w:val="right"/>
              <w:rPr>
                <w:rFonts w:ascii="Times New Roman" w:hAnsi="Times New Roman" w:cs="Times New Roman" w:eastAsia="Times New Roman" w:hint="default"/>
                <w:sz w:val="18"/>
                <w:szCs w:val="18"/>
              </w:rPr>
            </w:pPr>
            <w:r>
              <w:rPr>
                <w:rFonts w:ascii="Times New Roman"/>
                <w:spacing w:val="-1"/>
                <w:sz w:val="18"/>
              </w:rPr>
              <w:t>8,687,31</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7"/>
              <w:jc w:val="right"/>
              <w:rPr>
                <w:rFonts w:ascii="Times New Roman" w:hAnsi="Times New Roman" w:cs="Times New Roman" w:eastAsia="Times New Roman" w:hint="default"/>
                <w:sz w:val="18"/>
                <w:szCs w:val="18"/>
              </w:rPr>
            </w:pPr>
            <w:r>
              <w:rPr>
                <w:rFonts w:ascii="Times New Roman"/>
                <w:spacing w:val="-1"/>
                <w:sz w:val="18"/>
              </w:rPr>
              <w:t>37,874,8</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7"/>
              <w:jc w:val="right"/>
              <w:rPr>
                <w:rFonts w:ascii="Times New Roman" w:hAnsi="Times New Roman" w:cs="Times New Roman" w:eastAsia="Times New Roman" w:hint="default"/>
                <w:sz w:val="18"/>
                <w:szCs w:val="18"/>
              </w:rPr>
            </w:pPr>
            <w:r>
              <w:rPr>
                <w:rFonts w:ascii="Times New Roman"/>
                <w:spacing w:val="-1"/>
                <w:sz w:val="18"/>
              </w:rPr>
              <w:t>58,876,0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7"/>
              <w:jc w:val="right"/>
              <w:rPr>
                <w:rFonts w:ascii="Times New Roman" w:hAnsi="Times New Roman" w:cs="Times New Roman" w:eastAsia="Times New Roman" w:hint="default"/>
                <w:sz w:val="18"/>
                <w:szCs w:val="18"/>
              </w:rPr>
            </w:pPr>
            <w:r>
              <w:rPr>
                <w:rFonts w:ascii="Times New Roman"/>
                <w:spacing w:val="-1"/>
                <w:sz w:val="18"/>
              </w:rPr>
              <w:t>44,980,0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9"/>
              <w:jc w:val="right"/>
              <w:rPr>
                <w:rFonts w:ascii="Times New Roman" w:hAnsi="Times New Roman" w:cs="Times New Roman" w:eastAsia="Times New Roman" w:hint="default"/>
                <w:sz w:val="18"/>
                <w:szCs w:val="18"/>
              </w:rPr>
            </w:pPr>
            <w:r>
              <w:rPr>
                <w:rFonts w:ascii="Times New Roman"/>
                <w:spacing w:val="-1"/>
                <w:sz w:val="18"/>
              </w:rPr>
              <w:t>103,856,</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7"/>
              <w:jc w:val="right"/>
              <w:rPr>
                <w:rFonts w:ascii="Times New Roman" w:hAnsi="Times New Roman" w:cs="Times New Roman" w:eastAsia="Times New Roman" w:hint="default"/>
                <w:sz w:val="18"/>
                <w:szCs w:val="18"/>
              </w:rPr>
            </w:pPr>
            <w:r>
              <w:rPr>
                <w:rFonts w:ascii="Times New Roman"/>
                <w:spacing w:val="-1"/>
                <w:sz w:val="18"/>
              </w:rPr>
              <w:t>21,609,2</w:t>
            </w:r>
          </w:p>
        </w:tc>
        <w:tc>
          <w:tcPr>
            <w:tcW w:w="734" w:type="dxa"/>
            <w:vMerge/>
            <w:tcBorders>
              <w:left w:val="single" w:sz="4" w:space="0" w:color="000000"/>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7"/>
              <w:jc w:val="right"/>
              <w:rPr>
                <w:rFonts w:ascii="Times New Roman" w:hAnsi="Times New Roman" w:cs="Times New Roman" w:eastAsia="Times New Roman" w:hint="default"/>
                <w:sz w:val="18"/>
                <w:szCs w:val="18"/>
              </w:rPr>
            </w:pPr>
            <w:r>
              <w:rPr>
                <w:rFonts w:ascii="Times New Roman"/>
                <w:spacing w:val="-1"/>
                <w:sz w:val="18"/>
              </w:rPr>
              <w:t>21,609,2</w:t>
            </w:r>
          </w:p>
        </w:tc>
      </w:tr>
      <w:tr>
        <w:trPr>
          <w:trHeight w:val="314" w:hRule="exact"/>
        </w:trPr>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4" w:right="0"/>
              <w:jc w:val="left"/>
              <w:rPr>
                <w:rFonts w:ascii="宋体" w:hAnsi="宋体" w:cs="宋体" w:eastAsia="宋体" w:hint="default"/>
                <w:sz w:val="18"/>
                <w:szCs w:val="18"/>
              </w:rPr>
            </w:pPr>
            <w:r>
              <w:rPr>
                <w:rFonts w:ascii="宋体" w:hAnsi="宋体" w:cs="宋体" w:eastAsia="宋体" w:hint="default"/>
                <w:sz w:val="18"/>
                <w:szCs w:val="18"/>
              </w:rPr>
              <w:t>纸有限</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75.09</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spacing w:val="-1"/>
                <w:sz w:val="18"/>
              </w:rPr>
              <w:t>51.08</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spacing w:val="-1"/>
                <w:sz w:val="18"/>
              </w:rPr>
              <w:t>826.17</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99.49</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z w:val="18"/>
              </w:rPr>
              <w:t>5.35</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14.84</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72.25</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88.34</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160.59</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06.73</w:t>
            </w:r>
          </w:p>
        </w:tc>
        <w:tc>
          <w:tcPr>
            <w:tcW w:w="734" w:type="dxa"/>
            <w:vMerge/>
            <w:tcBorders>
              <w:left w:val="single" w:sz="4" w:space="0" w:color="000000"/>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06.73</w:t>
            </w:r>
          </w:p>
        </w:tc>
      </w:tr>
      <w:tr>
        <w:trPr>
          <w:trHeight w:val="351" w:hRule="exact"/>
        </w:trPr>
        <w:tc>
          <w:tcPr>
            <w:tcW w:w="73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39"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9"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9" w:type="dxa"/>
            <w:tcBorders>
              <w:top w:val="nil" w:sz="6" w:space="0" w:color="auto"/>
              <w:left w:val="single" w:sz="4" w:space="0" w:color="000000"/>
              <w:bottom w:val="single" w:sz="4" w:space="0" w:color="000000"/>
              <w:right w:val="single" w:sz="4" w:space="0" w:color="000000"/>
            </w:tcBorders>
          </w:tcPr>
          <w:p>
            <w:pPr/>
          </w:p>
        </w:tc>
        <w:tc>
          <w:tcPr>
            <w:tcW w:w="734" w:type="dxa"/>
            <w:vMerge/>
            <w:tcBorders>
              <w:left w:val="single" w:sz="4" w:space="0" w:color="000000"/>
              <w:bottom w:val="single" w:sz="4" w:space="0" w:color="000000"/>
              <w:right w:val="single" w:sz="4" w:space="0" w:color="000000"/>
            </w:tcBorders>
          </w:tcPr>
          <w:p>
            <w:pPr/>
          </w:p>
        </w:tc>
        <w:tc>
          <w:tcPr>
            <w:tcW w:w="739"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7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广州彩</w:t>
            </w:r>
          </w:p>
        </w:tc>
        <w:tc>
          <w:tcPr>
            <w:tcW w:w="739"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9" w:type="dxa"/>
            <w:tcBorders>
              <w:top w:val="single" w:sz="4" w:space="0" w:color="000000"/>
              <w:left w:val="single" w:sz="4" w:space="0" w:color="000000"/>
              <w:bottom w:val="nil" w:sz="6" w:space="0" w:color="auto"/>
              <w:right w:val="single" w:sz="4" w:space="0" w:color="000000"/>
            </w:tcBorders>
          </w:tcPr>
          <w:p>
            <w:pPr/>
          </w:p>
        </w:tc>
        <w:tc>
          <w:tcPr>
            <w:tcW w:w="734" w:type="dxa"/>
            <w:vMerge w:val="restart"/>
            <w:tcBorders>
              <w:top w:val="single" w:sz="4" w:space="0" w:color="000000"/>
              <w:left w:val="single" w:sz="4" w:space="0" w:color="000000"/>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9" w:type="dxa"/>
            <w:tcBorders>
              <w:top w:val="single" w:sz="4" w:space="0" w:color="000000"/>
              <w:left w:val="single" w:sz="4" w:space="0" w:color="000000"/>
              <w:bottom w:val="nil" w:sz="6" w:space="0" w:color="auto"/>
              <w:right w:val="single" w:sz="4" w:space="0" w:color="000000"/>
            </w:tcBorders>
          </w:tcPr>
          <w:p>
            <w:pPr/>
          </w:p>
        </w:tc>
        <w:tc>
          <w:tcPr>
            <w:tcW w:w="734" w:type="dxa"/>
            <w:vMerge w:val="restart"/>
            <w:tcBorders>
              <w:top w:val="single" w:sz="4" w:space="0" w:color="000000"/>
              <w:left w:val="single" w:sz="4" w:space="0" w:color="000000"/>
              <w:right w:val="single" w:sz="4" w:space="0" w:color="000000"/>
            </w:tcBorders>
          </w:tcPr>
          <w:p>
            <w:pPr/>
          </w:p>
        </w:tc>
        <w:tc>
          <w:tcPr>
            <w:tcW w:w="739" w:type="dxa"/>
            <w:tcBorders>
              <w:top w:val="single" w:sz="4" w:space="0" w:color="000000"/>
              <w:left w:val="single" w:sz="4" w:space="0" w:color="000000"/>
              <w:bottom w:val="nil" w:sz="6" w:space="0" w:color="auto"/>
              <w:right w:val="single" w:sz="4" w:space="0" w:color="000000"/>
            </w:tcBorders>
          </w:tcPr>
          <w:p>
            <w:pPr/>
          </w:p>
        </w:tc>
      </w:tr>
      <w:tr>
        <w:trPr>
          <w:trHeight w:val="317" w:hRule="exact"/>
        </w:trPr>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4" w:right="0"/>
              <w:jc w:val="left"/>
              <w:rPr>
                <w:rFonts w:ascii="宋体" w:hAnsi="宋体" w:cs="宋体" w:eastAsia="宋体" w:hint="default"/>
                <w:sz w:val="18"/>
                <w:szCs w:val="18"/>
              </w:rPr>
            </w:pPr>
            <w:r>
              <w:rPr>
                <w:rFonts w:ascii="宋体" w:hAnsi="宋体" w:cs="宋体" w:eastAsia="宋体" w:hint="default"/>
                <w:sz w:val="18"/>
                <w:szCs w:val="18"/>
              </w:rPr>
              <w:t>创网络</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7"/>
              <w:jc w:val="right"/>
              <w:rPr>
                <w:rFonts w:ascii="Times New Roman" w:hAnsi="Times New Roman" w:cs="Times New Roman" w:eastAsia="Times New Roman" w:hint="default"/>
                <w:sz w:val="18"/>
                <w:szCs w:val="18"/>
              </w:rPr>
            </w:pPr>
            <w:r>
              <w:rPr>
                <w:rFonts w:ascii="Times New Roman"/>
                <w:spacing w:val="-1"/>
                <w:sz w:val="18"/>
              </w:rPr>
              <w:t>53,635,4</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4"/>
              <w:jc w:val="right"/>
              <w:rPr>
                <w:rFonts w:ascii="Times New Roman" w:hAnsi="Times New Roman" w:cs="Times New Roman" w:eastAsia="Times New Roman" w:hint="default"/>
                <w:sz w:val="18"/>
                <w:szCs w:val="18"/>
              </w:rPr>
            </w:pPr>
            <w:r>
              <w:rPr>
                <w:rFonts w:ascii="Times New Roman"/>
                <w:spacing w:val="-1"/>
                <w:sz w:val="18"/>
              </w:rPr>
              <w:t>873,253.</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2"/>
              <w:jc w:val="right"/>
              <w:rPr>
                <w:rFonts w:ascii="Times New Roman" w:hAnsi="Times New Roman" w:cs="Times New Roman" w:eastAsia="Times New Roman" w:hint="default"/>
                <w:sz w:val="18"/>
                <w:szCs w:val="18"/>
              </w:rPr>
            </w:pPr>
            <w:r>
              <w:rPr>
                <w:rFonts w:ascii="Times New Roman"/>
                <w:spacing w:val="-1"/>
                <w:sz w:val="18"/>
              </w:rPr>
              <w:t>54,508,7</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7"/>
              <w:jc w:val="right"/>
              <w:rPr>
                <w:rFonts w:ascii="Times New Roman" w:hAnsi="Times New Roman" w:cs="Times New Roman" w:eastAsia="Times New Roman" w:hint="default"/>
                <w:sz w:val="18"/>
                <w:szCs w:val="18"/>
              </w:rPr>
            </w:pPr>
            <w:r>
              <w:rPr>
                <w:rFonts w:ascii="Times New Roman"/>
                <w:spacing w:val="-1"/>
                <w:sz w:val="18"/>
              </w:rPr>
              <w:t>2,500,15</w:t>
            </w:r>
          </w:p>
        </w:tc>
        <w:tc>
          <w:tcPr>
            <w:tcW w:w="734" w:type="dxa"/>
            <w:vMerge/>
            <w:tcBorders>
              <w:left w:val="single" w:sz="4" w:space="0" w:color="000000"/>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7"/>
              <w:jc w:val="right"/>
              <w:rPr>
                <w:rFonts w:ascii="Times New Roman" w:hAnsi="Times New Roman" w:cs="Times New Roman" w:eastAsia="Times New Roman" w:hint="default"/>
                <w:sz w:val="18"/>
                <w:szCs w:val="18"/>
              </w:rPr>
            </w:pPr>
            <w:r>
              <w:rPr>
                <w:rFonts w:ascii="Times New Roman"/>
                <w:spacing w:val="-1"/>
                <w:sz w:val="18"/>
              </w:rPr>
              <w:t>2,500,15</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7"/>
              <w:jc w:val="right"/>
              <w:rPr>
                <w:rFonts w:ascii="Times New Roman" w:hAnsi="Times New Roman" w:cs="Times New Roman" w:eastAsia="Times New Roman" w:hint="default"/>
                <w:sz w:val="18"/>
                <w:szCs w:val="18"/>
              </w:rPr>
            </w:pPr>
            <w:r>
              <w:rPr>
                <w:rFonts w:ascii="Times New Roman"/>
                <w:spacing w:val="-1"/>
                <w:sz w:val="18"/>
              </w:rPr>
              <w:t>56,017,7</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9"/>
              <w:jc w:val="right"/>
              <w:rPr>
                <w:rFonts w:ascii="Times New Roman" w:hAnsi="Times New Roman" w:cs="Times New Roman" w:eastAsia="Times New Roman" w:hint="default"/>
                <w:sz w:val="18"/>
                <w:szCs w:val="18"/>
              </w:rPr>
            </w:pPr>
            <w:r>
              <w:rPr>
                <w:rFonts w:ascii="Times New Roman"/>
                <w:spacing w:val="-1"/>
                <w:sz w:val="18"/>
              </w:rPr>
              <w:t>774,099.</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7"/>
              <w:jc w:val="right"/>
              <w:rPr>
                <w:rFonts w:ascii="Times New Roman" w:hAnsi="Times New Roman" w:cs="Times New Roman" w:eastAsia="Times New Roman" w:hint="default"/>
                <w:sz w:val="18"/>
                <w:szCs w:val="18"/>
              </w:rPr>
            </w:pPr>
            <w:r>
              <w:rPr>
                <w:rFonts w:ascii="Times New Roman"/>
                <w:spacing w:val="-1"/>
                <w:sz w:val="18"/>
              </w:rPr>
              <w:t>56,791,8</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7"/>
              <w:jc w:val="right"/>
              <w:rPr>
                <w:rFonts w:ascii="Times New Roman" w:hAnsi="Times New Roman" w:cs="Times New Roman" w:eastAsia="Times New Roman" w:hint="default"/>
                <w:sz w:val="18"/>
                <w:szCs w:val="18"/>
              </w:rPr>
            </w:pPr>
            <w:r>
              <w:rPr>
                <w:rFonts w:ascii="Times New Roman"/>
                <w:spacing w:val="-1"/>
                <w:sz w:val="18"/>
              </w:rPr>
              <w:t>3,024,69</w:t>
            </w:r>
          </w:p>
        </w:tc>
        <w:tc>
          <w:tcPr>
            <w:tcW w:w="734" w:type="dxa"/>
            <w:vMerge/>
            <w:tcBorders>
              <w:left w:val="single" w:sz="4" w:space="0" w:color="000000"/>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7"/>
              <w:jc w:val="right"/>
              <w:rPr>
                <w:rFonts w:ascii="Times New Roman" w:hAnsi="Times New Roman" w:cs="Times New Roman" w:eastAsia="Times New Roman" w:hint="default"/>
                <w:sz w:val="18"/>
                <w:szCs w:val="18"/>
              </w:rPr>
            </w:pPr>
            <w:r>
              <w:rPr>
                <w:rFonts w:ascii="Times New Roman"/>
                <w:spacing w:val="-1"/>
                <w:sz w:val="18"/>
              </w:rPr>
              <w:t>3,024,69</w:t>
            </w:r>
          </w:p>
        </w:tc>
      </w:tr>
      <w:tr>
        <w:trPr>
          <w:trHeight w:val="314" w:hRule="exact"/>
        </w:trPr>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4" w:right="0"/>
              <w:jc w:val="left"/>
              <w:rPr>
                <w:rFonts w:ascii="宋体" w:hAnsi="宋体" w:cs="宋体" w:eastAsia="宋体" w:hint="default"/>
                <w:sz w:val="18"/>
                <w:szCs w:val="18"/>
              </w:rPr>
            </w:pPr>
            <w:r>
              <w:rPr>
                <w:rFonts w:ascii="宋体" w:hAnsi="宋体" w:cs="宋体" w:eastAsia="宋体" w:hint="default"/>
                <w:sz w:val="18"/>
                <w:szCs w:val="18"/>
              </w:rPr>
              <w:t>技术有</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81.58</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sz w:val="18"/>
              </w:rPr>
              <w:t>38</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spacing w:val="-1"/>
                <w:sz w:val="18"/>
              </w:rPr>
              <w:t>34.96</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z w:val="18"/>
              </w:rPr>
              <w:t>2.04</w:t>
            </w:r>
          </w:p>
        </w:tc>
        <w:tc>
          <w:tcPr>
            <w:tcW w:w="734" w:type="dxa"/>
            <w:vMerge/>
            <w:tcBorders>
              <w:left w:val="single" w:sz="4" w:space="0" w:color="000000"/>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z w:val="18"/>
              </w:rPr>
              <w:t>2.04</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39.37</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z w:val="18"/>
              </w:rPr>
              <w:t>37</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38.74</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z w:val="18"/>
              </w:rPr>
              <w:t>8.48</w:t>
            </w:r>
          </w:p>
        </w:tc>
        <w:tc>
          <w:tcPr>
            <w:tcW w:w="734" w:type="dxa"/>
            <w:vMerge/>
            <w:tcBorders>
              <w:left w:val="single" w:sz="4" w:space="0" w:color="000000"/>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z w:val="18"/>
              </w:rPr>
              <w:t>8.48</w:t>
            </w:r>
          </w:p>
        </w:tc>
      </w:tr>
      <w:tr>
        <w:trPr>
          <w:trHeight w:val="351" w:hRule="exact"/>
        </w:trPr>
        <w:tc>
          <w:tcPr>
            <w:tcW w:w="73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739"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9" w:type="dxa"/>
            <w:tcBorders>
              <w:top w:val="nil" w:sz="6" w:space="0" w:color="auto"/>
              <w:left w:val="single" w:sz="4" w:space="0" w:color="000000"/>
              <w:bottom w:val="single" w:sz="4" w:space="0" w:color="000000"/>
              <w:right w:val="single" w:sz="4" w:space="0" w:color="000000"/>
            </w:tcBorders>
          </w:tcPr>
          <w:p>
            <w:pPr/>
          </w:p>
        </w:tc>
        <w:tc>
          <w:tcPr>
            <w:tcW w:w="734" w:type="dxa"/>
            <w:vMerge/>
            <w:tcBorders>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9" w:type="dxa"/>
            <w:tcBorders>
              <w:top w:val="nil" w:sz="6" w:space="0" w:color="auto"/>
              <w:left w:val="single" w:sz="4" w:space="0" w:color="000000"/>
              <w:bottom w:val="single" w:sz="4" w:space="0" w:color="000000"/>
              <w:right w:val="single" w:sz="4" w:space="0" w:color="000000"/>
            </w:tcBorders>
          </w:tcPr>
          <w:p>
            <w:pPr/>
          </w:p>
        </w:tc>
        <w:tc>
          <w:tcPr>
            <w:tcW w:w="734" w:type="dxa"/>
            <w:vMerge/>
            <w:tcBorders>
              <w:left w:val="single" w:sz="4" w:space="0" w:color="000000"/>
              <w:bottom w:val="single" w:sz="4" w:space="0" w:color="000000"/>
              <w:right w:val="single" w:sz="4" w:space="0" w:color="000000"/>
            </w:tcBorders>
          </w:tcPr>
          <w:p>
            <w:pPr/>
          </w:p>
        </w:tc>
        <w:tc>
          <w:tcPr>
            <w:tcW w:w="739"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7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北京中</w:t>
            </w:r>
          </w:p>
        </w:tc>
        <w:tc>
          <w:tcPr>
            <w:tcW w:w="739"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9"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9"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9" w:type="dxa"/>
            <w:tcBorders>
              <w:top w:val="single" w:sz="4" w:space="0" w:color="000000"/>
              <w:left w:val="single" w:sz="4" w:space="0" w:color="000000"/>
              <w:bottom w:val="nil" w:sz="6" w:space="0" w:color="auto"/>
              <w:right w:val="single" w:sz="4" w:space="0" w:color="000000"/>
            </w:tcBorders>
          </w:tcPr>
          <w:p>
            <w:pPr/>
          </w:p>
        </w:tc>
      </w:tr>
      <w:tr>
        <w:trPr>
          <w:trHeight w:val="317" w:hRule="exact"/>
        </w:trPr>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4" w:right="0"/>
              <w:jc w:val="left"/>
              <w:rPr>
                <w:rFonts w:ascii="宋体" w:hAnsi="宋体" w:cs="宋体" w:eastAsia="宋体" w:hint="default"/>
                <w:sz w:val="18"/>
                <w:szCs w:val="18"/>
              </w:rPr>
            </w:pPr>
            <w:r>
              <w:rPr>
                <w:rFonts w:ascii="宋体" w:hAnsi="宋体" w:cs="宋体" w:eastAsia="宋体" w:hint="default"/>
                <w:sz w:val="18"/>
                <w:szCs w:val="18"/>
              </w:rPr>
              <w:t>科彩技</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9"/>
              <w:jc w:val="right"/>
              <w:rPr>
                <w:rFonts w:ascii="Times New Roman" w:hAnsi="Times New Roman" w:cs="Times New Roman" w:eastAsia="Times New Roman" w:hint="default"/>
                <w:sz w:val="18"/>
                <w:szCs w:val="18"/>
              </w:rPr>
            </w:pPr>
            <w:r>
              <w:rPr>
                <w:rFonts w:ascii="Times New Roman"/>
                <w:spacing w:val="-1"/>
                <w:sz w:val="18"/>
              </w:rPr>
              <w:t>261,591,</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4"/>
              <w:jc w:val="right"/>
              <w:rPr>
                <w:rFonts w:ascii="Times New Roman" w:hAnsi="Times New Roman" w:cs="Times New Roman" w:eastAsia="Times New Roman" w:hint="default"/>
                <w:sz w:val="18"/>
                <w:szCs w:val="18"/>
              </w:rPr>
            </w:pPr>
            <w:r>
              <w:rPr>
                <w:rFonts w:ascii="Times New Roman"/>
                <w:spacing w:val="-1"/>
                <w:sz w:val="18"/>
              </w:rPr>
              <w:t>176,127,</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4"/>
              <w:jc w:val="right"/>
              <w:rPr>
                <w:rFonts w:ascii="Times New Roman" w:hAnsi="Times New Roman" w:cs="Times New Roman" w:eastAsia="Times New Roman" w:hint="default"/>
                <w:sz w:val="18"/>
                <w:szCs w:val="18"/>
              </w:rPr>
            </w:pPr>
            <w:r>
              <w:rPr>
                <w:rFonts w:ascii="Times New Roman"/>
                <w:spacing w:val="-1"/>
                <w:sz w:val="18"/>
              </w:rPr>
              <w:t>437,718,</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9"/>
              <w:jc w:val="right"/>
              <w:rPr>
                <w:rFonts w:ascii="Times New Roman" w:hAnsi="Times New Roman" w:cs="Times New Roman" w:eastAsia="Times New Roman" w:hint="default"/>
                <w:sz w:val="18"/>
                <w:szCs w:val="18"/>
              </w:rPr>
            </w:pPr>
            <w:r>
              <w:rPr>
                <w:rFonts w:ascii="Times New Roman"/>
                <w:spacing w:val="-1"/>
                <w:sz w:val="18"/>
              </w:rPr>
              <w:t>139,904,</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7"/>
              <w:jc w:val="right"/>
              <w:rPr>
                <w:rFonts w:ascii="Times New Roman" w:hAnsi="Times New Roman" w:cs="Times New Roman" w:eastAsia="Times New Roman" w:hint="default"/>
                <w:sz w:val="18"/>
                <w:szCs w:val="18"/>
              </w:rPr>
            </w:pPr>
            <w:r>
              <w:rPr>
                <w:rFonts w:ascii="Times New Roman"/>
                <w:spacing w:val="-1"/>
                <w:sz w:val="18"/>
              </w:rPr>
              <w:t>91,968,0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9"/>
              <w:jc w:val="right"/>
              <w:rPr>
                <w:rFonts w:ascii="Times New Roman" w:hAnsi="Times New Roman" w:cs="Times New Roman" w:eastAsia="Times New Roman" w:hint="default"/>
                <w:sz w:val="18"/>
                <w:szCs w:val="18"/>
              </w:rPr>
            </w:pPr>
            <w:r>
              <w:rPr>
                <w:rFonts w:ascii="Times New Roman"/>
                <w:spacing w:val="-1"/>
                <w:sz w:val="18"/>
              </w:rPr>
              <w:t>231,872,</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9"/>
              <w:jc w:val="right"/>
              <w:rPr>
                <w:rFonts w:ascii="Times New Roman" w:hAnsi="Times New Roman" w:cs="Times New Roman" w:eastAsia="Times New Roman" w:hint="default"/>
                <w:sz w:val="18"/>
                <w:szCs w:val="18"/>
              </w:rPr>
            </w:pPr>
            <w:r>
              <w:rPr>
                <w:rFonts w:ascii="Times New Roman"/>
                <w:spacing w:val="-1"/>
                <w:sz w:val="18"/>
              </w:rPr>
              <w:t>213,227,</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9"/>
              <w:jc w:val="right"/>
              <w:rPr>
                <w:rFonts w:ascii="Times New Roman" w:hAnsi="Times New Roman" w:cs="Times New Roman" w:eastAsia="Times New Roman" w:hint="default"/>
                <w:sz w:val="18"/>
                <w:szCs w:val="18"/>
              </w:rPr>
            </w:pPr>
            <w:r>
              <w:rPr>
                <w:rFonts w:ascii="Times New Roman"/>
                <w:spacing w:val="-1"/>
                <w:sz w:val="18"/>
              </w:rPr>
              <w:t>202,060,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9"/>
              <w:jc w:val="right"/>
              <w:rPr>
                <w:rFonts w:ascii="Times New Roman" w:hAnsi="Times New Roman" w:cs="Times New Roman" w:eastAsia="Times New Roman" w:hint="default"/>
                <w:sz w:val="18"/>
                <w:szCs w:val="18"/>
              </w:rPr>
            </w:pPr>
            <w:r>
              <w:rPr>
                <w:rFonts w:ascii="Times New Roman"/>
                <w:spacing w:val="-1"/>
                <w:sz w:val="18"/>
              </w:rPr>
              <w:t>415,287,</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7"/>
              <w:jc w:val="right"/>
              <w:rPr>
                <w:rFonts w:ascii="Times New Roman" w:hAnsi="Times New Roman" w:cs="Times New Roman" w:eastAsia="Times New Roman" w:hint="default"/>
                <w:sz w:val="18"/>
                <w:szCs w:val="18"/>
              </w:rPr>
            </w:pPr>
            <w:r>
              <w:rPr>
                <w:rFonts w:ascii="Times New Roman"/>
                <w:spacing w:val="-1"/>
                <w:sz w:val="18"/>
              </w:rPr>
              <w:t>61,018,8</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2"/>
              <w:jc w:val="right"/>
              <w:rPr>
                <w:rFonts w:ascii="Times New Roman" w:hAnsi="Times New Roman" w:cs="Times New Roman" w:eastAsia="Times New Roman" w:hint="default"/>
                <w:sz w:val="18"/>
                <w:szCs w:val="18"/>
              </w:rPr>
            </w:pPr>
            <w:r>
              <w:rPr>
                <w:rFonts w:ascii="Times New Roman"/>
                <w:spacing w:val="-1"/>
                <w:sz w:val="18"/>
              </w:rPr>
              <w:t>89,601,1</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9"/>
              <w:jc w:val="right"/>
              <w:rPr>
                <w:rFonts w:ascii="Times New Roman" w:hAnsi="Times New Roman" w:cs="Times New Roman" w:eastAsia="Times New Roman" w:hint="default"/>
                <w:sz w:val="18"/>
                <w:szCs w:val="18"/>
              </w:rPr>
            </w:pPr>
            <w:r>
              <w:rPr>
                <w:rFonts w:ascii="Times New Roman"/>
                <w:spacing w:val="-1"/>
                <w:sz w:val="18"/>
              </w:rPr>
              <w:t>150,619,</w:t>
            </w:r>
          </w:p>
        </w:tc>
      </w:tr>
      <w:tr>
        <w:trPr>
          <w:trHeight w:val="314" w:hRule="exact"/>
        </w:trPr>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4" w:right="0"/>
              <w:jc w:val="left"/>
              <w:rPr>
                <w:rFonts w:ascii="宋体" w:hAnsi="宋体" w:cs="宋体" w:eastAsia="宋体" w:hint="default"/>
                <w:sz w:val="18"/>
                <w:szCs w:val="18"/>
              </w:rPr>
            </w:pPr>
            <w:r>
              <w:rPr>
                <w:rFonts w:ascii="宋体" w:hAnsi="宋体" w:cs="宋体" w:eastAsia="宋体" w:hint="default"/>
                <w:sz w:val="18"/>
                <w:szCs w:val="18"/>
              </w:rPr>
              <w:t>术有限</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236.08</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spacing w:val="-1"/>
                <w:sz w:val="18"/>
              </w:rPr>
              <w:t>390.29</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spacing w:val="-1"/>
                <w:sz w:val="18"/>
              </w:rPr>
              <w:t>626.37</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204.37</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27.43</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231.80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108.61</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212.31</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320.92</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35.84</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7"/>
              <w:jc w:val="right"/>
              <w:rPr>
                <w:rFonts w:ascii="Times New Roman" w:hAnsi="Times New Roman" w:cs="Times New Roman" w:eastAsia="Times New Roman" w:hint="default"/>
                <w:sz w:val="18"/>
                <w:szCs w:val="18"/>
              </w:rPr>
            </w:pPr>
            <w:r>
              <w:rPr>
                <w:rFonts w:ascii="Times New Roman"/>
                <w:spacing w:val="-1"/>
                <w:sz w:val="18"/>
              </w:rPr>
              <w:t>55.25</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991.09</w:t>
            </w:r>
          </w:p>
        </w:tc>
      </w:tr>
      <w:tr>
        <w:trPr>
          <w:trHeight w:val="346" w:hRule="exact"/>
        </w:trPr>
        <w:tc>
          <w:tcPr>
            <w:tcW w:w="73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4"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39"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9"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9"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9" w:type="dxa"/>
            <w:tcBorders>
              <w:top w:val="nil" w:sz="6" w:space="0" w:color="auto"/>
              <w:left w:val="single" w:sz="4" w:space="0" w:color="000000"/>
              <w:bottom w:val="single" w:sz="4" w:space="0" w:color="000000"/>
              <w:right w:val="single" w:sz="4" w:space="0" w:color="000000"/>
            </w:tcBorders>
          </w:tcPr>
          <w:p>
            <w:pPr/>
          </w:p>
        </w:tc>
      </w:tr>
    </w:tbl>
    <w:p>
      <w:pPr>
        <w:spacing w:before="53"/>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061"/>
        <w:gridCol w:w="1061"/>
        <w:gridCol w:w="1061"/>
        <w:gridCol w:w="1066"/>
        <w:gridCol w:w="1066"/>
        <w:gridCol w:w="1066"/>
        <w:gridCol w:w="1061"/>
        <w:gridCol w:w="1061"/>
        <w:gridCol w:w="1070"/>
      </w:tblGrid>
      <w:tr>
        <w:trPr>
          <w:trHeight w:val="404" w:hRule="exact"/>
        </w:trPr>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72"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4253"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4258"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5" w:hRule="exact"/>
        </w:trPr>
        <w:tc>
          <w:tcPr>
            <w:tcW w:w="1061" w:type="dxa"/>
            <w:vMerge/>
            <w:tcBorders>
              <w:left w:val="single" w:sz="4" w:space="0" w:color="000000"/>
              <w:bottom w:val="single" w:sz="4" w:space="0" w:color="000000"/>
              <w:right w:val="single" w:sz="4" w:space="0" w:color="000000"/>
            </w:tcBorders>
            <w:shd w:val="clear" w:color="auto" w:fill="D2D2D2"/>
          </w:tcPr>
          <w:p>
            <w:pP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净利润</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436" w:right="74" w:hanging="360"/>
              <w:jc w:val="left"/>
              <w:rPr>
                <w:rFonts w:ascii="宋体" w:hAnsi="宋体" w:cs="宋体" w:eastAsia="宋体" w:hint="default"/>
                <w:sz w:val="18"/>
                <w:szCs w:val="18"/>
              </w:rPr>
            </w:pPr>
            <w:r>
              <w:rPr>
                <w:rFonts w:ascii="宋体" w:hAnsi="宋体" w:cs="宋体" w:eastAsia="宋体" w:hint="default"/>
                <w:spacing w:val="-2"/>
                <w:sz w:val="18"/>
                <w:szCs w:val="18"/>
              </w:rPr>
              <w:t>综合收益总</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54" w:right="74" w:hanging="178"/>
              <w:jc w:val="left"/>
              <w:rPr>
                <w:rFonts w:ascii="宋体" w:hAnsi="宋体" w:cs="宋体" w:eastAsia="宋体" w:hint="default"/>
                <w:sz w:val="18"/>
                <w:szCs w:val="18"/>
              </w:rPr>
            </w:pPr>
            <w:r>
              <w:rPr>
                <w:rFonts w:ascii="宋体" w:hAnsi="宋体" w:cs="宋体" w:eastAsia="宋体" w:hint="default"/>
                <w:spacing w:val="-2"/>
                <w:sz w:val="18"/>
                <w:szCs w:val="18"/>
              </w:rPr>
              <w:t>经营活动现</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金流量</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净利润</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436" w:right="70" w:hanging="360"/>
              <w:jc w:val="left"/>
              <w:rPr>
                <w:rFonts w:ascii="宋体" w:hAnsi="宋体" w:cs="宋体" w:eastAsia="宋体" w:hint="default"/>
                <w:sz w:val="18"/>
                <w:szCs w:val="18"/>
              </w:rPr>
            </w:pPr>
            <w:r>
              <w:rPr>
                <w:rFonts w:ascii="宋体" w:hAnsi="宋体" w:cs="宋体" w:eastAsia="宋体" w:hint="default"/>
                <w:spacing w:val="-2"/>
                <w:sz w:val="18"/>
                <w:szCs w:val="18"/>
              </w:rPr>
              <w:t>综合收益总</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额</w:t>
            </w:r>
          </w:p>
        </w:tc>
        <w:tc>
          <w:tcPr>
            <w:tcW w:w="1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54" w:right="79" w:hanging="178"/>
              <w:jc w:val="left"/>
              <w:rPr>
                <w:rFonts w:ascii="宋体" w:hAnsi="宋体" w:cs="宋体" w:eastAsia="宋体" w:hint="default"/>
                <w:sz w:val="18"/>
                <w:szCs w:val="18"/>
              </w:rPr>
            </w:pPr>
            <w:r>
              <w:rPr>
                <w:rFonts w:ascii="宋体" w:hAnsi="宋体" w:cs="宋体" w:eastAsia="宋体" w:hint="default"/>
                <w:spacing w:val="-2"/>
                <w:sz w:val="18"/>
                <w:szCs w:val="18"/>
              </w:rPr>
              <w:t>经营活动现</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金流量</w:t>
            </w:r>
          </w:p>
        </w:tc>
      </w:tr>
      <w:tr>
        <w:trPr>
          <w:trHeight w:val="1022"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22"/>
              <w:jc w:val="both"/>
              <w:rPr>
                <w:rFonts w:ascii="宋体" w:hAnsi="宋体" w:cs="宋体" w:eastAsia="宋体" w:hint="default"/>
                <w:sz w:val="18"/>
                <w:szCs w:val="18"/>
              </w:rPr>
            </w:pPr>
            <w:r>
              <w:rPr>
                <w:rFonts w:ascii="宋体" w:hAnsi="宋体" w:cs="宋体" w:eastAsia="宋体" w:hint="default"/>
                <w:spacing w:val="-2"/>
                <w:sz w:val="18"/>
                <w:szCs w:val="18"/>
              </w:rPr>
              <w:t>无锡双龙信</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息纸有限公</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133,971,672.</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71</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20,567,483.1</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w w:val="101"/>
                <w:sz w:val="18"/>
              </w:rPr>
              <w:t>9</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20,567,483.1</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9</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57" w:right="0"/>
              <w:jc w:val="center"/>
              <w:rPr>
                <w:rFonts w:ascii="Times New Roman" w:hAnsi="Times New Roman" w:cs="Times New Roman" w:eastAsia="Times New Roman" w:hint="default"/>
                <w:sz w:val="18"/>
                <w:szCs w:val="18"/>
              </w:rPr>
            </w:pPr>
            <w:r>
              <w:rPr>
                <w:rFonts w:ascii="Times New Roman"/>
                <w:sz w:val="18"/>
              </w:rPr>
              <w:t>2,094,362.10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130,905,388.</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04</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20,136,028.5</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20,136,028.5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w w:val="101"/>
                <w:sz w:val="18"/>
              </w:rPr>
              <w:t>8</w:t>
            </w:r>
            <w:r>
              <w:rPr>
                <w:rFonts w:ascii="Times New Roman"/>
                <w:sz w:val="18"/>
              </w:rPr>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41,583,073.3</w:t>
            </w:r>
          </w:p>
          <w:p>
            <w:pPr>
              <w:pStyle w:val="TableParagraph"/>
              <w:spacing w:line="240" w:lineRule="auto" w:before="105"/>
              <w:ind w:right="26"/>
              <w:jc w:val="right"/>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r>
      <w:tr>
        <w:trPr>
          <w:trHeight w:val="1027"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24" w:right="122"/>
              <w:jc w:val="both"/>
              <w:rPr>
                <w:rFonts w:ascii="宋体" w:hAnsi="宋体" w:cs="宋体" w:eastAsia="宋体" w:hint="default"/>
                <w:sz w:val="18"/>
                <w:szCs w:val="18"/>
              </w:rPr>
            </w:pPr>
            <w:r>
              <w:rPr>
                <w:rFonts w:ascii="宋体" w:hAnsi="宋体" w:cs="宋体" w:eastAsia="宋体" w:hint="default"/>
                <w:spacing w:val="-2"/>
                <w:sz w:val="18"/>
                <w:szCs w:val="18"/>
              </w:rPr>
              <w:t>广州彩创网</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络技术有限</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16,053,732.9</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-1,758,557.34</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-1,758,557.34</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-3,206,176.00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65,795,242.4</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52" w:right="0"/>
              <w:jc w:val="center"/>
              <w:rPr>
                <w:rFonts w:ascii="Times New Roman" w:hAnsi="Times New Roman" w:cs="Times New Roman" w:eastAsia="Times New Roman" w:hint="default"/>
                <w:sz w:val="18"/>
                <w:szCs w:val="18"/>
              </w:rPr>
            </w:pPr>
            <w:r>
              <w:rPr>
                <w:rFonts w:ascii="Times New Roman"/>
                <w:sz w:val="18"/>
              </w:rPr>
              <w:t>2,620,836.72</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2,620,836.72</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1,834,818.15</w:t>
            </w:r>
          </w:p>
        </w:tc>
      </w:tr>
      <w:tr>
        <w:trPr>
          <w:trHeight w:val="1027"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22"/>
              <w:jc w:val="both"/>
              <w:rPr>
                <w:rFonts w:ascii="宋体" w:hAnsi="宋体" w:cs="宋体" w:eastAsia="宋体" w:hint="default"/>
                <w:sz w:val="18"/>
                <w:szCs w:val="18"/>
              </w:rPr>
            </w:pPr>
            <w:r>
              <w:rPr>
                <w:rFonts w:ascii="宋体" w:hAnsi="宋体" w:cs="宋体" w:eastAsia="宋体" w:hint="default"/>
                <w:spacing w:val="-2"/>
                <w:sz w:val="18"/>
                <w:szCs w:val="18"/>
              </w:rPr>
              <w:t>北京中科彩</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技术有限公</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229,201,333.</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95</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38,900,063.9</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38,900,063.9</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27,730,467.4</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6</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271,256,623.</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45</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74,013,907.5</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74,013,907.5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2"/>
                <w:sz w:val="18"/>
              </w:rPr>
              <w:t>110,410,487.</w:t>
            </w:r>
          </w:p>
          <w:p>
            <w:pPr>
              <w:pStyle w:val="TableParagraph"/>
              <w:spacing w:line="240" w:lineRule="auto" w:before="105"/>
              <w:ind w:right="26"/>
              <w:jc w:val="right"/>
              <w:rPr>
                <w:rFonts w:ascii="Times New Roman" w:hAnsi="Times New Roman" w:cs="Times New Roman" w:eastAsia="Times New Roman" w:hint="default"/>
                <w:sz w:val="18"/>
                <w:szCs w:val="18"/>
              </w:rPr>
            </w:pPr>
            <w:r>
              <w:rPr>
                <w:rFonts w:ascii="Times New Roman"/>
                <w:sz w:val="18"/>
              </w:rPr>
              <w:t>37</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4</w:t>
      </w:r>
      <w:r>
        <w:rPr/>
        <w:t>）使用企业集团资产和清偿企业集团债务的重大限制</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5</w:t>
      </w:r>
      <w:r>
        <w:rPr/>
        <w:t>）向纳入合并财务报表范围的结构化主体提供的财务支持或其他支持</w:t>
      </w:r>
      <w:r>
        <w:rPr>
          <w:b w:val="0"/>
          <w:bCs w:val="0"/>
        </w:rPr>
      </w:r>
    </w:p>
    <w:p>
      <w:pPr>
        <w:spacing w:line="240" w:lineRule="auto" w:before="10"/>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Heading4"/>
        <w:spacing w:line="335" w:lineRule="exact"/>
        <w:ind w:right="0"/>
        <w:jc w:val="left"/>
        <w:rPr>
          <w:b w:val="0"/>
          <w:bCs w:val="0"/>
        </w:rPr>
      </w:pPr>
      <w:r>
        <w:rPr>
          <w:rFonts w:ascii="Times New Roman" w:hAnsi="Times New Roman" w:cs="Times New Roman" w:eastAsia="Times New Roman" w:hint="default"/>
        </w:rPr>
        <w:t>2</w:t>
      </w:r>
      <w:r>
        <w:rPr/>
        <w:t>、在子公司的所有者权益份额发生变化且仍控制子公司的交易</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）在子公司所有者权益份额发生变化的情况说明</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）交易对于少数股东权益及归属于母公司所有者权益的影响</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p>
      <w:pPr>
        <w:spacing w:line="417" w:lineRule="exact"/>
        <w:ind w:left="148"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8pt;height:20.9pt;mso-position-horizontal-relative:char;mso-position-vertical-relative:line" coordorigin="0,0" coordsize="9576,418">
            <v:group style="position:absolute;left:22;top:14;width:2;height:389" coordorigin="22,14" coordsize="2,389">
              <v:shape style="position:absolute;left:22;top:14;width:2;height:389" coordorigin="22,14" coordsize="0,389" path="m22,14l22,403e" filled="false" stroked="true" strokeweight="1.2pt" strokecolor="#d2d2d2">
                <v:path arrowok="t"/>
              </v:shape>
            </v:group>
            <v:group style="position:absolute;left:4774;top:14;width:2;height:389" coordorigin="4774,14" coordsize="2,389">
              <v:shape style="position:absolute;left:4774;top:14;width:2;height:389" coordorigin="4774,14" coordsize="0,389" path="m4774,14l4774,403e" filled="false" stroked="true" strokeweight="1.2pt" strokecolor="#d2d2d2">
                <v:path arrowok="t"/>
              </v:shape>
            </v:group>
            <v:group style="position:absolute;left:34;top:14;width:4728;height:389" coordorigin="34,14" coordsize="4728,389">
              <v:shape style="position:absolute;left:34;top:14;width:4728;height:389" coordorigin="34,14" coordsize="4728,389" path="m34,403l4762,403,4762,14,34,14,34,403xe" filled="true" fillcolor="#d2d2d2" stroked="false">
                <v:path arrowok="t"/>
                <v:fill type="solid"/>
              </v:shape>
            </v:group>
            <v:group style="position:absolute;left:4807;top:14;width:2;height:389" coordorigin="4807,14" coordsize="2,389">
              <v:shape style="position:absolute;left:4807;top:14;width:2;height:389" coordorigin="4807,14" coordsize="0,389" path="m4807,14l4807,403e" filled="false" stroked="true" strokeweight="1.2pt" strokecolor="#e0ffff">
                <v:path arrowok="t"/>
              </v:shape>
            </v:group>
            <v:group style="position:absolute;left:9557;top:14;width:2;height:389" coordorigin="9557,14" coordsize="2,389">
              <v:shape style="position:absolute;left:9557;top:14;width:2;height:389" coordorigin="9557,14" coordsize="0,389" path="m9557,14l9557,403e" filled="false" stroked="true" strokeweight=".96pt" strokecolor="#e0ffff">
                <v:path arrowok="t"/>
              </v:shape>
            </v:group>
            <v:group style="position:absolute;left:4819;top:14;width:4728;height:389" coordorigin="4819,14" coordsize="4728,389">
              <v:shape style="position:absolute;left:4819;top:14;width:4728;height:389" coordorigin="4819,14" coordsize="4728,389" path="m4819,403l9547,403,9547,14,4819,14,4819,403xe" filled="true" fillcolor="#e0ffff" stroked="false">
                <v:path arrowok="t"/>
                <v:fill type="solid"/>
              </v:shape>
            </v:group>
            <v:group style="position:absolute;left:10;top:10;width:4776;height:2" coordorigin="10,10" coordsize="4776,2">
              <v:shape style="position:absolute;left:10;top:10;width:4776;height:2" coordorigin="10,10" coordsize="4776,0" path="m10,10l4786,10e" filled="false" stroked="true" strokeweight=".48pt" strokecolor="#000000">
                <v:path arrowok="t"/>
              </v:shape>
            </v:group>
            <v:group style="position:absolute;left:4795;top:10;width:4772;height:2" coordorigin="4795,10" coordsize="4772,2">
              <v:shape style="position:absolute;left:4795;top:10;width:4772;height:2" coordorigin="4795,10" coordsize="4772,0" path="m4795,10l9566,10e" filled="false" stroked="true" strokeweight=".48pt" strokecolor="#000000">
                <v:path arrowok="t"/>
              </v:shape>
            </v:group>
            <v:group style="position:absolute;left:5;top:5;width:2;height:408" coordorigin="5,5" coordsize="2,408">
              <v:shape style="position:absolute;left:5;top:5;width:2;height:408" coordorigin="5,5" coordsize="0,408" path="m5,5l5,413e" filled="false" stroked="true" strokeweight=".48pt" strokecolor="#000000">
                <v:path arrowok="t"/>
              </v:shape>
            </v:group>
            <v:group style="position:absolute;left:10;top:408;width:4776;height:2" coordorigin="10,408" coordsize="4776,2">
              <v:shape style="position:absolute;left:10;top:408;width:4776;height:2" coordorigin="10,408" coordsize="4776,0" path="m10,408l4786,408e" filled="false" stroked="true" strokeweight=".48pt" strokecolor="#000000">
                <v:path arrowok="t"/>
              </v:shape>
            </v:group>
            <v:group style="position:absolute;left:4790;top:5;width:2;height:408" coordorigin="4790,5" coordsize="2,408">
              <v:shape style="position:absolute;left:4790;top:5;width:2;height:408" coordorigin="4790,5" coordsize="0,408" path="m4790,5l4790,413e" filled="false" stroked="true" strokeweight=".48pt" strokecolor="#000000">
                <v:path arrowok="t"/>
              </v:shape>
            </v:group>
            <v:group style="position:absolute;left:4795;top:408;width:4772;height:2" coordorigin="4795,408" coordsize="4772,2">
              <v:shape style="position:absolute;left:4795;top:408;width:4772;height:2" coordorigin="4795,408" coordsize="4772,0" path="m4795,408l9566,408e" filled="false" stroked="true" strokeweight=".48pt" strokecolor="#000000">
                <v:path arrowok="t"/>
              </v:shape>
            </v:group>
            <v:group style="position:absolute;left:9571;top:5;width:2;height:408" coordorigin="9571,5" coordsize="2,408">
              <v:shape style="position:absolute;left:9571;top:5;width:2;height:408" coordorigin="9571,5" coordsize="0,408" path="m9571,5l9571,413e" filled="false" stroked="true" strokeweight=".48pt" strokecolor="#000000">
                <v:path arrowok="t"/>
              </v:shape>
            </v:group>
          </v:group>
        </w:pict>
      </w:r>
      <w:r>
        <w:rPr>
          <w:rFonts w:ascii="宋体" w:hAnsi="宋体" w:cs="宋体" w:eastAsia="宋体" w:hint="default"/>
          <w:position w:val="-7"/>
          <w:sz w:val="20"/>
          <w:szCs w:val="20"/>
        </w:rPr>
      </w:r>
    </w:p>
    <w:p>
      <w:pPr>
        <w:spacing w:before="49"/>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3</w:t>
      </w:r>
      <w:r>
        <w:rPr/>
        <w:t>、在合营安排或联营企业中的权益</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）重要的合营企业或联营企业</w:t>
      </w:r>
      <w:r>
        <w:rPr>
          <w:b w:val="0"/>
          <w:bCs w:val="0"/>
        </w:rPr>
      </w:r>
    </w:p>
    <w:p>
      <w:pPr>
        <w:spacing w:line="240" w:lineRule="auto" w:before="17"/>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1373"/>
        <w:gridCol w:w="1363"/>
        <w:gridCol w:w="1368"/>
        <w:gridCol w:w="1368"/>
        <w:gridCol w:w="1368"/>
        <w:gridCol w:w="1363"/>
        <w:gridCol w:w="1368"/>
      </w:tblGrid>
      <w:tr>
        <w:trPr>
          <w:trHeight w:val="403" w:hRule="exact"/>
        </w:trPr>
        <w:tc>
          <w:tcPr>
            <w:tcW w:w="137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Microsoft JhengHei" w:hAnsi="Microsoft JhengHei" w:cs="Microsoft JhengHei" w:eastAsia="Microsoft JhengHei" w:hint="default"/>
                <w:b/>
                <w:bCs/>
                <w:sz w:val="11"/>
                <w:szCs w:val="11"/>
              </w:rPr>
            </w:pPr>
          </w:p>
          <w:p>
            <w:pPr>
              <w:pStyle w:val="TableParagraph"/>
              <w:spacing w:line="316" w:lineRule="auto"/>
              <w:ind w:left="316" w:right="46" w:hanging="264"/>
              <w:jc w:val="left"/>
              <w:rPr>
                <w:rFonts w:ascii="宋体" w:hAnsi="宋体" w:cs="宋体" w:eastAsia="宋体" w:hint="default"/>
                <w:sz w:val="18"/>
                <w:szCs w:val="18"/>
              </w:rPr>
            </w:pPr>
            <w:r>
              <w:rPr>
                <w:rFonts w:ascii="宋体" w:hAnsi="宋体" w:cs="宋体" w:eastAsia="宋体" w:hint="default"/>
                <w:spacing w:val="-3"/>
                <w:sz w:val="18"/>
                <w:szCs w:val="18"/>
              </w:rPr>
              <w:t>合营企业或联营</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企业名称</w:t>
            </w:r>
          </w:p>
        </w:tc>
        <w:tc>
          <w:tcPr>
            <w:tcW w:w="13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Microsoft JhengHei" w:hAnsi="Microsoft JhengHei" w:cs="Microsoft JhengHei" w:eastAsia="Microsoft JhengHei" w:hint="default"/>
                <w:b/>
                <w:bCs/>
                <w:sz w:val="20"/>
                <w:szCs w:val="20"/>
              </w:rPr>
            </w:pPr>
          </w:p>
          <w:p>
            <w:pPr>
              <w:pStyle w:val="TableParagraph"/>
              <w:spacing w:line="240" w:lineRule="auto"/>
              <w:ind w:left="220"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Microsoft JhengHei" w:hAnsi="Microsoft JhengHei" w:cs="Microsoft JhengHei" w:eastAsia="Microsoft JhengHei" w:hint="default"/>
                <w:b/>
                <w:bCs/>
                <w:sz w:val="20"/>
                <w:szCs w:val="20"/>
              </w:rPr>
            </w:pPr>
          </w:p>
          <w:p>
            <w:pPr>
              <w:pStyle w:val="TableParagraph"/>
              <w:spacing w:line="240" w:lineRule="auto"/>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Microsoft JhengHei" w:hAnsi="Microsoft JhengHei" w:cs="Microsoft JhengHei" w:eastAsia="Microsoft JhengHei" w:hint="default"/>
                <w:b/>
                <w:bCs/>
                <w:sz w:val="20"/>
                <w:szCs w:val="20"/>
              </w:rPr>
            </w:pPr>
          </w:p>
          <w:p>
            <w:pPr>
              <w:pStyle w:val="TableParagraph"/>
              <w:spacing w:line="240" w:lineRule="auto"/>
              <w:ind w:left="316"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47" w:right="46"/>
              <w:jc w:val="center"/>
              <w:rPr>
                <w:rFonts w:ascii="宋体" w:hAnsi="宋体" w:cs="宋体" w:eastAsia="宋体" w:hint="default"/>
                <w:sz w:val="18"/>
                <w:szCs w:val="18"/>
              </w:rPr>
            </w:pPr>
            <w:r>
              <w:rPr>
                <w:rFonts w:ascii="宋体" w:hAnsi="宋体" w:cs="宋体" w:eastAsia="宋体" w:hint="default"/>
                <w:spacing w:val="-3"/>
                <w:sz w:val="18"/>
                <w:szCs w:val="18"/>
              </w:rPr>
              <w:t>对合营企业或联</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3"/>
                <w:sz w:val="18"/>
                <w:szCs w:val="18"/>
              </w:rPr>
              <w:t>营企业投资的会</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计处理方法</w:t>
            </w:r>
          </w:p>
        </w:tc>
      </w:tr>
      <w:tr>
        <w:trPr>
          <w:trHeight w:val="624" w:hRule="exact"/>
        </w:trPr>
        <w:tc>
          <w:tcPr>
            <w:tcW w:w="1373" w:type="dxa"/>
            <w:vMerge/>
            <w:tcBorders>
              <w:left w:val="single" w:sz="4" w:space="0" w:color="000000"/>
              <w:bottom w:val="single" w:sz="4" w:space="0" w:color="000000"/>
              <w:right w:val="single" w:sz="4" w:space="0" w:color="000000"/>
            </w:tcBorders>
            <w:shd w:val="clear" w:color="auto" w:fill="D2D2D2"/>
          </w:tcPr>
          <w:p>
            <w:pPr/>
          </w:p>
        </w:tc>
        <w:tc>
          <w:tcPr>
            <w:tcW w:w="1363"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Microsoft JhengHei" w:hAnsi="Microsoft JhengHei" w:cs="Microsoft JhengHei" w:eastAsia="Microsoft JhengHei" w:hint="default"/>
                <w:b/>
                <w:bCs/>
                <w:sz w:val="9"/>
                <w:szCs w:val="9"/>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直接</w:t>
            </w:r>
          </w:p>
        </w:tc>
        <w:tc>
          <w:tcPr>
            <w:tcW w:w="13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8" w:type="dxa"/>
            <w:vMerge/>
            <w:tcBorders>
              <w:left w:val="single" w:sz="4" w:space="0" w:color="000000"/>
              <w:bottom w:val="single" w:sz="4" w:space="0" w:color="000000"/>
              <w:right w:val="single" w:sz="4" w:space="0" w:color="000000"/>
            </w:tcBorders>
            <w:shd w:val="clear" w:color="auto" w:fill="D2D2D2"/>
          </w:tcPr>
          <w:p>
            <w:pP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在合营企业或联营企业的持股比例不同于表决权比例的说明：</w:t>
      </w:r>
    </w:p>
    <w:p>
      <w:pPr>
        <w:spacing w:before="115"/>
        <w:ind w:left="152" w:right="0" w:firstLine="0"/>
        <w:jc w:val="left"/>
        <w:rPr>
          <w:rFonts w:ascii="宋体" w:hAnsi="宋体" w:cs="宋体" w:eastAsia="宋体" w:hint="default"/>
          <w:sz w:val="18"/>
          <w:szCs w:val="18"/>
        </w:rPr>
      </w:pPr>
      <w:r>
        <w:rPr>
          <w:rFonts w:ascii="宋体" w:hAnsi="宋体" w:cs="宋体" w:eastAsia="宋体" w:hint="default"/>
          <w:sz w:val="18"/>
          <w:szCs w:val="18"/>
        </w:rPr>
        <w:t>持有 </w:t>
      </w:r>
      <w:r>
        <w:rPr>
          <w:rFonts w:ascii="Times New Roman" w:hAnsi="Times New Roman" w:cs="Times New Roman" w:eastAsia="Times New Roman" w:hint="default"/>
          <w:spacing w:val="-3"/>
          <w:sz w:val="18"/>
          <w:szCs w:val="18"/>
        </w:rPr>
        <w:t>20%</w:t>
      </w:r>
      <w:r>
        <w:rPr>
          <w:rFonts w:ascii="宋体" w:hAnsi="宋体" w:cs="宋体" w:eastAsia="宋体" w:hint="default"/>
          <w:spacing w:val="-3"/>
          <w:sz w:val="18"/>
          <w:szCs w:val="18"/>
        </w:rPr>
        <w:t>以下表决权但具有重大影响，或者持有</w:t>
      </w:r>
      <w:r>
        <w:rPr>
          <w:rFonts w:ascii="宋体" w:hAnsi="宋体" w:cs="宋体" w:eastAsia="宋体" w:hint="default"/>
          <w:spacing w:val="32"/>
          <w:sz w:val="18"/>
          <w:szCs w:val="18"/>
        </w:rPr>
        <w:t> </w:t>
      </w:r>
      <w:r>
        <w:rPr>
          <w:rFonts w:ascii="Times New Roman" w:hAnsi="Times New Roman" w:cs="Times New Roman" w:eastAsia="Times New Roman" w:hint="default"/>
          <w:spacing w:val="-3"/>
          <w:sz w:val="18"/>
          <w:szCs w:val="18"/>
        </w:rPr>
        <w:t>20%</w:t>
      </w:r>
      <w:r>
        <w:rPr>
          <w:rFonts w:ascii="宋体" w:hAnsi="宋体" w:cs="宋体" w:eastAsia="宋体" w:hint="default"/>
          <w:spacing w:val="-3"/>
          <w:sz w:val="18"/>
          <w:szCs w:val="18"/>
        </w:rPr>
        <w:t>或以上表决权但不具有重大影响的依据：</w:t>
      </w:r>
    </w:p>
    <w:p>
      <w:pPr>
        <w:spacing w:line="240" w:lineRule="auto" w:before="6"/>
        <w:rPr>
          <w:rFonts w:ascii="宋体" w:hAnsi="宋体" w:cs="宋体" w:eastAsia="宋体" w:hint="default"/>
          <w:sz w:val="20"/>
          <w:szCs w:val="20"/>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）重要合营企业的主要财务信息</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78"/>
        <w:gridCol w:w="3190"/>
        <w:gridCol w:w="3192"/>
      </w:tblGrid>
      <w:tr>
        <w:trPr>
          <w:trHeight w:val="408" w:hRule="exact"/>
        </w:trPr>
        <w:tc>
          <w:tcPr>
            <w:tcW w:w="317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51"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53"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396" w:hRule="exact"/>
        </w:trPr>
        <w:tc>
          <w:tcPr>
            <w:tcW w:w="317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13" w:space="0" w:color="D2D2D2"/>
              <w:bottom w:val="single" w:sz="4" w:space="0" w:color="000000"/>
              <w:right w:val="single" w:sz="4" w:space="0" w:color="000000"/>
            </w:tcBorders>
            <w:shd w:val="clear" w:color="auto" w:fill="E0FFFF"/>
          </w:tcPr>
          <w:p>
            <w:pPr/>
          </w:p>
        </w:tc>
        <w:tc>
          <w:tcPr>
            <w:tcW w:w="3192" w:type="dxa"/>
            <w:tcBorders>
              <w:top w:val="single" w:sz="4" w:space="0" w:color="000000"/>
              <w:left w:val="single" w:sz="4" w:space="0" w:color="000000"/>
              <w:bottom w:val="single" w:sz="4" w:space="0" w:color="000000"/>
              <w:right w:val="single" w:sz="4" w:space="0" w:color="000000"/>
            </w:tcBorders>
            <w:shd w:val="clear" w:color="auto" w:fill="E0FFFF"/>
          </w:tcPr>
          <w:p>
            <w:pPr/>
          </w:p>
        </w:tc>
      </w:tr>
    </w:tbl>
    <w:p>
      <w:pPr>
        <w:spacing w:before="56"/>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3</w:t>
      </w:r>
      <w:r>
        <w:rPr/>
        <w:t>）重要联营企业的主要财务信息</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8"/>
        <w:gridCol w:w="3199"/>
        <w:gridCol w:w="3192"/>
      </w:tblGrid>
      <w:tr>
        <w:trPr>
          <w:trHeight w:val="408"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60"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53"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398"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9" w:type="dxa"/>
            <w:tcBorders>
              <w:top w:val="single" w:sz="4" w:space="0" w:color="000000"/>
              <w:left w:val="single" w:sz="13" w:space="0" w:color="D2D2D2"/>
              <w:bottom w:val="single" w:sz="4" w:space="0" w:color="000000"/>
              <w:right w:val="single" w:sz="4" w:space="0" w:color="000000"/>
            </w:tcBorders>
            <w:shd w:val="clear" w:color="auto" w:fill="E0FFFF"/>
          </w:tcPr>
          <w:p>
            <w:pPr/>
          </w:p>
        </w:tc>
        <w:tc>
          <w:tcPr>
            <w:tcW w:w="3192" w:type="dxa"/>
            <w:tcBorders>
              <w:top w:val="single" w:sz="4" w:space="0" w:color="000000"/>
              <w:left w:val="single" w:sz="4" w:space="0" w:color="000000"/>
              <w:bottom w:val="single" w:sz="4" w:space="0" w:color="000000"/>
              <w:right w:val="single" w:sz="4" w:space="0" w:color="000000"/>
            </w:tcBorders>
            <w:shd w:val="clear" w:color="auto" w:fill="E0FFFF"/>
          </w:tcPr>
          <w:p>
            <w:pP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4</w:t>
      </w:r>
      <w:r>
        <w:rPr/>
        <w:t>）不重要的合营企业和联营企业的汇总财务信息</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326"/>
        <w:gridCol w:w="3058"/>
        <w:gridCol w:w="3187"/>
      </w:tblGrid>
      <w:tr>
        <w:trPr>
          <w:trHeight w:val="403" w:hRule="exact"/>
        </w:trPr>
        <w:tc>
          <w:tcPr>
            <w:tcW w:w="332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7"/>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398" w:hRule="exact"/>
        </w:trPr>
        <w:tc>
          <w:tcPr>
            <w:tcW w:w="33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合营企业：</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w:t>
            </w:r>
          </w:p>
        </w:tc>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3"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33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下列各项按持股比例计算的合计数</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w:t>
            </w:r>
          </w:p>
        </w:tc>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3"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326"/>
        <w:gridCol w:w="3058"/>
        <w:gridCol w:w="3187"/>
      </w:tblGrid>
      <w:tr>
        <w:trPr>
          <w:trHeight w:val="403" w:hRule="exact"/>
        </w:trPr>
        <w:tc>
          <w:tcPr>
            <w:tcW w:w="33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w:t>
            </w:r>
          </w:p>
        </w:tc>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3" w:right="0"/>
              <w:jc w:val="center"/>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33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下列各项按持股比例计算的合计数</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w:t>
            </w:r>
          </w:p>
        </w:tc>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3" w:right="0"/>
              <w:jc w:val="center"/>
              <w:rPr>
                <w:rFonts w:ascii="Times New Roman" w:hAnsi="Times New Roman" w:cs="Times New Roman" w:eastAsia="Times New Roman" w:hint="default"/>
                <w:sz w:val="18"/>
                <w:szCs w:val="18"/>
              </w:rPr>
            </w:pPr>
            <w:r>
              <w:rPr>
                <w:rFonts w:ascii="Times New Roman"/>
                <w:sz w:val="18"/>
              </w:rPr>
              <w:t>--</w:t>
            </w:r>
          </w:p>
        </w:tc>
      </w:tr>
    </w:tbl>
    <w:p>
      <w:pPr>
        <w:spacing w:before="56"/>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5</w:t>
      </w:r>
      <w:r>
        <w:rPr/>
        <w:t>）合营企业或联营企业向本公司转移资金的能力存在重大限制的说明</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6</w:t>
      </w:r>
      <w:r>
        <w:rPr/>
        <w:t>）合营企业或联营企业发生的超额亏损</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0"/>
        <w:gridCol w:w="2390"/>
        <w:gridCol w:w="2395"/>
        <w:gridCol w:w="2390"/>
      </w:tblGrid>
      <w:tr>
        <w:trPr>
          <w:trHeight w:val="715"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pacing w:val="-3"/>
                <w:sz w:val="18"/>
                <w:szCs w:val="18"/>
              </w:rPr>
              <w:t>合营企业或联营企业名称</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99" w:right="103" w:hanging="989"/>
              <w:jc w:val="left"/>
              <w:rPr>
                <w:rFonts w:ascii="宋体" w:hAnsi="宋体" w:cs="宋体" w:eastAsia="宋体" w:hint="default"/>
                <w:sz w:val="18"/>
                <w:szCs w:val="18"/>
              </w:rPr>
            </w:pPr>
            <w:r>
              <w:rPr>
                <w:rFonts w:ascii="宋体" w:hAnsi="宋体" w:cs="宋体" w:eastAsia="宋体" w:hint="default"/>
                <w:spacing w:val="-3"/>
                <w:sz w:val="18"/>
                <w:szCs w:val="18"/>
              </w:rPr>
              <w:t>累积未确认前期累计认的损</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失</w:t>
            </w:r>
          </w:p>
        </w:tc>
        <w:tc>
          <w:tcPr>
            <w:tcW w:w="2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647" w:right="17" w:hanging="624"/>
              <w:jc w:val="left"/>
              <w:rPr>
                <w:rFonts w:ascii="宋体" w:hAnsi="宋体" w:cs="宋体" w:eastAsia="宋体" w:hint="default"/>
                <w:sz w:val="18"/>
                <w:szCs w:val="18"/>
              </w:rPr>
            </w:pPr>
            <w:r>
              <w:rPr>
                <w:rFonts w:ascii="宋体" w:hAnsi="宋体" w:cs="宋体" w:eastAsia="宋体" w:hint="default"/>
                <w:spacing w:val="-3"/>
                <w:sz w:val="18"/>
                <w:szCs w:val="18"/>
              </w:rPr>
              <w:t>本期未确认的损失（或本期分</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享的净利润）</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pacing w:val="-3"/>
                <w:sz w:val="18"/>
                <w:szCs w:val="18"/>
              </w:rPr>
              <w:t>本期末累积未确认的损失</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7</w:t>
      </w:r>
      <w:r>
        <w:rPr/>
        <w:t>）与合营企业投资相关的未确认承诺</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8</w:t>
      </w:r>
      <w:r>
        <w:rPr/>
        <w:t>）与合营企业或联营企业投资相关的或有负债</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rFonts w:ascii="Times New Roman" w:hAnsi="Times New Roman" w:cs="Times New Roman" w:eastAsia="Times New Roman" w:hint="default"/>
        </w:rPr>
        <w:t>4</w:t>
      </w:r>
      <w:r>
        <w:rPr/>
        <w:t>、重要的共同经营</w:t>
      </w:r>
      <w:r>
        <w:rPr>
          <w:b w:val="0"/>
          <w:bCs w:val="0"/>
        </w:rPr>
      </w:r>
    </w:p>
    <w:p>
      <w:pPr>
        <w:spacing w:line="240" w:lineRule="auto" w:before="17"/>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1598"/>
        <w:gridCol w:w="1594"/>
        <w:gridCol w:w="1594"/>
        <w:gridCol w:w="1594"/>
        <w:gridCol w:w="1594"/>
        <w:gridCol w:w="1594"/>
      </w:tblGrid>
      <w:tr>
        <w:trPr>
          <w:trHeight w:val="403" w:hRule="exact"/>
        </w:trPr>
        <w:tc>
          <w:tcPr>
            <w:tcW w:w="15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Microsoft JhengHei" w:hAnsi="Microsoft JhengHei" w:cs="Microsoft JhengHei" w:eastAsia="Microsoft JhengHei" w:hint="default"/>
                <w:b/>
                <w:bCs/>
                <w:sz w:val="14"/>
                <w:szCs w:val="14"/>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共同经营名称</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Microsoft JhengHei" w:hAnsi="Microsoft JhengHei" w:cs="Microsoft JhengHei" w:eastAsia="Microsoft JhengHei" w:hint="default"/>
                <w:b/>
                <w:bCs/>
                <w:sz w:val="14"/>
                <w:szCs w:val="14"/>
              </w:rPr>
            </w:pPr>
          </w:p>
          <w:p>
            <w:pPr>
              <w:pStyle w:val="TableParagraph"/>
              <w:spacing w:line="240" w:lineRule="auto"/>
              <w:ind w:left="340"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Microsoft JhengHei" w:hAnsi="Microsoft JhengHei" w:cs="Microsoft JhengHei" w:eastAsia="Microsoft JhengHei" w:hint="default"/>
                <w:b/>
                <w:bCs/>
                <w:sz w:val="14"/>
                <w:szCs w:val="14"/>
              </w:rPr>
            </w:pPr>
          </w:p>
          <w:p>
            <w:pPr>
              <w:pStyle w:val="TableParagraph"/>
              <w:spacing w:line="240" w:lineRule="auto"/>
              <w:ind w:left="51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Microsoft JhengHei" w:hAnsi="Microsoft JhengHei" w:cs="Microsoft JhengHei" w:eastAsia="Microsoft JhengHei" w:hint="default"/>
                <w:b/>
                <w:bCs/>
                <w:sz w:val="14"/>
                <w:szCs w:val="14"/>
              </w:rPr>
            </w:pPr>
          </w:p>
          <w:p>
            <w:pPr>
              <w:pStyle w:val="TableParagraph"/>
              <w:spacing w:line="240" w:lineRule="auto"/>
              <w:ind w:left="42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318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48"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r>
              <w:rPr>
                <w:rFonts w:ascii="宋体" w:hAnsi="宋体" w:cs="宋体" w:eastAsia="宋体" w:hint="default"/>
                <w:sz w:val="18"/>
                <w:szCs w:val="18"/>
              </w:rPr>
              <w:t>享有的份额</w:t>
            </w:r>
          </w:p>
        </w:tc>
      </w:tr>
      <w:tr>
        <w:trPr>
          <w:trHeight w:val="403" w:hRule="exact"/>
        </w:trPr>
        <w:tc>
          <w:tcPr>
            <w:tcW w:w="1598"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间接</w:t>
            </w:r>
          </w:p>
        </w:tc>
      </w:tr>
    </w:tbl>
    <w:p>
      <w:pPr>
        <w:spacing w:line="362" w:lineRule="auto" w:before="53"/>
        <w:ind w:left="152" w:right="1246" w:firstLine="0"/>
        <w:jc w:val="left"/>
        <w:rPr>
          <w:rFonts w:ascii="宋体" w:hAnsi="宋体" w:cs="宋体" w:eastAsia="宋体" w:hint="default"/>
          <w:sz w:val="18"/>
          <w:szCs w:val="18"/>
        </w:rPr>
      </w:pPr>
      <w:r>
        <w:rPr>
          <w:rFonts w:ascii="宋体" w:hAnsi="宋体" w:cs="宋体" w:eastAsia="宋体" w:hint="default"/>
          <w:spacing w:val="-3"/>
          <w:sz w:val="18"/>
          <w:szCs w:val="18"/>
        </w:rPr>
        <w:t>在共同经营中的持股比例或享有的份额不同于表决权比例的说明：</w:t>
      </w:r>
      <w:r>
        <w:rPr>
          <w:rFonts w:ascii="宋体" w:hAnsi="宋体" w:cs="宋体" w:eastAsia="宋体" w:hint="default"/>
          <w:spacing w:val="-5"/>
          <w:sz w:val="18"/>
          <w:szCs w:val="18"/>
        </w:rPr>
        <w:t> </w:t>
      </w:r>
      <w:r>
        <w:rPr>
          <w:rFonts w:ascii="宋体" w:hAnsi="宋体" w:cs="宋体" w:eastAsia="宋体" w:hint="default"/>
          <w:spacing w:val="-5"/>
          <w:sz w:val="18"/>
          <w:szCs w:val="18"/>
        </w:rPr>
      </w:r>
      <w:r>
        <w:rPr>
          <w:rFonts w:ascii="宋体" w:hAnsi="宋体" w:cs="宋体" w:eastAsia="宋体" w:hint="default"/>
          <w:spacing w:val="-3"/>
          <w:sz w:val="18"/>
          <w:szCs w:val="18"/>
        </w:rPr>
        <w:t>共同经营为单独主体的，分类为共同经营的依据：</w:t>
      </w:r>
    </w:p>
    <w:p>
      <w:pPr>
        <w:spacing w:before="2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5</w:t>
      </w:r>
      <w:r>
        <w:rPr/>
        <w:t>、在未纳入合并财务报表范围的结构化主体中的权益</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未纳入合并财务报表范围的结构化主体的相关说明：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6</w:t>
      </w:r>
      <w:r>
        <w:rPr/>
        <w:t>、其他</w:t>
      </w:r>
      <w:r>
        <w:rPr>
          <w:b w:val="0"/>
          <w:bCs w:val="0"/>
        </w:rPr>
      </w:r>
    </w:p>
    <w:p>
      <w:pPr>
        <w:spacing w:line="240" w:lineRule="auto" w:before="0"/>
        <w:rPr>
          <w:rFonts w:ascii="Microsoft JhengHei" w:hAnsi="Microsoft JhengHei" w:cs="Microsoft JhengHei" w:eastAsia="Microsoft JhengHei" w:hint="default"/>
          <w:b/>
          <w:bCs/>
          <w:sz w:val="12"/>
          <w:szCs w:val="12"/>
        </w:rPr>
      </w:pPr>
    </w:p>
    <w:p>
      <w:pPr>
        <w:pStyle w:val="Heading2"/>
        <w:spacing w:line="240" w:lineRule="auto"/>
        <w:ind w:right="0"/>
        <w:jc w:val="left"/>
        <w:rPr>
          <w:b w:val="0"/>
          <w:bCs w:val="0"/>
        </w:rPr>
      </w:pPr>
      <w:r>
        <w:rPr/>
        <w:t>十、与金融工具相关的风险</w:t>
      </w:r>
      <w:r>
        <w:rPr>
          <w:b w:val="0"/>
          <w:bCs w:val="0"/>
        </w:rPr>
      </w:r>
    </w:p>
    <w:p>
      <w:pPr>
        <w:spacing w:line="240" w:lineRule="auto" w:before="7"/>
        <w:rPr>
          <w:rFonts w:ascii="Microsoft JhengHei" w:hAnsi="Microsoft JhengHei" w:cs="Microsoft JhengHei" w:eastAsia="Microsoft JhengHei" w:hint="default"/>
          <w:b/>
          <w:bCs/>
          <w:sz w:val="17"/>
          <w:szCs w:val="17"/>
        </w:rPr>
      </w:pPr>
    </w:p>
    <w:p>
      <w:pPr>
        <w:pStyle w:val="BodyText"/>
        <w:spacing w:line="273" w:lineRule="auto"/>
        <w:ind w:right="122" w:firstLine="422"/>
        <w:jc w:val="both"/>
      </w:pPr>
      <w:r>
        <w:rPr>
          <w:spacing w:val="-2"/>
        </w:rPr>
        <w:t>本集团的主要金融工具包括货币资金、应收账款、应收票据、可供出售金融资产、应收利息、应收股</w:t>
      </w:r>
      <w:r>
        <w:rPr>
          <w:w w:val="100"/>
        </w:rPr>
        <w:t> </w:t>
      </w:r>
      <w:r>
        <w:rPr>
          <w:spacing w:val="-2"/>
        </w:rPr>
        <w:t>利、其他应收款、其他流动资产、应付账款、应付利息、应付票据、应付股利、其他应付款、短期借款、</w:t>
      </w:r>
      <w:r>
        <w:rPr>
          <w:spacing w:val="-18"/>
        </w:rPr>
        <w:t> </w:t>
      </w:r>
      <w:r>
        <w:rPr>
          <w:spacing w:val="-18"/>
        </w:rPr>
      </w:r>
      <w:r>
        <w:rPr>
          <w:spacing w:val="-2"/>
        </w:rPr>
        <w:t>一年内到期的非流动负债、产期借款。与这些金融工具有关的风险，以及本集团为降低这些风险所采取的</w:t>
      </w:r>
      <w:r>
        <w:rPr>
          <w:spacing w:val="-35"/>
        </w:rPr>
        <w:t> </w:t>
      </w:r>
      <w:r>
        <w:rPr>
          <w:spacing w:val="-35"/>
        </w:rPr>
      </w:r>
      <w:r>
        <w:rPr>
          <w:spacing w:val="-2"/>
        </w:rPr>
        <w:t>风险管理政策如下所述。本集团管理层对这些风险敞口进行管理和监控以确保将上述风险控制在限定的范</w:t>
      </w:r>
      <w:r>
        <w:rPr>
          <w:spacing w:val="-34"/>
        </w:rPr>
        <w:t> </w:t>
      </w:r>
      <w:r>
        <w:rPr>
          <w:spacing w:val="-34"/>
        </w:rPr>
      </w:r>
      <w:r>
        <w:rPr/>
        <w:t>围之内。</w:t>
      </w:r>
    </w:p>
    <w:p>
      <w:pPr>
        <w:pStyle w:val="BodyText"/>
        <w:spacing w:line="528" w:lineRule="exact" w:before="46"/>
        <w:ind w:left="575" w:right="0"/>
        <w:jc w:val="left"/>
      </w:pPr>
      <w:r>
        <w:rPr/>
        <w:t>1、风险管理目标和政策</w:t>
      </w:r>
      <w:r>
        <w:rPr>
          <w:spacing w:val="-103"/>
        </w:rPr>
        <w:t> </w:t>
      </w:r>
      <w:r>
        <w:rPr>
          <w:spacing w:val="-103"/>
        </w:rPr>
      </w:r>
      <w:r>
        <w:rPr>
          <w:spacing w:val="-2"/>
        </w:rPr>
        <w:t>本集团从事风险管理的目标是在风险和收益之间取得适当的平衡，力求降低金融风险对本集团财务业</w:t>
      </w:r>
    </w:p>
    <w:p>
      <w:pPr>
        <w:pStyle w:val="BodyText"/>
        <w:spacing w:line="236" w:lineRule="exact"/>
        <w:ind w:right="0"/>
        <w:jc w:val="left"/>
      </w:pPr>
      <w:r>
        <w:rPr/>
        <w:t>绩的不利影响。基于该风险管理目标，本集团已制定风险管理政策以辨别和分析本集团所面临的风险，设</w:t>
      </w:r>
    </w:p>
    <w:p>
      <w:pPr>
        <w:spacing w:after="0" w:line="236" w:lineRule="exact"/>
        <w:jc w:val="left"/>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BodyText"/>
        <w:spacing w:line="273" w:lineRule="auto" w:before="36"/>
        <w:ind w:right="202"/>
        <w:jc w:val="both"/>
      </w:pPr>
      <w:r>
        <w:rPr>
          <w:spacing w:val="-2"/>
        </w:rPr>
        <w:t>定适当的风险可接受水平并设计相应的内部控制程序，以监控本集团的风险水平。本集团会定期审阅这些</w:t>
      </w:r>
      <w:r>
        <w:rPr>
          <w:spacing w:val="-35"/>
        </w:rPr>
        <w:t> </w:t>
      </w:r>
      <w:r>
        <w:rPr>
          <w:spacing w:val="-35"/>
        </w:rPr>
      </w:r>
      <w:r>
        <w:rPr>
          <w:spacing w:val="-2"/>
        </w:rPr>
        <w:t>风险管理政策及有关内部控制系统，以适应市场情况或本集团经营活动的改变。本集团的内部审计部门也</w:t>
      </w:r>
      <w:r>
        <w:rPr>
          <w:spacing w:val="-35"/>
        </w:rPr>
        <w:t> </w:t>
      </w:r>
      <w:r>
        <w:rPr>
          <w:spacing w:val="-35"/>
        </w:rPr>
      </w:r>
      <w:r>
        <w:rPr/>
        <w:t>定期或随机检查内部控制系统的执行是否符合风险管理政策。</w:t>
      </w:r>
    </w:p>
    <w:p>
      <w:pPr>
        <w:spacing w:line="240" w:lineRule="auto" w:before="1"/>
        <w:rPr>
          <w:rFonts w:ascii="宋体" w:hAnsi="宋体" w:cs="宋体" w:eastAsia="宋体" w:hint="default"/>
          <w:sz w:val="17"/>
          <w:szCs w:val="17"/>
        </w:rPr>
      </w:pPr>
    </w:p>
    <w:p>
      <w:pPr>
        <w:pStyle w:val="BodyText"/>
        <w:spacing w:line="273" w:lineRule="auto"/>
        <w:ind w:right="202" w:firstLine="422"/>
        <w:jc w:val="both"/>
      </w:pPr>
      <w:r>
        <w:rPr>
          <w:spacing w:val="-2"/>
        </w:rPr>
        <w:t>本集团的金融工具导致的主要风险是信用风险、流动性风险、市场风险（包括利率风险、汇率风险和</w:t>
      </w:r>
      <w:r>
        <w:rPr>
          <w:w w:val="100"/>
        </w:rPr>
        <w:t> </w:t>
      </w:r>
      <w:r>
        <w:rPr/>
        <w:t>商品价格风险/权益工具价格风险）。</w:t>
      </w:r>
    </w:p>
    <w:p>
      <w:pPr>
        <w:spacing w:line="240" w:lineRule="auto" w:before="1"/>
        <w:rPr>
          <w:rFonts w:ascii="宋体" w:hAnsi="宋体" w:cs="宋体" w:eastAsia="宋体" w:hint="default"/>
          <w:sz w:val="17"/>
          <w:szCs w:val="17"/>
        </w:rPr>
      </w:pPr>
    </w:p>
    <w:p>
      <w:pPr>
        <w:pStyle w:val="BodyText"/>
        <w:spacing w:line="460" w:lineRule="auto"/>
        <w:ind w:left="575" w:right="520"/>
        <w:jc w:val="left"/>
      </w:pPr>
      <w:r>
        <w:rPr/>
        <w:t>（1）信用风险</w:t>
      </w:r>
      <w:r>
        <w:rPr>
          <w:spacing w:val="-103"/>
        </w:rPr>
        <w:t> </w:t>
      </w:r>
      <w:r>
        <w:rPr>
          <w:spacing w:val="-103"/>
        </w:rPr>
      </w:r>
      <w:r>
        <w:rPr/>
        <w:t>信用风险，是指交易对手方未能履行合同义务而导致本集团产生财务损失的风险。</w:t>
      </w:r>
      <w:r>
        <w:rPr>
          <w:w w:val="100"/>
        </w:rPr>
        <w:t> </w:t>
      </w:r>
      <w:r>
        <w:rPr>
          <w:spacing w:val="-2"/>
        </w:rPr>
        <w:t>本集团对信用风险按组合分类进行管理。信用风险主要产生于银行存款和应收款项等。</w:t>
      </w:r>
    </w:p>
    <w:p>
      <w:pPr>
        <w:pStyle w:val="BodyText"/>
        <w:spacing w:line="273" w:lineRule="auto" w:before="60"/>
        <w:ind w:right="202" w:firstLine="422"/>
        <w:jc w:val="both"/>
      </w:pPr>
      <w:r>
        <w:rPr>
          <w:spacing w:val="-2"/>
        </w:rPr>
        <w:t>本公司银行存款主要存放于声誉良好并拥有较高信用评级的银行，本公司预期银行存款不存在重大的</w:t>
      </w:r>
      <w:r>
        <w:rPr>
          <w:w w:val="100"/>
        </w:rPr>
        <w:t> </w:t>
      </w:r>
      <w:r>
        <w:rPr/>
        <w:t>信用风险。</w:t>
      </w:r>
    </w:p>
    <w:p>
      <w:pPr>
        <w:spacing w:line="240" w:lineRule="auto" w:before="1"/>
        <w:rPr>
          <w:rFonts w:ascii="宋体" w:hAnsi="宋体" w:cs="宋体" w:eastAsia="宋体" w:hint="default"/>
          <w:sz w:val="17"/>
          <w:szCs w:val="17"/>
        </w:rPr>
      </w:pPr>
    </w:p>
    <w:p>
      <w:pPr>
        <w:pStyle w:val="BodyText"/>
        <w:spacing w:line="273" w:lineRule="auto"/>
        <w:ind w:right="197" w:firstLine="422"/>
        <w:jc w:val="both"/>
      </w:pPr>
      <w:r>
        <w:rPr>
          <w:spacing w:val="-2"/>
        </w:rPr>
        <w:t>对于应收款项，本集团设定相关政策以控制信用风险敞口。本集团基于对债务人的财务状况、外部评</w:t>
      </w:r>
      <w:r>
        <w:rPr>
          <w:w w:val="100"/>
        </w:rPr>
        <w:t> </w:t>
      </w:r>
      <w:r>
        <w:rPr>
          <w:spacing w:val="-2"/>
        </w:rPr>
        <w:t>级、从第三方获取担保的可能性、信用记录及其它因素诸如目前市场状况等评估债务人的信用资质并设置</w:t>
      </w:r>
      <w:r>
        <w:rPr>
          <w:spacing w:val="-35"/>
        </w:rPr>
        <w:t> </w:t>
      </w:r>
      <w:r>
        <w:rPr>
          <w:spacing w:val="-35"/>
        </w:rPr>
      </w:r>
      <w:r>
        <w:rPr>
          <w:spacing w:val="-2"/>
        </w:rPr>
        <w:t>相应欠款额度与信用期限。本集团会定期对债务人信用记录进行监控，对于信用记录不良的债务人，本集</w:t>
      </w:r>
      <w:r>
        <w:rPr>
          <w:spacing w:val="-35"/>
        </w:rPr>
        <w:t> </w:t>
      </w:r>
      <w:r>
        <w:rPr>
          <w:spacing w:val="-35"/>
        </w:rPr>
      </w:r>
      <w:r>
        <w:rPr/>
        <w:t>团会采用书面催款、缩短信用期或取消信用期等方式，以确保本公司的整体信用风险在可控的范围内。</w:t>
      </w:r>
    </w:p>
    <w:p>
      <w:pPr>
        <w:spacing w:line="240" w:lineRule="auto" w:before="1"/>
        <w:rPr>
          <w:rFonts w:ascii="宋体" w:hAnsi="宋体" w:cs="宋体" w:eastAsia="宋体" w:hint="default"/>
          <w:sz w:val="17"/>
          <w:szCs w:val="17"/>
        </w:rPr>
      </w:pPr>
    </w:p>
    <w:p>
      <w:pPr>
        <w:pStyle w:val="BodyText"/>
        <w:spacing w:line="273" w:lineRule="auto"/>
        <w:ind w:right="202" w:firstLine="422"/>
        <w:jc w:val="both"/>
      </w:pPr>
      <w:r>
        <w:rPr>
          <w:spacing w:val="-2"/>
        </w:rPr>
        <w:t>本集团所承受的最大信用风险敞口为资产负债表中每项金融资产的账面金额。本集团没有提供任何其</w:t>
      </w:r>
      <w:r>
        <w:rPr>
          <w:w w:val="100"/>
        </w:rPr>
        <w:t> </w:t>
      </w:r>
      <w:r>
        <w:rPr/>
        <w:t>他可能令本集团承受信用风险的担保。</w:t>
      </w:r>
    </w:p>
    <w:p>
      <w:pPr>
        <w:spacing w:line="240" w:lineRule="auto" w:before="1"/>
        <w:rPr>
          <w:rFonts w:ascii="宋体" w:hAnsi="宋体" w:cs="宋体" w:eastAsia="宋体" w:hint="default"/>
          <w:sz w:val="17"/>
          <w:szCs w:val="17"/>
        </w:rPr>
      </w:pPr>
    </w:p>
    <w:p>
      <w:pPr>
        <w:pStyle w:val="BodyText"/>
        <w:spacing w:line="273" w:lineRule="auto"/>
        <w:ind w:right="202" w:firstLine="422"/>
        <w:jc w:val="both"/>
      </w:pPr>
      <w:r>
        <w:rPr>
          <w:spacing w:val="6"/>
        </w:rPr>
        <w:t>本集团应收账款中，欠款金额前五大客户的应收账款占本集团应收账款总额的47.68%（2014年：</w:t>
      </w:r>
      <w:r>
        <w:rPr>
          <w:w w:val="100"/>
        </w:rPr>
        <w:t> </w:t>
      </w:r>
      <w:r>
        <w:rPr/>
        <w:t>54.99%）；本集团其他应收款中，欠款金额前五大公司的其他应收款占本集团其他应收款总额的15.15%</w:t>
      </w:r>
    </w:p>
    <w:p>
      <w:pPr>
        <w:pStyle w:val="BodyText"/>
        <w:spacing w:line="240" w:lineRule="auto" w:before="7"/>
        <w:ind w:right="0"/>
        <w:jc w:val="both"/>
      </w:pPr>
      <w:r>
        <w:rPr/>
        <w:t>（2014年：40.76%）。</w:t>
      </w:r>
    </w:p>
    <w:p>
      <w:pPr>
        <w:spacing w:line="240" w:lineRule="auto" w:before="5"/>
        <w:rPr>
          <w:rFonts w:ascii="宋体" w:hAnsi="宋体" w:cs="宋体" w:eastAsia="宋体" w:hint="default"/>
          <w:sz w:val="19"/>
          <w:szCs w:val="19"/>
        </w:rPr>
      </w:pPr>
    </w:p>
    <w:p>
      <w:pPr>
        <w:pStyle w:val="BodyText"/>
        <w:spacing w:line="240" w:lineRule="auto"/>
        <w:ind w:left="575" w:right="0"/>
        <w:jc w:val="left"/>
      </w:pPr>
      <w:r>
        <w:rPr/>
        <w:t>（2）流动性风险</w:t>
      </w:r>
    </w:p>
    <w:p>
      <w:pPr>
        <w:spacing w:line="240" w:lineRule="auto" w:before="8"/>
        <w:rPr>
          <w:rFonts w:ascii="宋体" w:hAnsi="宋体" w:cs="宋体" w:eastAsia="宋体" w:hint="default"/>
          <w:sz w:val="16"/>
          <w:szCs w:val="16"/>
        </w:rPr>
      </w:pPr>
    </w:p>
    <w:p>
      <w:pPr>
        <w:pStyle w:val="BodyText"/>
        <w:spacing w:line="240" w:lineRule="auto" w:before="36"/>
        <w:ind w:left="575" w:right="0"/>
        <w:jc w:val="left"/>
      </w:pPr>
      <w:r>
        <w:rPr>
          <w:spacing w:val="2"/>
        </w:rPr>
        <w:t>流动性风险，是指本集团在履行以交付现金或其他金融资产的方式结算的义务时发生资金短缺的风</w:t>
      </w:r>
    </w:p>
    <w:p>
      <w:pPr>
        <w:pStyle w:val="BodyText"/>
        <w:spacing w:line="240" w:lineRule="auto" w:before="37"/>
        <w:ind w:right="0"/>
        <w:jc w:val="left"/>
      </w:pPr>
      <w:r>
        <w:rPr/>
        <w:t>险。</w:t>
      </w:r>
    </w:p>
    <w:p>
      <w:pPr>
        <w:spacing w:line="240" w:lineRule="auto" w:before="8"/>
        <w:rPr>
          <w:rFonts w:ascii="宋体" w:hAnsi="宋体" w:cs="宋体" w:eastAsia="宋体" w:hint="default"/>
          <w:sz w:val="16"/>
          <w:szCs w:val="16"/>
        </w:rPr>
      </w:pPr>
    </w:p>
    <w:p>
      <w:pPr>
        <w:pStyle w:val="BodyText"/>
        <w:spacing w:line="273" w:lineRule="auto" w:before="36"/>
        <w:ind w:right="0" w:firstLine="422"/>
        <w:jc w:val="left"/>
      </w:pPr>
      <w:r>
        <w:rPr>
          <w:spacing w:val="-2"/>
        </w:rPr>
        <w:t>管理流动风险时，本集团保持管理层认为充分的现金及现金等价物并对其进行监控，以满足本集团经</w:t>
      </w:r>
      <w:r>
        <w:rPr>
          <w:w w:val="100"/>
        </w:rPr>
        <w:t> </w:t>
      </w:r>
      <w:r>
        <w:rPr>
          <w:spacing w:val="-4"/>
        </w:rPr>
        <w:t>营需要，并降低现金流量波动的影响。本集团管理层对银行借款的使用情况进行监控并确保遵守借款协议。</w:t>
      </w:r>
      <w:r>
        <w:rPr>
          <w:spacing w:val="-49"/>
        </w:rPr>
        <w:t> </w:t>
      </w:r>
      <w:r>
        <w:rPr>
          <w:spacing w:val="-49"/>
        </w:rPr>
      </w:r>
      <w:r>
        <w:rPr/>
        <w:t>同时从主要金融机构获得提供足够备用资金的承诺，以满足短期和长期的资金需求。</w:t>
      </w:r>
    </w:p>
    <w:p>
      <w:pPr>
        <w:spacing w:line="240" w:lineRule="auto" w:before="1"/>
        <w:rPr>
          <w:rFonts w:ascii="宋体" w:hAnsi="宋体" w:cs="宋体" w:eastAsia="宋体" w:hint="default"/>
          <w:sz w:val="17"/>
          <w:szCs w:val="17"/>
        </w:rPr>
      </w:pPr>
    </w:p>
    <w:p>
      <w:pPr>
        <w:pStyle w:val="BodyText"/>
        <w:spacing w:line="273" w:lineRule="auto"/>
        <w:ind w:right="0" w:firstLine="422"/>
        <w:jc w:val="left"/>
      </w:pPr>
      <w:r>
        <w:rPr>
          <w:spacing w:val="-2"/>
        </w:rPr>
        <w:t>本集团通过经营业务产生的资金及银行及其他借款来筹措营运资金。于2015年12月31日，本集团尚未</w:t>
      </w:r>
      <w:r>
        <w:rPr>
          <w:w w:val="100"/>
        </w:rPr>
        <w:t> </w:t>
      </w:r>
      <w:r>
        <w:rPr/>
        <w:t>使用的银行借款额度为人民币14,610.00万元（2014年12月31日：人民币23,839.99万元）。</w:t>
      </w:r>
    </w:p>
    <w:p>
      <w:pPr>
        <w:spacing w:line="240" w:lineRule="auto" w:before="1"/>
        <w:rPr>
          <w:rFonts w:ascii="宋体" w:hAnsi="宋体" w:cs="宋体" w:eastAsia="宋体" w:hint="default"/>
          <w:sz w:val="17"/>
          <w:szCs w:val="17"/>
        </w:rPr>
      </w:pPr>
    </w:p>
    <w:p>
      <w:pPr>
        <w:pStyle w:val="BodyText"/>
        <w:spacing w:line="273" w:lineRule="auto"/>
        <w:ind w:right="0"/>
        <w:jc w:val="left"/>
      </w:pPr>
      <w:r>
        <w:rPr>
          <w:spacing w:val="-2"/>
        </w:rPr>
        <w:t>期末本集团持有的金融负债和表外担保项目按未折现剩余合同现金流量的到期期限分析如下（单位：人民</w:t>
      </w:r>
      <w:r>
        <w:rPr>
          <w:spacing w:val="-35"/>
        </w:rPr>
        <w:t> </w:t>
      </w:r>
      <w:r>
        <w:rPr>
          <w:spacing w:val="-35"/>
        </w:rPr>
      </w:r>
      <w:r>
        <w:rPr/>
        <w:t>币元）：</w:t>
      </w:r>
    </w:p>
    <w:p>
      <w:pPr>
        <w:spacing w:line="240" w:lineRule="auto" w:before="3"/>
        <w:rPr>
          <w:rFonts w:ascii="宋体" w:hAnsi="宋体" w:cs="宋体" w:eastAsia="宋体" w:hint="default"/>
          <w:sz w:val="18"/>
          <w:szCs w:val="18"/>
        </w:rPr>
      </w:pPr>
    </w:p>
    <w:p>
      <w:pPr>
        <w:spacing w:line="20" w:lineRule="exact"/>
        <w:ind w:left="148" w:right="0" w:firstLine="0"/>
        <w:rPr>
          <w:rFonts w:ascii="宋体" w:hAnsi="宋体" w:cs="宋体" w:eastAsia="宋体" w:hint="default"/>
          <w:sz w:val="2"/>
          <w:szCs w:val="2"/>
        </w:rPr>
      </w:pPr>
      <w:r>
        <w:rPr>
          <w:rFonts w:ascii="宋体" w:hAnsi="宋体" w:cs="宋体" w:eastAsia="宋体" w:hint="default"/>
          <w:sz w:val="2"/>
          <w:szCs w:val="2"/>
        </w:rPr>
        <w:pict>
          <v:group style="width:456.5pt;height:1pt;mso-position-horizontal-relative:char;mso-position-vertical-relative:line" coordorigin="0,0" coordsize="9130,20">
            <v:group style="position:absolute;left:10;top:10;width:3696;height:2" coordorigin="10,10" coordsize="3696,2">
              <v:shape style="position:absolute;left:10;top:10;width:3696;height:2" coordorigin="10,10" coordsize="3696,0" path="m10,10l3706,10e" filled="false" stroked="true" strokeweight=".96pt" strokecolor="#000000">
                <v:path arrowok="t"/>
              </v:shape>
            </v:group>
            <v:group style="position:absolute;left:3706;top:10;width:20;height:2" coordorigin="3706,10" coordsize="20,2">
              <v:shape style="position:absolute;left:3706;top:10;width:20;height:2" coordorigin="3706,10" coordsize="20,0" path="m3706,10l3725,10e" filled="false" stroked="true" strokeweight=".96pt" strokecolor="#000000">
                <v:path arrowok="t"/>
              </v:shape>
            </v:group>
            <v:group style="position:absolute;left:3725;top:10;width:5396;height:2" coordorigin="3725,10" coordsize="5396,2">
              <v:shape style="position:absolute;left:3725;top:10;width:5396;height:2" coordorigin="3725,10" coordsize="5396,0" path="m3725,10l9120,10e" filled="false" stroked="true" strokeweight=".96pt" strokecolor="#000000">
                <v:path arrowok="t"/>
              </v:shape>
            </v:group>
          </v:group>
        </w:pict>
      </w:r>
      <w:r>
        <w:rPr>
          <w:rFonts w:ascii="宋体" w:hAnsi="宋体" w:cs="宋体" w:eastAsia="宋体" w:hint="default"/>
          <w:sz w:val="2"/>
          <w:szCs w:val="2"/>
        </w:rPr>
      </w:r>
    </w:p>
    <w:p>
      <w:pPr>
        <w:tabs>
          <w:tab w:pos="6296" w:val="left" w:leader="none"/>
        </w:tabs>
        <w:spacing w:line="275" w:lineRule="exact" w:before="0"/>
        <w:ind w:left="162" w:right="0" w:firstLine="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项 </w:t>
      </w:r>
      <w:r>
        <w:rPr>
          <w:rFonts w:ascii="Microsoft JhengHei" w:hAnsi="Microsoft JhengHei" w:cs="Microsoft JhengHei" w:eastAsia="Microsoft JhengHei" w:hint="default"/>
          <w:b/>
          <w:bCs/>
          <w:spacing w:val="5"/>
          <w:sz w:val="18"/>
          <w:szCs w:val="18"/>
        </w:rPr>
        <w:t> </w:t>
      </w:r>
      <w:r>
        <w:rPr>
          <w:rFonts w:ascii="Microsoft JhengHei" w:hAnsi="Microsoft JhengHei" w:cs="Microsoft JhengHei" w:eastAsia="Microsoft JhengHei" w:hint="default"/>
          <w:b/>
          <w:bCs/>
          <w:sz w:val="18"/>
          <w:szCs w:val="18"/>
        </w:rPr>
        <w:t>目</w:t>
        <w:tab/>
        <w:t>期末数</w:t>
      </w:r>
      <w:r>
        <w:rPr>
          <w:rFonts w:ascii="Microsoft JhengHei" w:hAnsi="Microsoft JhengHei" w:cs="Microsoft JhengHei" w:eastAsia="Microsoft JhengHei" w:hint="default"/>
          <w:sz w:val="18"/>
          <w:szCs w:val="18"/>
        </w:rPr>
      </w:r>
    </w:p>
    <w:p>
      <w:pPr>
        <w:tabs>
          <w:tab w:pos="7083" w:val="left" w:leader="none"/>
          <w:tab w:pos="8720" w:val="left" w:leader="none"/>
        </w:tabs>
        <w:spacing w:before="37"/>
        <w:ind w:left="4444" w:right="0" w:firstLine="0"/>
        <w:jc w:val="left"/>
        <w:rPr>
          <w:rFonts w:ascii="Microsoft JhengHei" w:hAnsi="Microsoft JhengHei" w:cs="Microsoft JhengHei" w:eastAsia="Microsoft JhengHei" w:hint="default"/>
          <w:sz w:val="18"/>
          <w:szCs w:val="18"/>
        </w:rPr>
      </w:pPr>
      <w:r>
        <w:rPr/>
        <w:pict>
          <v:group style="position:absolute;margin-left:241.199997pt;margin-top:2.745244pt;width:271.7pt;height:1pt;mso-position-horizontal-relative:page;mso-position-vertical-relative:paragraph;z-index:-1068640" coordorigin="4824,55" coordsize="5434,20">
            <v:group style="position:absolute;left:4834;top:65;width:1320;height:2" coordorigin="4834,65" coordsize="1320,2">
              <v:shape style="position:absolute;left:4834;top:65;width:1320;height:2" coordorigin="4834,65" coordsize="1320,0" path="m4834,65l6154,65e" filled="false" stroked="true" strokeweight=".96pt" strokecolor="#000000">
                <v:path arrowok="t"/>
              </v:shape>
            </v:group>
            <v:group style="position:absolute;left:6154;top:65;width:20;height:2" coordorigin="6154,65" coordsize="20,2">
              <v:shape style="position:absolute;left:6154;top:65;width:20;height:2" coordorigin="6154,65" coordsize="20,0" path="m6154,65l6173,65e" filled="false" stroked="true" strokeweight=".96pt" strokecolor="#000000">
                <v:path arrowok="t"/>
              </v:shape>
            </v:group>
            <v:group style="position:absolute;left:6173;top:65;width:1301;height:2" coordorigin="6173,65" coordsize="1301,2">
              <v:shape style="position:absolute;left:6173;top:65;width:1301;height:2" coordorigin="6173,65" coordsize="1301,0" path="m6173,65l7474,65e" filled="false" stroked="true" strokeweight=".96pt" strokecolor="#000000">
                <v:path arrowok="t"/>
              </v:shape>
            </v:group>
            <v:group style="position:absolute;left:7474;top:65;width:20;height:2" coordorigin="7474,65" coordsize="20,2">
              <v:shape style="position:absolute;left:7474;top:65;width:20;height:2" coordorigin="7474,65" coordsize="20,0" path="m7474,65l7493,65e" filled="false" stroked="true" strokeweight=".96pt" strokecolor="#000000">
                <v:path arrowok="t"/>
              </v:shape>
            </v:group>
            <v:group style="position:absolute;left:7493;top:65;width:1296;height:2" coordorigin="7493,65" coordsize="1296,2">
              <v:shape style="position:absolute;left:7493;top:65;width:1296;height:2" coordorigin="7493,65" coordsize="1296,0" path="m7493,65l8789,65e" filled="false" stroked="true" strokeweight=".96pt" strokecolor="#000000">
                <v:path arrowok="t"/>
              </v:shape>
            </v:group>
            <v:group style="position:absolute;left:8789;top:65;width:20;height:2" coordorigin="8789,65" coordsize="20,2">
              <v:shape style="position:absolute;left:8789;top:65;width:20;height:2" coordorigin="8789,65" coordsize="20,0" path="m8789,65l8808,65e" filled="false" stroked="true" strokeweight=".96pt" strokecolor="#000000">
                <v:path arrowok="t"/>
              </v:shape>
            </v:group>
            <v:group style="position:absolute;left:8808;top:65;width:1440;height:2" coordorigin="8808,65" coordsize="1440,2">
              <v:shape style="position:absolute;left:8808;top:65;width:1440;height:2" coordorigin="8808,65" coordsize="1440,0" path="m8808,65l10248,65e" filled="false" stroked="true" strokeweight=".96pt" strokecolor="#000000">
                <v:path arrowok="t"/>
              </v:shape>
            </v:group>
            <w10:wrap type="none"/>
          </v:group>
        </w:pict>
      </w:r>
      <w:r>
        <w:rPr>
          <w:rFonts w:ascii="Microsoft JhengHei" w:hAnsi="Microsoft JhengHei" w:cs="Microsoft JhengHei" w:eastAsia="Microsoft JhengHei" w:hint="default"/>
          <w:b/>
          <w:bCs/>
          <w:sz w:val="18"/>
          <w:szCs w:val="18"/>
        </w:rPr>
        <w:t>一年以内</w:t>
      </w:r>
      <w:r>
        <w:rPr>
          <w:rFonts w:ascii="Microsoft JhengHei" w:hAnsi="Microsoft JhengHei" w:cs="Microsoft JhengHei" w:eastAsia="Microsoft JhengHei" w:hint="default"/>
          <w:b/>
          <w:bCs/>
          <w:spacing w:val="22"/>
          <w:sz w:val="18"/>
          <w:szCs w:val="18"/>
        </w:rPr>
        <w:t> </w:t>
      </w:r>
      <w:r>
        <w:rPr>
          <w:rFonts w:ascii="Microsoft JhengHei" w:hAnsi="Microsoft JhengHei" w:cs="Microsoft JhengHei" w:eastAsia="Microsoft JhengHei" w:hint="default"/>
          <w:b/>
          <w:bCs/>
          <w:sz w:val="18"/>
          <w:szCs w:val="18"/>
        </w:rPr>
        <w:t>一年至五年以内</w:t>
        <w:tab/>
        <w:t>五年以上</w:t>
        <w:tab/>
        <w:t>合   </w:t>
      </w:r>
      <w:r>
        <w:rPr>
          <w:rFonts w:ascii="Microsoft JhengHei" w:hAnsi="Microsoft JhengHei" w:cs="Microsoft JhengHei" w:eastAsia="Microsoft JhengHei" w:hint="default"/>
          <w:b/>
          <w:bCs/>
          <w:spacing w:val="6"/>
          <w:sz w:val="18"/>
          <w:szCs w:val="18"/>
        </w:rPr>
        <w:t> </w:t>
      </w:r>
      <w:r>
        <w:rPr>
          <w:rFonts w:ascii="Microsoft JhengHei" w:hAnsi="Microsoft JhengHei" w:cs="Microsoft JhengHei" w:eastAsia="Microsoft JhengHei" w:hint="default"/>
          <w:b/>
          <w:bCs/>
          <w:sz w:val="18"/>
          <w:szCs w:val="18"/>
        </w:rPr>
        <w:t>计</w:t>
      </w:r>
      <w:r>
        <w:rPr>
          <w:rFonts w:ascii="Microsoft JhengHei" w:hAnsi="Microsoft JhengHei" w:cs="Microsoft JhengHei" w:eastAsia="Microsoft JhengHei" w:hint="default"/>
          <w:sz w:val="18"/>
          <w:szCs w:val="18"/>
        </w:rPr>
      </w:r>
    </w:p>
    <w:p>
      <w:pPr>
        <w:spacing w:line="240" w:lineRule="auto" w:before="17"/>
        <w:rPr>
          <w:rFonts w:ascii="Microsoft JhengHei" w:hAnsi="Microsoft JhengHei" w:cs="Microsoft JhengHei" w:eastAsia="Microsoft JhengHei" w:hint="default"/>
          <w:b/>
          <w:bCs/>
          <w:sz w:val="3"/>
          <w:szCs w:val="3"/>
        </w:rPr>
      </w:pPr>
    </w:p>
    <w:tbl>
      <w:tblPr>
        <w:tblW w:w="0" w:type="auto"/>
        <w:jc w:val="left"/>
        <w:tblInd w:w="157" w:type="dxa"/>
        <w:tblLayout w:type="fixed"/>
        <w:tblCellMar>
          <w:top w:w="0" w:type="dxa"/>
          <w:left w:w="0" w:type="dxa"/>
          <w:bottom w:w="0" w:type="dxa"/>
          <w:right w:w="0" w:type="dxa"/>
        </w:tblCellMar>
        <w:tblLook w:val="01E0"/>
      </w:tblPr>
      <w:tblGrid>
        <w:gridCol w:w="2330"/>
        <w:gridCol w:w="4102"/>
        <w:gridCol w:w="2713"/>
      </w:tblGrid>
      <w:tr>
        <w:trPr>
          <w:trHeight w:val="350" w:hRule="exact"/>
        </w:trPr>
        <w:tc>
          <w:tcPr>
            <w:tcW w:w="2330"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6815" w:type="dxa"/>
            <w:gridSpan w:val="2"/>
            <w:tcBorders>
              <w:top w:val="single" w:sz="8" w:space="0" w:color="000000"/>
              <w:left w:val="nil" w:sz="6" w:space="0" w:color="auto"/>
              <w:bottom w:val="single" w:sz="8" w:space="0" w:color="000000"/>
              <w:right w:val="nil" w:sz="6" w:space="0" w:color="auto"/>
            </w:tcBorders>
          </w:tcPr>
          <w:p>
            <w:pPr/>
          </w:p>
        </w:tc>
      </w:tr>
      <w:tr>
        <w:trPr>
          <w:trHeight w:val="350" w:hRule="exact"/>
        </w:trPr>
        <w:tc>
          <w:tcPr>
            <w:tcW w:w="2330"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4102"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7" w:right="0"/>
              <w:jc w:val="center"/>
              <w:rPr>
                <w:rFonts w:ascii="宋体" w:hAnsi="宋体" w:cs="宋体" w:eastAsia="宋体" w:hint="default"/>
                <w:sz w:val="18"/>
                <w:szCs w:val="18"/>
              </w:rPr>
            </w:pPr>
            <w:r>
              <w:rPr>
                <w:rFonts w:ascii="宋体"/>
                <w:sz w:val="18"/>
              </w:rPr>
              <w:t>330,000,000.00</w:t>
            </w:r>
          </w:p>
        </w:tc>
        <w:tc>
          <w:tcPr>
            <w:tcW w:w="2713"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33"/>
              <w:jc w:val="right"/>
              <w:rPr>
                <w:rFonts w:ascii="宋体" w:hAnsi="宋体" w:cs="宋体" w:eastAsia="宋体" w:hint="default"/>
                <w:sz w:val="18"/>
                <w:szCs w:val="18"/>
              </w:rPr>
            </w:pPr>
            <w:r>
              <w:rPr>
                <w:rFonts w:ascii="宋体"/>
                <w:spacing w:val="-2"/>
                <w:sz w:val="18"/>
              </w:rPr>
              <w:t>330,000,000.00</w:t>
            </w:r>
          </w:p>
        </w:tc>
      </w:tr>
      <w:tr>
        <w:trPr>
          <w:trHeight w:val="353" w:hRule="exact"/>
        </w:trPr>
        <w:tc>
          <w:tcPr>
            <w:tcW w:w="2330" w:type="dxa"/>
            <w:tcBorders>
              <w:top w:val="single" w:sz="8" w:space="0" w:color="000000"/>
              <w:left w:val="nil" w:sz="6" w:space="0" w:color="auto"/>
              <w:bottom w:val="single" w:sz="6" w:space="0" w:color="000000"/>
              <w:right w:val="nil" w:sz="6" w:space="0" w:color="auto"/>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4102" w:type="dxa"/>
            <w:tcBorders>
              <w:top w:val="single" w:sz="8" w:space="0" w:color="000000"/>
              <w:left w:val="nil" w:sz="6" w:space="0" w:color="auto"/>
              <w:bottom w:val="single" w:sz="6" w:space="0" w:color="000000"/>
              <w:right w:val="nil" w:sz="6" w:space="0" w:color="auto"/>
            </w:tcBorders>
          </w:tcPr>
          <w:p>
            <w:pPr>
              <w:pStyle w:val="TableParagraph"/>
              <w:spacing w:line="240" w:lineRule="auto" w:before="20"/>
              <w:ind w:left="7" w:right="0"/>
              <w:jc w:val="center"/>
              <w:rPr>
                <w:rFonts w:ascii="宋体" w:hAnsi="宋体" w:cs="宋体" w:eastAsia="宋体" w:hint="default"/>
                <w:sz w:val="18"/>
                <w:szCs w:val="18"/>
              </w:rPr>
            </w:pPr>
            <w:r>
              <w:rPr>
                <w:rFonts w:ascii="宋体"/>
                <w:sz w:val="18"/>
              </w:rPr>
              <w:t>109,261,684.98</w:t>
            </w:r>
          </w:p>
        </w:tc>
        <w:tc>
          <w:tcPr>
            <w:tcW w:w="2713" w:type="dxa"/>
            <w:tcBorders>
              <w:top w:val="single" w:sz="8" w:space="0" w:color="000000"/>
              <w:left w:val="nil" w:sz="6" w:space="0" w:color="auto"/>
              <w:bottom w:val="single" w:sz="6" w:space="0" w:color="000000"/>
              <w:right w:val="nil" w:sz="6" w:space="0" w:color="auto"/>
            </w:tcBorders>
          </w:tcPr>
          <w:p>
            <w:pPr>
              <w:pStyle w:val="TableParagraph"/>
              <w:spacing w:line="240" w:lineRule="auto" w:before="20"/>
              <w:ind w:right="33"/>
              <w:jc w:val="right"/>
              <w:rPr>
                <w:rFonts w:ascii="宋体" w:hAnsi="宋体" w:cs="宋体" w:eastAsia="宋体" w:hint="default"/>
                <w:sz w:val="18"/>
                <w:szCs w:val="18"/>
              </w:rPr>
            </w:pPr>
            <w:r>
              <w:rPr>
                <w:rFonts w:ascii="宋体"/>
                <w:spacing w:val="-2"/>
                <w:sz w:val="18"/>
              </w:rPr>
              <w:t>109,261,684.98</w:t>
            </w:r>
          </w:p>
        </w:tc>
      </w:tr>
    </w:tbl>
    <w:p>
      <w:pPr>
        <w:spacing w:after="0" w:line="240" w:lineRule="auto"/>
        <w:jc w:val="right"/>
        <w:rPr>
          <w:rFonts w:ascii="宋体" w:hAnsi="宋体" w:cs="宋体" w:eastAsia="宋体" w:hint="default"/>
          <w:sz w:val="18"/>
          <w:szCs w:val="18"/>
        </w:rPr>
        <w:sectPr>
          <w:pgSz w:w="11900" w:h="16840"/>
          <w:pgMar w:header="872" w:footer="984" w:top="1060" w:bottom="1180" w:left="980" w:right="920"/>
        </w:sectPr>
      </w:pPr>
    </w:p>
    <w:p>
      <w:pPr>
        <w:spacing w:line="240" w:lineRule="auto" w:before="4"/>
        <w:rPr>
          <w:rFonts w:ascii="Microsoft JhengHei" w:hAnsi="Microsoft JhengHei" w:cs="Microsoft JhengHei" w:eastAsia="Microsoft JhengHei" w:hint="default"/>
          <w:b/>
          <w:bCs/>
          <w:sz w:val="22"/>
          <w:szCs w:val="22"/>
        </w:rPr>
      </w:pPr>
    </w:p>
    <w:tbl>
      <w:tblPr>
        <w:tblW w:w="0" w:type="auto"/>
        <w:jc w:val="left"/>
        <w:tblInd w:w="157" w:type="dxa"/>
        <w:tblLayout w:type="fixed"/>
        <w:tblCellMar>
          <w:top w:w="0" w:type="dxa"/>
          <w:left w:w="0" w:type="dxa"/>
          <w:bottom w:w="0" w:type="dxa"/>
          <w:right w:w="0" w:type="dxa"/>
        </w:tblCellMar>
        <w:tblLook w:val="01E0"/>
      </w:tblPr>
      <w:tblGrid>
        <w:gridCol w:w="2870"/>
        <w:gridCol w:w="2220"/>
        <w:gridCol w:w="2002"/>
        <w:gridCol w:w="2053"/>
      </w:tblGrid>
      <w:tr>
        <w:trPr>
          <w:trHeight w:val="350" w:hRule="exact"/>
        </w:trPr>
        <w:tc>
          <w:tcPr>
            <w:tcW w:w="2870"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220"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72"/>
              <w:jc w:val="right"/>
              <w:rPr>
                <w:rFonts w:ascii="宋体" w:hAnsi="宋体" w:cs="宋体" w:eastAsia="宋体" w:hint="default"/>
                <w:sz w:val="18"/>
                <w:szCs w:val="18"/>
              </w:rPr>
            </w:pPr>
            <w:r>
              <w:rPr>
                <w:rFonts w:ascii="宋体"/>
                <w:spacing w:val="-2"/>
                <w:sz w:val="18"/>
              </w:rPr>
              <w:t>181,931,293.29</w:t>
            </w:r>
          </w:p>
        </w:tc>
        <w:tc>
          <w:tcPr>
            <w:tcW w:w="2002" w:type="dxa"/>
            <w:tcBorders>
              <w:top w:val="single" w:sz="8" w:space="0" w:color="000000"/>
              <w:left w:val="nil" w:sz="6" w:space="0" w:color="auto"/>
              <w:bottom w:val="single" w:sz="8" w:space="0" w:color="000000"/>
              <w:right w:val="nil" w:sz="6" w:space="0" w:color="auto"/>
            </w:tcBorders>
          </w:tcPr>
          <w:p>
            <w:pPr/>
          </w:p>
        </w:tc>
        <w:tc>
          <w:tcPr>
            <w:tcW w:w="2053"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33"/>
              <w:jc w:val="right"/>
              <w:rPr>
                <w:rFonts w:ascii="宋体" w:hAnsi="宋体" w:cs="宋体" w:eastAsia="宋体" w:hint="default"/>
                <w:sz w:val="18"/>
                <w:szCs w:val="18"/>
              </w:rPr>
            </w:pPr>
            <w:r>
              <w:rPr>
                <w:rFonts w:ascii="宋体"/>
                <w:spacing w:val="-2"/>
                <w:sz w:val="18"/>
              </w:rPr>
              <w:t>181,931,293.29</w:t>
            </w:r>
          </w:p>
        </w:tc>
      </w:tr>
      <w:tr>
        <w:trPr>
          <w:trHeight w:val="355" w:hRule="exact"/>
        </w:trPr>
        <w:tc>
          <w:tcPr>
            <w:tcW w:w="2870"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220"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72"/>
              <w:jc w:val="right"/>
              <w:rPr>
                <w:rFonts w:ascii="宋体" w:hAnsi="宋体" w:cs="宋体" w:eastAsia="宋体" w:hint="default"/>
                <w:sz w:val="18"/>
                <w:szCs w:val="18"/>
              </w:rPr>
            </w:pPr>
            <w:r>
              <w:rPr>
                <w:rFonts w:ascii="宋体"/>
                <w:spacing w:val="-1"/>
                <w:sz w:val="18"/>
              </w:rPr>
              <w:t>30,090,105.09</w:t>
            </w:r>
          </w:p>
        </w:tc>
        <w:tc>
          <w:tcPr>
            <w:tcW w:w="2002" w:type="dxa"/>
            <w:tcBorders>
              <w:top w:val="single" w:sz="8" w:space="0" w:color="000000"/>
              <w:left w:val="nil" w:sz="6" w:space="0" w:color="auto"/>
              <w:bottom w:val="single" w:sz="8" w:space="0" w:color="000000"/>
              <w:right w:val="nil" w:sz="6" w:space="0" w:color="auto"/>
            </w:tcBorders>
          </w:tcPr>
          <w:p>
            <w:pPr/>
          </w:p>
        </w:tc>
        <w:tc>
          <w:tcPr>
            <w:tcW w:w="2053"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33"/>
              <w:jc w:val="right"/>
              <w:rPr>
                <w:rFonts w:ascii="宋体" w:hAnsi="宋体" w:cs="宋体" w:eastAsia="宋体" w:hint="default"/>
                <w:sz w:val="18"/>
                <w:szCs w:val="18"/>
              </w:rPr>
            </w:pPr>
            <w:r>
              <w:rPr>
                <w:rFonts w:ascii="宋体"/>
                <w:spacing w:val="-1"/>
                <w:sz w:val="18"/>
              </w:rPr>
              <w:t>30,090,105.09</w:t>
            </w:r>
          </w:p>
        </w:tc>
      </w:tr>
      <w:tr>
        <w:trPr>
          <w:trHeight w:val="350" w:hRule="exact"/>
        </w:trPr>
        <w:tc>
          <w:tcPr>
            <w:tcW w:w="2870"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2220"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67"/>
              <w:jc w:val="right"/>
              <w:rPr>
                <w:rFonts w:ascii="宋体" w:hAnsi="宋体" w:cs="宋体" w:eastAsia="宋体" w:hint="default"/>
                <w:sz w:val="18"/>
                <w:szCs w:val="18"/>
              </w:rPr>
            </w:pPr>
            <w:r>
              <w:rPr>
                <w:rFonts w:ascii="宋体"/>
                <w:spacing w:val="-1"/>
                <w:sz w:val="18"/>
              </w:rPr>
              <w:t>18,867,574.69</w:t>
            </w:r>
          </w:p>
        </w:tc>
        <w:tc>
          <w:tcPr>
            <w:tcW w:w="2002" w:type="dxa"/>
            <w:tcBorders>
              <w:top w:val="single" w:sz="8" w:space="0" w:color="000000"/>
              <w:left w:val="nil" w:sz="6" w:space="0" w:color="auto"/>
              <w:bottom w:val="single" w:sz="8" w:space="0" w:color="000000"/>
              <w:right w:val="nil" w:sz="6" w:space="0" w:color="auto"/>
            </w:tcBorders>
          </w:tcPr>
          <w:p>
            <w:pPr/>
          </w:p>
        </w:tc>
        <w:tc>
          <w:tcPr>
            <w:tcW w:w="2053"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33"/>
              <w:jc w:val="right"/>
              <w:rPr>
                <w:rFonts w:ascii="宋体" w:hAnsi="宋体" w:cs="宋体" w:eastAsia="宋体" w:hint="default"/>
                <w:sz w:val="18"/>
                <w:szCs w:val="18"/>
              </w:rPr>
            </w:pPr>
            <w:r>
              <w:rPr>
                <w:rFonts w:ascii="宋体"/>
                <w:spacing w:val="-1"/>
                <w:sz w:val="18"/>
              </w:rPr>
              <w:t>18,867,574.69</w:t>
            </w:r>
          </w:p>
        </w:tc>
      </w:tr>
      <w:tr>
        <w:trPr>
          <w:trHeight w:val="350" w:hRule="exact"/>
        </w:trPr>
        <w:tc>
          <w:tcPr>
            <w:tcW w:w="2870"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2220"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72"/>
              <w:jc w:val="right"/>
              <w:rPr>
                <w:rFonts w:ascii="宋体" w:hAnsi="宋体" w:cs="宋体" w:eastAsia="宋体" w:hint="default"/>
                <w:sz w:val="18"/>
                <w:szCs w:val="18"/>
              </w:rPr>
            </w:pPr>
            <w:r>
              <w:rPr>
                <w:rFonts w:ascii="宋体"/>
                <w:spacing w:val="-1"/>
                <w:sz w:val="18"/>
              </w:rPr>
              <w:t>31,830,497.93</w:t>
            </w:r>
          </w:p>
        </w:tc>
        <w:tc>
          <w:tcPr>
            <w:tcW w:w="2002" w:type="dxa"/>
            <w:tcBorders>
              <w:top w:val="single" w:sz="8" w:space="0" w:color="000000"/>
              <w:left w:val="nil" w:sz="6" w:space="0" w:color="auto"/>
              <w:bottom w:val="single" w:sz="8" w:space="0" w:color="000000"/>
              <w:right w:val="nil" w:sz="6" w:space="0" w:color="auto"/>
            </w:tcBorders>
          </w:tcPr>
          <w:p>
            <w:pPr/>
          </w:p>
        </w:tc>
        <w:tc>
          <w:tcPr>
            <w:tcW w:w="2053"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33"/>
              <w:jc w:val="right"/>
              <w:rPr>
                <w:rFonts w:ascii="宋体" w:hAnsi="宋体" w:cs="宋体" w:eastAsia="宋体" w:hint="default"/>
                <w:sz w:val="18"/>
                <w:szCs w:val="18"/>
              </w:rPr>
            </w:pPr>
            <w:r>
              <w:rPr>
                <w:rFonts w:ascii="宋体"/>
                <w:spacing w:val="-1"/>
                <w:sz w:val="18"/>
              </w:rPr>
              <w:t>31,830,497.93</w:t>
            </w:r>
          </w:p>
        </w:tc>
      </w:tr>
      <w:tr>
        <w:trPr>
          <w:trHeight w:val="355" w:hRule="exact"/>
        </w:trPr>
        <w:tc>
          <w:tcPr>
            <w:tcW w:w="2870"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220"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72"/>
              <w:jc w:val="right"/>
              <w:rPr>
                <w:rFonts w:ascii="宋体" w:hAnsi="宋体" w:cs="宋体" w:eastAsia="宋体" w:hint="default"/>
                <w:sz w:val="18"/>
                <w:szCs w:val="18"/>
              </w:rPr>
            </w:pPr>
            <w:r>
              <w:rPr>
                <w:rFonts w:ascii="宋体"/>
                <w:spacing w:val="-2"/>
                <w:sz w:val="18"/>
              </w:rPr>
              <w:t>179,019,480.13</w:t>
            </w:r>
          </w:p>
        </w:tc>
        <w:tc>
          <w:tcPr>
            <w:tcW w:w="2002" w:type="dxa"/>
            <w:tcBorders>
              <w:top w:val="single" w:sz="8" w:space="0" w:color="000000"/>
              <w:left w:val="nil" w:sz="6" w:space="0" w:color="auto"/>
              <w:bottom w:val="single" w:sz="8" w:space="0" w:color="000000"/>
              <w:right w:val="nil" w:sz="6" w:space="0" w:color="auto"/>
            </w:tcBorders>
          </w:tcPr>
          <w:p>
            <w:pPr/>
          </w:p>
        </w:tc>
        <w:tc>
          <w:tcPr>
            <w:tcW w:w="2053"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33"/>
              <w:jc w:val="right"/>
              <w:rPr>
                <w:rFonts w:ascii="宋体" w:hAnsi="宋体" w:cs="宋体" w:eastAsia="宋体" w:hint="default"/>
                <w:sz w:val="18"/>
                <w:szCs w:val="18"/>
              </w:rPr>
            </w:pPr>
            <w:r>
              <w:rPr>
                <w:rFonts w:ascii="宋体"/>
                <w:spacing w:val="-2"/>
                <w:sz w:val="18"/>
              </w:rPr>
              <w:t>179,019,480.13</w:t>
            </w:r>
          </w:p>
        </w:tc>
      </w:tr>
      <w:tr>
        <w:trPr>
          <w:trHeight w:val="350" w:hRule="exact"/>
        </w:trPr>
        <w:tc>
          <w:tcPr>
            <w:tcW w:w="2870"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pacing w:val="-3"/>
                <w:sz w:val="18"/>
                <w:szCs w:val="18"/>
              </w:rPr>
              <w:t>一年内到期的非流动负债</w:t>
            </w:r>
          </w:p>
        </w:tc>
        <w:tc>
          <w:tcPr>
            <w:tcW w:w="2220"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72"/>
              <w:jc w:val="right"/>
              <w:rPr>
                <w:rFonts w:ascii="宋体" w:hAnsi="宋体" w:cs="宋体" w:eastAsia="宋体" w:hint="default"/>
                <w:sz w:val="18"/>
                <w:szCs w:val="18"/>
              </w:rPr>
            </w:pPr>
            <w:r>
              <w:rPr>
                <w:rFonts w:ascii="宋体"/>
                <w:spacing w:val="-1"/>
                <w:sz w:val="18"/>
              </w:rPr>
              <w:t>14,190,583.34</w:t>
            </w:r>
          </w:p>
        </w:tc>
        <w:tc>
          <w:tcPr>
            <w:tcW w:w="2002" w:type="dxa"/>
            <w:tcBorders>
              <w:top w:val="single" w:sz="8" w:space="0" w:color="000000"/>
              <w:left w:val="nil" w:sz="6" w:space="0" w:color="auto"/>
              <w:bottom w:val="single" w:sz="8" w:space="0" w:color="000000"/>
              <w:right w:val="nil" w:sz="6" w:space="0" w:color="auto"/>
            </w:tcBorders>
          </w:tcPr>
          <w:p>
            <w:pPr/>
          </w:p>
        </w:tc>
        <w:tc>
          <w:tcPr>
            <w:tcW w:w="2053"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33"/>
              <w:jc w:val="right"/>
              <w:rPr>
                <w:rFonts w:ascii="宋体" w:hAnsi="宋体" w:cs="宋体" w:eastAsia="宋体" w:hint="default"/>
                <w:sz w:val="18"/>
                <w:szCs w:val="18"/>
              </w:rPr>
            </w:pPr>
            <w:r>
              <w:rPr>
                <w:rFonts w:ascii="宋体"/>
                <w:spacing w:val="-1"/>
                <w:sz w:val="18"/>
              </w:rPr>
              <w:t>14,190,583.34</w:t>
            </w:r>
          </w:p>
        </w:tc>
      </w:tr>
      <w:tr>
        <w:trPr>
          <w:trHeight w:val="350" w:hRule="exact"/>
        </w:trPr>
        <w:tc>
          <w:tcPr>
            <w:tcW w:w="2870"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220"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72"/>
              <w:jc w:val="right"/>
              <w:rPr>
                <w:rFonts w:ascii="宋体" w:hAnsi="宋体" w:cs="宋体" w:eastAsia="宋体" w:hint="default"/>
                <w:sz w:val="18"/>
                <w:szCs w:val="18"/>
              </w:rPr>
            </w:pPr>
            <w:r>
              <w:rPr>
                <w:rFonts w:ascii="宋体"/>
                <w:spacing w:val="-1"/>
                <w:sz w:val="18"/>
              </w:rPr>
              <w:t>14,190,583.34</w:t>
            </w:r>
          </w:p>
        </w:tc>
        <w:tc>
          <w:tcPr>
            <w:tcW w:w="2002"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69" w:right="0"/>
              <w:jc w:val="left"/>
              <w:rPr>
                <w:rFonts w:ascii="宋体" w:hAnsi="宋体" w:cs="宋体" w:eastAsia="宋体" w:hint="default"/>
                <w:sz w:val="18"/>
                <w:szCs w:val="18"/>
              </w:rPr>
            </w:pPr>
            <w:r>
              <w:rPr>
                <w:rFonts w:ascii="宋体"/>
                <w:sz w:val="18"/>
              </w:rPr>
              <w:t>56,762,333.49</w:t>
            </w:r>
          </w:p>
        </w:tc>
        <w:tc>
          <w:tcPr>
            <w:tcW w:w="2053"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33"/>
              <w:jc w:val="right"/>
              <w:rPr>
                <w:rFonts w:ascii="宋体" w:hAnsi="宋体" w:cs="宋体" w:eastAsia="宋体" w:hint="default"/>
                <w:sz w:val="18"/>
                <w:szCs w:val="18"/>
              </w:rPr>
            </w:pPr>
            <w:r>
              <w:rPr>
                <w:rFonts w:ascii="宋体"/>
                <w:spacing w:val="-1"/>
                <w:sz w:val="18"/>
              </w:rPr>
              <w:t>70,952,916.83</w:t>
            </w:r>
          </w:p>
        </w:tc>
      </w:tr>
      <w:tr>
        <w:trPr>
          <w:trHeight w:val="370" w:hRule="exact"/>
        </w:trPr>
        <w:tc>
          <w:tcPr>
            <w:tcW w:w="2870"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2220" w:type="dxa"/>
            <w:tcBorders>
              <w:top w:val="single" w:sz="8" w:space="0" w:color="000000"/>
              <w:left w:val="nil" w:sz="6" w:space="0" w:color="auto"/>
              <w:bottom w:val="single" w:sz="19" w:space="0" w:color="000000"/>
              <w:right w:val="nil" w:sz="6" w:space="0" w:color="auto"/>
            </w:tcBorders>
          </w:tcPr>
          <w:p>
            <w:pPr/>
          </w:p>
        </w:tc>
        <w:tc>
          <w:tcPr>
            <w:tcW w:w="2002" w:type="dxa"/>
            <w:tcBorders>
              <w:top w:val="single" w:sz="8" w:space="0" w:color="000000"/>
              <w:left w:val="nil" w:sz="6" w:space="0" w:color="auto"/>
              <w:bottom w:val="single" w:sz="19" w:space="0" w:color="000000"/>
              <w:right w:val="nil" w:sz="6" w:space="0" w:color="auto"/>
            </w:tcBorders>
          </w:tcPr>
          <w:p>
            <w:pPr>
              <w:pStyle w:val="TableParagraph"/>
              <w:spacing w:line="240" w:lineRule="auto" w:before="20"/>
              <w:ind w:left="69" w:right="0"/>
              <w:jc w:val="left"/>
              <w:rPr>
                <w:rFonts w:ascii="宋体" w:hAnsi="宋体" w:cs="宋体" w:eastAsia="宋体" w:hint="default"/>
                <w:sz w:val="18"/>
                <w:szCs w:val="18"/>
              </w:rPr>
            </w:pPr>
            <w:r>
              <w:rPr>
                <w:rFonts w:ascii="宋体"/>
                <w:sz w:val="18"/>
              </w:rPr>
              <w:t>20,383,623.96</w:t>
            </w:r>
          </w:p>
        </w:tc>
        <w:tc>
          <w:tcPr>
            <w:tcW w:w="2053" w:type="dxa"/>
            <w:tcBorders>
              <w:top w:val="single" w:sz="8" w:space="0" w:color="000000"/>
              <w:left w:val="nil" w:sz="6" w:space="0" w:color="auto"/>
              <w:bottom w:val="single" w:sz="19" w:space="0" w:color="000000"/>
              <w:right w:val="nil" w:sz="6" w:space="0" w:color="auto"/>
            </w:tcBorders>
          </w:tcPr>
          <w:p>
            <w:pPr>
              <w:pStyle w:val="TableParagraph"/>
              <w:spacing w:line="240" w:lineRule="auto" w:before="20"/>
              <w:ind w:right="33"/>
              <w:jc w:val="right"/>
              <w:rPr>
                <w:rFonts w:ascii="宋体" w:hAnsi="宋体" w:cs="宋体" w:eastAsia="宋体" w:hint="default"/>
                <w:sz w:val="18"/>
                <w:szCs w:val="18"/>
              </w:rPr>
            </w:pPr>
            <w:r>
              <w:rPr>
                <w:rFonts w:ascii="宋体"/>
                <w:spacing w:val="-1"/>
                <w:sz w:val="18"/>
              </w:rPr>
              <w:t>20,383,623.96</w:t>
            </w:r>
          </w:p>
        </w:tc>
      </w:tr>
    </w:tbl>
    <w:p>
      <w:pPr>
        <w:spacing w:after="0" w:line="240" w:lineRule="auto"/>
        <w:jc w:val="right"/>
        <w:rPr>
          <w:rFonts w:ascii="宋体" w:hAnsi="宋体" w:cs="宋体" w:eastAsia="宋体" w:hint="default"/>
          <w:sz w:val="18"/>
          <w:szCs w:val="18"/>
        </w:rPr>
        <w:sectPr>
          <w:pgSz w:w="11900" w:h="16840"/>
          <w:pgMar w:header="872" w:footer="984" w:top="1060" w:bottom="1180" w:left="980" w:right="980"/>
        </w:sectPr>
      </w:pPr>
    </w:p>
    <w:p>
      <w:pPr>
        <w:spacing w:line="223" w:lineRule="exact" w:before="0"/>
        <w:ind w:left="162" w:right="0" w:firstLine="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pacing w:val="-2"/>
          <w:sz w:val="18"/>
          <w:szCs w:val="18"/>
        </w:rPr>
        <w:t>金融负债和或有负债合计</w:t>
      </w:r>
      <w:r>
        <w:rPr>
          <w:rFonts w:ascii="Microsoft JhengHei" w:hAnsi="Microsoft JhengHei" w:cs="Microsoft JhengHei" w:eastAsia="Microsoft JhengHei" w:hint="default"/>
          <w:spacing w:val="-2"/>
          <w:sz w:val="18"/>
          <w:szCs w:val="18"/>
        </w:rPr>
      </w:r>
    </w:p>
    <w:p>
      <w:pPr>
        <w:spacing w:line="295" w:lineRule="exact" w:before="0"/>
        <w:ind w:left="162" w:right="-18" w:firstLine="0"/>
        <w:jc w:val="left"/>
        <w:rPr>
          <w:rFonts w:ascii="Microsoft JhengHei" w:hAnsi="Microsoft JhengHei" w:cs="Microsoft JhengHei" w:eastAsia="Microsoft JhengHei" w:hint="default"/>
          <w:sz w:val="18"/>
          <w:szCs w:val="18"/>
        </w:rPr>
      </w:pPr>
      <w:r>
        <w:rPr/>
        <w:br w:type="column"/>
      </w:r>
      <w:r>
        <w:rPr>
          <w:rFonts w:ascii="Microsoft JhengHei"/>
          <w:b/>
          <w:w w:val="96"/>
          <w:position w:val="7"/>
          <w:sz w:val="18"/>
        </w:rPr>
        <w:t>77,145,957</w:t>
      </w:r>
      <w:r>
        <w:rPr>
          <w:rFonts w:ascii="Microsoft JhengHei"/>
          <w:b/>
          <w:spacing w:val="-15"/>
          <w:w w:val="199"/>
          <w:position w:val="7"/>
          <w:sz w:val="18"/>
        </w:rPr>
        <w:t>.</w:t>
      </w:r>
      <w:r>
        <w:rPr>
          <w:rFonts w:ascii="Microsoft JhengHei"/>
          <w:b/>
          <w:spacing w:val="-77"/>
          <w:w w:val="85"/>
          <w:sz w:val="18"/>
        </w:rPr>
        <w:t>9</w:t>
      </w:r>
      <w:r>
        <w:rPr>
          <w:rFonts w:ascii="Microsoft JhengHei"/>
          <w:b/>
          <w:spacing w:val="-15"/>
          <w:w w:val="85"/>
          <w:position w:val="7"/>
          <w:sz w:val="18"/>
        </w:rPr>
        <w:t>4</w:t>
      </w:r>
      <w:r>
        <w:rPr>
          <w:rFonts w:ascii="Microsoft JhengHei"/>
          <w:b/>
          <w:spacing w:val="-77"/>
          <w:w w:val="85"/>
          <w:sz w:val="18"/>
        </w:rPr>
        <w:t>0</w:t>
      </w:r>
      <w:r>
        <w:rPr>
          <w:rFonts w:ascii="Microsoft JhengHei"/>
          <w:b/>
          <w:spacing w:val="-15"/>
          <w:w w:val="85"/>
          <w:position w:val="7"/>
          <w:sz w:val="18"/>
        </w:rPr>
        <w:t>5</w:t>
      </w:r>
      <w:r>
        <w:rPr>
          <w:rFonts w:ascii="Microsoft JhengHei"/>
          <w:b/>
          <w:w w:val="99"/>
          <w:sz w:val="18"/>
        </w:rPr>
        <w:t>9,381,802.79</w:t>
      </w:r>
      <w:r>
        <w:rPr>
          <w:rFonts w:ascii="Microsoft JhengHei"/>
          <w:sz w:val="18"/>
        </w:rPr>
      </w:r>
    </w:p>
    <w:p>
      <w:pPr>
        <w:spacing w:line="223" w:lineRule="exact" w:before="0"/>
        <w:ind w:left="162" w:right="0" w:firstLine="0"/>
        <w:jc w:val="left"/>
        <w:rPr>
          <w:rFonts w:ascii="Microsoft JhengHei" w:hAnsi="Microsoft JhengHei" w:cs="Microsoft JhengHei" w:eastAsia="Microsoft JhengHei" w:hint="default"/>
          <w:sz w:val="18"/>
          <w:szCs w:val="18"/>
        </w:rPr>
      </w:pPr>
      <w:r>
        <w:rPr/>
        <w:br w:type="column"/>
      </w:r>
      <w:r>
        <w:rPr>
          <w:rFonts w:ascii="Microsoft JhengHei"/>
          <w:b/>
          <w:sz w:val="18"/>
        </w:rPr>
        <w:t>986,527,760.24</w:t>
      </w:r>
      <w:r>
        <w:rPr>
          <w:rFonts w:ascii="Microsoft JhengHei"/>
          <w:sz w:val="18"/>
        </w:rPr>
      </w:r>
    </w:p>
    <w:p>
      <w:pPr>
        <w:spacing w:after="0" w:line="223" w:lineRule="exact"/>
        <w:jc w:val="left"/>
        <w:rPr>
          <w:rFonts w:ascii="Microsoft JhengHei" w:hAnsi="Microsoft JhengHei" w:cs="Microsoft JhengHei" w:eastAsia="Microsoft JhengHei" w:hint="default"/>
          <w:sz w:val="18"/>
          <w:szCs w:val="18"/>
        </w:rPr>
        <w:sectPr>
          <w:type w:val="continuous"/>
          <w:pgSz w:w="11900" w:h="16840"/>
          <w:pgMar w:top="1060" w:bottom="1180" w:left="980" w:right="980"/>
          <w:cols w:num="3" w:equalWidth="0">
            <w:col w:w="2155" w:space="2991"/>
            <w:col w:w="2428" w:space="255"/>
            <w:col w:w="2111"/>
          </w:cols>
        </w:sectPr>
      </w:pPr>
    </w:p>
    <w:p>
      <w:pPr>
        <w:spacing w:line="240" w:lineRule="auto" w:before="6"/>
        <w:rPr>
          <w:rFonts w:ascii="Microsoft JhengHei" w:hAnsi="Microsoft JhengHei" w:cs="Microsoft JhengHei" w:eastAsia="Microsoft JhengHei" w:hint="default"/>
          <w:b/>
          <w:bCs/>
          <w:sz w:val="5"/>
          <w:szCs w:val="5"/>
        </w:rPr>
      </w:pPr>
    </w:p>
    <w:p>
      <w:pPr>
        <w:spacing w:line="38" w:lineRule="exact"/>
        <w:ind w:left="150" w:right="0" w:firstLine="0"/>
        <w:rPr>
          <w:rFonts w:ascii="Microsoft JhengHei" w:hAnsi="Microsoft JhengHei" w:cs="Microsoft JhengHei" w:eastAsia="Microsoft JhengHei" w:hint="default"/>
          <w:sz w:val="3"/>
          <w:szCs w:val="3"/>
        </w:rPr>
      </w:pPr>
      <w:r>
        <w:rPr>
          <w:rFonts w:ascii="Microsoft JhengHei" w:hAnsi="Microsoft JhengHei" w:cs="Microsoft JhengHei" w:eastAsia="Microsoft JhengHei" w:hint="default"/>
          <w:position w:val="0"/>
          <w:sz w:val="3"/>
          <w:szCs w:val="3"/>
        </w:rPr>
        <w:pict>
          <v:group style="width:456.25pt;height:1.95pt;mso-position-horizontal-relative:char;mso-position-vertical-relative:line" coordorigin="0,0" coordsize="9125,39">
            <v:group style="position:absolute;left:3732;top:7;width:3692;height:2" coordorigin="3732,7" coordsize="3692,2">
              <v:shape style="position:absolute;left:3732;top:7;width:3692;height:2" coordorigin="3732,7" coordsize="3692,0" path="m3732,7l7423,7e" filled="false" stroked="true" strokeweight=".72pt" strokecolor="#000000">
                <v:path arrowok="t"/>
              </v:shape>
            </v:group>
            <v:group style="position:absolute;left:7;top:31;width:3696;height:2" coordorigin="7,31" coordsize="3696,2">
              <v:shape style="position:absolute;left:7;top:31;width:3696;height:2" coordorigin="7,31" coordsize="3696,0" path="m7,31l3703,31e" filled="false" stroked="true" strokeweight=".72pt" strokecolor="#000000">
                <v:path arrowok="t"/>
              </v:shape>
            </v:group>
            <v:group style="position:absolute;left:3718;top:31;width:15;height:2" coordorigin="3718,31" coordsize="15,2">
              <v:shape style="position:absolute;left:3718;top:31;width:15;height:2" coordorigin="3718,31" coordsize="15,0" path="m3718,31l3732,31e" filled="false" stroked="true" strokeweight=".72pt" strokecolor="#000000">
                <v:path arrowok="t"/>
              </v:shape>
            </v:group>
            <v:group style="position:absolute;left:3732;top:31;width:1292;height:2" coordorigin="3732,31" coordsize="1292,2">
              <v:shape style="position:absolute;left:3732;top:31;width:1292;height:2" coordorigin="3732,31" coordsize="1292,0" path="m3732,31l5023,31e" filled="false" stroked="true" strokeweight=".72pt" strokecolor="#000000">
                <v:path arrowok="t"/>
              </v:shape>
            </v:group>
            <v:group style="position:absolute;left:5038;top:31;width:15;height:2" coordorigin="5038,31" coordsize="15,2">
              <v:shape style="position:absolute;left:5038;top:31;width:15;height:2" coordorigin="5038,31" coordsize="15,0" path="m5038,31l5052,31e" filled="false" stroked="true" strokeweight=".72pt" strokecolor="#000000">
                <v:path arrowok="t"/>
              </v:shape>
            </v:group>
            <v:group style="position:absolute;left:5052;top:31;width:1292;height:2" coordorigin="5052,31" coordsize="1292,2">
              <v:shape style="position:absolute;left:5052;top:31;width:1292;height:2" coordorigin="5052,31" coordsize="1292,0" path="m5052,31l6343,31e" filled="false" stroked="true" strokeweight=".72pt" strokecolor="#000000">
                <v:path arrowok="t"/>
              </v:shape>
            </v:group>
            <v:group style="position:absolute;left:6358;top:31;width:15;height:2" coordorigin="6358,31" coordsize="15,2">
              <v:shape style="position:absolute;left:6358;top:31;width:15;height:2" coordorigin="6358,31" coordsize="15,0" path="m6358,31l6372,31e" filled="false" stroked="true" strokeweight=".72pt" strokecolor="#000000">
                <v:path arrowok="t"/>
              </v:shape>
            </v:group>
            <v:group style="position:absolute;left:6372;top:31;width:1287;height:2" coordorigin="6372,31" coordsize="1287,2">
              <v:shape style="position:absolute;left:6372;top:31;width:1287;height:2" coordorigin="6372,31" coordsize="1287,0" path="m6372,31l7658,31e" filled="false" stroked="true" strokeweight=".72pt" strokecolor="#000000">
                <v:path arrowok="t"/>
              </v:shape>
            </v:group>
            <v:group style="position:absolute;left:7673;top:31;width:15;height:2" coordorigin="7673,31" coordsize="15,2">
              <v:shape style="position:absolute;left:7673;top:31;width:15;height:2" coordorigin="7673,31" coordsize="15,0" path="m7673,31l7687,31e" filled="false" stroked="true" strokeweight=".72pt" strokecolor="#000000">
                <v:path arrowok="t"/>
              </v:shape>
            </v:group>
            <v:group style="position:absolute;left:7687;top:31;width:1431;height:2" coordorigin="7687,31" coordsize="1431,2">
              <v:shape style="position:absolute;left:7687;top:31;width:1431;height:2" coordorigin="7687,31" coordsize="1431,0" path="m7687,31l9118,31e" filled="false" stroked="true" strokeweight=".72pt" strokecolor="#000000">
                <v:path arrowok="t"/>
              </v:shape>
            </v:group>
          </v:group>
        </w:pict>
      </w:r>
      <w:r>
        <w:rPr>
          <w:rFonts w:ascii="Microsoft JhengHei" w:hAnsi="Microsoft JhengHei" w:cs="Microsoft JhengHei" w:eastAsia="Microsoft JhengHei" w:hint="default"/>
          <w:position w:val="0"/>
          <w:sz w:val="3"/>
          <w:szCs w:val="3"/>
        </w:rPr>
      </w:r>
    </w:p>
    <w:p>
      <w:pPr>
        <w:spacing w:line="240" w:lineRule="auto" w:before="17"/>
        <w:rPr>
          <w:rFonts w:ascii="Microsoft JhengHei" w:hAnsi="Microsoft JhengHei" w:cs="Microsoft JhengHei" w:eastAsia="Microsoft JhengHei" w:hint="default"/>
          <w:b/>
          <w:bCs/>
          <w:sz w:val="3"/>
          <w:szCs w:val="3"/>
        </w:rPr>
      </w:pPr>
    </w:p>
    <w:p>
      <w:pPr>
        <w:pStyle w:val="BodyText"/>
        <w:spacing w:line="273" w:lineRule="auto" w:before="36"/>
        <w:ind w:right="0"/>
        <w:jc w:val="left"/>
      </w:pPr>
      <w:r>
        <w:rPr>
          <w:spacing w:val="-2"/>
        </w:rPr>
        <w:t>期初本集团持有的金融负债和表外担保项目按未折现剩余合同现金流量的到期期限分析如下（单位：人民</w:t>
      </w:r>
      <w:r>
        <w:rPr>
          <w:spacing w:val="-35"/>
        </w:rPr>
        <w:t> </w:t>
      </w:r>
      <w:r>
        <w:rPr>
          <w:spacing w:val="-35"/>
        </w:rPr>
      </w:r>
      <w:r>
        <w:rPr/>
        <w:t>币元）：</w:t>
      </w:r>
    </w:p>
    <w:p>
      <w:pPr>
        <w:spacing w:line="240" w:lineRule="auto" w:before="3"/>
        <w:rPr>
          <w:rFonts w:ascii="宋体" w:hAnsi="宋体" w:cs="宋体" w:eastAsia="宋体" w:hint="default"/>
          <w:sz w:val="18"/>
          <w:szCs w:val="18"/>
        </w:rPr>
      </w:pPr>
    </w:p>
    <w:p>
      <w:pPr>
        <w:spacing w:line="20" w:lineRule="exact"/>
        <w:ind w:left="148" w:right="0" w:firstLine="0"/>
        <w:rPr>
          <w:rFonts w:ascii="宋体" w:hAnsi="宋体" w:cs="宋体" w:eastAsia="宋体" w:hint="default"/>
          <w:sz w:val="2"/>
          <w:szCs w:val="2"/>
        </w:rPr>
      </w:pPr>
      <w:r>
        <w:rPr>
          <w:rFonts w:ascii="宋体" w:hAnsi="宋体" w:cs="宋体" w:eastAsia="宋体" w:hint="default"/>
          <w:sz w:val="2"/>
          <w:szCs w:val="2"/>
        </w:rPr>
        <w:pict>
          <v:group style="width:456.5pt;height:1pt;mso-position-horizontal-relative:char;mso-position-vertical-relative:line" coordorigin="0,0" coordsize="9130,20">
            <v:group style="position:absolute;left:10;top:10;width:3653;height:2" coordorigin="10,10" coordsize="3653,2">
              <v:shape style="position:absolute;left:10;top:10;width:3653;height:2" coordorigin="10,10" coordsize="3653,0" path="m10,10l3662,10e" filled="false" stroked="true" strokeweight=".96pt" strokecolor="#000000">
                <v:path arrowok="t"/>
              </v:shape>
            </v:group>
            <v:group style="position:absolute;left:3662;top:10;width:20;height:2" coordorigin="3662,10" coordsize="20,2">
              <v:shape style="position:absolute;left:3662;top:10;width:20;height:2" coordorigin="3662,10" coordsize="20,0" path="m3662,10l3682,10e" filled="false" stroked="true" strokeweight=".96pt" strokecolor="#000000">
                <v:path arrowok="t"/>
              </v:shape>
            </v:group>
            <v:group style="position:absolute;left:3682;top:10;width:5439;height:2" coordorigin="3682,10" coordsize="5439,2">
              <v:shape style="position:absolute;left:3682;top:10;width:5439;height:2" coordorigin="3682,10" coordsize="5439,0" path="m3682,10l9120,10e" filled="false" stroked="true" strokeweight=".96pt" strokecolor="#000000">
                <v:path arrowok="t"/>
              </v:shape>
            </v:group>
          </v:group>
        </w:pict>
      </w:r>
      <w:r>
        <w:rPr>
          <w:rFonts w:ascii="宋体" w:hAnsi="宋体" w:cs="宋体" w:eastAsia="宋体" w:hint="default"/>
          <w:sz w:val="2"/>
          <w:szCs w:val="2"/>
        </w:rPr>
      </w:r>
    </w:p>
    <w:p>
      <w:pPr>
        <w:tabs>
          <w:tab w:pos="6272" w:val="left" w:leader="none"/>
        </w:tabs>
        <w:spacing w:line="275" w:lineRule="exact" w:before="0"/>
        <w:ind w:left="162" w:right="0" w:firstLine="0"/>
        <w:jc w:val="left"/>
        <w:rPr>
          <w:rFonts w:ascii="Microsoft JhengHei" w:hAnsi="Microsoft JhengHei" w:cs="Microsoft JhengHei" w:eastAsia="Microsoft JhengHei" w:hint="default"/>
          <w:sz w:val="18"/>
          <w:szCs w:val="18"/>
        </w:rPr>
      </w:pPr>
      <w:r>
        <w:rPr/>
        <w:pict>
          <v:group style="position:absolute;margin-left:239.039993pt;margin-top:16.760pt;width:273.850pt;height:1pt;mso-position-horizontal-relative:page;mso-position-vertical-relative:paragraph;z-index:-1068568" coordorigin="4781,335" coordsize="5477,20">
            <v:group style="position:absolute;left:4790;top:345;width:1364;height:2" coordorigin="4790,345" coordsize="1364,2">
              <v:shape style="position:absolute;left:4790;top:345;width:1364;height:2" coordorigin="4790,345" coordsize="1364,0" path="m4790,345l6154,345e" filled="false" stroked="true" strokeweight=".96pt" strokecolor="#000000">
                <v:path arrowok="t"/>
              </v:shape>
            </v:group>
            <v:group style="position:absolute;left:6154;top:345;width:20;height:2" coordorigin="6154,345" coordsize="20,2">
              <v:shape style="position:absolute;left:6154;top:345;width:20;height:2" coordorigin="6154,345" coordsize="20,0" path="m6154,345l6173,345e" filled="false" stroked="true" strokeweight=".96pt" strokecolor="#000000">
                <v:path arrowok="t"/>
              </v:shape>
            </v:group>
            <v:group style="position:absolute;left:6173;top:345;width:1292;height:2" coordorigin="6173,345" coordsize="1292,2">
              <v:shape style="position:absolute;left:6173;top:345;width:1292;height:2" coordorigin="6173,345" coordsize="1292,0" path="m6173,345l7464,345e" filled="false" stroked="true" strokeweight=".96pt" strokecolor="#000000">
                <v:path arrowok="t"/>
              </v:shape>
            </v:group>
            <v:group style="position:absolute;left:7464;top:345;width:20;height:2" coordorigin="7464,345" coordsize="20,2">
              <v:shape style="position:absolute;left:7464;top:345;width:20;height:2" coordorigin="7464,345" coordsize="20,0" path="m7464,345l7483,345e" filled="false" stroked="true" strokeweight=".96pt" strokecolor="#000000">
                <v:path arrowok="t"/>
              </v:shape>
            </v:group>
            <v:group style="position:absolute;left:7483;top:345;width:1296;height:2" coordorigin="7483,345" coordsize="1296,2">
              <v:shape style="position:absolute;left:7483;top:345;width:1296;height:2" coordorigin="7483,345" coordsize="1296,0" path="m7483,345l8779,345e" filled="false" stroked="true" strokeweight=".96pt" strokecolor="#000000">
                <v:path arrowok="t"/>
              </v:shape>
            </v:group>
            <v:group style="position:absolute;left:8779;top:345;width:20;height:2" coordorigin="8779,345" coordsize="20,2">
              <v:shape style="position:absolute;left:8779;top:345;width:20;height:2" coordorigin="8779,345" coordsize="20,0" path="m8779,345l8798,345e" filled="false" stroked="true" strokeweight=".96pt" strokecolor="#000000">
                <v:path arrowok="t"/>
              </v:shape>
            </v:group>
            <v:group style="position:absolute;left:8798;top:345;width:1450;height:2" coordorigin="8798,345" coordsize="1450,2">
              <v:shape style="position:absolute;left:8798;top:345;width:1450;height:2" coordorigin="8798,345" coordsize="1450,0" path="m8798,345l10248,345e" filled="false" stroked="true" strokeweight=".96pt" strokecolor="#000000">
                <v:path arrowok="t"/>
              </v:shape>
            </v:group>
            <w10:wrap type="none"/>
          </v:group>
        </w:pict>
      </w:r>
      <w:r>
        <w:rPr/>
        <w:pict>
          <v:group style="position:absolute;margin-left:56.400002pt;margin-top:34.279999pt;width:456.5pt;height:1pt;mso-position-horizontal-relative:page;mso-position-vertical-relative:paragraph;z-index:-1068544" coordorigin="1128,686" coordsize="9130,20">
            <v:group style="position:absolute;left:1138;top:695;width:3653;height:2" coordorigin="1138,695" coordsize="3653,2">
              <v:shape style="position:absolute;left:1138;top:695;width:3653;height:2" coordorigin="1138,695" coordsize="3653,0" path="m1138,695l4790,695e" filled="false" stroked="true" strokeweight=".96pt" strokecolor="#000000">
                <v:path arrowok="t"/>
              </v:shape>
            </v:group>
            <v:group style="position:absolute;left:4790;top:695;width:20;height:2" coordorigin="4790,695" coordsize="20,2">
              <v:shape style="position:absolute;left:4790;top:695;width:20;height:2" coordorigin="4790,695" coordsize="20,0" path="m4790,695l4810,695e" filled="false" stroked="true" strokeweight=".96pt" strokecolor="#000000">
                <v:path arrowok="t"/>
              </v:shape>
            </v:group>
            <v:group style="position:absolute;left:4810;top:695;width:1344;height:2" coordorigin="4810,695" coordsize="1344,2">
              <v:shape style="position:absolute;left:4810;top:695;width:1344;height:2" coordorigin="4810,695" coordsize="1344,0" path="m4810,695l6154,695e" filled="false" stroked="true" strokeweight=".96pt" strokecolor="#000000">
                <v:path arrowok="t"/>
              </v:shape>
            </v:group>
            <v:group style="position:absolute;left:6154;top:695;width:20;height:2" coordorigin="6154,695" coordsize="20,2">
              <v:shape style="position:absolute;left:6154;top:695;width:20;height:2" coordorigin="6154,695" coordsize="20,0" path="m6154,695l6173,695e" filled="false" stroked="true" strokeweight=".96pt" strokecolor="#000000">
                <v:path arrowok="t"/>
              </v:shape>
            </v:group>
            <v:group style="position:absolute;left:6173;top:695;width:1292;height:2" coordorigin="6173,695" coordsize="1292,2">
              <v:shape style="position:absolute;left:6173;top:695;width:1292;height:2" coordorigin="6173,695" coordsize="1292,0" path="m6173,695l7464,695e" filled="false" stroked="true" strokeweight=".96pt" strokecolor="#000000">
                <v:path arrowok="t"/>
              </v:shape>
            </v:group>
            <v:group style="position:absolute;left:7464;top:695;width:20;height:2" coordorigin="7464,695" coordsize="20,2">
              <v:shape style="position:absolute;left:7464;top:695;width:20;height:2" coordorigin="7464,695" coordsize="20,0" path="m7464,695l7483,695e" filled="false" stroked="true" strokeweight=".96pt" strokecolor="#000000">
                <v:path arrowok="t"/>
              </v:shape>
            </v:group>
            <v:group style="position:absolute;left:7483;top:695;width:1296;height:2" coordorigin="7483,695" coordsize="1296,2">
              <v:shape style="position:absolute;left:7483;top:695;width:1296;height:2" coordorigin="7483,695" coordsize="1296,0" path="m7483,695l8779,695e" filled="false" stroked="true" strokeweight=".96pt" strokecolor="#000000">
                <v:path arrowok="t"/>
              </v:shape>
            </v:group>
            <v:group style="position:absolute;left:8779;top:695;width:20;height:2" coordorigin="8779,695" coordsize="20,2">
              <v:shape style="position:absolute;left:8779;top:695;width:20;height:2" coordorigin="8779,695" coordsize="20,0" path="m8779,695l8798,695e" filled="false" stroked="true" strokeweight=".96pt" strokecolor="#000000">
                <v:path arrowok="t"/>
              </v:shape>
            </v:group>
            <v:group style="position:absolute;left:8798;top:695;width:1450;height:2" coordorigin="8798,695" coordsize="1450,2">
              <v:shape style="position:absolute;left:8798;top:695;width:1450;height:2" coordorigin="8798,695" coordsize="1450,0" path="m8798,695l10248,695e" filled="false" stroked="true" strokeweight=".96pt" strokecolor="#000000">
                <v:path arrowok="t"/>
              </v:shape>
            </v:group>
            <w10:wrap type="none"/>
          </v:group>
        </w:pict>
      </w:r>
      <w:r>
        <w:rPr>
          <w:rFonts w:ascii="Microsoft JhengHei" w:hAnsi="Microsoft JhengHei" w:cs="Microsoft JhengHei" w:eastAsia="Microsoft JhengHei" w:hint="default"/>
          <w:b/>
          <w:bCs/>
          <w:sz w:val="18"/>
          <w:szCs w:val="18"/>
        </w:rPr>
        <w:t>项 </w:t>
      </w:r>
      <w:r>
        <w:rPr>
          <w:rFonts w:ascii="Microsoft JhengHei" w:hAnsi="Microsoft JhengHei" w:cs="Microsoft JhengHei" w:eastAsia="Microsoft JhengHei" w:hint="default"/>
          <w:b/>
          <w:bCs/>
          <w:spacing w:val="5"/>
          <w:sz w:val="18"/>
          <w:szCs w:val="18"/>
        </w:rPr>
        <w:t> </w:t>
      </w:r>
      <w:r>
        <w:rPr>
          <w:rFonts w:ascii="Microsoft JhengHei" w:hAnsi="Microsoft JhengHei" w:cs="Microsoft JhengHei" w:eastAsia="Microsoft JhengHei" w:hint="default"/>
          <w:b/>
          <w:bCs/>
          <w:sz w:val="18"/>
          <w:szCs w:val="18"/>
        </w:rPr>
        <w:t>目</w:t>
        <w:tab/>
        <w:t>期初数</w:t>
      </w:r>
      <w:r>
        <w:rPr>
          <w:rFonts w:ascii="Microsoft JhengHei" w:hAnsi="Microsoft JhengHei" w:cs="Microsoft JhengHei" w:eastAsia="Microsoft JhengHei" w:hint="default"/>
          <w:sz w:val="18"/>
          <w:szCs w:val="18"/>
        </w:rPr>
      </w:r>
    </w:p>
    <w:p>
      <w:pPr>
        <w:spacing w:line="240" w:lineRule="auto" w:before="17"/>
        <w:rPr>
          <w:rFonts w:ascii="Microsoft JhengHei" w:hAnsi="Microsoft JhengHei" w:cs="Microsoft JhengHei" w:eastAsia="Microsoft JhengHei" w:hint="default"/>
          <w:b/>
          <w:bCs/>
          <w:sz w:val="3"/>
          <w:szCs w:val="3"/>
        </w:rPr>
      </w:pPr>
    </w:p>
    <w:tbl>
      <w:tblPr>
        <w:tblW w:w="0" w:type="auto"/>
        <w:jc w:val="left"/>
        <w:tblInd w:w="157" w:type="dxa"/>
        <w:tblLayout w:type="fixed"/>
        <w:tblCellMar>
          <w:top w:w="0" w:type="dxa"/>
          <w:left w:w="0" w:type="dxa"/>
          <w:bottom w:w="0" w:type="dxa"/>
          <w:right w:w="0" w:type="dxa"/>
        </w:tblCellMar>
        <w:tblLook w:val="01E0"/>
      </w:tblPr>
      <w:tblGrid>
        <w:gridCol w:w="2865"/>
        <w:gridCol w:w="2213"/>
        <w:gridCol w:w="1799"/>
        <w:gridCol w:w="861"/>
        <w:gridCol w:w="1408"/>
      </w:tblGrid>
      <w:tr>
        <w:trPr>
          <w:trHeight w:val="350" w:hRule="exact"/>
        </w:trPr>
        <w:tc>
          <w:tcPr>
            <w:tcW w:w="7738" w:type="dxa"/>
            <w:gridSpan w:val="4"/>
            <w:tcBorders>
              <w:top w:val="nil" w:sz="6" w:space="0" w:color="auto"/>
              <w:left w:val="nil" w:sz="6" w:space="0" w:color="auto"/>
              <w:bottom w:val="nil" w:sz="6" w:space="0" w:color="auto"/>
              <w:right w:val="nil" w:sz="6" w:space="0" w:color="auto"/>
            </w:tcBorders>
          </w:tcPr>
          <w:p>
            <w:pPr>
              <w:pStyle w:val="TableParagraph"/>
              <w:tabs>
                <w:tab w:pos="6911" w:val="left" w:leader="none"/>
              </w:tabs>
              <w:spacing w:line="286" w:lineRule="exact"/>
              <w:ind w:left="4281"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一年以内</w:t>
            </w:r>
            <w:r>
              <w:rPr>
                <w:rFonts w:ascii="Microsoft JhengHei" w:hAnsi="Microsoft JhengHei" w:cs="Microsoft JhengHei" w:eastAsia="Microsoft JhengHei" w:hint="default"/>
                <w:b/>
                <w:bCs/>
                <w:spacing w:val="22"/>
                <w:sz w:val="18"/>
                <w:szCs w:val="18"/>
              </w:rPr>
              <w:t> </w:t>
            </w:r>
            <w:r>
              <w:rPr>
                <w:rFonts w:ascii="Microsoft JhengHei" w:hAnsi="Microsoft JhengHei" w:cs="Microsoft JhengHei" w:eastAsia="Microsoft JhengHei" w:hint="default"/>
                <w:b/>
                <w:bCs/>
                <w:sz w:val="18"/>
                <w:szCs w:val="18"/>
              </w:rPr>
              <w:t>一年至五年以内</w:t>
              <w:tab/>
              <w:t>五年以上</w:t>
            </w:r>
            <w:r>
              <w:rPr>
                <w:rFonts w:ascii="Microsoft JhengHei" w:hAnsi="Microsoft JhengHei" w:cs="Microsoft JhengHei" w:eastAsia="Microsoft JhengHei" w:hint="default"/>
                <w:sz w:val="18"/>
                <w:szCs w:val="18"/>
              </w:rPr>
            </w:r>
          </w:p>
        </w:tc>
        <w:tc>
          <w:tcPr>
            <w:tcW w:w="1408" w:type="dxa"/>
            <w:tcBorders>
              <w:top w:val="nil" w:sz="6" w:space="0" w:color="auto"/>
              <w:left w:val="nil" w:sz="6" w:space="0" w:color="auto"/>
              <w:bottom w:val="nil" w:sz="6" w:space="0" w:color="auto"/>
              <w:right w:val="nil" w:sz="6" w:space="0" w:color="auto"/>
            </w:tcBorders>
          </w:tcPr>
          <w:p>
            <w:pPr>
              <w:pStyle w:val="TableParagraph"/>
              <w:spacing w:line="286" w:lineRule="exact"/>
              <w:ind w:left="825"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   </w:t>
            </w:r>
            <w:r>
              <w:rPr>
                <w:rFonts w:ascii="Microsoft JhengHei" w:hAnsi="Microsoft JhengHei" w:cs="Microsoft JhengHei" w:eastAsia="Microsoft JhengHei" w:hint="default"/>
                <w:b/>
                <w:bCs/>
                <w:spacing w:val="6"/>
                <w:sz w:val="18"/>
                <w:szCs w:val="18"/>
              </w:rPr>
              <w:t> </w:t>
            </w:r>
            <w:r>
              <w:rPr>
                <w:rFonts w:ascii="Microsoft JhengHei" w:hAnsi="Microsoft JhengHei" w:cs="Microsoft JhengHei" w:eastAsia="Microsoft JhengHei" w:hint="default"/>
                <w:b/>
                <w:bCs/>
                <w:sz w:val="18"/>
                <w:szCs w:val="18"/>
              </w:rPr>
              <w:t>计</w:t>
            </w:r>
            <w:r>
              <w:rPr>
                <w:rFonts w:ascii="Microsoft JhengHei" w:hAnsi="Microsoft JhengHei" w:cs="Microsoft JhengHei" w:eastAsia="Microsoft JhengHei" w:hint="default"/>
                <w:sz w:val="18"/>
                <w:szCs w:val="18"/>
              </w:rPr>
            </w:r>
          </w:p>
        </w:tc>
      </w:tr>
      <w:tr>
        <w:trPr>
          <w:trHeight w:val="350" w:hRule="exact"/>
        </w:trPr>
        <w:tc>
          <w:tcPr>
            <w:tcW w:w="2865" w:type="dxa"/>
            <w:tcBorders>
              <w:top w:val="nil" w:sz="6" w:space="0" w:color="auto"/>
              <w:left w:val="nil" w:sz="6" w:space="0" w:color="auto"/>
              <w:bottom w:val="single" w:sz="8" w:space="0" w:color="000000"/>
              <w:right w:val="nil" w:sz="6" w:space="0" w:color="auto"/>
            </w:tcBorders>
          </w:tcPr>
          <w:p>
            <w:pPr>
              <w:pStyle w:val="TableParagraph"/>
              <w:spacing w:line="240" w:lineRule="auto" w:before="29"/>
              <w:ind w:left="4"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2213" w:type="dxa"/>
            <w:tcBorders>
              <w:top w:val="nil" w:sz="6" w:space="0" w:color="auto"/>
              <w:left w:val="nil" w:sz="6" w:space="0" w:color="auto"/>
              <w:bottom w:val="single" w:sz="8" w:space="0" w:color="000000"/>
              <w:right w:val="nil" w:sz="6" w:space="0" w:color="auto"/>
            </w:tcBorders>
          </w:tcPr>
          <w:p>
            <w:pPr/>
          </w:p>
        </w:tc>
        <w:tc>
          <w:tcPr>
            <w:tcW w:w="1799" w:type="dxa"/>
            <w:tcBorders>
              <w:top w:val="nil" w:sz="6" w:space="0" w:color="auto"/>
              <w:left w:val="nil" w:sz="6" w:space="0" w:color="auto"/>
              <w:bottom w:val="single" w:sz="8" w:space="0" w:color="000000"/>
              <w:right w:val="nil" w:sz="6" w:space="0" w:color="auto"/>
            </w:tcBorders>
          </w:tcPr>
          <w:p>
            <w:pPr/>
          </w:p>
        </w:tc>
        <w:tc>
          <w:tcPr>
            <w:tcW w:w="2268" w:type="dxa"/>
            <w:gridSpan w:val="2"/>
            <w:tcBorders>
              <w:top w:val="nil" w:sz="6" w:space="0" w:color="auto"/>
              <w:left w:val="nil" w:sz="6" w:space="0" w:color="auto"/>
              <w:bottom w:val="single" w:sz="8" w:space="0" w:color="000000"/>
              <w:right w:val="nil" w:sz="6" w:space="0" w:color="auto"/>
            </w:tcBorders>
          </w:tcPr>
          <w:p>
            <w:pPr/>
          </w:p>
        </w:tc>
      </w:tr>
      <w:tr>
        <w:trPr>
          <w:trHeight w:val="355" w:hRule="exact"/>
        </w:trPr>
        <w:tc>
          <w:tcPr>
            <w:tcW w:w="286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213"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65"/>
              <w:jc w:val="right"/>
              <w:rPr>
                <w:rFonts w:ascii="宋体" w:hAnsi="宋体" w:cs="宋体" w:eastAsia="宋体" w:hint="default"/>
                <w:sz w:val="18"/>
                <w:szCs w:val="18"/>
              </w:rPr>
            </w:pPr>
            <w:r>
              <w:rPr>
                <w:rFonts w:ascii="宋体"/>
                <w:spacing w:val="-2"/>
                <w:sz w:val="18"/>
              </w:rPr>
              <w:t>167,500,000.00</w:t>
            </w:r>
          </w:p>
        </w:tc>
        <w:tc>
          <w:tcPr>
            <w:tcW w:w="1799" w:type="dxa"/>
            <w:tcBorders>
              <w:top w:val="single" w:sz="8" w:space="0" w:color="000000"/>
              <w:left w:val="nil" w:sz="6" w:space="0" w:color="auto"/>
              <w:bottom w:val="single" w:sz="8" w:space="0" w:color="000000"/>
              <w:right w:val="nil" w:sz="6" w:space="0" w:color="auto"/>
            </w:tcBorders>
          </w:tcPr>
          <w:p>
            <w:pPr/>
          </w:p>
        </w:tc>
        <w:tc>
          <w:tcPr>
            <w:tcW w:w="2268" w:type="dxa"/>
            <w:gridSpan w:val="2"/>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970" w:right="0"/>
              <w:jc w:val="left"/>
              <w:rPr>
                <w:rFonts w:ascii="宋体" w:hAnsi="宋体" w:cs="宋体" w:eastAsia="宋体" w:hint="default"/>
                <w:sz w:val="18"/>
                <w:szCs w:val="18"/>
              </w:rPr>
            </w:pPr>
            <w:r>
              <w:rPr>
                <w:rFonts w:ascii="宋体"/>
                <w:sz w:val="18"/>
              </w:rPr>
              <w:t>167,500,000.00</w:t>
            </w:r>
          </w:p>
        </w:tc>
      </w:tr>
      <w:tr>
        <w:trPr>
          <w:trHeight w:val="350" w:hRule="exact"/>
        </w:trPr>
        <w:tc>
          <w:tcPr>
            <w:tcW w:w="286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213"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65"/>
              <w:jc w:val="right"/>
              <w:rPr>
                <w:rFonts w:ascii="宋体" w:hAnsi="宋体" w:cs="宋体" w:eastAsia="宋体" w:hint="default"/>
                <w:sz w:val="18"/>
                <w:szCs w:val="18"/>
              </w:rPr>
            </w:pPr>
            <w:r>
              <w:rPr>
                <w:rFonts w:ascii="宋体"/>
                <w:spacing w:val="-1"/>
                <w:sz w:val="18"/>
              </w:rPr>
              <w:t>35,143,038.38</w:t>
            </w:r>
          </w:p>
        </w:tc>
        <w:tc>
          <w:tcPr>
            <w:tcW w:w="1799" w:type="dxa"/>
            <w:tcBorders>
              <w:top w:val="single" w:sz="8" w:space="0" w:color="000000"/>
              <w:left w:val="nil" w:sz="6" w:space="0" w:color="auto"/>
              <w:bottom w:val="single" w:sz="8" w:space="0" w:color="000000"/>
              <w:right w:val="nil" w:sz="6" w:space="0" w:color="auto"/>
            </w:tcBorders>
          </w:tcPr>
          <w:p>
            <w:pPr/>
          </w:p>
        </w:tc>
        <w:tc>
          <w:tcPr>
            <w:tcW w:w="2268" w:type="dxa"/>
            <w:gridSpan w:val="2"/>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1057" w:right="0"/>
              <w:jc w:val="left"/>
              <w:rPr>
                <w:rFonts w:ascii="宋体" w:hAnsi="宋体" w:cs="宋体" w:eastAsia="宋体" w:hint="default"/>
                <w:sz w:val="18"/>
                <w:szCs w:val="18"/>
              </w:rPr>
            </w:pPr>
            <w:r>
              <w:rPr>
                <w:rFonts w:ascii="宋体"/>
                <w:sz w:val="18"/>
              </w:rPr>
              <w:t>35,143,038.38</w:t>
            </w:r>
          </w:p>
        </w:tc>
      </w:tr>
      <w:tr>
        <w:trPr>
          <w:trHeight w:val="350" w:hRule="exact"/>
        </w:trPr>
        <w:tc>
          <w:tcPr>
            <w:tcW w:w="286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213"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65"/>
              <w:jc w:val="right"/>
              <w:rPr>
                <w:rFonts w:ascii="宋体" w:hAnsi="宋体" w:cs="宋体" w:eastAsia="宋体" w:hint="default"/>
                <w:sz w:val="18"/>
                <w:szCs w:val="18"/>
              </w:rPr>
            </w:pPr>
            <w:r>
              <w:rPr>
                <w:rFonts w:ascii="宋体"/>
                <w:spacing w:val="-2"/>
                <w:sz w:val="18"/>
              </w:rPr>
              <w:t>138,983,028.26</w:t>
            </w:r>
          </w:p>
        </w:tc>
        <w:tc>
          <w:tcPr>
            <w:tcW w:w="1799"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76" w:right="0"/>
              <w:jc w:val="left"/>
              <w:rPr>
                <w:rFonts w:ascii="宋体" w:hAnsi="宋体" w:cs="宋体" w:eastAsia="宋体" w:hint="default"/>
                <w:sz w:val="18"/>
                <w:szCs w:val="18"/>
              </w:rPr>
            </w:pPr>
            <w:r>
              <w:rPr>
                <w:rFonts w:ascii="宋体"/>
                <w:sz w:val="18"/>
              </w:rPr>
              <w:t>24,449,685.30</w:t>
            </w:r>
          </w:p>
        </w:tc>
        <w:tc>
          <w:tcPr>
            <w:tcW w:w="2268" w:type="dxa"/>
            <w:gridSpan w:val="2"/>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970" w:right="0"/>
              <w:jc w:val="left"/>
              <w:rPr>
                <w:rFonts w:ascii="宋体" w:hAnsi="宋体" w:cs="宋体" w:eastAsia="宋体" w:hint="default"/>
                <w:sz w:val="18"/>
                <w:szCs w:val="18"/>
              </w:rPr>
            </w:pPr>
            <w:r>
              <w:rPr>
                <w:rFonts w:ascii="宋体"/>
                <w:sz w:val="18"/>
              </w:rPr>
              <w:t>163,432,713.56</w:t>
            </w:r>
          </w:p>
        </w:tc>
      </w:tr>
      <w:tr>
        <w:trPr>
          <w:trHeight w:val="355" w:hRule="exact"/>
        </w:trPr>
        <w:tc>
          <w:tcPr>
            <w:tcW w:w="286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213"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65"/>
              <w:jc w:val="right"/>
              <w:rPr>
                <w:rFonts w:ascii="宋体" w:hAnsi="宋体" w:cs="宋体" w:eastAsia="宋体" w:hint="default"/>
                <w:sz w:val="18"/>
                <w:szCs w:val="18"/>
              </w:rPr>
            </w:pPr>
            <w:r>
              <w:rPr>
                <w:rFonts w:ascii="宋体"/>
                <w:spacing w:val="-1"/>
                <w:sz w:val="18"/>
              </w:rPr>
              <w:t>29,469,772.60</w:t>
            </w:r>
          </w:p>
        </w:tc>
        <w:tc>
          <w:tcPr>
            <w:tcW w:w="1799" w:type="dxa"/>
            <w:tcBorders>
              <w:top w:val="single" w:sz="8" w:space="0" w:color="000000"/>
              <w:left w:val="nil" w:sz="6" w:space="0" w:color="auto"/>
              <w:bottom w:val="single" w:sz="8" w:space="0" w:color="000000"/>
              <w:right w:val="nil" w:sz="6" w:space="0" w:color="auto"/>
            </w:tcBorders>
          </w:tcPr>
          <w:p>
            <w:pPr/>
          </w:p>
        </w:tc>
        <w:tc>
          <w:tcPr>
            <w:tcW w:w="2268" w:type="dxa"/>
            <w:gridSpan w:val="2"/>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1057" w:right="0"/>
              <w:jc w:val="left"/>
              <w:rPr>
                <w:rFonts w:ascii="宋体" w:hAnsi="宋体" w:cs="宋体" w:eastAsia="宋体" w:hint="default"/>
                <w:sz w:val="18"/>
                <w:szCs w:val="18"/>
              </w:rPr>
            </w:pPr>
            <w:r>
              <w:rPr>
                <w:rFonts w:ascii="宋体"/>
                <w:sz w:val="18"/>
              </w:rPr>
              <w:t>29,469,772.60</w:t>
            </w:r>
          </w:p>
        </w:tc>
      </w:tr>
      <w:tr>
        <w:trPr>
          <w:trHeight w:val="350" w:hRule="exact"/>
        </w:trPr>
        <w:tc>
          <w:tcPr>
            <w:tcW w:w="286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2213"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65"/>
              <w:jc w:val="right"/>
              <w:rPr>
                <w:rFonts w:ascii="宋体" w:hAnsi="宋体" w:cs="宋体" w:eastAsia="宋体" w:hint="default"/>
                <w:sz w:val="18"/>
                <w:szCs w:val="18"/>
              </w:rPr>
            </w:pPr>
            <w:r>
              <w:rPr>
                <w:rFonts w:ascii="宋体"/>
                <w:spacing w:val="-1"/>
                <w:sz w:val="18"/>
              </w:rPr>
              <w:t>9,967,726.11</w:t>
            </w:r>
          </w:p>
        </w:tc>
        <w:tc>
          <w:tcPr>
            <w:tcW w:w="1799" w:type="dxa"/>
            <w:tcBorders>
              <w:top w:val="single" w:sz="8" w:space="0" w:color="000000"/>
              <w:left w:val="nil" w:sz="6" w:space="0" w:color="auto"/>
              <w:bottom w:val="single" w:sz="8" w:space="0" w:color="000000"/>
              <w:right w:val="nil" w:sz="6" w:space="0" w:color="auto"/>
            </w:tcBorders>
          </w:tcPr>
          <w:p>
            <w:pPr/>
          </w:p>
        </w:tc>
        <w:tc>
          <w:tcPr>
            <w:tcW w:w="2268" w:type="dxa"/>
            <w:gridSpan w:val="2"/>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1148" w:right="0"/>
              <w:jc w:val="left"/>
              <w:rPr>
                <w:rFonts w:ascii="宋体" w:hAnsi="宋体" w:cs="宋体" w:eastAsia="宋体" w:hint="default"/>
                <w:sz w:val="18"/>
                <w:szCs w:val="18"/>
              </w:rPr>
            </w:pPr>
            <w:r>
              <w:rPr>
                <w:rFonts w:ascii="宋体"/>
                <w:sz w:val="18"/>
              </w:rPr>
              <w:t>9,967,726.11</w:t>
            </w:r>
          </w:p>
        </w:tc>
      </w:tr>
      <w:tr>
        <w:trPr>
          <w:trHeight w:val="350" w:hRule="exact"/>
        </w:trPr>
        <w:tc>
          <w:tcPr>
            <w:tcW w:w="286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2213"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65"/>
              <w:jc w:val="right"/>
              <w:rPr>
                <w:rFonts w:ascii="宋体" w:hAnsi="宋体" w:cs="宋体" w:eastAsia="宋体" w:hint="default"/>
                <w:sz w:val="18"/>
                <w:szCs w:val="18"/>
              </w:rPr>
            </w:pPr>
            <w:r>
              <w:rPr>
                <w:rFonts w:ascii="宋体"/>
                <w:spacing w:val="-1"/>
                <w:sz w:val="18"/>
              </w:rPr>
              <w:t>6,207,733.06</w:t>
            </w:r>
          </w:p>
        </w:tc>
        <w:tc>
          <w:tcPr>
            <w:tcW w:w="1799" w:type="dxa"/>
            <w:tcBorders>
              <w:top w:val="single" w:sz="8" w:space="0" w:color="000000"/>
              <w:left w:val="nil" w:sz="6" w:space="0" w:color="auto"/>
              <w:bottom w:val="single" w:sz="8" w:space="0" w:color="000000"/>
              <w:right w:val="nil" w:sz="6" w:space="0" w:color="auto"/>
            </w:tcBorders>
          </w:tcPr>
          <w:p>
            <w:pPr/>
          </w:p>
        </w:tc>
        <w:tc>
          <w:tcPr>
            <w:tcW w:w="2268" w:type="dxa"/>
            <w:gridSpan w:val="2"/>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1148" w:right="0"/>
              <w:jc w:val="left"/>
              <w:rPr>
                <w:rFonts w:ascii="宋体" w:hAnsi="宋体" w:cs="宋体" w:eastAsia="宋体" w:hint="default"/>
                <w:sz w:val="18"/>
                <w:szCs w:val="18"/>
              </w:rPr>
            </w:pPr>
            <w:r>
              <w:rPr>
                <w:rFonts w:ascii="宋体"/>
                <w:sz w:val="18"/>
              </w:rPr>
              <w:t>6,207,733.06</w:t>
            </w:r>
          </w:p>
        </w:tc>
      </w:tr>
      <w:tr>
        <w:trPr>
          <w:trHeight w:val="355" w:hRule="exact"/>
        </w:trPr>
        <w:tc>
          <w:tcPr>
            <w:tcW w:w="286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213"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65"/>
              <w:jc w:val="right"/>
              <w:rPr>
                <w:rFonts w:ascii="宋体" w:hAnsi="宋体" w:cs="宋体" w:eastAsia="宋体" w:hint="default"/>
                <w:sz w:val="18"/>
                <w:szCs w:val="18"/>
              </w:rPr>
            </w:pPr>
            <w:r>
              <w:rPr>
                <w:rFonts w:ascii="宋体"/>
                <w:spacing w:val="-1"/>
                <w:sz w:val="18"/>
              </w:rPr>
              <w:t>42,643,865.03</w:t>
            </w:r>
          </w:p>
        </w:tc>
        <w:tc>
          <w:tcPr>
            <w:tcW w:w="1799" w:type="dxa"/>
            <w:tcBorders>
              <w:top w:val="single" w:sz="8" w:space="0" w:color="000000"/>
              <w:left w:val="nil" w:sz="6" w:space="0" w:color="auto"/>
              <w:bottom w:val="single" w:sz="8" w:space="0" w:color="000000"/>
              <w:right w:val="nil" w:sz="6" w:space="0" w:color="auto"/>
            </w:tcBorders>
          </w:tcPr>
          <w:p>
            <w:pPr/>
          </w:p>
        </w:tc>
        <w:tc>
          <w:tcPr>
            <w:tcW w:w="2268" w:type="dxa"/>
            <w:gridSpan w:val="2"/>
            <w:tcBorders>
              <w:top w:val="single" w:sz="8" w:space="0" w:color="000000"/>
              <w:left w:val="nil" w:sz="6" w:space="0" w:color="auto"/>
              <w:bottom w:val="single" w:sz="8" w:space="0" w:color="000000"/>
              <w:right w:val="nil" w:sz="6" w:space="0" w:color="auto"/>
            </w:tcBorders>
          </w:tcPr>
          <w:p>
            <w:pPr>
              <w:pStyle w:val="TableParagraph"/>
              <w:spacing w:line="240" w:lineRule="auto" w:before="20"/>
              <w:ind w:left="1057" w:right="0"/>
              <w:jc w:val="left"/>
              <w:rPr>
                <w:rFonts w:ascii="宋体" w:hAnsi="宋体" w:cs="宋体" w:eastAsia="宋体" w:hint="default"/>
                <w:sz w:val="18"/>
                <w:szCs w:val="18"/>
              </w:rPr>
            </w:pPr>
            <w:r>
              <w:rPr>
                <w:rFonts w:ascii="宋体"/>
                <w:sz w:val="18"/>
              </w:rPr>
              <w:t>42,643,865.03</w:t>
            </w:r>
          </w:p>
        </w:tc>
      </w:tr>
      <w:tr>
        <w:trPr>
          <w:trHeight w:val="348" w:hRule="exact"/>
        </w:trPr>
        <w:tc>
          <w:tcPr>
            <w:tcW w:w="2865" w:type="dxa"/>
            <w:tcBorders>
              <w:top w:val="single" w:sz="8" w:space="0" w:color="000000"/>
              <w:left w:val="nil" w:sz="6" w:space="0" w:color="auto"/>
              <w:bottom w:val="single" w:sz="6" w:space="0" w:color="000000"/>
              <w:right w:val="nil" w:sz="6" w:space="0" w:color="auto"/>
            </w:tcBorders>
          </w:tcPr>
          <w:p>
            <w:pPr>
              <w:pStyle w:val="TableParagraph"/>
              <w:spacing w:line="276" w:lineRule="exact"/>
              <w:ind w:left="4"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金融负债和或有负债合计</w:t>
            </w:r>
            <w:r>
              <w:rPr>
                <w:rFonts w:ascii="Microsoft JhengHei" w:hAnsi="Microsoft JhengHei" w:cs="Microsoft JhengHei" w:eastAsia="Microsoft JhengHei" w:hint="default"/>
                <w:sz w:val="18"/>
                <w:szCs w:val="18"/>
              </w:rPr>
            </w:r>
          </w:p>
        </w:tc>
        <w:tc>
          <w:tcPr>
            <w:tcW w:w="2213" w:type="dxa"/>
            <w:tcBorders>
              <w:top w:val="single" w:sz="8" w:space="0" w:color="000000"/>
              <w:left w:val="nil" w:sz="6" w:space="0" w:color="auto"/>
              <w:bottom w:val="single" w:sz="6" w:space="0" w:color="000000"/>
              <w:right w:val="nil" w:sz="6" w:space="0" w:color="auto"/>
            </w:tcBorders>
          </w:tcPr>
          <w:p>
            <w:pPr>
              <w:pStyle w:val="TableParagraph"/>
              <w:spacing w:line="276" w:lineRule="exact"/>
              <w:ind w:right="65"/>
              <w:jc w:val="right"/>
              <w:rPr>
                <w:rFonts w:ascii="Microsoft JhengHei" w:hAnsi="Microsoft JhengHei" w:cs="Microsoft JhengHei" w:eastAsia="Microsoft JhengHei" w:hint="default"/>
                <w:sz w:val="18"/>
                <w:szCs w:val="18"/>
              </w:rPr>
            </w:pPr>
            <w:r>
              <w:rPr>
                <w:rFonts w:ascii="Microsoft JhengHei"/>
                <w:b/>
                <w:w w:val="95"/>
                <w:sz w:val="18"/>
              </w:rPr>
              <w:t>429,915,163.44</w:t>
            </w:r>
            <w:r>
              <w:rPr>
                <w:rFonts w:ascii="Microsoft JhengHei"/>
                <w:sz w:val="18"/>
              </w:rPr>
            </w:r>
          </w:p>
        </w:tc>
        <w:tc>
          <w:tcPr>
            <w:tcW w:w="1799" w:type="dxa"/>
            <w:tcBorders>
              <w:top w:val="single" w:sz="8" w:space="0" w:color="000000"/>
              <w:left w:val="nil" w:sz="6" w:space="0" w:color="auto"/>
              <w:bottom w:val="single" w:sz="6" w:space="0" w:color="000000"/>
              <w:right w:val="nil" w:sz="6" w:space="0" w:color="auto"/>
            </w:tcBorders>
          </w:tcPr>
          <w:p>
            <w:pPr>
              <w:pStyle w:val="TableParagraph"/>
              <w:spacing w:line="276" w:lineRule="exact"/>
              <w:ind w:left="67" w:right="0"/>
              <w:jc w:val="left"/>
              <w:rPr>
                <w:rFonts w:ascii="Microsoft JhengHei" w:hAnsi="Microsoft JhengHei" w:cs="Microsoft JhengHei" w:eastAsia="Microsoft JhengHei" w:hint="default"/>
                <w:sz w:val="18"/>
                <w:szCs w:val="18"/>
              </w:rPr>
            </w:pPr>
            <w:r>
              <w:rPr>
                <w:rFonts w:ascii="Microsoft JhengHei"/>
                <w:b/>
                <w:sz w:val="18"/>
              </w:rPr>
              <w:t>24,449,685.30</w:t>
            </w:r>
            <w:r>
              <w:rPr>
                <w:rFonts w:ascii="Microsoft JhengHei"/>
                <w:sz w:val="18"/>
              </w:rPr>
            </w:r>
          </w:p>
        </w:tc>
        <w:tc>
          <w:tcPr>
            <w:tcW w:w="2268" w:type="dxa"/>
            <w:gridSpan w:val="2"/>
            <w:tcBorders>
              <w:top w:val="single" w:sz="8" w:space="0" w:color="000000"/>
              <w:left w:val="nil" w:sz="6" w:space="0" w:color="auto"/>
              <w:bottom w:val="single" w:sz="6" w:space="0" w:color="000000"/>
              <w:right w:val="nil" w:sz="6" w:space="0" w:color="auto"/>
            </w:tcBorders>
          </w:tcPr>
          <w:p>
            <w:pPr>
              <w:pStyle w:val="TableParagraph"/>
              <w:spacing w:line="276" w:lineRule="exact"/>
              <w:ind w:left="956" w:right="0"/>
              <w:jc w:val="left"/>
              <w:rPr>
                <w:rFonts w:ascii="Microsoft JhengHei" w:hAnsi="Microsoft JhengHei" w:cs="Microsoft JhengHei" w:eastAsia="Microsoft JhengHei" w:hint="default"/>
                <w:sz w:val="18"/>
                <w:szCs w:val="18"/>
              </w:rPr>
            </w:pPr>
            <w:r>
              <w:rPr>
                <w:rFonts w:ascii="Microsoft JhengHei"/>
                <w:b/>
                <w:w w:val="95"/>
                <w:sz w:val="18"/>
              </w:rPr>
              <w:t>454,364,848.74</w:t>
            </w:r>
            <w:r>
              <w:rPr>
                <w:rFonts w:ascii="Microsoft JhengHei"/>
                <w:sz w:val="18"/>
              </w:rPr>
            </w:r>
          </w:p>
        </w:tc>
      </w:tr>
    </w:tbl>
    <w:p>
      <w:pPr>
        <w:spacing w:line="240" w:lineRule="auto" w:before="9"/>
        <w:rPr>
          <w:rFonts w:ascii="Microsoft JhengHei" w:hAnsi="Microsoft JhengHei" w:cs="Microsoft JhengHei" w:eastAsia="Microsoft JhengHei" w:hint="default"/>
          <w:b/>
          <w:bCs/>
          <w:sz w:val="3"/>
          <w:szCs w:val="3"/>
        </w:rPr>
      </w:pPr>
    </w:p>
    <w:p>
      <w:pPr>
        <w:pStyle w:val="BodyText"/>
        <w:spacing w:line="240" w:lineRule="auto" w:before="36"/>
        <w:ind w:left="575" w:right="0"/>
        <w:jc w:val="left"/>
      </w:pPr>
      <w:r>
        <w:rPr/>
        <w:t>上表中披露的金融负债金额为未经折现的合同现金流量，因而可能与资产负债表中的账面金额有所不</w:t>
      </w:r>
    </w:p>
    <w:p>
      <w:pPr>
        <w:pStyle w:val="BodyText"/>
        <w:spacing w:line="240" w:lineRule="auto" w:before="37"/>
        <w:ind w:right="0"/>
        <w:jc w:val="left"/>
      </w:pPr>
      <w:r>
        <w:rPr/>
        <w:t>同。</w:t>
      </w:r>
    </w:p>
    <w:p>
      <w:pPr>
        <w:spacing w:line="240" w:lineRule="auto" w:before="8"/>
        <w:rPr>
          <w:rFonts w:ascii="宋体" w:hAnsi="宋体" w:cs="宋体" w:eastAsia="宋体" w:hint="default"/>
          <w:sz w:val="16"/>
          <w:szCs w:val="16"/>
        </w:rPr>
      </w:pPr>
    </w:p>
    <w:p>
      <w:pPr>
        <w:pStyle w:val="BodyText"/>
        <w:spacing w:line="240" w:lineRule="auto" w:before="36"/>
        <w:ind w:left="575" w:right="0"/>
        <w:jc w:val="left"/>
      </w:pPr>
      <w:r>
        <w:rPr/>
        <w:t>（3）市场风险</w:t>
      </w:r>
    </w:p>
    <w:p>
      <w:pPr>
        <w:spacing w:line="240" w:lineRule="auto" w:before="5"/>
        <w:rPr>
          <w:rFonts w:ascii="宋体" w:hAnsi="宋体" w:cs="宋体" w:eastAsia="宋体" w:hint="default"/>
          <w:sz w:val="19"/>
          <w:szCs w:val="19"/>
        </w:rPr>
      </w:pPr>
    </w:p>
    <w:p>
      <w:pPr>
        <w:pStyle w:val="BodyText"/>
        <w:spacing w:line="273" w:lineRule="auto"/>
        <w:ind w:right="118" w:firstLine="422"/>
        <w:jc w:val="both"/>
      </w:pPr>
      <w:r>
        <w:rPr>
          <w:spacing w:val="-2"/>
        </w:rPr>
        <w:t>金融工具的市场风险，是指金融工具的公允价值或未来现金流量因市场价格变动而发生波动的风险，</w:t>
      </w:r>
      <w:r>
        <w:rPr>
          <w:w w:val="100"/>
        </w:rPr>
        <w:t> </w:t>
      </w:r>
      <w:r>
        <w:rPr/>
        <w:t>包括利率风险、汇率风险和其他价格风险。</w:t>
      </w:r>
    </w:p>
    <w:p>
      <w:pPr>
        <w:pStyle w:val="BodyText"/>
        <w:spacing w:line="528" w:lineRule="exact" w:before="46"/>
        <w:ind w:left="575" w:right="0"/>
        <w:jc w:val="left"/>
      </w:pPr>
      <w:r>
        <w:rPr/>
        <w:t>利率风险</w:t>
      </w:r>
      <w:r>
        <w:rPr>
          <w:spacing w:val="-101"/>
        </w:rPr>
        <w:t> </w:t>
      </w:r>
      <w:r>
        <w:rPr>
          <w:spacing w:val="-2"/>
        </w:rPr>
        <w:t>利率风险，是指金融工具的公允价值或未来现金流量因市场利率变动而发生波动的风险。利率风险可</w:t>
      </w:r>
    </w:p>
    <w:p>
      <w:pPr>
        <w:pStyle w:val="BodyText"/>
        <w:spacing w:line="236" w:lineRule="exact"/>
        <w:ind w:right="0"/>
        <w:jc w:val="left"/>
      </w:pPr>
      <w:r>
        <w:rPr/>
        <w:t>源于已确认的计息金融工具和未确认的金融工具（如某些贷款承诺）。</w:t>
      </w:r>
    </w:p>
    <w:p>
      <w:pPr>
        <w:spacing w:line="240" w:lineRule="auto" w:before="5"/>
        <w:rPr>
          <w:rFonts w:ascii="宋体" w:hAnsi="宋体" w:cs="宋体" w:eastAsia="宋体" w:hint="default"/>
          <w:sz w:val="19"/>
          <w:szCs w:val="19"/>
        </w:rPr>
      </w:pPr>
    </w:p>
    <w:p>
      <w:pPr>
        <w:pStyle w:val="BodyText"/>
        <w:spacing w:line="273" w:lineRule="auto"/>
        <w:ind w:right="137" w:firstLine="422"/>
        <w:jc w:val="both"/>
      </w:pPr>
      <w:r>
        <w:rPr>
          <w:spacing w:val="-2"/>
        </w:rPr>
        <w:t>本集团的利率风险主要产生于银行借款等带息债务。浮动利率的金融负债使本集团面临现金流量利率</w:t>
      </w:r>
      <w:r>
        <w:rPr>
          <w:w w:val="100"/>
        </w:rPr>
        <w:t> </w:t>
      </w:r>
      <w:r>
        <w:rPr>
          <w:spacing w:val="-2"/>
        </w:rPr>
        <w:t>风险，固定利率的金融负债使本集团面临公允价值利率风险。本集团根据当时的市场环境来决定固定利率</w:t>
      </w:r>
      <w:r>
        <w:rPr>
          <w:spacing w:val="-35"/>
        </w:rPr>
        <w:t> </w:t>
      </w:r>
      <w:r>
        <w:rPr>
          <w:spacing w:val="-35"/>
        </w:rPr>
      </w:r>
      <w:r>
        <w:rPr/>
        <w:t>及浮动利率合同的相对比例，并通过定期审阅与监察维持适当的固定和浮动利率工具组合。</w:t>
      </w:r>
    </w:p>
    <w:p>
      <w:pPr>
        <w:spacing w:line="240" w:lineRule="auto" w:before="1"/>
        <w:rPr>
          <w:rFonts w:ascii="宋体" w:hAnsi="宋体" w:cs="宋体" w:eastAsia="宋体" w:hint="default"/>
          <w:sz w:val="17"/>
          <w:szCs w:val="17"/>
        </w:rPr>
      </w:pPr>
    </w:p>
    <w:p>
      <w:pPr>
        <w:pStyle w:val="BodyText"/>
        <w:spacing w:line="460" w:lineRule="auto"/>
        <w:ind w:left="575" w:right="0"/>
        <w:jc w:val="left"/>
      </w:pPr>
      <w:r>
        <w:rPr/>
        <w:t>汇率风险</w:t>
      </w:r>
      <w:r>
        <w:rPr>
          <w:spacing w:val="-101"/>
        </w:rPr>
        <w:t> </w:t>
      </w:r>
      <w:r>
        <w:rPr>
          <w:spacing w:val="-2"/>
        </w:rPr>
        <w:t>汇率风险，是指金融工具的公允价值或未来现金流量因外汇汇率变动而发生波动的风险。汇率风险可</w:t>
      </w:r>
    </w:p>
    <w:p>
      <w:pPr>
        <w:spacing w:after="0" w:line="460" w:lineRule="auto"/>
        <w:jc w:val="left"/>
        <w:sectPr>
          <w:type w:val="continuous"/>
          <w:pgSz w:w="11900" w:h="16840"/>
          <w:pgMar w:top="1060" w:bottom="1180" w:left="980" w:right="980"/>
        </w:sectPr>
      </w:pPr>
    </w:p>
    <w:p>
      <w:pPr>
        <w:spacing w:line="240" w:lineRule="auto" w:before="12"/>
        <w:rPr>
          <w:rFonts w:ascii="宋体" w:hAnsi="宋体" w:cs="宋体" w:eastAsia="宋体" w:hint="default"/>
          <w:sz w:val="24"/>
          <w:szCs w:val="24"/>
        </w:rPr>
      </w:pPr>
    </w:p>
    <w:p>
      <w:pPr>
        <w:pStyle w:val="BodyText"/>
        <w:spacing w:line="240" w:lineRule="auto" w:before="36"/>
        <w:ind w:right="0"/>
        <w:jc w:val="left"/>
      </w:pPr>
      <w:r>
        <w:rPr/>
        <w:t>源于以记账本位币之外的外币进行计价的金融工具。</w:t>
      </w:r>
    </w:p>
    <w:p>
      <w:pPr>
        <w:spacing w:line="240" w:lineRule="auto" w:before="5"/>
        <w:rPr>
          <w:rFonts w:ascii="宋体" w:hAnsi="宋体" w:cs="宋体" w:eastAsia="宋体" w:hint="default"/>
          <w:sz w:val="19"/>
          <w:szCs w:val="19"/>
        </w:rPr>
      </w:pPr>
    </w:p>
    <w:p>
      <w:pPr>
        <w:pStyle w:val="BodyText"/>
        <w:spacing w:line="273" w:lineRule="auto"/>
        <w:ind w:right="0" w:firstLine="422"/>
        <w:jc w:val="left"/>
      </w:pPr>
      <w:r>
        <w:rPr>
          <w:spacing w:val="-2"/>
        </w:rPr>
        <w:t>本集团的主要经营位于中国境内，主要业务以人民币结算。因此，本公司所承担的外汇变动市场风险</w:t>
      </w:r>
      <w:r>
        <w:rPr>
          <w:w w:val="100"/>
        </w:rPr>
        <w:t> </w:t>
      </w:r>
      <w:r>
        <w:rPr/>
        <w:t>不重大。</w:t>
      </w:r>
    </w:p>
    <w:p>
      <w:pPr>
        <w:pStyle w:val="BodyText"/>
        <w:spacing w:line="528" w:lineRule="exact" w:before="46"/>
        <w:ind w:left="575" w:right="0"/>
        <w:jc w:val="left"/>
      </w:pPr>
      <w:r>
        <w:rPr/>
        <w:t>本公司期末外币金融资产和外币金融负债列示见本附注项目注释其他之外币货币性项目说明。</w:t>
      </w:r>
      <w:r>
        <w:rPr>
          <w:w w:val="100"/>
        </w:rPr>
        <w:t> </w:t>
      </w:r>
      <w:r>
        <w:rPr/>
        <w:t>2、资本管理</w:t>
      </w:r>
      <w:r>
        <w:rPr>
          <w:spacing w:val="-99"/>
        </w:rPr>
        <w:t> </w:t>
      </w:r>
      <w:r>
        <w:rPr>
          <w:spacing w:val="-2"/>
        </w:rPr>
        <w:t>本集团资本管理政策的目标是为了保障本集团能够持续经营，从而为股东提供回报，并使其他利益相</w:t>
      </w:r>
    </w:p>
    <w:p>
      <w:pPr>
        <w:pStyle w:val="BodyText"/>
        <w:spacing w:line="236" w:lineRule="exact"/>
        <w:ind w:right="0"/>
        <w:jc w:val="left"/>
      </w:pPr>
      <w:r>
        <w:rPr/>
        <w:t>关者获益，同时维持最佳的资本结构以降低资本成本。</w:t>
      </w:r>
    </w:p>
    <w:p>
      <w:pPr>
        <w:spacing w:line="240" w:lineRule="auto" w:before="5"/>
        <w:rPr>
          <w:rFonts w:ascii="宋体" w:hAnsi="宋体" w:cs="宋体" w:eastAsia="宋体" w:hint="default"/>
          <w:sz w:val="19"/>
          <w:szCs w:val="19"/>
        </w:rPr>
      </w:pPr>
    </w:p>
    <w:p>
      <w:pPr>
        <w:pStyle w:val="BodyText"/>
        <w:spacing w:line="273" w:lineRule="auto"/>
        <w:ind w:right="0" w:firstLine="422"/>
        <w:jc w:val="left"/>
      </w:pPr>
      <w:r>
        <w:rPr>
          <w:spacing w:val="-2"/>
        </w:rPr>
        <w:t>为了维持或调整资本结构，本集团可能会调整支付给股东的股利金额、向股东返还资本、发行新股或</w:t>
      </w:r>
      <w:r>
        <w:rPr>
          <w:w w:val="100"/>
        </w:rPr>
        <w:t> </w:t>
      </w:r>
      <w:r>
        <w:rPr/>
        <w:t>出售资产以减低债务。</w:t>
      </w:r>
    </w:p>
    <w:p>
      <w:pPr>
        <w:spacing w:line="240" w:lineRule="auto" w:before="1"/>
        <w:rPr>
          <w:rFonts w:ascii="宋体" w:hAnsi="宋体" w:cs="宋体" w:eastAsia="宋体" w:hint="default"/>
          <w:sz w:val="17"/>
          <w:szCs w:val="17"/>
        </w:rPr>
      </w:pPr>
    </w:p>
    <w:p>
      <w:pPr>
        <w:pStyle w:val="BodyText"/>
        <w:spacing w:line="273" w:lineRule="auto"/>
        <w:ind w:right="0" w:firstLine="422"/>
        <w:jc w:val="left"/>
      </w:pPr>
      <w:r>
        <w:rPr>
          <w:spacing w:val="-2"/>
        </w:rPr>
        <w:t>本集团以资产负债率（即总负债除以总资产）为基础对资本结构进行监控。于2015年12月31日，本集</w:t>
      </w:r>
      <w:r>
        <w:rPr>
          <w:w w:val="100"/>
        </w:rPr>
        <w:t> </w:t>
      </w:r>
      <w:r>
        <w:rPr/>
        <w:t>团的资产负债率为48.84%（2014年12月31日：33.50%）。</w:t>
      </w:r>
    </w:p>
    <w:p>
      <w:pPr>
        <w:spacing w:line="240" w:lineRule="auto" w:before="7"/>
        <w:rPr>
          <w:rFonts w:ascii="宋体" w:hAnsi="宋体" w:cs="宋体" w:eastAsia="宋体" w:hint="default"/>
          <w:sz w:val="15"/>
          <w:szCs w:val="15"/>
        </w:rPr>
      </w:pPr>
    </w:p>
    <w:p>
      <w:pPr>
        <w:pStyle w:val="Heading2"/>
        <w:spacing w:line="240" w:lineRule="auto"/>
        <w:ind w:right="0"/>
        <w:jc w:val="left"/>
        <w:rPr>
          <w:b w:val="0"/>
          <w:bCs w:val="0"/>
        </w:rPr>
      </w:pPr>
      <w:r>
        <w:rPr/>
        <w:t>十一、公允价值的披露</w:t>
      </w:r>
      <w:r>
        <w:rPr>
          <w:b w:val="0"/>
          <w:bCs w:val="0"/>
        </w:rPr>
      </w:r>
    </w:p>
    <w:p>
      <w:pPr>
        <w:spacing w:line="240" w:lineRule="auto" w:before="5"/>
        <w:rPr>
          <w:rFonts w:ascii="Microsoft JhengHei" w:hAnsi="Microsoft JhengHei" w:cs="Microsoft JhengHei" w:eastAsia="Microsoft JhengHei" w:hint="default"/>
          <w:b/>
          <w:bCs/>
          <w:sz w:val="13"/>
          <w:szCs w:val="13"/>
        </w:rPr>
      </w:pPr>
    </w:p>
    <w:p>
      <w:pPr>
        <w:pStyle w:val="Heading4"/>
        <w:spacing w:line="240" w:lineRule="auto"/>
        <w:ind w:right="0"/>
        <w:jc w:val="left"/>
        <w:rPr>
          <w:b w:val="0"/>
          <w:bCs w:val="0"/>
        </w:rPr>
      </w:pPr>
      <w:r>
        <w:rPr>
          <w:rFonts w:ascii="Times New Roman" w:hAnsi="Times New Roman" w:cs="Times New Roman" w:eastAsia="Times New Roman" w:hint="default"/>
        </w:rPr>
        <w:t>1</w:t>
      </w:r>
      <w:r>
        <w:rPr/>
        <w:t>、以公允价值计量的资产和负债的期末公允价值</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92"/>
        <w:gridCol w:w="1838"/>
        <w:gridCol w:w="1915"/>
        <w:gridCol w:w="1910"/>
        <w:gridCol w:w="1915"/>
      </w:tblGrid>
      <w:tr>
        <w:trPr>
          <w:trHeight w:val="404" w:hRule="exact"/>
        </w:trPr>
        <w:tc>
          <w:tcPr>
            <w:tcW w:w="19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757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期末公允价值</w:t>
            </w:r>
          </w:p>
        </w:tc>
      </w:tr>
      <w:tr>
        <w:trPr>
          <w:trHeight w:val="715" w:hRule="exact"/>
        </w:trPr>
        <w:tc>
          <w:tcPr>
            <w:tcW w:w="1992" w:type="dxa"/>
            <w:vMerge/>
            <w:tcBorders>
              <w:left w:val="single" w:sz="4" w:space="0" w:color="000000"/>
              <w:bottom w:val="single" w:sz="4" w:space="0" w:color="000000"/>
              <w:right w:val="single" w:sz="4" w:space="0" w:color="000000"/>
            </w:tcBorders>
            <w:shd w:val="clear" w:color="auto" w:fill="D2D2D2"/>
          </w:tcPr>
          <w:p>
            <w:pPr/>
          </w:p>
        </w:tc>
        <w:tc>
          <w:tcPr>
            <w:tcW w:w="1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820" w:right="98" w:hanging="716"/>
              <w:jc w:val="left"/>
              <w:rPr>
                <w:rFonts w:ascii="宋体" w:hAnsi="宋体" w:cs="宋体" w:eastAsia="宋体" w:hint="default"/>
                <w:sz w:val="18"/>
                <w:szCs w:val="18"/>
              </w:rPr>
            </w:pPr>
            <w:r>
              <w:rPr>
                <w:rFonts w:ascii="宋体" w:hAnsi="宋体" w:cs="宋体" w:eastAsia="宋体" w:hint="default"/>
                <w:spacing w:val="-3"/>
                <w:sz w:val="18"/>
                <w:szCs w:val="18"/>
              </w:rPr>
              <w:t>第一层次公允价值计</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量</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第二层次公允价值计量</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第三层次公允价值计量</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3" w:hRule="exact"/>
        </w:trPr>
        <w:tc>
          <w:tcPr>
            <w:tcW w:w="1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6"/>
                <w:sz w:val="18"/>
                <w:szCs w:val="18"/>
              </w:rPr>
              <w:t>一、持续的公允价值计量</w:t>
            </w:r>
          </w:p>
        </w:tc>
        <w:tc>
          <w:tcPr>
            <w:tcW w:w="1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3" w:right="0"/>
              <w:jc w:val="center"/>
              <w:rPr>
                <w:rFonts w:ascii="Times New Roman" w:hAnsi="Times New Roman" w:cs="Times New Roman" w:eastAsia="Times New Roman" w:hint="default"/>
                <w:sz w:val="18"/>
                <w:szCs w:val="18"/>
              </w:rPr>
            </w:pPr>
            <w:r>
              <w:rPr>
                <w:rFonts w:ascii="Times New Roman"/>
                <w:sz w:val="18"/>
              </w:rPr>
              <w:t>--</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w:t>
            </w:r>
          </w:p>
        </w:tc>
      </w:tr>
      <w:tr>
        <w:trPr>
          <w:trHeight w:val="710" w:hRule="exact"/>
        </w:trPr>
        <w:tc>
          <w:tcPr>
            <w:tcW w:w="1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12"/>
              <w:jc w:val="left"/>
              <w:rPr>
                <w:rFonts w:ascii="宋体" w:hAnsi="宋体" w:cs="宋体" w:eastAsia="宋体" w:hint="default"/>
                <w:sz w:val="18"/>
                <w:szCs w:val="18"/>
              </w:rPr>
            </w:pPr>
            <w:r>
              <w:rPr>
                <w:rFonts w:ascii="宋体" w:hAnsi="宋体" w:cs="宋体" w:eastAsia="宋体" w:hint="default"/>
                <w:spacing w:val="-6"/>
                <w:sz w:val="18"/>
                <w:szCs w:val="18"/>
              </w:rPr>
              <w:t>二、非持续的公允价值计</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量</w:t>
            </w:r>
          </w:p>
        </w:tc>
        <w:tc>
          <w:tcPr>
            <w:tcW w:w="1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4"/>
        <w:spacing w:line="335" w:lineRule="exact"/>
        <w:ind w:left="575" w:right="0" w:hanging="423"/>
        <w:jc w:val="left"/>
        <w:rPr>
          <w:b w:val="0"/>
          <w:bCs w:val="0"/>
        </w:rPr>
      </w:pPr>
      <w:r>
        <w:rPr>
          <w:rFonts w:ascii="Times New Roman" w:hAnsi="Times New Roman" w:cs="Times New Roman" w:eastAsia="Times New Roman" w:hint="default"/>
        </w:rPr>
        <w:t>2</w:t>
      </w:r>
      <w:r>
        <w:rPr/>
        <w:t>、持续和非持续第一层次公允价值计量项目市价的确定依据</w:t>
      </w:r>
      <w:r>
        <w:rPr>
          <w:b w:val="0"/>
          <w:bCs w:val="0"/>
        </w:rPr>
      </w:r>
    </w:p>
    <w:p>
      <w:pPr>
        <w:spacing w:line="240" w:lineRule="auto" w:before="2"/>
        <w:rPr>
          <w:rFonts w:ascii="Microsoft JhengHei" w:hAnsi="Microsoft JhengHei" w:cs="Microsoft JhengHei" w:eastAsia="Microsoft JhengHei" w:hint="default"/>
          <w:b/>
          <w:bCs/>
          <w:sz w:val="18"/>
          <w:szCs w:val="18"/>
        </w:rPr>
      </w:pPr>
    </w:p>
    <w:p>
      <w:pPr>
        <w:pStyle w:val="BodyText"/>
        <w:spacing w:line="240" w:lineRule="auto"/>
        <w:ind w:left="575" w:right="0"/>
        <w:jc w:val="left"/>
      </w:pPr>
      <w:r>
        <w:rPr/>
        <w:t>相同资产或负债在活跃市场中的报价（未经调整的）</w:t>
      </w:r>
    </w:p>
    <w:p>
      <w:pPr>
        <w:spacing w:line="240" w:lineRule="auto" w:before="11"/>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3</w:t>
      </w:r>
      <w:r>
        <w:rPr/>
        <w:t>、持续和非持续第二层次公允价值计量项目，采用的估值技术和重要参数的定性及定量信息</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73" w:lineRule="auto"/>
        <w:ind w:right="0" w:firstLine="422"/>
        <w:jc w:val="left"/>
      </w:pPr>
      <w:r>
        <w:rPr>
          <w:spacing w:val="-2"/>
        </w:rPr>
        <w:t>直接（即价格）或间接（即从价格推导出）地使用除第一层次中的资产或负债的市场报价之外的可观</w:t>
      </w:r>
      <w:r>
        <w:rPr>
          <w:w w:val="100"/>
        </w:rPr>
        <w:t> </w:t>
      </w:r>
      <w:r>
        <w:rPr/>
        <w:t>察输入值。</w:t>
      </w:r>
    </w:p>
    <w:p>
      <w:pPr>
        <w:spacing w:line="240" w:lineRule="auto" w:before="8"/>
        <w:rPr>
          <w:rFonts w:ascii="宋体" w:hAnsi="宋体" w:cs="宋体" w:eastAsia="宋体" w:hint="default"/>
          <w:sz w:val="18"/>
          <w:szCs w:val="18"/>
        </w:rPr>
      </w:pPr>
    </w:p>
    <w:p>
      <w:pPr>
        <w:spacing w:line="453" w:lineRule="auto" w:before="0"/>
        <w:ind w:left="575" w:right="0" w:hanging="423"/>
        <w:jc w:val="left"/>
        <w:rPr>
          <w:rFonts w:ascii="宋体" w:hAnsi="宋体" w:cs="宋体" w:eastAsia="宋体" w:hint="default"/>
          <w:sz w:val="21"/>
          <w:szCs w:val="21"/>
        </w:rPr>
      </w:pPr>
      <w:r>
        <w:rPr>
          <w:rFonts w:ascii="Times New Roman" w:hAnsi="Times New Roman" w:cs="Times New Roman" w:eastAsia="Times New Roman" w:hint="default"/>
          <w:b/>
          <w:bCs/>
          <w:spacing w:val="-1"/>
          <w:sz w:val="21"/>
          <w:szCs w:val="21"/>
        </w:rPr>
        <w:t>4</w:t>
      </w:r>
      <w:r>
        <w:rPr>
          <w:rFonts w:ascii="Microsoft JhengHei" w:hAnsi="Microsoft JhengHei" w:cs="Microsoft JhengHei" w:eastAsia="Microsoft JhengHei" w:hint="default"/>
          <w:b/>
          <w:bCs/>
          <w:spacing w:val="-1"/>
          <w:sz w:val="21"/>
          <w:szCs w:val="21"/>
        </w:rPr>
        <w:t>、持续和非持续第三层次公允价值计量项目，采用的估值技术和重要参数的定性及定量信息</w:t>
      </w:r>
      <w:r>
        <w:rPr>
          <w:rFonts w:ascii="Microsoft JhengHei" w:hAnsi="Microsoft JhengHei" w:cs="Microsoft JhengHei" w:eastAsia="Microsoft JhengHei" w:hint="default"/>
          <w:b/>
          <w:bCs/>
          <w:spacing w:val="20"/>
          <w:sz w:val="21"/>
          <w:szCs w:val="21"/>
        </w:rPr>
        <w:t> </w:t>
      </w:r>
      <w:r>
        <w:rPr>
          <w:rFonts w:ascii="Microsoft JhengHei" w:hAnsi="Microsoft JhengHei" w:cs="Microsoft JhengHei" w:eastAsia="Microsoft JhengHei" w:hint="default"/>
          <w:b/>
          <w:bCs/>
          <w:spacing w:val="20"/>
          <w:sz w:val="21"/>
          <w:szCs w:val="21"/>
        </w:rPr>
      </w:r>
      <w:r>
        <w:rPr>
          <w:rFonts w:ascii="宋体" w:hAnsi="宋体" w:cs="宋体" w:eastAsia="宋体" w:hint="default"/>
          <w:sz w:val="21"/>
          <w:szCs w:val="21"/>
        </w:rPr>
        <w:t>资产或负债使用了任何非基于可观察市场数据的输入值（不可观察输入值）。</w:t>
      </w:r>
      <w:r>
        <w:rPr>
          <w:rFonts w:ascii="宋体" w:hAnsi="宋体" w:cs="宋体" w:eastAsia="宋体" w:hint="default"/>
          <w:w w:val="100"/>
          <w:sz w:val="21"/>
          <w:szCs w:val="21"/>
        </w:rPr>
        <w:t> </w:t>
      </w:r>
      <w:r>
        <w:rPr>
          <w:rFonts w:ascii="宋体" w:hAnsi="宋体" w:cs="宋体" w:eastAsia="宋体" w:hint="default"/>
          <w:sz w:val="21"/>
          <w:szCs w:val="21"/>
        </w:rPr>
        <w:t>不以公允价值计量但披露其公允价值的项目和金额</w:t>
      </w:r>
    </w:p>
    <w:p>
      <w:pPr>
        <w:spacing w:after="0" w:line="453" w:lineRule="auto"/>
        <w:jc w:val="left"/>
        <w:rPr>
          <w:rFonts w:ascii="宋体" w:hAnsi="宋体" w:cs="宋体" w:eastAsia="宋体" w:hint="default"/>
          <w:sz w:val="21"/>
          <w:szCs w:val="21"/>
        </w:rPr>
        <w:sectPr>
          <w:pgSz w:w="11900" w:h="16840"/>
          <w:pgMar w:header="872" w:footer="984" w:top="1060" w:bottom="1180" w:left="980" w:right="980"/>
        </w:sectPr>
      </w:pPr>
    </w:p>
    <w:p>
      <w:pPr>
        <w:spacing w:line="240" w:lineRule="auto" w:before="4"/>
        <w:rPr>
          <w:rFonts w:ascii="宋体" w:hAnsi="宋体" w:cs="宋体" w:eastAsia="宋体" w:hint="default"/>
          <w:sz w:val="25"/>
          <w:szCs w:val="25"/>
        </w:rPr>
      </w:pPr>
    </w:p>
    <w:p>
      <w:pPr>
        <w:pStyle w:val="Heading4"/>
        <w:spacing w:line="335" w:lineRule="exact"/>
        <w:ind w:right="0"/>
        <w:jc w:val="left"/>
        <w:rPr>
          <w:b w:val="0"/>
          <w:bCs w:val="0"/>
        </w:rPr>
      </w:pPr>
      <w:r>
        <w:rPr>
          <w:rFonts w:ascii="Times New Roman" w:hAnsi="Times New Roman" w:cs="Times New Roman" w:eastAsia="Times New Roman" w:hint="default"/>
        </w:rPr>
        <w:t>5</w:t>
      </w:r>
      <w:r>
        <w:rPr/>
        <w:t>、持续的第三层次公允价值计量项目，期初与期末账面价值间的调节信息及不可观察参数敏感性分析</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rFonts w:ascii="Times New Roman" w:hAnsi="Times New Roman" w:cs="Times New Roman" w:eastAsia="Times New Roman" w:hint="default"/>
        </w:rPr>
        <w:t>6</w:t>
      </w:r>
      <w:r>
        <w:rPr/>
        <w:t>、持续的公允价值计量项目，本期内发生各层级之间转换的，转换的原因及确定转换时点的政策</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rFonts w:ascii="Times New Roman" w:hAnsi="Times New Roman" w:cs="Times New Roman" w:eastAsia="Times New Roman" w:hint="default"/>
        </w:rPr>
        <w:t>7</w:t>
      </w:r>
      <w:r>
        <w:rPr/>
        <w:t>、本期内发生的估值技术变更及变更原因</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rFonts w:ascii="Times New Roman" w:hAnsi="Times New Roman" w:cs="Times New Roman" w:eastAsia="Times New Roman" w:hint="default"/>
        </w:rPr>
        <w:t>8</w:t>
      </w:r>
      <w:r>
        <w:rPr/>
        <w:t>、不以公允价值计量的金融资产和金融负债的公允价值情况</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rFonts w:ascii="Times New Roman" w:hAnsi="Times New Roman" w:cs="Times New Roman" w:eastAsia="Times New Roman" w:hint="default"/>
        </w:rPr>
        <w:t>9</w:t>
      </w:r>
      <w:r>
        <w:rPr/>
        <w:t>、其他</w:t>
      </w:r>
      <w:r>
        <w:rPr>
          <w:b w:val="0"/>
          <w:bCs w:val="0"/>
        </w:rPr>
      </w:r>
    </w:p>
    <w:p>
      <w:pPr>
        <w:spacing w:line="240" w:lineRule="auto" w:before="2"/>
        <w:rPr>
          <w:rFonts w:ascii="Microsoft JhengHei" w:hAnsi="Microsoft JhengHei" w:cs="Microsoft JhengHei" w:eastAsia="Microsoft JhengHei" w:hint="default"/>
          <w:b/>
          <w:bCs/>
          <w:sz w:val="18"/>
          <w:szCs w:val="18"/>
        </w:rPr>
      </w:pPr>
    </w:p>
    <w:p>
      <w:pPr>
        <w:pStyle w:val="BodyText"/>
        <w:spacing w:line="273" w:lineRule="auto"/>
        <w:ind w:right="0" w:firstLine="422"/>
        <w:jc w:val="left"/>
      </w:pPr>
      <w:r>
        <w:rPr>
          <w:spacing w:val="-2"/>
        </w:rPr>
        <w:t>本公司以摊余成本计量的金融资产和金融负债主要包括：货币资金、应收票据、应收账款、其他应收</w:t>
      </w:r>
      <w:r>
        <w:rPr>
          <w:w w:val="100"/>
        </w:rPr>
        <w:t> </w:t>
      </w:r>
      <w:r>
        <w:rPr/>
        <w:t>款、短期借款、应付票据、应付账款、其他应付款等。</w:t>
      </w:r>
    </w:p>
    <w:p>
      <w:pPr>
        <w:spacing w:line="240" w:lineRule="auto" w:before="1"/>
        <w:rPr>
          <w:rFonts w:ascii="宋体" w:hAnsi="宋体" w:cs="宋体" w:eastAsia="宋体" w:hint="default"/>
          <w:sz w:val="17"/>
          <w:szCs w:val="17"/>
        </w:rPr>
      </w:pPr>
    </w:p>
    <w:p>
      <w:pPr>
        <w:pStyle w:val="BodyText"/>
        <w:spacing w:line="240" w:lineRule="auto"/>
        <w:ind w:left="575" w:right="0"/>
        <w:jc w:val="left"/>
      </w:pPr>
      <w:r>
        <w:rPr/>
        <w:t>本公司上述不以公允价值计量的金融资产和金融负债的账面价值与公允价值相差很小。</w:t>
      </w:r>
    </w:p>
    <w:p>
      <w:pPr>
        <w:spacing w:line="240" w:lineRule="auto" w:before="11"/>
        <w:rPr>
          <w:rFonts w:ascii="宋体" w:hAnsi="宋体" w:cs="宋体" w:eastAsia="宋体" w:hint="default"/>
          <w:sz w:val="17"/>
          <w:szCs w:val="17"/>
        </w:rPr>
      </w:pPr>
    </w:p>
    <w:p>
      <w:pPr>
        <w:pStyle w:val="Heading2"/>
        <w:spacing w:line="240" w:lineRule="auto"/>
        <w:ind w:right="0"/>
        <w:jc w:val="left"/>
        <w:rPr>
          <w:b w:val="0"/>
          <w:bCs w:val="0"/>
        </w:rPr>
      </w:pPr>
      <w:r>
        <w:rPr/>
        <w:t>十二、关联方及关联交易</w:t>
      </w:r>
      <w:r>
        <w:rPr>
          <w:b w:val="0"/>
          <w:bCs w:val="0"/>
        </w:rPr>
      </w:r>
    </w:p>
    <w:p>
      <w:pPr>
        <w:spacing w:line="240" w:lineRule="auto" w:before="5"/>
        <w:rPr>
          <w:rFonts w:ascii="Microsoft JhengHei" w:hAnsi="Microsoft JhengHei" w:cs="Microsoft JhengHei" w:eastAsia="Microsoft JhengHei" w:hint="default"/>
          <w:b/>
          <w:bCs/>
          <w:sz w:val="13"/>
          <w:szCs w:val="13"/>
        </w:rPr>
      </w:pPr>
    </w:p>
    <w:p>
      <w:pPr>
        <w:pStyle w:val="Heading4"/>
        <w:spacing w:line="240" w:lineRule="auto"/>
        <w:ind w:right="0"/>
        <w:jc w:val="left"/>
        <w:rPr>
          <w:b w:val="0"/>
          <w:bCs w:val="0"/>
        </w:rPr>
      </w:pPr>
      <w:r>
        <w:rPr>
          <w:rFonts w:ascii="Times New Roman" w:hAnsi="Times New Roman" w:cs="Times New Roman" w:eastAsia="Times New Roman" w:hint="default"/>
        </w:rPr>
        <w:t>1</w:t>
      </w:r>
      <w:r>
        <w:rPr/>
        <w:t>、本企业的母公司情况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本企业的母公司情况的说明</w:t>
      </w:r>
    </w:p>
    <w:p>
      <w:pPr>
        <w:spacing w:line="240" w:lineRule="auto" w:before="9"/>
        <w:rPr>
          <w:rFonts w:ascii="宋体" w:hAnsi="宋体" w:cs="宋体" w:eastAsia="宋体" w:hint="default"/>
          <w:sz w:val="12"/>
          <w:szCs w:val="12"/>
        </w:rPr>
      </w:pPr>
    </w:p>
    <w:p>
      <w:pPr>
        <w:pStyle w:val="BodyText"/>
        <w:spacing w:line="240" w:lineRule="auto"/>
        <w:ind w:left="575" w:right="0"/>
        <w:jc w:val="left"/>
      </w:pPr>
      <w:r>
        <w:rPr/>
        <w:t>公司实际控制人尤丽娟、尤玉仙、尤友岳、尤雪仙、尤友鸾、章棉桃为同一家族成员。</w:t>
      </w:r>
    </w:p>
    <w:p>
      <w:pPr>
        <w:spacing w:line="240" w:lineRule="auto" w:before="9"/>
        <w:rPr>
          <w:rFonts w:ascii="宋体" w:hAnsi="宋体" w:cs="宋体" w:eastAsia="宋体" w:hint="default"/>
          <w:sz w:val="21"/>
          <w:szCs w:val="21"/>
        </w:rPr>
      </w:pPr>
    </w:p>
    <w:p>
      <w:pPr>
        <w:spacing w:line="357" w:lineRule="auto" w:before="0"/>
        <w:ind w:left="152" w:right="7678" w:firstLine="0"/>
        <w:jc w:val="left"/>
        <w:rPr>
          <w:rFonts w:ascii="宋体" w:hAnsi="宋体" w:cs="宋体" w:eastAsia="宋体" w:hint="default"/>
          <w:sz w:val="18"/>
          <w:szCs w:val="18"/>
        </w:rPr>
      </w:pPr>
      <w:r>
        <w:rPr>
          <w:rFonts w:ascii="宋体" w:hAnsi="宋体" w:cs="宋体" w:eastAsia="宋体" w:hint="default"/>
          <w:sz w:val="18"/>
          <w:szCs w:val="18"/>
        </w:rPr>
        <w:t>本企业最终控制方是。</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其他说明：</w:t>
      </w:r>
    </w:p>
    <w:p>
      <w:pPr>
        <w:spacing w:line="240" w:lineRule="auto" w:before="10"/>
        <w:rPr>
          <w:rFonts w:ascii="宋体" w:hAnsi="宋体" w:cs="宋体" w:eastAsia="宋体" w:hint="default"/>
          <w:sz w:val="14"/>
          <w:szCs w:val="14"/>
        </w:rPr>
      </w:pPr>
    </w:p>
    <w:p>
      <w:pPr>
        <w:spacing w:line="480" w:lineRule="auto" w:before="0"/>
        <w:ind w:left="152" w:right="4921"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、本企业的子公司情况</w:t>
      </w:r>
      <w:r>
        <w:rPr>
          <w:rFonts w:ascii="Microsoft JhengHei" w:hAnsi="Microsoft JhengHei" w:cs="Microsoft JhengHei" w:eastAsia="Microsoft JhengHei" w:hint="default"/>
          <w:b/>
          <w:bCs/>
          <w:spacing w:val="-41"/>
          <w:sz w:val="21"/>
          <w:szCs w:val="21"/>
        </w:rPr>
        <w:t> </w:t>
      </w:r>
      <w:r>
        <w:rPr>
          <w:rFonts w:ascii="宋体" w:hAnsi="宋体" w:cs="宋体" w:eastAsia="宋体" w:hint="default"/>
          <w:spacing w:val="-6"/>
          <w:w w:val="101"/>
          <w:sz w:val="18"/>
          <w:szCs w:val="18"/>
        </w:rPr>
        <w:t>本企业子公司的情况详见附注九、在其他主体中的权益（</w:t>
      </w:r>
      <w:r>
        <w:rPr>
          <w:rFonts w:ascii="Times New Roman" w:hAnsi="Times New Roman" w:cs="Times New Roman" w:eastAsia="Times New Roman" w:hint="default"/>
          <w:spacing w:val="-6"/>
          <w:w w:val="101"/>
          <w:sz w:val="18"/>
          <w:szCs w:val="18"/>
        </w:rPr>
        <w:t>1</w:t>
      </w:r>
      <w:r>
        <w:rPr>
          <w:rFonts w:ascii="宋体" w:hAnsi="宋体" w:cs="宋体" w:eastAsia="宋体" w:hint="default"/>
          <w:spacing w:val="-6"/>
          <w:w w:val="101"/>
          <w:sz w:val="18"/>
          <w:szCs w:val="18"/>
        </w:rPr>
        <w:t>）。</w:t>
      </w:r>
      <w:r>
        <w:rPr>
          <w:rFonts w:ascii="宋体" w:hAnsi="宋体" w:cs="宋体" w:eastAsia="宋体" w:hint="default"/>
          <w:spacing w:val="-80"/>
          <w:w w:val="101"/>
          <w:sz w:val="18"/>
          <w:szCs w:val="18"/>
        </w:rPr>
        <w:t> </w:t>
      </w:r>
      <w:r>
        <w:rPr>
          <w:rFonts w:ascii="宋体" w:hAnsi="宋体" w:cs="宋体" w:eastAsia="宋体" w:hint="default"/>
          <w:spacing w:val="-80"/>
          <w:w w:val="101"/>
          <w:sz w:val="18"/>
          <w:szCs w:val="18"/>
        </w:rPr>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、本企业合营和联营企业情况</w:t>
      </w:r>
      <w:r>
        <w:rPr>
          <w:rFonts w:ascii="Microsoft JhengHei" w:hAnsi="Microsoft JhengHei" w:cs="Microsoft JhengHei" w:eastAsia="Microsoft JhengHei" w:hint="default"/>
          <w:sz w:val="21"/>
          <w:szCs w:val="21"/>
        </w:rPr>
      </w:r>
    </w:p>
    <w:p>
      <w:pPr>
        <w:spacing w:line="357" w:lineRule="auto" w:before="66"/>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本企业重要的合营或联营企业详见附注。</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pacing w:val="-3"/>
          <w:sz w:val="18"/>
          <w:szCs w:val="18"/>
        </w:rPr>
        <w:t>本期与本公司发生关联方交易，或前期与本公司发生关联方交易形成余额的其他合营或联营企业情况如下：</w:t>
      </w:r>
    </w:p>
    <w:p>
      <w:pPr>
        <w:spacing w:line="422" w:lineRule="exact"/>
        <w:ind w:left="148"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8pt;height:21.15pt;mso-position-horizontal-relative:char;mso-position-vertical-relative:line" coordorigin="0,0" coordsize="9576,423">
            <v:group style="position:absolute;left:22;top:19;width:2;height:389" coordorigin="22,19" coordsize="2,389">
              <v:shape style="position:absolute;left:22;top:19;width:2;height:389" coordorigin="22,19" coordsize="0,389" path="m22,19l22,408e" filled="false" stroked="true" strokeweight="1.2pt" strokecolor="#d2d2d2">
                <v:path arrowok="t"/>
              </v:shape>
            </v:group>
            <v:group style="position:absolute;left:4771;top:19;width:2;height:389" coordorigin="4771,19" coordsize="2,389">
              <v:shape style="position:absolute;left:4771;top:19;width:2;height:389" coordorigin="4771,19" coordsize="0,389" path="m4771,19l4771,408e" filled="false" stroked="true" strokeweight=".96pt" strokecolor="#d2d2d2">
                <v:path arrowok="t"/>
              </v:shape>
            </v:group>
            <v:group style="position:absolute;left:34;top:14;width:4728;height:394" coordorigin="34,14" coordsize="4728,394">
              <v:shape style="position:absolute;left:34;top:14;width:4728;height:394" coordorigin="34,14" coordsize="4728,394" path="m34,408l4762,408,4762,14,34,14,34,408xe" filled="true" fillcolor="#d2d2d2" stroked="false">
                <v:path arrowok="t"/>
                <v:fill type="solid"/>
              </v:shape>
            </v:group>
            <v:group style="position:absolute;left:4802;top:19;width:2;height:389" coordorigin="4802,19" coordsize="2,389">
              <v:shape style="position:absolute;left:4802;top:19;width:2;height:389" coordorigin="4802,19" coordsize="0,389" path="m4802,19l4802,408e" filled="false" stroked="true" strokeweight="1.2pt" strokecolor="#d2d2d2">
                <v:path arrowok="t"/>
              </v:shape>
            </v:group>
            <v:group style="position:absolute;left:9557;top:19;width:2;height:389" coordorigin="9557,19" coordsize="2,389">
              <v:shape style="position:absolute;left:9557;top:19;width:2;height:389" coordorigin="9557,19" coordsize="0,389" path="m9557,19l9557,408e" filled="false" stroked="true" strokeweight=".96pt" strokecolor="#d2d2d2">
                <v:path arrowok="t"/>
              </v:shape>
            </v:group>
            <v:group style="position:absolute;left:4814;top:14;width:4733;height:394" coordorigin="4814,14" coordsize="4733,394">
              <v:shape style="position:absolute;left:4814;top:14;width:4733;height:394" coordorigin="4814,14" coordsize="4733,394" path="m4814,408l9547,408,9547,14,4814,14,4814,408xe" filled="true" fillcolor="#d2d2d2" stroked="false">
                <v:path arrowok="t"/>
                <v:fill type="solid"/>
              </v:shape>
            </v:group>
            <v:group style="position:absolute;left:10;top:10;width:4772;height:2" coordorigin="10,10" coordsize="4772,2">
              <v:shape style="position:absolute;left:10;top:10;width:4772;height:2" coordorigin="10,10" coordsize="4772,0" path="m10,10l4781,10e" filled="false" stroked="true" strokeweight=".48pt" strokecolor="#000000">
                <v:path arrowok="t"/>
              </v:shape>
            </v:group>
            <v:group style="position:absolute;left:4790;top:10;width:4776;height:2" coordorigin="4790,10" coordsize="4776,2">
              <v:shape style="position:absolute;left:4790;top:10;width:4776;height:2" coordorigin="4790,10" coordsize="4776,0" path="m4790,10l9566,10e" filled="false" stroked="true" strokeweight=".48pt" strokecolor="#000000">
                <v:path arrowok="t"/>
              </v:shape>
            </v:group>
            <v:group style="position:absolute;left:5;top:5;width:2;height:413" coordorigin="5,5" coordsize="2,413">
              <v:shape style="position:absolute;left:5;top:5;width:2;height:413" coordorigin="5,5" coordsize="0,413" path="m5,5l5,418e" filled="false" stroked="true" strokeweight=".48pt" strokecolor="#000000">
                <v:path arrowok="t"/>
              </v:shape>
            </v:group>
            <v:group style="position:absolute;left:10;top:413;width:4772;height:2" coordorigin="10,413" coordsize="4772,2">
              <v:shape style="position:absolute;left:10;top:413;width:4772;height:2" coordorigin="10,413" coordsize="4772,0" path="m10,413l4781,413e" filled="false" stroked="true" strokeweight=".48pt" strokecolor="#000000">
                <v:path arrowok="t"/>
              </v:shape>
            </v:group>
            <v:group style="position:absolute;left:4786;top:5;width:2;height:413" coordorigin="4786,5" coordsize="2,413">
              <v:shape style="position:absolute;left:4786;top:5;width:2;height:413" coordorigin="4786,5" coordsize="0,413" path="m4786,5l4786,418e" filled="false" stroked="true" strokeweight=".48pt" strokecolor="#000000">
                <v:path arrowok="t"/>
              </v:shape>
            </v:group>
            <v:group style="position:absolute;left:4790;top:413;width:4776;height:2" coordorigin="4790,413" coordsize="4776,2">
              <v:shape style="position:absolute;left:4790;top:413;width:4776;height:2" coordorigin="4790,413" coordsize="4776,0" path="m4790,413l9566,413e" filled="false" stroked="true" strokeweight=".48pt" strokecolor="#000000">
                <v:path arrowok="t"/>
              </v:shape>
            </v:group>
            <v:group style="position:absolute;left:9571;top:5;width:2;height:413" coordorigin="9571,5" coordsize="2,413">
              <v:shape style="position:absolute;left:9571;top:5;width:2;height:413" coordorigin="9571,5" coordsize="0,413" path="m9571,5l9571,418e" filled="false" stroked="true" strokeweight=".48pt" strokecolor="#000000">
                <v:path arrowok="t"/>
              </v:shape>
              <v:shape style="position:absolute;left:5;top:10;width:4781;height:404" type="#_x0000_t202" filled="false" stroked="false">
                <v:textbox inset="0,0,0,0">
                  <w:txbxContent>
                    <w:p>
                      <w:pPr>
                        <w:spacing w:before="58"/>
                        <w:ind w:left="1579" w:right="0" w:firstLine="0"/>
                        <w:jc w:val="left"/>
                        <w:rPr>
                          <w:rFonts w:ascii="宋体" w:hAnsi="宋体" w:cs="宋体" w:eastAsia="宋体" w:hint="default"/>
                          <w:sz w:val="18"/>
                          <w:szCs w:val="18"/>
                        </w:rPr>
                      </w:pPr>
                      <w:r>
                        <w:rPr>
                          <w:rFonts w:ascii="宋体" w:hAnsi="宋体" w:cs="宋体" w:eastAsia="宋体" w:hint="default"/>
                          <w:spacing w:val="-3"/>
                          <w:sz w:val="18"/>
                          <w:szCs w:val="18"/>
                        </w:rPr>
                        <w:t>合营或联营企业名称</w:t>
                      </w:r>
                    </w:p>
                  </w:txbxContent>
                </v:textbox>
                <w10:wrap type="none"/>
              </v:shape>
              <v:shape style="position:absolute;left:4786;top:10;width:4786;height:404" type="#_x0000_t202" filled="false" stroked="false">
                <v:textbox inset="0,0,0,0">
                  <w:txbxContent>
                    <w:p>
                      <w:pPr>
                        <w:spacing w:before="58"/>
                        <w:ind w:left="0" w:right="2" w:firstLine="0"/>
                        <w:jc w:val="center"/>
                        <w:rPr>
                          <w:rFonts w:ascii="宋体" w:hAnsi="宋体" w:cs="宋体" w:eastAsia="宋体" w:hint="default"/>
                          <w:sz w:val="18"/>
                          <w:szCs w:val="18"/>
                        </w:rPr>
                      </w:pPr>
                      <w:r>
                        <w:rPr>
                          <w:rFonts w:ascii="宋体" w:hAnsi="宋体" w:cs="宋体" w:eastAsia="宋体" w:hint="default"/>
                          <w:sz w:val="18"/>
                          <w:szCs w:val="18"/>
                        </w:rPr>
                        <w:t>与本企业关系</w:t>
                      </w:r>
                    </w:p>
                  </w:txbxContent>
                </v:textbox>
                <w10:wrap type="none"/>
              </v:shape>
            </v:group>
          </v:group>
        </w:pict>
      </w:r>
      <w:r>
        <w:rPr>
          <w:rFonts w:ascii="宋体" w:hAnsi="宋体" w:cs="宋体" w:eastAsia="宋体" w:hint="default"/>
          <w:position w:val="-7"/>
          <w:sz w:val="20"/>
          <w:szCs w:val="20"/>
        </w:rPr>
      </w:r>
    </w:p>
    <w:p>
      <w:pPr>
        <w:spacing w:before="56"/>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4</w:t>
      </w:r>
      <w:r>
        <w:rPr/>
        <w:t>、其他关联方情况</w:t>
      </w:r>
      <w:r>
        <w:rPr>
          <w:b w:val="0"/>
          <w:bCs w:val="0"/>
        </w:rPr>
      </w:r>
    </w:p>
    <w:p>
      <w:pPr>
        <w:spacing w:line="240" w:lineRule="auto" w:before="17"/>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4781"/>
        <w:gridCol w:w="4786"/>
      </w:tblGrid>
      <w:tr>
        <w:trPr>
          <w:trHeight w:val="403" w:hRule="exact"/>
        </w:trPr>
        <w:tc>
          <w:tcPr>
            <w:tcW w:w="4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pacing w:val="-3"/>
                <w:sz w:val="18"/>
                <w:szCs w:val="18"/>
              </w:rPr>
              <w:t>其他关联方名称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396" w:right="0"/>
              <w:jc w:val="left"/>
              <w:rPr>
                <w:rFonts w:ascii="宋体" w:hAnsi="宋体" w:cs="宋体" w:eastAsia="宋体" w:hint="default"/>
                <w:sz w:val="18"/>
                <w:szCs w:val="18"/>
              </w:rPr>
            </w:pPr>
            <w:r>
              <w:rPr>
                <w:rFonts w:ascii="宋体" w:hAnsi="宋体" w:cs="宋体" w:eastAsia="宋体" w:hint="default"/>
                <w:spacing w:val="-3"/>
                <w:sz w:val="18"/>
                <w:szCs w:val="18"/>
              </w:rPr>
              <w:t>其他关联方与本企业关系</w:t>
            </w:r>
          </w:p>
        </w:tc>
      </w:tr>
      <w:tr>
        <w:trPr>
          <w:trHeight w:val="398" w:hRule="exact"/>
        </w:trPr>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福州界点科技服务有限公司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受同一实际控制人控制</w:t>
            </w:r>
          </w:p>
        </w:tc>
      </w:tr>
      <w:tr>
        <w:trPr>
          <w:trHeight w:val="403" w:hRule="exact"/>
        </w:trPr>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福建开新贸易有限公司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受同一实际控制人控制</w:t>
            </w:r>
          </w:p>
        </w:tc>
      </w:tr>
      <w:tr>
        <w:trPr>
          <w:trHeight w:val="403" w:hRule="exact"/>
        </w:trPr>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福建鸿博光电科技有限公司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受同一实际控制人控制</w:t>
            </w:r>
          </w:p>
        </w:tc>
      </w:tr>
      <w:tr>
        <w:trPr>
          <w:trHeight w:val="403" w:hRule="exact"/>
        </w:trPr>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广州联存医药科技有限公司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受同一实际控制人控制</w:t>
            </w:r>
          </w:p>
        </w:tc>
      </w:tr>
    </w:tbl>
    <w:p>
      <w:pPr>
        <w:spacing w:after="0" w:line="240" w:lineRule="auto"/>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12"/>
        <w:rPr>
          <w:rFonts w:ascii="Microsoft JhengHei" w:hAnsi="Microsoft JhengHei" w:cs="Microsoft JhengHei" w:eastAsia="Microsoft JhengHei" w:hint="default"/>
          <w:b/>
          <w:bCs/>
          <w:sz w:val="21"/>
          <w:szCs w:val="21"/>
        </w:rPr>
      </w:pPr>
    </w:p>
    <w:tbl>
      <w:tblPr>
        <w:tblW w:w="0" w:type="auto"/>
        <w:jc w:val="left"/>
        <w:tblInd w:w="148" w:type="dxa"/>
        <w:tblLayout w:type="fixed"/>
        <w:tblCellMar>
          <w:top w:w="0" w:type="dxa"/>
          <w:left w:w="0" w:type="dxa"/>
          <w:bottom w:w="0" w:type="dxa"/>
          <w:right w:w="0" w:type="dxa"/>
        </w:tblCellMar>
        <w:tblLook w:val="01E0"/>
      </w:tblPr>
      <w:tblGrid>
        <w:gridCol w:w="4781"/>
        <w:gridCol w:w="4786"/>
      </w:tblGrid>
      <w:tr>
        <w:trPr>
          <w:trHeight w:val="403" w:hRule="exact"/>
        </w:trPr>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福建鸿博房地产开发有限公司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受同一实际控制人控制</w:t>
            </w:r>
          </w:p>
        </w:tc>
      </w:tr>
      <w:tr>
        <w:trPr>
          <w:trHeight w:val="403" w:hRule="exact"/>
        </w:trPr>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董事、经理、财务总监及董事会秘书</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关键管理人员</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5</w:t>
      </w:r>
      <w:r>
        <w:rPr/>
        <w:t>、关联交易情况</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）购销商品、提供和接受劳务的关联交易</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152" w:right="0" w:firstLine="0"/>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接受劳务情况表</w:t>
      </w:r>
    </w:p>
    <w:p>
      <w:pPr>
        <w:spacing w:before="101"/>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41"/>
        <w:gridCol w:w="1454"/>
        <w:gridCol w:w="1454"/>
        <w:gridCol w:w="1704"/>
        <w:gridCol w:w="1709"/>
        <w:gridCol w:w="1709"/>
      </w:tblGrid>
      <w:tr>
        <w:trPr>
          <w:trHeight w:val="398" w:hRule="exact"/>
        </w:trPr>
        <w:tc>
          <w:tcPr>
            <w:tcW w:w="15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94"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77"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68"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16" w:right="0"/>
              <w:jc w:val="left"/>
              <w:rPr>
                <w:rFonts w:ascii="宋体" w:hAnsi="宋体" w:cs="宋体" w:eastAsia="宋体" w:hint="default"/>
                <w:sz w:val="18"/>
                <w:szCs w:val="18"/>
              </w:rPr>
            </w:pPr>
            <w:r>
              <w:rPr>
                <w:rFonts w:ascii="宋体" w:hAnsi="宋体" w:cs="宋体" w:eastAsia="宋体" w:hint="default"/>
                <w:spacing w:val="-3"/>
                <w:sz w:val="18"/>
                <w:szCs w:val="18"/>
              </w:rPr>
              <w:t>获批的交易额度</w:t>
            </w:r>
          </w:p>
        </w:tc>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4" w:right="0"/>
              <w:jc w:val="left"/>
              <w:rPr>
                <w:rFonts w:ascii="宋体" w:hAnsi="宋体" w:cs="宋体" w:eastAsia="宋体" w:hint="default"/>
                <w:sz w:val="18"/>
                <w:szCs w:val="18"/>
              </w:rPr>
            </w:pPr>
            <w:r>
              <w:rPr>
                <w:rFonts w:ascii="宋体" w:hAnsi="宋体" w:cs="宋体" w:eastAsia="宋体" w:hint="default"/>
                <w:sz w:val="18"/>
                <w:szCs w:val="18"/>
              </w:rPr>
              <w:t>是否超过交易额度</w:t>
            </w:r>
          </w:p>
        </w:tc>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5"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4" w:right="60"/>
              <w:jc w:val="left"/>
              <w:rPr>
                <w:rFonts w:ascii="宋体" w:hAnsi="宋体" w:cs="宋体" w:eastAsia="宋体" w:hint="default"/>
                <w:sz w:val="18"/>
                <w:szCs w:val="18"/>
              </w:rPr>
            </w:pPr>
            <w:r>
              <w:rPr>
                <w:rFonts w:ascii="宋体" w:hAnsi="宋体" w:cs="宋体" w:eastAsia="宋体" w:hint="default"/>
                <w:spacing w:val="-2"/>
                <w:sz w:val="18"/>
                <w:szCs w:val="18"/>
              </w:rPr>
              <w:t>福建开新贸易有限</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采购工程设备</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2"/>
                <w:sz w:val="18"/>
              </w:rPr>
              <w:t>553,211.47</w:t>
            </w:r>
          </w:p>
        </w:tc>
        <w:tc>
          <w:tcPr>
            <w:tcW w:w="1704" w:type="dxa"/>
            <w:tcBorders>
              <w:top w:val="single" w:sz="4" w:space="0" w:color="000000"/>
              <w:left w:val="single" w:sz="4" w:space="0" w:color="000000"/>
              <w:bottom w:val="single" w:sz="4" w:space="0" w:color="000000"/>
              <w:right w:val="single" w:sz="4" w:space="0" w:color="000000"/>
            </w:tcBorders>
          </w:tcPr>
          <w:p>
            <w:pP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2,560,905.80</w:t>
            </w:r>
          </w:p>
        </w:tc>
      </w:tr>
      <w:tr>
        <w:trPr>
          <w:trHeight w:val="715"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60"/>
              <w:jc w:val="left"/>
              <w:rPr>
                <w:rFonts w:ascii="宋体" w:hAnsi="宋体" w:cs="宋体" w:eastAsia="宋体" w:hint="default"/>
                <w:sz w:val="18"/>
                <w:szCs w:val="18"/>
              </w:rPr>
            </w:pPr>
            <w:r>
              <w:rPr>
                <w:rFonts w:ascii="宋体" w:hAnsi="宋体" w:cs="宋体" w:eastAsia="宋体" w:hint="default"/>
                <w:spacing w:val="-2"/>
                <w:sz w:val="18"/>
                <w:szCs w:val="18"/>
              </w:rPr>
              <w:t>福建鸿博光电科技</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有限公司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40,876.07</w:t>
            </w:r>
          </w:p>
        </w:tc>
        <w:tc>
          <w:tcPr>
            <w:tcW w:w="1704" w:type="dxa"/>
            <w:tcBorders>
              <w:top w:val="single" w:sz="4" w:space="0" w:color="000000"/>
              <w:left w:val="single" w:sz="4" w:space="0" w:color="000000"/>
              <w:bottom w:val="single" w:sz="4" w:space="0" w:color="000000"/>
              <w:right w:val="single" w:sz="4" w:space="0" w:color="000000"/>
            </w:tcBorders>
          </w:tcPr>
          <w:p>
            <w:pP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23,692.31</w:t>
            </w:r>
          </w:p>
        </w:tc>
      </w:tr>
      <w:tr>
        <w:trPr>
          <w:trHeight w:val="715"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60"/>
              <w:jc w:val="left"/>
              <w:rPr>
                <w:rFonts w:ascii="宋体" w:hAnsi="宋体" w:cs="宋体" w:eastAsia="宋体" w:hint="default"/>
                <w:sz w:val="18"/>
                <w:szCs w:val="18"/>
              </w:rPr>
            </w:pPr>
            <w:r>
              <w:rPr>
                <w:rFonts w:ascii="宋体" w:hAnsi="宋体" w:cs="宋体" w:eastAsia="宋体" w:hint="default"/>
                <w:spacing w:val="-2"/>
                <w:sz w:val="18"/>
                <w:szCs w:val="18"/>
              </w:rPr>
              <w:t>福州界点科技服务</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有限公司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采购无形资产</w:t>
            </w:r>
          </w:p>
        </w:tc>
        <w:tc>
          <w:tcPr>
            <w:tcW w:w="1454" w:type="dxa"/>
            <w:tcBorders>
              <w:top w:val="single" w:sz="4" w:space="0" w:color="000000"/>
              <w:left w:val="single" w:sz="4" w:space="0" w:color="000000"/>
              <w:bottom w:val="single" w:sz="4" w:space="0" w:color="000000"/>
              <w:right w:val="single" w:sz="4" w:space="0" w:color="000000"/>
            </w:tcBorders>
          </w:tcPr>
          <w:p>
            <w:pPr/>
          </w:p>
        </w:tc>
        <w:tc>
          <w:tcPr>
            <w:tcW w:w="1704" w:type="dxa"/>
            <w:tcBorders>
              <w:top w:val="single" w:sz="4" w:space="0" w:color="000000"/>
              <w:left w:val="single" w:sz="4" w:space="0" w:color="000000"/>
              <w:bottom w:val="single" w:sz="4" w:space="0" w:color="000000"/>
              <w:right w:val="single" w:sz="4" w:space="0" w:color="000000"/>
            </w:tcBorders>
          </w:tcPr>
          <w:p>
            <w:pP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w w:val="101"/>
                <w:sz w:val="18"/>
                <w:szCs w:val="18"/>
              </w:rPr>
              <w:t>否</w:t>
            </w:r>
            <w:r>
              <w:rPr>
                <w:rFonts w:ascii="宋体" w:hAnsi="宋体" w:cs="宋体" w:eastAsia="宋体" w:hint="default"/>
                <w:sz w:val="18"/>
                <w:szCs w:val="18"/>
              </w:rPr>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108,974.36</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出售商品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提供劳务情况表</w:t>
      </w:r>
    </w:p>
    <w:p>
      <w:pPr>
        <w:spacing w:before="101"/>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5"/>
        <w:gridCol w:w="2261"/>
        <w:gridCol w:w="2261"/>
        <w:gridCol w:w="2650"/>
      </w:tblGrid>
      <w:tr>
        <w:trPr>
          <w:trHeight w:val="398" w:hRule="exact"/>
        </w:trPr>
        <w:tc>
          <w:tcPr>
            <w:tcW w:w="2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80"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7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63"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福建鸿博房地产开发有限公司</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128,652.99</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103,653.85</w:t>
            </w:r>
          </w:p>
        </w:tc>
      </w:tr>
      <w:tr>
        <w:trPr>
          <w:trHeight w:val="403" w:hRule="exact"/>
        </w:trPr>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福州界点科技服务有限公司</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销售货物</w:t>
            </w:r>
          </w:p>
        </w:tc>
        <w:tc>
          <w:tcPr>
            <w:tcW w:w="2261" w:type="dxa"/>
            <w:tcBorders>
              <w:top w:val="single" w:sz="4" w:space="0" w:color="000000"/>
              <w:left w:val="single" w:sz="4" w:space="0" w:color="000000"/>
              <w:bottom w:val="single" w:sz="4" w:space="0" w:color="000000"/>
              <w:right w:val="single" w:sz="4" w:space="0" w:color="000000"/>
            </w:tcBorders>
          </w:tcPr>
          <w:p>
            <w:pP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1,839.32</w:t>
            </w:r>
          </w:p>
        </w:tc>
      </w:tr>
      <w:tr>
        <w:trPr>
          <w:trHeight w:val="403" w:hRule="exact"/>
        </w:trPr>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福建鸿博光电科技有限公司</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294,506.07</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广州联存医药科技有限公司</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3,600.00</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20,164.10</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购销商品、提供和接受劳务的关联交易说明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）关联受托管理</w:t>
      </w:r>
      <w:r>
        <w:rPr>
          <w:rFonts w:ascii="Times New Roman" w:hAnsi="Times New Roman" w:cs="Times New Roman" w:eastAsia="Times New Roman" w:hint="default"/>
        </w:rPr>
        <w:t>/</w:t>
      </w:r>
      <w:r>
        <w:rPr/>
        <w:t>承包及委托管理</w:t>
      </w:r>
      <w:r>
        <w:rPr>
          <w:rFonts w:ascii="Times New Roman" w:hAnsi="Times New Roman" w:cs="Times New Roman" w:eastAsia="Times New Roman" w:hint="default"/>
        </w:rPr>
        <w:t>/</w:t>
      </w:r>
      <w:r>
        <w:rPr/>
        <w:t>出包情况</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152" w:right="0" w:firstLine="0"/>
        <w:jc w:val="left"/>
        <w:rPr>
          <w:rFonts w:ascii="宋体" w:hAnsi="宋体" w:cs="宋体" w:eastAsia="宋体" w:hint="default"/>
          <w:sz w:val="18"/>
          <w:szCs w:val="18"/>
        </w:rPr>
      </w:pPr>
      <w:r>
        <w:rPr>
          <w:rFonts w:ascii="宋体" w:hAnsi="宋体" w:cs="宋体" w:eastAsia="宋体" w:hint="default"/>
          <w:sz w:val="18"/>
          <w:szCs w:val="18"/>
        </w:rPr>
        <w:t>本公司受托管理</w:t>
      </w:r>
      <w:r>
        <w:rPr>
          <w:rFonts w:ascii="Times New Roman" w:hAnsi="Times New Roman" w:cs="Times New Roman" w:eastAsia="Times New Roman" w:hint="default"/>
          <w:sz w:val="18"/>
          <w:szCs w:val="18"/>
        </w:rPr>
        <w:t>/</w:t>
      </w:r>
      <w:r>
        <w:rPr>
          <w:rFonts w:ascii="宋体" w:hAnsi="宋体" w:cs="宋体" w:eastAsia="宋体" w:hint="default"/>
          <w:sz w:val="18"/>
          <w:szCs w:val="18"/>
        </w:rPr>
        <w:t>承包情况表：</w:t>
      </w:r>
    </w:p>
    <w:p>
      <w:pPr>
        <w:spacing w:before="101"/>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1368"/>
        <w:gridCol w:w="1368"/>
        <w:gridCol w:w="1363"/>
        <w:gridCol w:w="1368"/>
        <w:gridCol w:w="1368"/>
      </w:tblGrid>
      <w:tr>
        <w:trPr>
          <w:trHeight w:val="710"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585" w:right="17" w:hanging="562"/>
              <w:jc w:val="left"/>
              <w:rPr>
                <w:rFonts w:ascii="宋体" w:hAnsi="宋体" w:cs="宋体" w:eastAsia="宋体" w:hint="default"/>
                <w:sz w:val="18"/>
                <w:szCs w:val="18"/>
              </w:rPr>
            </w:pPr>
            <w:r>
              <w:rPr>
                <w:rFonts w:ascii="宋体" w:hAnsi="宋体" w:cs="宋体" w:eastAsia="宋体" w:hint="default"/>
                <w:spacing w:val="-2"/>
                <w:sz w:val="18"/>
                <w:szCs w:val="18"/>
              </w:rPr>
              <w:t>委托方</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出包方名</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585" w:right="17" w:hanging="562"/>
              <w:jc w:val="left"/>
              <w:rPr>
                <w:rFonts w:ascii="宋体" w:hAnsi="宋体" w:cs="宋体" w:eastAsia="宋体" w:hint="default"/>
                <w:sz w:val="18"/>
                <w:szCs w:val="18"/>
              </w:rPr>
            </w:pPr>
            <w:r>
              <w:rPr>
                <w:rFonts w:ascii="宋体" w:hAnsi="宋体" w:cs="宋体" w:eastAsia="宋体" w:hint="default"/>
                <w:spacing w:val="-2"/>
                <w:sz w:val="18"/>
                <w:szCs w:val="18"/>
              </w:rPr>
              <w:t>受托方</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承包方名</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585" w:right="17" w:hanging="562"/>
              <w:jc w:val="left"/>
              <w:rPr>
                <w:rFonts w:ascii="宋体" w:hAnsi="宋体" w:cs="宋体" w:eastAsia="宋体" w:hint="default"/>
                <w:sz w:val="18"/>
                <w:szCs w:val="18"/>
              </w:rPr>
            </w:pPr>
            <w:r>
              <w:rPr>
                <w:rFonts w:ascii="宋体" w:hAnsi="宋体" w:cs="宋体" w:eastAsia="宋体" w:hint="default"/>
                <w:spacing w:val="-2"/>
                <w:sz w:val="18"/>
                <w:szCs w:val="18"/>
              </w:rPr>
              <w:t>受托</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承包资产类</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型</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承包起始日</w:t>
            </w:r>
          </w:p>
        </w:tc>
        <w:tc>
          <w:tcPr>
            <w:tcW w:w="13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承包终止日</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225" w:right="17" w:hanging="202"/>
              <w:jc w:val="left"/>
              <w:rPr>
                <w:rFonts w:ascii="宋体" w:hAnsi="宋体" w:cs="宋体" w:eastAsia="宋体" w:hint="default"/>
                <w:sz w:val="18"/>
                <w:szCs w:val="18"/>
              </w:rPr>
            </w:pPr>
            <w:r>
              <w:rPr>
                <w:rFonts w:ascii="宋体" w:hAnsi="宋体" w:cs="宋体" w:eastAsia="宋体" w:hint="default"/>
                <w:spacing w:val="-2"/>
                <w:sz w:val="18"/>
                <w:szCs w:val="18"/>
              </w:rPr>
              <w:t>托管收益</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承包收</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益定价依据</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0" w:right="46" w:hanging="63"/>
              <w:jc w:val="left"/>
              <w:rPr>
                <w:rFonts w:ascii="宋体" w:hAnsi="宋体" w:cs="宋体" w:eastAsia="宋体" w:hint="default"/>
                <w:sz w:val="18"/>
                <w:szCs w:val="18"/>
              </w:rPr>
            </w:pPr>
            <w:r>
              <w:rPr>
                <w:rFonts w:ascii="宋体" w:hAnsi="宋体" w:cs="宋体" w:eastAsia="宋体" w:hint="default"/>
                <w:spacing w:val="-3"/>
                <w:sz w:val="18"/>
                <w:szCs w:val="18"/>
              </w:rPr>
              <w:t>本期确认的托管</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收益</w:t>
            </w:r>
            <w:r>
              <w:rPr>
                <w:rFonts w:ascii="Times New Roman" w:hAnsi="Times New Roman" w:cs="Times New Roman" w:eastAsia="Times New Roman" w:hint="default"/>
                <w:sz w:val="18"/>
                <w:szCs w:val="18"/>
              </w:rPr>
              <w:t>/</w:t>
            </w:r>
            <w:r>
              <w:rPr>
                <w:rFonts w:ascii="宋体" w:hAnsi="宋体" w:cs="宋体" w:eastAsia="宋体" w:hint="default"/>
                <w:sz w:val="18"/>
                <w:szCs w:val="18"/>
              </w:rPr>
              <w:t>承包收益</w:t>
            </w:r>
          </w:p>
        </w:tc>
      </w:tr>
    </w:tbl>
    <w:p>
      <w:pPr>
        <w:spacing w:after="0" w:line="316" w:lineRule="auto"/>
        <w:jc w:val="left"/>
        <w:rPr>
          <w:rFonts w:ascii="宋体" w:hAnsi="宋体" w:cs="宋体" w:eastAsia="宋体" w:hint="default"/>
          <w:sz w:val="18"/>
          <w:szCs w:val="18"/>
        </w:rPr>
        <w:sectPr>
          <w:pgSz w:w="11900" w:h="16840"/>
          <w:pgMar w:header="872" w:footer="984" w:top="1060" w:bottom="1180" w:left="980" w:right="980"/>
        </w:sectPr>
      </w:pPr>
    </w:p>
    <w:p>
      <w:pPr>
        <w:spacing w:line="338" w:lineRule="auto" w:before="58"/>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关联托管</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承包情况说明</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pacing w:val="-2"/>
          <w:sz w:val="18"/>
          <w:szCs w:val="18"/>
        </w:rPr>
        <w:t>本公司委托管理</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出包情况表：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22"/>
          <w:szCs w:val="22"/>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00" w:h="16840"/>
          <w:pgMar w:top="1060" w:bottom="1180" w:left="980" w:right="980"/>
          <w:cols w:num="2" w:equalWidth="0">
            <w:col w:w="2548" w:space="6274"/>
            <w:col w:w="1118"/>
          </w:cols>
        </w:sectPr>
      </w:pP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1368"/>
        <w:gridCol w:w="1368"/>
        <w:gridCol w:w="1363"/>
        <w:gridCol w:w="1368"/>
        <w:gridCol w:w="1368"/>
      </w:tblGrid>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585" w:right="17" w:hanging="562"/>
              <w:jc w:val="left"/>
              <w:rPr>
                <w:rFonts w:ascii="宋体" w:hAnsi="宋体" w:cs="宋体" w:eastAsia="宋体" w:hint="default"/>
                <w:sz w:val="18"/>
                <w:szCs w:val="18"/>
              </w:rPr>
            </w:pPr>
            <w:r>
              <w:rPr>
                <w:rFonts w:ascii="宋体" w:hAnsi="宋体" w:cs="宋体" w:eastAsia="宋体" w:hint="default"/>
                <w:spacing w:val="-2"/>
                <w:sz w:val="18"/>
                <w:szCs w:val="18"/>
              </w:rPr>
              <w:t>委托方</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出包方名</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585" w:right="17" w:hanging="562"/>
              <w:jc w:val="left"/>
              <w:rPr>
                <w:rFonts w:ascii="宋体" w:hAnsi="宋体" w:cs="宋体" w:eastAsia="宋体" w:hint="default"/>
                <w:sz w:val="18"/>
                <w:szCs w:val="18"/>
              </w:rPr>
            </w:pPr>
            <w:r>
              <w:rPr>
                <w:rFonts w:ascii="宋体" w:hAnsi="宋体" w:cs="宋体" w:eastAsia="宋体" w:hint="default"/>
                <w:spacing w:val="-2"/>
                <w:sz w:val="18"/>
                <w:szCs w:val="18"/>
              </w:rPr>
              <w:t>受托方</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承包方名</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585" w:right="17" w:hanging="562"/>
              <w:jc w:val="left"/>
              <w:rPr>
                <w:rFonts w:ascii="宋体" w:hAnsi="宋体" w:cs="宋体" w:eastAsia="宋体" w:hint="default"/>
                <w:sz w:val="18"/>
                <w:szCs w:val="18"/>
              </w:rPr>
            </w:pPr>
            <w:r>
              <w:rPr>
                <w:rFonts w:ascii="宋体" w:hAnsi="宋体" w:cs="宋体" w:eastAsia="宋体" w:hint="default"/>
                <w:spacing w:val="-2"/>
                <w:sz w:val="18"/>
                <w:szCs w:val="18"/>
              </w:rPr>
              <w:t>委托</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出包资产类</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型</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出包起始日</w:t>
            </w:r>
          </w:p>
        </w:tc>
        <w:tc>
          <w:tcPr>
            <w:tcW w:w="13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出包终止日</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407" w:right="17" w:hanging="384"/>
              <w:jc w:val="left"/>
              <w:rPr>
                <w:rFonts w:ascii="宋体" w:hAnsi="宋体" w:cs="宋体" w:eastAsia="宋体" w:hint="default"/>
                <w:sz w:val="18"/>
                <w:szCs w:val="18"/>
              </w:rPr>
            </w:pPr>
            <w:r>
              <w:rPr>
                <w:rFonts w:ascii="宋体" w:hAnsi="宋体" w:cs="宋体" w:eastAsia="宋体" w:hint="default"/>
                <w:spacing w:val="-2"/>
                <w:sz w:val="18"/>
                <w:szCs w:val="18"/>
              </w:rPr>
              <w:t>托管费</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出包费定</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价依据</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92" w:right="46" w:hanging="245"/>
              <w:jc w:val="left"/>
              <w:rPr>
                <w:rFonts w:ascii="宋体" w:hAnsi="宋体" w:cs="宋体" w:eastAsia="宋体" w:hint="default"/>
                <w:sz w:val="18"/>
                <w:szCs w:val="18"/>
              </w:rPr>
            </w:pPr>
            <w:r>
              <w:rPr>
                <w:rFonts w:ascii="宋体" w:hAnsi="宋体" w:cs="宋体" w:eastAsia="宋体" w:hint="default"/>
                <w:spacing w:val="-3"/>
                <w:sz w:val="18"/>
                <w:szCs w:val="18"/>
              </w:rPr>
              <w:t>本期确认的托管</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费</w:t>
            </w:r>
            <w:r>
              <w:rPr>
                <w:rFonts w:ascii="Times New Roman" w:hAnsi="Times New Roman" w:cs="Times New Roman" w:eastAsia="Times New Roman" w:hint="default"/>
                <w:sz w:val="18"/>
                <w:szCs w:val="18"/>
              </w:rPr>
              <w:t>/</w:t>
            </w:r>
            <w:r>
              <w:rPr>
                <w:rFonts w:ascii="宋体" w:hAnsi="宋体" w:cs="宋体" w:eastAsia="宋体" w:hint="default"/>
                <w:sz w:val="18"/>
                <w:szCs w:val="18"/>
              </w:rPr>
              <w:t>出包费</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关联管理</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出包情况说明</w:t>
      </w:r>
    </w:p>
    <w:p>
      <w:pPr>
        <w:spacing w:after="0"/>
        <w:jc w:val="left"/>
        <w:rPr>
          <w:rFonts w:ascii="宋体" w:hAnsi="宋体" w:cs="宋体" w:eastAsia="宋体" w:hint="default"/>
          <w:sz w:val="18"/>
          <w:szCs w:val="18"/>
        </w:rPr>
        <w:sectPr>
          <w:type w:val="continuous"/>
          <w:pgSz w:w="11900" w:h="16840"/>
          <w:pgMar w:top="1060" w:bottom="1180" w:left="980" w:right="980"/>
        </w:sectPr>
      </w:pPr>
    </w:p>
    <w:p>
      <w:pPr>
        <w:spacing w:line="240" w:lineRule="auto" w:before="12"/>
        <w:rPr>
          <w:rFonts w:ascii="宋体" w:hAnsi="宋体" w:cs="宋体" w:eastAsia="宋体" w:hint="default"/>
          <w:sz w:val="24"/>
          <w:szCs w:val="24"/>
        </w:rPr>
      </w:pPr>
    </w:p>
    <w:p>
      <w:pPr>
        <w:pStyle w:val="Heading4"/>
        <w:spacing w:line="335" w:lineRule="exact"/>
        <w:ind w:right="0"/>
        <w:jc w:val="left"/>
        <w:rPr>
          <w:b w:val="0"/>
          <w:bCs w:val="0"/>
        </w:rPr>
      </w:pPr>
      <w:r>
        <w:rPr/>
        <w:t>（</w:t>
      </w:r>
      <w:r>
        <w:rPr>
          <w:rFonts w:ascii="Times New Roman" w:hAnsi="Times New Roman" w:cs="Times New Roman" w:eastAsia="Times New Roman" w:hint="default"/>
        </w:rPr>
        <w:t>3</w:t>
      </w:r>
      <w:r>
        <w:rPr/>
        <w:t>）关联租赁情况</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本公司作为出租方：</w:t>
      </w:r>
    </w:p>
    <w:p>
      <w:pPr>
        <w:spacing w:before="115"/>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0"/>
        <w:gridCol w:w="2390"/>
        <w:gridCol w:w="2395"/>
        <w:gridCol w:w="2390"/>
      </w:tblGrid>
      <w:tr>
        <w:trPr>
          <w:trHeight w:val="403"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39" w:right="0"/>
              <w:jc w:val="left"/>
              <w:rPr>
                <w:rFonts w:ascii="宋体" w:hAnsi="宋体" w:cs="宋体" w:eastAsia="宋体" w:hint="default"/>
                <w:sz w:val="18"/>
                <w:szCs w:val="18"/>
              </w:rPr>
            </w:pPr>
            <w:r>
              <w:rPr>
                <w:rFonts w:ascii="宋体" w:hAnsi="宋体" w:cs="宋体" w:eastAsia="宋体" w:hint="default"/>
                <w:sz w:val="18"/>
                <w:szCs w:val="18"/>
              </w:rPr>
              <w:t>承租方名称</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3"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9" w:right="0"/>
              <w:jc w:val="left"/>
              <w:rPr>
                <w:rFonts w:ascii="宋体" w:hAnsi="宋体" w:cs="宋体" w:eastAsia="宋体" w:hint="default"/>
                <w:sz w:val="18"/>
                <w:szCs w:val="18"/>
              </w:rPr>
            </w:pPr>
            <w:r>
              <w:rPr>
                <w:rFonts w:ascii="宋体" w:hAnsi="宋体" w:cs="宋体" w:eastAsia="宋体" w:hint="default"/>
                <w:spacing w:val="-3"/>
                <w:sz w:val="18"/>
                <w:szCs w:val="18"/>
              </w:rPr>
              <w:t>本期确认的租赁收入</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9" w:right="0"/>
              <w:jc w:val="left"/>
              <w:rPr>
                <w:rFonts w:ascii="宋体" w:hAnsi="宋体" w:cs="宋体" w:eastAsia="宋体" w:hint="default"/>
                <w:sz w:val="18"/>
                <w:szCs w:val="18"/>
              </w:rPr>
            </w:pPr>
            <w:r>
              <w:rPr>
                <w:rFonts w:ascii="宋体" w:hAnsi="宋体" w:cs="宋体" w:eastAsia="宋体" w:hint="default"/>
                <w:spacing w:val="-3"/>
                <w:sz w:val="18"/>
                <w:szCs w:val="18"/>
              </w:rPr>
              <w:t>上期确认的租赁收入</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本公司作为承租方：</w:t>
      </w:r>
    </w:p>
    <w:p>
      <w:pPr>
        <w:spacing w:before="119"/>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0"/>
        <w:gridCol w:w="2395"/>
        <w:gridCol w:w="2390"/>
        <w:gridCol w:w="2390"/>
      </w:tblGrid>
      <w:tr>
        <w:trPr>
          <w:trHeight w:val="403"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39" w:right="0"/>
              <w:jc w:val="left"/>
              <w:rPr>
                <w:rFonts w:ascii="宋体" w:hAnsi="宋体" w:cs="宋体" w:eastAsia="宋体" w:hint="default"/>
                <w:sz w:val="18"/>
                <w:szCs w:val="18"/>
              </w:rPr>
            </w:pPr>
            <w:r>
              <w:rPr>
                <w:rFonts w:ascii="宋体" w:hAnsi="宋体" w:cs="宋体" w:eastAsia="宋体" w:hint="default"/>
                <w:sz w:val="18"/>
                <w:szCs w:val="18"/>
              </w:rPr>
              <w:t>出租方名称</w:t>
            </w:r>
          </w:p>
        </w:tc>
        <w:tc>
          <w:tcPr>
            <w:tcW w:w="2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70" w:right="0"/>
              <w:jc w:val="left"/>
              <w:rPr>
                <w:rFonts w:ascii="宋体" w:hAnsi="宋体" w:cs="宋体" w:eastAsia="宋体" w:hint="default"/>
                <w:sz w:val="18"/>
                <w:szCs w:val="18"/>
              </w:rPr>
            </w:pPr>
            <w:r>
              <w:rPr>
                <w:rFonts w:ascii="宋体" w:hAnsi="宋体" w:cs="宋体" w:eastAsia="宋体" w:hint="default"/>
                <w:sz w:val="18"/>
                <w:szCs w:val="18"/>
              </w:rPr>
              <w:t>本期确认的租赁费</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70" w:right="0"/>
              <w:jc w:val="left"/>
              <w:rPr>
                <w:rFonts w:ascii="宋体" w:hAnsi="宋体" w:cs="宋体" w:eastAsia="宋体" w:hint="default"/>
                <w:sz w:val="18"/>
                <w:szCs w:val="18"/>
              </w:rPr>
            </w:pPr>
            <w:r>
              <w:rPr>
                <w:rFonts w:ascii="宋体" w:hAnsi="宋体" w:cs="宋体" w:eastAsia="宋体" w:hint="default"/>
                <w:sz w:val="18"/>
                <w:szCs w:val="18"/>
              </w:rPr>
              <w:t>上期确认的租赁费</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关联租赁情况说明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4</w:t>
      </w:r>
      <w:r>
        <w:rPr/>
        <w:t>）关联担保情况</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152" w:right="0" w:firstLine="0"/>
        <w:jc w:val="left"/>
        <w:rPr>
          <w:rFonts w:ascii="宋体" w:hAnsi="宋体" w:cs="宋体" w:eastAsia="宋体" w:hint="default"/>
          <w:sz w:val="18"/>
          <w:szCs w:val="18"/>
        </w:rPr>
      </w:pPr>
      <w:r>
        <w:rPr>
          <w:rFonts w:ascii="宋体" w:hAnsi="宋体" w:cs="宋体" w:eastAsia="宋体" w:hint="default"/>
          <w:sz w:val="18"/>
          <w:szCs w:val="18"/>
        </w:rPr>
        <w:t>本公司作为担保方</w:t>
      </w:r>
    </w:p>
    <w:p>
      <w:pPr>
        <w:spacing w:before="115"/>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5"/>
        <w:gridCol w:w="1915"/>
        <w:gridCol w:w="1910"/>
        <w:gridCol w:w="1915"/>
        <w:gridCol w:w="1915"/>
      </w:tblGrid>
      <w:tr>
        <w:trPr>
          <w:trHeight w:val="403" w:hRule="exact"/>
        </w:trPr>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90" w:right="0"/>
              <w:jc w:val="left"/>
              <w:rPr>
                <w:rFonts w:ascii="宋体" w:hAnsi="宋体" w:cs="宋体" w:eastAsia="宋体" w:hint="default"/>
                <w:sz w:val="18"/>
                <w:szCs w:val="18"/>
              </w:rPr>
            </w:pPr>
            <w:r>
              <w:rPr>
                <w:rFonts w:ascii="宋体" w:hAnsi="宋体" w:cs="宋体" w:eastAsia="宋体" w:hint="default"/>
                <w:sz w:val="18"/>
                <w:szCs w:val="18"/>
              </w:rPr>
              <w:t>被担保方</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85"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94"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99"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7" w:right="0"/>
              <w:jc w:val="left"/>
              <w:rPr>
                <w:rFonts w:ascii="宋体" w:hAnsi="宋体" w:cs="宋体" w:eastAsia="宋体" w:hint="default"/>
                <w:sz w:val="18"/>
                <w:szCs w:val="18"/>
              </w:rPr>
            </w:pPr>
            <w:r>
              <w:rPr>
                <w:rFonts w:ascii="宋体" w:hAnsi="宋体" w:cs="宋体" w:eastAsia="宋体" w:hint="default"/>
                <w:sz w:val="18"/>
                <w:szCs w:val="18"/>
              </w:rPr>
              <w:t>担保是否已经履行完毕</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本公司作为被担保方</w:t>
      </w:r>
    </w:p>
    <w:p>
      <w:pPr>
        <w:spacing w:before="119"/>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5"/>
        <w:gridCol w:w="1915"/>
        <w:gridCol w:w="1910"/>
        <w:gridCol w:w="1915"/>
        <w:gridCol w:w="1915"/>
      </w:tblGrid>
      <w:tr>
        <w:trPr>
          <w:trHeight w:val="403" w:hRule="exact"/>
        </w:trPr>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担保方</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85"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94"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99"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7" w:right="0"/>
              <w:jc w:val="left"/>
              <w:rPr>
                <w:rFonts w:ascii="宋体" w:hAnsi="宋体" w:cs="宋体" w:eastAsia="宋体" w:hint="default"/>
                <w:sz w:val="18"/>
                <w:szCs w:val="18"/>
              </w:rPr>
            </w:pPr>
            <w:r>
              <w:rPr>
                <w:rFonts w:ascii="宋体" w:hAnsi="宋体" w:cs="宋体" w:eastAsia="宋体" w:hint="default"/>
                <w:sz w:val="18"/>
                <w:szCs w:val="18"/>
              </w:rPr>
              <w:t>担保是否已经履行完毕</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关联担保情况说明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5</w:t>
      </w:r>
      <w:r>
        <w:rPr/>
        <w:t>）关联方资金拆借</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15"/>
        <w:gridCol w:w="1910"/>
        <w:gridCol w:w="1915"/>
        <w:gridCol w:w="1915"/>
        <w:gridCol w:w="1915"/>
      </w:tblGrid>
      <w:tr>
        <w:trPr>
          <w:trHeight w:val="403" w:hRule="exact"/>
        </w:trPr>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85" w:right="0"/>
              <w:jc w:val="left"/>
              <w:rPr>
                <w:rFonts w:ascii="宋体" w:hAnsi="宋体" w:cs="宋体" w:eastAsia="宋体" w:hint="default"/>
                <w:sz w:val="18"/>
                <w:szCs w:val="18"/>
              </w:rPr>
            </w:pPr>
            <w:r>
              <w:rPr>
                <w:rFonts w:ascii="宋体" w:hAnsi="宋体" w:cs="宋体" w:eastAsia="宋体" w:hint="default"/>
                <w:sz w:val="18"/>
                <w:szCs w:val="18"/>
              </w:rPr>
              <w:t>拆借金额</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起始日</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到期日</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398" w:hRule="exact"/>
        </w:trPr>
        <w:tc>
          <w:tcPr>
            <w:tcW w:w="9571"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拆入</w:t>
            </w:r>
          </w:p>
        </w:tc>
      </w:tr>
      <w:tr>
        <w:trPr>
          <w:trHeight w:val="403"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尤丽娟</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100,000,000.00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9571"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拆出</w:t>
            </w:r>
          </w:p>
        </w:tc>
      </w:tr>
      <w:tr>
        <w:trPr>
          <w:trHeight w:val="403"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尤丽娟</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3,600,000.00</w:t>
            </w: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归还借款</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6</w:t>
      </w:r>
      <w:r>
        <w:rPr/>
        <w:t>）关联方资产转让、债务重组情况</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0"/>
        <w:gridCol w:w="2395"/>
        <w:gridCol w:w="2390"/>
        <w:gridCol w:w="2390"/>
      </w:tblGrid>
      <w:tr>
        <w:trPr>
          <w:trHeight w:val="403"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3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39"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7</w:t>
      </w:r>
      <w:r>
        <w:rPr/>
        <w:t>）关键管理人员报酬</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306,109.00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303,329.00</w:t>
            </w:r>
          </w:p>
        </w:tc>
      </w:tr>
    </w:tbl>
    <w:p>
      <w:pPr>
        <w:spacing w:after="0" w:line="240" w:lineRule="auto"/>
        <w:jc w:val="right"/>
        <w:rPr>
          <w:rFonts w:ascii="Times New Roman" w:hAnsi="Times New Roman" w:cs="Times New Roman" w:eastAsia="Times New Roman" w:hint="default"/>
          <w:sz w:val="18"/>
          <w:szCs w:val="18"/>
        </w:rPr>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87"/>
        <w:gridCol w:w="3192"/>
        <w:gridCol w:w="3192"/>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总经理</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432,530.00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487,500.00</w:t>
            </w: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2,090,088.00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1,916,666.33</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130,000.00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240,000.00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227,630.00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339,000.00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1,169,951.00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1,208,934.00</w:t>
            </w:r>
          </w:p>
        </w:tc>
      </w:tr>
      <w:tr>
        <w:trPr>
          <w:trHeight w:val="398"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367,510.80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271,250.00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董事会秘书</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310,291.00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320,004.00</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8</w:t>
      </w:r>
      <w:r>
        <w:rPr/>
        <w:t>）其他关联交易</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rFonts w:ascii="Times New Roman" w:hAnsi="Times New Roman" w:cs="Times New Roman" w:eastAsia="Times New Roman" w:hint="default"/>
        </w:rPr>
        <w:t>6</w:t>
      </w:r>
      <w:r>
        <w:rPr/>
        <w:t>、关联方应收应付款项</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）应收项目</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594"/>
        <w:gridCol w:w="1598"/>
        <w:gridCol w:w="1594"/>
        <w:gridCol w:w="1594"/>
        <w:gridCol w:w="1594"/>
        <w:gridCol w:w="1594"/>
      </w:tblGrid>
      <w:tr>
        <w:trPr>
          <w:trHeight w:val="403" w:hRule="exact"/>
        </w:trPr>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5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523"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318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594" w:type="dxa"/>
            <w:vMerge/>
            <w:tcBorders>
              <w:left w:val="single" w:sz="4" w:space="0" w:color="000000"/>
              <w:bottom w:val="single" w:sz="4" w:space="0" w:color="000000"/>
              <w:right w:val="single" w:sz="4" w:space="0" w:color="000000"/>
            </w:tcBorders>
            <w:shd w:val="clear" w:color="auto" w:fill="D2D2D2"/>
          </w:tcPr>
          <w:p>
            <w:pPr/>
          </w:p>
        </w:tc>
        <w:tc>
          <w:tcPr>
            <w:tcW w:w="1598"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27"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3" w:right="118"/>
              <w:jc w:val="left"/>
              <w:rPr>
                <w:rFonts w:ascii="宋体" w:hAnsi="宋体" w:cs="宋体" w:eastAsia="宋体" w:hint="default"/>
                <w:sz w:val="18"/>
                <w:szCs w:val="18"/>
              </w:rPr>
            </w:pPr>
            <w:r>
              <w:rPr>
                <w:rFonts w:ascii="宋体" w:hAnsi="宋体" w:cs="宋体" w:eastAsia="宋体" w:hint="default"/>
                <w:spacing w:val="-2"/>
                <w:sz w:val="18"/>
                <w:szCs w:val="18"/>
              </w:rPr>
              <w:t>福建鸿博房地产开</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发有限公司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33,051.28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1,652.56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18,020.00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901.00</w:t>
            </w:r>
          </w:p>
        </w:tc>
      </w:tr>
      <w:tr>
        <w:trPr>
          <w:trHeight w:val="710"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3" w:right="118"/>
              <w:jc w:val="left"/>
              <w:rPr>
                <w:rFonts w:ascii="宋体" w:hAnsi="宋体" w:cs="宋体" w:eastAsia="宋体" w:hint="default"/>
                <w:sz w:val="18"/>
                <w:szCs w:val="18"/>
              </w:rPr>
            </w:pPr>
            <w:r>
              <w:rPr>
                <w:rFonts w:ascii="宋体" w:hAnsi="宋体" w:cs="宋体" w:eastAsia="宋体" w:hint="default"/>
                <w:spacing w:val="-2"/>
                <w:sz w:val="18"/>
                <w:szCs w:val="18"/>
              </w:rPr>
              <w:t>福建鸿博光电科技</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344,078.10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17,203.91</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3" w:right="118"/>
              <w:jc w:val="left"/>
              <w:rPr>
                <w:rFonts w:ascii="宋体" w:hAnsi="宋体" w:cs="宋体" w:eastAsia="宋体" w:hint="default"/>
                <w:sz w:val="18"/>
                <w:szCs w:val="18"/>
              </w:rPr>
            </w:pPr>
            <w:r>
              <w:rPr>
                <w:rFonts w:ascii="宋体" w:hAnsi="宋体" w:cs="宋体" w:eastAsia="宋体" w:hint="default"/>
                <w:spacing w:val="-2"/>
                <w:sz w:val="18"/>
                <w:szCs w:val="18"/>
              </w:rPr>
              <w:t>广州联存医药科技</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有限公司</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15,264.00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763.20</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）应付项目</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0"/>
        <w:gridCol w:w="2395"/>
        <w:gridCol w:w="2390"/>
        <w:gridCol w:w="2390"/>
      </w:tblGrid>
      <w:tr>
        <w:trPr>
          <w:trHeight w:val="403"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7"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47"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398"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福建开新贸易有限公司</w:t>
            </w:r>
          </w:p>
        </w:tc>
        <w:tc>
          <w:tcPr>
            <w:tcW w:w="2390"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60,905.80</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rFonts w:ascii="Times New Roman" w:hAnsi="Times New Roman" w:cs="Times New Roman" w:eastAsia="Times New Roman" w:hint="default"/>
        </w:rPr>
        <w:t>7</w:t>
      </w:r>
      <w:r>
        <w:rPr/>
        <w:t>、关联方承诺</w:t>
      </w:r>
      <w:r>
        <w:rPr>
          <w:b w:val="0"/>
          <w:bCs w:val="0"/>
        </w:rPr>
      </w:r>
    </w:p>
    <w:p>
      <w:pPr>
        <w:spacing w:line="240" w:lineRule="auto" w:before="5"/>
        <w:rPr>
          <w:rFonts w:ascii="Microsoft JhengHei" w:hAnsi="Microsoft JhengHei" w:cs="Microsoft JhengHei" w:eastAsia="Microsoft JhengHei" w:hint="default"/>
          <w:b/>
          <w:bCs/>
          <w:sz w:val="14"/>
          <w:szCs w:val="14"/>
        </w:rPr>
      </w:pPr>
    </w:p>
    <w:p>
      <w:pPr>
        <w:spacing w:line="374" w:lineRule="auto" w:before="0"/>
        <w:ind w:left="152" w:right="777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b/>
          <w:bCs/>
          <w:spacing w:val="-49"/>
          <w:sz w:val="21"/>
          <w:szCs w:val="21"/>
        </w:rPr>
        <w:t> </w:t>
      </w:r>
      <w:r>
        <w:rPr>
          <w:rFonts w:ascii="Microsoft JhengHei" w:hAnsi="Microsoft JhengHei" w:cs="Microsoft JhengHei" w:eastAsia="Microsoft JhengHei" w:hint="default"/>
          <w:b/>
          <w:bCs/>
          <w:sz w:val="24"/>
          <w:szCs w:val="24"/>
        </w:rPr>
        <w:t>十三、股份支付</w:t>
      </w:r>
      <w:r>
        <w:rPr>
          <w:rFonts w:ascii="Microsoft JhengHei" w:hAnsi="Microsoft JhengHei" w:cs="Microsoft JhengHei" w:eastAsia="Microsoft JhengHei" w:hint="default"/>
          <w:b/>
          <w:bCs/>
          <w:spacing w:val="-57"/>
          <w:sz w:val="24"/>
          <w:szCs w:val="24"/>
        </w:rPr>
        <w:t> </w:t>
      </w:r>
      <w:r>
        <w:rPr>
          <w:rFonts w:ascii="Microsoft JhengHei" w:hAnsi="Microsoft JhengHei" w:cs="Microsoft JhengHei" w:eastAsia="Microsoft JhengHei" w:hint="default"/>
          <w:b/>
          <w:bCs/>
          <w:spacing w:val="-57"/>
          <w:sz w:val="24"/>
          <w:szCs w:val="24"/>
        </w:rPr>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、股份支付总体情况</w:t>
      </w:r>
      <w:r>
        <w:rPr>
          <w:rFonts w:ascii="Microsoft JhengHei" w:hAnsi="Microsoft JhengHei" w:cs="Microsoft JhengHei" w:eastAsia="Microsoft JhengHei" w:hint="default"/>
          <w:sz w:val="21"/>
          <w:szCs w:val="21"/>
        </w:rPr>
      </w:r>
    </w:p>
    <w:p>
      <w:pPr>
        <w:spacing w:before="189"/>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Heading4"/>
        <w:spacing w:line="335" w:lineRule="exact"/>
        <w:ind w:right="0"/>
        <w:jc w:val="left"/>
        <w:rPr>
          <w:b w:val="0"/>
          <w:bCs w:val="0"/>
        </w:rPr>
      </w:pPr>
      <w:r>
        <w:rPr>
          <w:rFonts w:ascii="Times New Roman" w:hAnsi="Times New Roman" w:cs="Times New Roman" w:eastAsia="Times New Roman" w:hint="default"/>
        </w:rPr>
        <w:t>2</w:t>
      </w:r>
      <w:r>
        <w:rPr/>
        <w:t>、以权益结算的股份支付情况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3</w:t>
      </w:r>
      <w:r>
        <w:rPr/>
        <w:t>、以现金结算的股份支付情况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4</w:t>
      </w:r>
      <w:r>
        <w:rPr/>
        <w:t>、股份支付的修改、终止情况</w:t>
      </w:r>
      <w:r>
        <w:rPr>
          <w:b w:val="0"/>
          <w:bCs w:val="0"/>
        </w:rPr>
      </w:r>
    </w:p>
    <w:p>
      <w:pPr>
        <w:spacing w:line="240" w:lineRule="auto" w:before="5"/>
        <w:rPr>
          <w:rFonts w:ascii="Microsoft JhengHei" w:hAnsi="Microsoft JhengHei" w:cs="Microsoft JhengHei" w:eastAsia="Microsoft JhengHei" w:hint="default"/>
          <w:b/>
          <w:bCs/>
          <w:sz w:val="14"/>
          <w:szCs w:val="14"/>
        </w:rPr>
      </w:pPr>
    </w:p>
    <w:p>
      <w:pPr>
        <w:spacing w:line="376" w:lineRule="auto" w:before="0"/>
        <w:ind w:left="152" w:right="7368"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b/>
          <w:bCs/>
          <w:spacing w:val="-49"/>
          <w:sz w:val="21"/>
          <w:szCs w:val="21"/>
        </w:rPr>
        <w:t> </w:t>
      </w:r>
      <w:r>
        <w:rPr>
          <w:rFonts w:ascii="Microsoft JhengHei" w:hAnsi="Microsoft JhengHei" w:cs="Microsoft JhengHei" w:eastAsia="Microsoft JhengHei" w:hint="default"/>
          <w:b/>
          <w:bCs/>
          <w:sz w:val="24"/>
          <w:szCs w:val="24"/>
        </w:rPr>
        <w:t>十四、承诺及或有事项</w:t>
      </w:r>
      <w:r>
        <w:rPr>
          <w:rFonts w:ascii="Microsoft JhengHei" w:hAnsi="Microsoft JhengHei" w:cs="Microsoft JhengHei" w:eastAsia="Microsoft JhengHei" w:hint="default"/>
          <w:b/>
          <w:bCs/>
          <w:spacing w:val="-53"/>
          <w:sz w:val="24"/>
          <w:szCs w:val="24"/>
        </w:rPr>
        <w:t> </w:t>
      </w:r>
      <w:r>
        <w:rPr>
          <w:rFonts w:ascii="Microsoft JhengHei" w:hAnsi="Microsoft JhengHei" w:cs="Microsoft JhengHei" w:eastAsia="Microsoft JhengHei" w:hint="default"/>
          <w:b/>
          <w:bCs/>
          <w:spacing w:val="-53"/>
          <w:sz w:val="24"/>
          <w:szCs w:val="24"/>
        </w:rPr>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、重要承诺事项</w:t>
      </w:r>
      <w:r>
        <w:rPr>
          <w:rFonts w:ascii="Microsoft JhengHei" w:hAnsi="Microsoft JhengHei" w:cs="Microsoft JhengHei" w:eastAsia="Microsoft JhengHei" w:hint="default"/>
          <w:sz w:val="21"/>
          <w:szCs w:val="21"/>
        </w:rPr>
      </w:r>
    </w:p>
    <w:p>
      <w:pPr>
        <w:spacing w:before="186"/>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资产负债表日存在的重要承诺</w:t>
      </w:r>
    </w:p>
    <w:p>
      <w:pPr>
        <w:spacing w:line="240" w:lineRule="auto" w:before="9"/>
        <w:rPr>
          <w:rFonts w:ascii="宋体" w:hAnsi="宋体" w:cs="宋体" w:eastAsia="宋体" w:hint="default"/>
          <w:sz w:val="12"/>
          <w:szCs w:val="12"/>
        </w:rPr>
      </w:pPr>
    </w:p>
    <w:p>
      <w:pPr>
        <w:pStyle w:val="BodyText"/>
        <w:spacing w:line="240" w:lineRule="auto"/>
        <w:ind w:left="575" w:right="0"/>
        <w:jc w:val="left"/>
      </w:pPr>
      <w:r>
        <w:rPr/>
        <w:t>（1）经营租赁承诺</w:t>
      </w:r>
    </w:p>
    <w:p>
      <w:pPr>
        <w:spacing w:line="240" w:lineRule="auto" w:before="5"/>
        <w:rPr>
          <w:rFonts w:ascii="宋体" w:hAnsi="宋体" w:cs="宋体" w:eastAsia="宋体" w:hint="default"/>
          <w:sz w:val="19"/>
          <w:szCs w:val="19"/>
        </w:rPr>
      </w:pPr>
    </w:p>
    <w:p>
      <w:pPr>
        <w:pStyle w:val="BodyText"/>
        <w:spacing w:line="273" w:lineRule="auto"/>
        <w:ind w:right="142" w:firstLine="422"/>
        <w:jc w:val="both"/>
      </w:pPr>
      <w:r>
        <w:rPr/>
        <w:t>本集团非全资孙公司中科彩公司经营性租赁房屋建筑物，租赁期限自2014年7月至2022年12月，至资</w:t>
      </w:r>
      <w:r>
        <w:rPr>
          <w:w w:val="100"/>
        </w:rPr>
        <w:t> </w:t>
      </w:r>
      <w:r>
        <w:rPr>
          <w:spacing w:val="-2"/>
        </w:rPr>
        <w:t>产负债表日止，在现有合同条件下，2016年、2017年预计将支付的租金分别为1,116.24万元、1,199.95万</w:t>
      </w:r>
      <w:r>
        <w:rPr>
          <w:spacing w:val="-11"/>
        </w:rPr>
        <w:t> </w:t>
      </w:r>
      <w:r>
        <w:rPr>
          <w:spacing w:val="-11"/>
        </w:rPr>
      </w:r>
      <w:r>
        <w:rPr/>
        <w:t>元，预计以后年度应支付租金将不低于2017年度应支付的租金金额。</w:t>
      </w:r>
    </w:p>
    <w:p>
      <w:pPr>
        <w:pStyle w:val="BodyText"/>
        <w:spacing w:line="528" w:lineRule="exact" w:before="46"/>
        <w:ind w:left="575" w:right="0"/>
        <w:jc w:val="left"/>
      </w:pPr>
      <w:r>
        <w:rPr/>
        <w:t>（2）其他承诺事项</w:t>
      </w:r>
      <w:r>
        <w:rPr>
          <w:spacing w:val="-101"/>
        </w:rPr>
        <w:t> </w:t>
      </w:r>
      <w:r>
        <w:rPr>
          <w:spacing w:val="-101"/>
        </w:rPr>
      </w:r>
      <w:r>
        <w:rPr>
          <w:spacing w:val="-2"/>
        </w:rPr>
        <w:t>根据本公司与无锡市正栋电脑纸品厂（以下简称“正栋厂”）及邓正栋签订的《补充协议二》，本公</w:t>
      </w:r>
    </w:p>
    <w:p>
      <w:pPr>
        <w:pStyle w:val="BodyText"/>
        <w:spacing w:line="236" w:lineRule="exact"/>
        <w:ind w:right="0"/>
        <w:jc w:val="left"/>
      </w:pPr>
      <w:r>
        <w:rPr/>
        <w:t>司承诺在2016年12月31日（届时任一方没有提出股权收购或被收购的情形下该日期可确定在2017年12月31</w:t>
      </w:r>
    </w:p>
    <w:p>
      <w:pPr>
        <w:pStyle w:val="BodyText"/>
        <w:spacing w:line="273" w:lineRule="auto" w:before="37"/>
        <w:ind w:right="0"/>
        <w:jc w:val="left"/>
      </w:pPr>
      <w:r>
        <w:rPr>
          <w:spacing w:val="-2"/>
        </w:rPr>
        <w:t>日）；或正栋厂对无锡双龙信息纸有限公司（以下简称“无锡双龙”）不再有经营主导权这二种情形之一</w:t>
      </w:r>
      <w:r>
        <w:rPr>
          <w:spacing w:val="-35"/>
        </w:rPr>
        <w:t> </w:t>
      </w:r>
      <w:r>
        <w:rPr>
          <w:spacing w:val="-35"/>
        </w:rPr>
      </w:r>
      <w:r>
        <w:rPr/>
        <w:t>出现时收购正栋厂所持有的无锡双龙40%的股权。</w:t>
      </w:r>
    </w:p>
    <w:p>
      <w:pPr>
        <w:spacing w:line="240" w:lineRule="auto" w:before="1"/>
        <w:rPr>
          <w:rFonts w:ascii="宋体" w:hAnsi="宋体" w:cs="宋体" w:eastAsia="宋体" w:hint="default"/>
          <w:sz w:val="17"/>
          <w:szCs w:val="17"/>
        </w:rPr>
      </w:pPr>
    </w:p>
    <w:p>
      <w:pPr>
        <w:pStyle w:val="BodyText"/>
        <w:spacing w:line="460" w:lineRule="auto"/>
        <w:ind w:left="575" w:right="0"/>
        <w:jc w:val="left"/>
      </w:pPr>
      <w:r>
        <w:rPr/>
        <w:t>公司将按协议中规定的公式计算收购正栋厂所持无锡双龙40%股权的价格。</w:t>
      </w:r>
      <w:r>
        <w:rPr>
          <w:spacing w:val="-103"/>
        </w:rPr>
        <w:t> </w:t>
      </w:r>
      <w:r>
        <w:rPr>
          <w:spacing w:val="-103"/>
        </w:rPr>
      </w:r>
      <w:r>
        <w:rPr>
          <w:spacing w:val="-2"/>
        </w:rPr>
        <w:t>除存在上述承诺事项外，截至2015年12月31日，本公司不存在其他应披露的承诺事项。</w:t>
      </w:r>
    </w:p>
    <w:p>
      <w:pPr>
        <w:pStyle w:val="Heading4"/>
        <w:spacing w:line="240" w:lineRule="auto" w:before="79"/>
        <w:ind w:right="0"/>
        <w:jc w:val="left"/>
        <w:rPr>
          <w:b w:val="0"/>
          <w:bCs w:val="0"/>
        </w:rPr>
      </w:pPr>
      <w:r>
        <w:rPr>
          <w:rFonts w:ascii="Times New Roman" w:hAnsi="Times New Roman" w:cs="Times New Roman" w:eastAsia="Times New Roman" w:hint="default"/>
        </w:rPr>
        <w:t>2</w:t>
      </w:r>
      <w:r>
        <w:rPr/>
        <w:t>、或有事项</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）资产负债表日存在的重要或有事项</w:t>
      </w:r>
      <w:r>
        <w:rPr>
          <w:b w:val="0"/>
          <w:bCs w:val="0"/>
        </w:rPr>
      </w:r>
    </w:p>
    <w:p>
      <w:pPr>
        <w:spacing w:line="240" w:lineRule="auto" w:before="2"/>
        <w:rPr>
          <w:rFonts w:ascii="Microsoft JhengHei" w:hAnsi="Microsoft JhengHei" w:cs="Microsoft JhengHei" w:eastAsia="Microsoft JhengHei" w:hint="default"/>
          <w:b/>
          <w:bCs/>
          <w:sz w:val="18"/>
          <w:szCs w:val="18"/>
        </w:rPr>
      </w:pPr>
    </w:p>
    <w:p>
      <w:pPr>
        <w:pStyle w:val="BodyText"/>
        <w:spacing w:line="240" w:lineRule="auto"/>
        <w:ind w:right="0"/>
        <w:jc w:val="left"/>
      </w:pPr>
      <w:r>
        <w:rPr/>
        <w:t>（1）集团内公司互相担保形成的或有负债及其财务影响</w:t>
      </w:r>
    </w:p>
    <w:p>
      <w:pPr>
        <w:spacing w:line="240" w:lineRule="auto" w:before="6"/>
        <w:rPr>
          <w:rFonts w:ascii="宋体" w:hAnsi="宋体" w:cs="宋体" w:eastAsia="宋体" w:hint="default"/>
          <w:sz w:val="20"/>
          <w:szCs w:val="20"/>
        </w:rPr>
      </w:pPr>
    </w:p>
    <w:tbl>
      <w:tblPr>
        <w:tblW w:w="0" w:type="auto"/>
        <w:jc w:val="left"/>
        <w:tblInd w:w="143" w:type="dxa"/>
        <w:tblLayout w:type="fixed"/>
        <w:tblCellMar>
          <w:top w:w="0" w:type="dxa"/>
          <w:left w:w="0" w:type="dxa"/>
          <w:bottom w:w="0" w:type="dxa"/>
          <w:right w:w="0" w:type="dxa"/>
        </w:tblCellMar>
        <w:tblLook w:val="01E0"/>
      </w:tblPr>
      <w:tblGrid>
        <w:gridCol w:w="1987"/>
        <w:gridCol w:w="1704"/>
        <w:gridCol w:w="1992"/>
        <w:gridCol w:w="3389"/>
      </w:tblGrid>
      <w:tr>
        <w:trPr>
          <w:trHeight w:val="682" w:hRule="exact"/>
        </w:trPr>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0"/>
              <w:ind w:left="4" w:right="0"/>
              <w:jc w:val="left"/>
              <w:rPr>
                <w:rFonts w:ascii="宋体" w:hAnsi="宋体" w:cs="宋体" w:eastAsia="宋体" w:hint="default"/>
                <w:sz w:val="18"/>
                <w:szCs w:val="18"/>
              </w:rPr>
            </w:pPr>
            <w:r>
              <w:rPr>
                <w:rFonts w:ascii="宋体" w:hAnsi="宋体" w:cs="宋体" w:eastAsia="宋体" w:hint="default"/>
                <w:spacing w:val="-3"/>
                <w:sz w:val="18"/>
                <w:szCs w:val="18"/>
              </w:rPr>
              <w:t>被担保单位名称</w:t>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0"/>
              <w:ind w:left="4" w:right="0"/>
              <w:jc w:val="left"/>
              <w:rPr>
                <w:rFonts w:ascii="宋体" w:hAnsi="宋体" w:cs="宋体" w:eastAsia="宋体" w:hint="default"/>
                <w:sz w:val="18"/>
                <w:szCs w:val="18"/>
              </w:rPr>
            </w:pPr>
            <w:r>
              <w:rPr>
                <w:rFonts w:ascii="宋体" w:hAnsi="宋体" w:cs="宋体" w:eastAsia="宋体" w:hint="default"/>
                <w:sz w:val="18"/>
                <w:szCs w:val="18"/>
              </w:rPr>
              <w:t>担保事项</w:t>
            </w:r>
          </w:p>
        </w:tc>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0"/>
              <w:ind w:left="4" w:right="0"/>
              <w:jc w:val="left"/>
              <w:rPr>
                <w:rFonts w:ascii="宋体" w:hAnsi="宋体" w:cs="宋体" w:eastAsia="宋体" w:hint="default"/>
                <w:sz w:val="18"/>
                <w:szCs w:val="18"/>
              </w:rPr>
            </w:pPr>
            <w:r>
              <w:rPr>
                <w:rFonts w:ascii="宋体" w:hAnsi="宋体" w:cs="宋体" w:eastAsia="宋体" w:hint="default"/>
                <w:sz w:val="18"/>
                <w:szCs w:val="18"/>
              </w:rPr>
              <w:t>金 </w:t>
            </w:r>
            <w:r>
              <w:rPr>
                <w:rFonts w:ascii="宋体" w:hAnsi="宋体" w:cs="宋体" w:eastAsia="宋体" w:hint="default"/>
                <w:spacing w:val="1"/>
                <w:sz w:val="18"/>
                <w:szCs w:val="18"/>
              </w:rPr>
              <w:t> </w:t>
            </w:r>
            <w:r>
              <w:rPr>
                <w:rFonts w:ascii="宋体" w:hAnsi="宋体" w:cs="宋体" w:eastAsia="宋体" w:hint="default"/>
                <w:sz w:val="18"/>
                <w:szCs w:val="18"/>
              </w:rPr>
              <w:t>额</w:t>
            </w:r>
          </w:p>
        </w:tc>
        <w:tc>
          <w:tcPr>
            <w:tcW w:w="33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0"/>
              <w:ind w:left="4" w:right="0"/>
              <w:jc w:val="left"/>
              <w:rPr>
                <w:rFonts w:ascii="宋体" w:hAnsi="宋体" w:cs="宋体" w:eastAsia="宋体" w:hint="default"/>
                <w:sz w:val="18"/>
                <w:szCs w:val="18"/>
              </w:rPr>
            </w:pPr>
            <w:r>
              <w:rPr>
                <w:rFonts w:ascii="宋体" w:hAnsi="宋体" w:cs="宋体" w:eastAsia="宋体" w:hint="default"/>
                <w:sz w:val="18"/>
                <w:szCs w:val="18"/>
              </w:rPr>
              <w:t>期 </w:t>
            </w:r>
            <w:r>
              <w:rPr>
                <w:rFonts w:ascii="宋体" w:hAnsi="宋体" w:cs="宋体" w:eastAsia="宋体" w:hint="default"/>
                <w:spacing w:val="1"/>
                <w:sz w:val="18"/>
                <w:szCs w:val="18"/>
              </w:rPr>
              <w:t> </w:t>
            </w:r>
            <w:r>
              <w:rPr>
                <w:rFonts w:ascii="宋体" w:hAnsi="宋体" w:cs="宋体" w:eastAsia="宋体" w:hint="default"/>
                <w:sz w:val="18"/>
                <w:szCs w:val="18"/>
              </w:rPr>
              <w:t>限</w:t>
            </w:r>
          </w:p>
        </w:tc>
      </w:tr>
      <w:tr>
        <w:trPr>
          <w:trHeight w:val="994" w:hRule="exact"/>
        </w:trPr>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40"/>
              <w:ind w:left="4" w:right="-5"/>
              <w:jc w:val="left"/>
              <w:rPr>
                <w:rFonts w:ascii="宋体" w:hAnsi="宋体" w:cs="宋体" w:eastAsia="宋体" w:hint="default"/>
                <w:sz w:val="18"/>
                <w:szCs w:val="18"/>
              </w:rPr>
            </w:pPr>
            <w:r>
              <w:rPr>
                <w:rFonts w:ascii="宋体" w:hAnsi="宋体" w:cs="宋体" w:eastAsia="宋体" w:hint="default"/>
                <w:spacing w:val="13"/>
                <w:sz w:val="18"/>
                <w:szCs w:val="18"/>
              </w:rPr>
              <w:t>无锡双龙信息纸有限公</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司</w:t>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0"/>
              <w:ind w:left="4" w:right="0"/>
              <w:jc w:val="left"/>
              <w:rPr>
                <w:rFonts w:ascii="宋体" w:hAnsi="宋体" w:cs="宋体" w:eastAsia="宋体" w:hint="default"/>
                <w:sz w:val="18"/>
                <w:szCs w:val="18"/>
              </w:rPr>
            </w:pPr>
            <w:r>
              <w:rPr>
                <w:rFonts w:ascii="宋体" w:hAnsi="宋体" w:cs="宋体" w:eastAsia="宋体" w:hint="default"/>
                <w:sz w:val="18"/>
                <w:szCs w:val="18"/>
              </w:rPr>
              <w:t>连带责任担保</w:t>
            </w:r>
          </w:p>
        </w:tc>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0"/>
              <w:ind w:left="4" w:right="0"/>
              <w:jc w:val="left"/>
              <w:rPr>
                <w:rFonts w:ascii="宋体" w:hAnsi="宋体" w:cs="宋体" w:eastAsia="宋体" w:hint="default"/>
                <w:sz w:val="18"/>
                <w:szCs w:val="18"/>
              </w:rPr>
            </w:pPr>
            <w:r>
              <w:rPr>
                <w:rFonts w:ascii="宋体" w:hAnsi="宋体" w:cs="宋体" w:eastAsia="宋体" w:hint="default"/>
                <w:sz w:val="18"/>
                <w:szCs w:val="18"/>
              </w:rPr>
              <w:t>1,000.00万元</w:t>
            </w:r>
          </w:p>
        </w:tc>
        <w:tc>
          <w:tcPr>
            <w:tcW w:w="33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0"/>
              <w:ind w:left="4" w:right="0"/>
              <w:jc w:val="left"/>
              <w:rPr>
                <w:rFonts w:ascii="宋体" w:hAnsi="宋体" w:cs="宋体" w:eastAsia="宋体" w:hint="default"/>
                <w:sz w:val="18"/>
                <w:szCs w:val="18"/>
              </w:rPr>
            </w:pPr>
            <w:r>
              <w:rPr>
                <w:rFonts w:ascii="宋体" w:hAnsi="宋体" w:cs="宋体" w:eastAsia="宋体" w:hint="default"/>
                <w:spacing w:val="-3"/>
                <w:sz w:val="18"/>
                <w:szCs w:val="18"/>
              </w:rPr>
              <w:t>签订正式协议起一年</w:t>
            </w:r>
          </w:p>
        </w:tc>
      </w:tr>
    </w:tbl>
    <w:p>
      <w:pPr>
        <w:spacing w:after="0" w:line="240" w:lineRule="auto"/>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3" w:type="dxa"/>
        <w:tblLayout w:type="fixed"/>
        <w:tblCellMar>
          <w:top w:w="0" w:type="dxa"/>
          <w:left w:w="0" w:type="dxa"/>
          <w:bottom w:w="0" w:type="dxa"/>
          <w:right w:w="0" w:type="dxa"/>
        </w:tblCellMar>
        <w:tblLook w:val="01E0"/>
      </w:tblPr>
      <w:tblGrid>
        <w:gridCol w:w="1987"/>
        <w:gridCol w:w="1704"/>
        <w:gridCol w:w="1992"/>
        <w:gridCol w:w="3389"/>
      </w:tblGrid>
      <w:tr>
        <w:trPr>
          <w:trHeight w:val="994" w:hRule="exact"/>
        </w:trPr>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40"/>
              <w:ind w:left="4" w:right="-5"/>
              <w:jc w:val="left"/>
              <w:rPr>
                <w:rFonts w:ascii="宋体" w:hAnsi="宋体" w:cs="宋体" w:eastAsia="宋体" w:hint="default"/>
                <w:sz w:val="18"/>
                <w:szCs w:val="18"/>
              </w:rPr>
            </w:pPr>
            <w:r>
              <w:rPr>
                <w:rFonts w:ascii="宋体" w:hAnsi="宋体" w:cs="宋体" w:eastAsia="宋体" w:hint="default"/>
                <w:spacing w:val="13"/>
                <w:sz w:val="18"/>
                <w:szCs w:val="18"/>
              </w:rPr>
              <w:t>重庆市鸿海印务有限公</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司</w:t>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0"/>
              <w:ind w:left="4" w:right="0"/>
              <w:jc w:val="left"/>
              <w:rPr>
                <w:rFonts w:ascii="宋体" w:hAnsi="宋体" w:cs="宋体" w:eastAsia="宋体" w:hint="default"/>
                <w:sz w:val="18"/>
                <w:szCs w:val="18"/>
              </w:rPr>
            </w:pPr>
            <w:r>
              <w:rPr>
                <w:rFonts w:ascii="宋体" w:hAnsi="宋体" w:cs="宋体" w:eastAsia="宋体" w:hint="default"/>
                <w:sz w:val="18"/>
                <w:szCs w:val="18"/>
              </w:rPr>
              <w:t>连带责任担保</w:t>
            </w:r>
          </w:p>
        </w:tc>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0"/>
              <w:ind w:left="4" w:right="0"/>
              <w:jc w:val="left"/>
              <w:rPr>
                <w:rFonts w:ascii="宋体" w:hAnsi="宋体" w:cs="宋体" w:eastAsia="宋体" w:hint="default"/>
                <w:sz w:val="18"/>
                <w:szCs w:val="18"/>
              </w:rPr>
            </w:pPr>
            <w:r>
              <w:rPr>
                <w:rFonts w:ascii="宋体" w:hAnsi="宋体" w:cs="宋体" w:eastAsia="宋体" w:hint="default"/>
                <w:sz w:val="18"/>
                <w:szCs w:val="18"/>
              </w:rPr>
              <w:t>4,000.00万元</w:t>
            </w:r>
          </w:p>
        </w:tc>
        <w:tc>
          <w:tcPr>
            <w:tcW w:w="33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0"/>
              <w:ind w:left="4" w:right="0"/>
              <w:jc w:val="left"/>
              <w:rPr>
                <w:rFonts w:ascii="宋体" w:hAnsi="宋体" w:cs="宋体" w:eastAsia="宋体" w:hint="default"/>
                <w:sz w:val="18"/>
                <w:szCs w:val="18"/>
              </w:rPr>
            </w:pPr>
            <w:r>
              <w:rPr>
                <w:rFonts w:ascii="宋体" w:hAnsi="宋体" w:cs="宋体" w:eastAsia="宋体" w:hint="default"/>
                <w:spacing w:val="-3"/>
                <w:sz w:val="18"/>
                <w:szCs w:val="18"/>
              </w:rPr>
              <w:t>签订正式协议起一年</w:t>
            </w:r>
          </w:p>
        </w:tc>
      </w:tr>
      <w:tr>
        <w:trPr>
          <w:trHeight w:val="998" w:hRule="exact"/>
        </w:trPr>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40"/>
              <w:ind w:left="4" w:right="-5"/>
              <w:jc w:val="left"/>
              <w:rPr>
                <w:rFonts w:ascii="宋体" w:hAnsi="宋体" w:cs="宋体" w:eastAsia="宋体" w:hint="default"/>
                <w:sz w:val="18"/>
                <w:szCs w:val="18"/>
              </w:rPr>
            </w:pPr>
            <w:r>
              <w:rPr>
                <w:rFonts w:ascii="宋体" w:hAnsi="宋体" w:cs="宋体" w:eastAsia="宋体" w:hint="default"/>
                <w:spacing w:val="-4"/>
                <w:sz w:val="18"/>
                <w:szCs w:val="18"/>
              </w:rPr>
              <w:t>鸿博（福建）数据网络科</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pacing w:val="-3"/>
                <w:sz w:val="18"/>
                <w:szCs w:val="18"/>
              </w:rPr>
              <w:t>技股份有限公司</w:t>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0"/>
              <w:ind w:left="4" w:right="0"/>
              <w:jc w:val="left"/>
              <w:rPr>
                <w:rFonts w:ascii="宋体" w:hAnsi="宋体" w:cs="宋体" w:eastAsia="宋体" w:hint="default"/>
                <w:sz w:val="18"/>
                <w:szCs w:val="18"/>
              </w:rPr>
            </w:pPr>
            <w:r>
              <w:rPr>
                <w:rFonts w:ascii="宋体" w:hAnsi="宋体" w:cs="宋体" w:eastAsia="宋体" w:hint="default"/>
                <w:sz w:val="18"/>
                <w:szCs w:val="18"/>
              </w:rPr>
              <w:t>连带责任担保</w:t>
            </w:r>
          </w:p>
        </w:tc>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0"/>
              <w:ind w:left="4" w:right="0"/>
              <w:jc w:val="left"/>
              <w:rPr>
                <w:rFonts w:ascii="宋体" w:hAnsi="宋体" w:cs="宋体" w:eastAsia="宋体" w:hint="default"/>
                <w:sz w:val="18"/>
                <w:szCs w:val="18"/>
              </w:rPr>
            </w:pPr>
            <w:r>
              <w:rPr>
                <w:rFonts w:ascii="宋体" w:hAnsi="宋体" w:cs="宋体" w:eastAsia="宋体" w:hint="default"/>
                <w:sz w:val="18"/>
                <w:szCs w:val="18"/>
              </w:rPr>
              <w:t>10,000.00万元</w:t>
            </w:r>
          </w:p>
        </w:tc>
        <w:tc>
          <w:tcPr>
            <w:tcW w:w="33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0"/>
              <w:ind w:left="4" w:right="0"/>
              <w:jc w:val="left"/>
              <w:rPr>
                <w:rFonts w:ascii="宋体" w:hAnsi="宋体" w:cs="宋体" w:eastAsia="宋体" w:hint="default"/>
                <w:sz w:val="18"/>
                <w:szCs w:val="18"/>
              </w:rPr>
            </w:pPr>
            <w:r>
              <w:rPr>
                <w:rFonts w:ascii="宋体" w:hAnsi="宋体" w:cs="宋体" w:eastAsia="宋体" w:hint="default"/>
                <w:spacing w:val="-3"/>
                <w:sz w:val="18"/>
                <w:szCs w:val="18"/>
              </w:rPr>
              <w:t>签订正式协议起一年</w:t>
            </w:r>
          </w:p>
        </w:tc>
      </w:tr>
    </w:tbl>
    <w:p>
      <w:pPr>
        <w:spacing w:line="240" w:lineRule="auto" w:before="3"/>
        <w:rPr>
          <w:rFonts w:ascii="宋体" w:hAnsi="宋体" w:cs="宋体" w:eastAsia="宋体" w:hint="default"/>
          <w:sz w:val="5"/>
          <w:szCs w:val="5"/>
        </w:rPr>
      </w:pPr>
    </w:p>
    <w:p>
      <w:pPr>
        <w:pStyle w:val="BodyText"/>
        <w:spacing w:line="460" w:lineRule="auto" w:before="36"/>
        <w:ind w:right="1246"/>
        <w:jc w:val="left"/>
      </w:pPr>
      <w:r>
        <w:rPr/>
        <w:t>（2）股东或高管股权质押</w:t>
      </w:r>
      <w:r>
        <w:rPr>
          <w:spacing w:val="-102"/>
        </w:rPr>
        <w:t> </w:t>
      </w:r>
      <w:r>
        <w:rPr>
          <w:spacing w:val="-102"/>
        </w:rPr>
      </w:r>
      <w:r>
        <w:rPr>
          <w:spacing w:val="-2"/>
        </w:rPr>
        <w:t>截至2015年12月31日，本集团股东或高管持有本集团股权质押情况：</w:t>
      </w:r>
    </w:p>
    <w:p>
      <w:pPr>
        <w:spacing w:line="240" w:lineRule="auto" w:before="9"/>
        <w:rPr>
          <w:rFonts w:ascii="宋体" w:hAnsi="宋体" w:cs="宋体" w:eastAsia="宋体" w:hint="default"/>
          <w:sz w:val="5"/>
          <w:szCs w:val="5"/>
        </w:rPr>
      </w:pPr>
    </w:p>
    <w:tbl>
      <w:tblPr>
        <w:tblW w:w="0" w:type="auto"/>
        <w:jc w:val="left"/>
        <w:tblInd w:w="143" w:type="dxa"/>
        <w:tblLayout w:type="fixed"/>
        <w:tblCellMar>
          <w:top w:w="0" w:type="dxa"/>
          <w:left w:w="0" w:type="dxa"/>
          <w:bottom w:w="0" w:type="dxa"/>
          <w:right w:w="0" w:type="dxa"/>
        </w:tblCellMar>
        <w:tblLook w:val="01E0"/>
      </w:tblPr>
      <w:tblGrid>
        <w:gridCol w:w="494"/>
        <w:gridCol w:w="1123"/>
        <w:gridCol w:w="758"/>
        <w:gridCol w:w="898"/>
        <w:gridCol w:w="1118"/>
        <w:gridCol w:w="437"/>
        <w:gridCol w:w="667"/>
        <w:gridCol w:w="1133"/>
        <w:gridCol w:w="869"/>
        <w:gridCol w:w="1022"/>
      </w:tblGrid>
      <w:tr>
        <w:trPr>
          <w:trHeight w:val="658" w:hRule="exact"/>
        </w:trPr>
        <w:tc>
          <w:tcPr>
            <w:tcW w:w="49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03"/>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序号</w:t>
            </w:r>
            <w:r>
              <w:rPr>
                <w:rFonts w:ascii="Microsoft JhengHei" w:hAnsi="Microsoft JhengHei" w:cs="Microsoft JhengHei" w:eastAsia="Microsoft JhengHei" w:hint="default"/>
                <w:sz w:val="18"/>
                <w:szCs w:val="18"/>
              </w:rPr>
            </w:r>
          </w:p>
        </w:tc>
        <w:tc>
          <w:tcPr>
            <w:tcW w:w="112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证券账户号码</w:t>
            </w:r>
            <w:r>
              <w:rPr>
                <w:rFonts w:ascii="Microsoft JhengHei" w:hAnsi="Microsoft JhengHei" w:cs="Microsoft JhengHei" w:eastAsia="Microsoft JhengHei" w:hint="default"/>
                <w:sz w:val="18"/>
                <w:szCs w:val="18"/>
              </w:rPr>
            </w: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4"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证券账户</w:t>
            </w:r>
            <w:r>
              <w:rPr>
                <w:rFonts w:ascii="Microsoft JhengHei" w:hAnsi="Microsoft JhengHei" w:cs="Microsoft JhengHei" w:eastAsia="Microsoft JhengHei" w:hint="default"/>
                <w:sz w:val="18"/>
                <w:szCs w:val="18"/>
              </w:rPr>
            </w:r>
          </w:p>
          <w:p>
            <w:pPr>
              <w:pStyle w:val="TableParagraph"/>
              <w:spacing w:line="313" w:lineRule="exact"/>
              <w:ind w:left="4"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名称</w:t>
            </w:r>
            <w:r>
              <w:rPr>
                <w:rFonts w:ascii="Microsoft JhengHei" w:hAnsi="Microsoft JhengHei" w:cs="Microsoft JhengHei" w:eastAsia="Microsoft JhengHei" w:hint="default"/>
                <w:sz w:val="18"/>
                <w:szCs w:val="18"/>
              </w:rPr>
            </w:r>
          </w:p>
        </w:tc>
        <w:tc>
          <w:tcPr>
            <w:tcW w:w="89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163" w:right="-1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持股总数</w:t>
            </w:r>
            <w:r>
              <w:rPr>
                <w:rFonts w:ascii="Microsoft JhengHei" w:hAnsi="Microsoft JhengHei" w:cs="Microsoft JhengHei" w:eastAsia="Microsoft JhengHei" w:hint="default"/>
                <w:sz w:val="18"/>
                <w:szCs w:val="18"/>
              </w:rPr>
            </w:r>
          </w:p>
          <w:p>
            <w:pPr>
              <w:pStyle w:val="TableParagraph"/>
              <w:spacing w:line="313" w:lineRule="exact"/>
              <w:ind w:left="340" w:right="-5"/>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（股）</w:t>
            </w:r>
            <w:r>
              <w:rPr>
                <w:rFonts w:ascii="Microsoft JhengHei" w:hAnsi="Microsoft JhengHei" w:cs="Microsoft JhengHei" w:eastAsia="Microsoft JhengHei" w:hint="default"/>
                <w:sz w:val="18"/>
                <w:szCs w:val="18"/>
              </w:rPr>
            </w:r>
          </w:p>
        </w:tc>
        <w:tc>
          <w:tcPr>
            <w:tcW w:w="111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4"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w w:val="101"/>
                <w:sz w:val="18"/>
                <w:szCs w:val="18"/>
              </w:rPr>
              <w:t>冻结股</w:t>
            </w:r>
            <w:r>
              <w:rPr>
                <w:rFonts w:ascii="Microsoft JhengHei" w:hAnsi="Microsoft JhengHei" w:cs="Microsoft JhengHei" w:eastAsia="Microsoft JhengHei" w:hint="default"/>
                <w:b/>
                <w:bCs/>
                <w:spacing w:val="-82"/>
                <w:w w:val="101"/>
                <w:sz w:val="18"/>
                <w:szCs w:val="18"/>
              </w:rPr>
              <w:t>数</w:t>
            </w:r>
            <w:r>
              <w:rPr>
                <w:rFonts w:ascii="Microsoft JhengHei" w:hAnsi="Microsoft JhengHei" w:cs="Microsoft JhengHei" w:eastAsia="Microsoft JhengHei" w:hint="default"/>
                <w:b/>
                <w:bCs/>
                <w:spacing w:val="-5"/>
                <w:w w:val="101"/>
                <w:sz w:val="18"/>
                <w:szCs w:val="18"/>
              </w:rPr>
              <w:t>（</w:t>
            </w:r>
            <w:r>
              <w:rPr>
                <w:rFonts w:ascii="Microsoft JhengHei" w:hAnsi="Microsoft JhengHei" w:cs="Microsoft JhengHei" w:eastAsia="Microsoft JhengHei" w:hint="default"/>
                <w:b/>
                <w:bCs/>
                <w:w w:val="101"/>
                <w:sz w:val="18"/>
                <w:szCs w:val="18"/>
              </w:rPr>
              <w:t>股</w:t>
            </w:r>
            <w:r>
              <w:rPr>
                <w:rFonts w:ascii="Microsoft JhengHei" w:hAnsi="Microsoft JhengHei" w:cs="Microsoft JhengHei" w:eastAsia="Microsoft JhengHei" w:hint="default"/>
                <w:sz w:val="18"/>
                <w:szCs w:val="18"/>
              </w:rPr>
            </w:r>
          </w:p>
        </w:tc>
        <w:tc>
          <w:tcPr>
            <w:tcW w:w="437"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62" w:right="-10" w:hanging="168"/>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pacing w:val="-4"/>
                <w:sz w:val="18"/>
                <w:szCs w:val="18"/>
              </w:rPr>
              <w:t>）股份</w:t>
            </w:r>
            <w:r>
              <w:rPr>
                <w:rFonts w:ascii="Microsoft JhengHei" w:hAnsi="Microsoft JhengHei" w:cs="Microsoft JhengHei" w:eastAsia="Microsoft JhengHei" w:hint="default"/>
                <w:spacing w:val="-4"/>
                <w:sz w:val="18"/>
                <w:szCs w:val="18"/>
              </w:rPr>
            </w:r>
          </w:p>
          <w:p>
            <w:pPr>
              <w:pStyle w:val="TableParagraph"/>
              <w:spacing w:line="313" w:lineRule="exact"/>
              <w:ind w:left="62" w:right="-5"/>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性质</w:t>
            </w:r>
            <w:r>
              <w:rPr>
                <w:rFonts w:ascii="Microsoft JhengHei" w:hAnsi="Microsoft JhengHei" w:cs="Microsoft JhengHei" w:eastAsia="Microsoft JhengHei" w:hint="default"/>
                <w:sz w:val="18"/>
                <w:szCs w:val="18"/>
              </w:rPr>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5"/>
              <w:jc w:val="righ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冻结类</w:t>
            </w:r>
            <w:r>
              <w:rPr>
                <w:rFonts w:ascii="Microsoft JhengHei" w:hAnsi="Microsoft JhengHei" w:cs="Microsoft JhengHei" w:eastAsia="Microsoft JhengHei" w:hint="default"/>
                <w:sz w:val="18"/>
                <w:szCs w:val="18"/>
              </w:rPr>
            </w:r>
          </w:p>
          <w:p>
            <w:pPr>
              <w:pStyle w:val="TableParagraph"/>
              <w:spacing w:line="313" w:lineRule="exact"/>
              <w:ind w:right="2"/>
              <w:jc w:val="righ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w w:val="101"/>
                <w:sz w:val="18"/>
                <w:szCs w:val="18"/>
              </w:rPr>
              <w:t>型</w:t>
            </w:r>
            <w:r>
              <w:rPr>
                <w:rFonts w:ascii="Microsoft JhengHei" w:hAnsi="Microsoft JhengHei" w:cs="Microsoft JhengHei" w:eastAsia="Microsoft JhengHei" w:hint="default"/>
                <w:sz w:val="18"/>
                <w:szCs w:val="18"/>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0"/>
              <w:jc w:val="righ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pacing w:val="-1"/>
                <w:sz w:val="18"/>
                <w:szCs w:val="18"/>
              </w:rPr>
              <w:t>质权人名称</w:t>
            </w:r>
            <w:r>
              <w:rPr>
                <w:rFonts w:ascii="Microsoft JhengHei" w:hAnsi="Microsoft JhengHei" w:cs="Microsoft JhengHei" w:eastAsia="Microsoft JhengHei" w:hint="default"/>
                <w:spacing w:val="-1"/>
                <w:sz w:val="18"/>
                <w:szCs w:val="18"/>
              </w:rPr>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0"/>
              <w:jc w:val="righ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冻结日期</w:t>
            </w:r>
            <w:r>
              <w:rPr>
                <w:rFonts w:ascii="Microsoft JhengHei" w:hAnsi="Microsoft JhengHei" w:cs="Microsoft JhengHei" w:eastAsia="Microsoft JhengHei" w:hint="default"/>
                <w:sz w:val="18"/>
                <w:szCs w:val="18"/>
              </w:rPr>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0"/>
              <w:jc w:val="righ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解冻日期</w:t>
            </w:r>
            <w:r>
              <w:rPr>
                <w:rFonts w:ascii="Microsoft JhengHei" w:hAnsi="Microsoft JhengHei" w:cs="Microsoft JhengHei" w:eastAsia="Microsoft JhengHei" w:hint="default"/>
                <w:sz w:val="18"/>
                <w:szCs w:val="18"/>
              </w:rPr>
            </w:r>
          </w:p>
        </w:tc>
      </w:tr>
      <w:tr>
        <w:trPr>
          <w:trHeight w:val="658" w:hRule="exact"/>
        </w:trPr>
        <w:tc>
          <w:tcPr>
            <w:tcW w:w="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85"/>
              <w:jc w:val="center"/>
              <w:rPr>
                <w:rFonts w:ascii="宋体" w:hAnsi="宋体" w:cs="宋体" w:eastAsia="宋体" w:hint="default"/>
                <w:sz w:val="18"/>
                <w:szCs w:val="18"/>
              </w:rPr>
            </w:pPr>
            <w:r>
              <w:rPr>
                <w:rFonts w:ascii="宋体"/>
                <w:w w:val="101"/>
                <w:sz w:val="18"/>
              </w:rPr>
              <w:t>1</w:t>
            </w:r>
            <w:r>
              <w:rPr>
                <w:rFonts w:ascii="宋体"/>
                <w:sz w:val="18"/>
              </w:rPr>
            </w:r>
          </w:p>
        </w:tc>
        <w:tc>
          <w:tcPr>
            <w:tcW w:w="11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89"/>
              <w:jc w:val="center"/>
              <w:rPr>
                <w:rFonts w:ascii="宋体" w:hAnsi="宋体" w:cs="宋体" w:eastAsia="宋体" w:hint="default"/>
                <w:sz w:val="18"/>
                <w:szCs w:val="18"/>
              </w:rPr>
            </w:pPr>
            <w:r>
              <w:rPr>
                <w:rFonts w:ascii="宋体"/>
                <w:sz w:val="18"/>
              </w:rPr>
              <w:t>132405553</w:t>
            </w: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pacing w:val="-2"/>
                <w:sz w:val="18"/>
                <w:szCs w:val="18"/>
              </w:rPr>
              <w:t>吕建华</w:t>
            </w:r>
          </w:p>
        </w:tc>
        <w:tc>
          <w:tcPr>
            <w:tcW w:w="8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spacing w:val="-1"/>
                <w:sz w:val="18"/>
              </w:rPr>
              <w:t>18,620</w:t>
            </w:r>
          </w:p>
        </w:tc>
        <w:tc>
          <w:tcPr>
            <w:tcW w:w="11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
              <w:jc w:val="right"/>
              <w:rPr>
                <w:rFonts w:ascii="宋体" w:hAnsi="宋体" w:cs="宋体" w:eastAsia="宋体" w:hint="default"/>
                <w:sz w:val="18"/>
                <w:szCs w:val="18"/>
              </w:rPr>
            </w:pPr>
            <w:r>
              <w:rPr>
                <w:rFonts w:ascii="宋体"/>
                <w:spacing w:val="-1"/>
                <w:sz w:val="18"/>
              </w:rPr>
              <w:t>18,620</w:t>
            </w:r>
          </w:p>
        </w:tc>
        <w:tc>
          <w:tcPr>
            <w:tcW w:w="4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hAnsi="宋体" w:cs="宋体" w:eastAsia="宋体" w:hint="default"/>
                <w:w w:val="101"/>
                <w:sz w:val="18"/>
                <w:szCs w:val="18"/>
              </w:rPr>
              <w:t>①</w:t>
            </w:r>
            <w:r>
              <w:rPr>
                <w:rFonts w:ascii="宋体" w:hAnsi="宋体" w:cs="宋体" w:eastAsia="宋体" w:hint="default"/>
                <w:sz w:val="18"/>
                <w:szCs w:val="18"/>
              </w:rPr>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司法</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38" w:right="-5"/>
              <w:jc w:val="left"/>
              <w:rPr>
                <w:rFonts w:ascii="宋体" w:hAnsi="宋体" w:cs="宋体" w:eastAsia="宋体" w:hint="default"/>
                <w:sz w:val="18"/>
                <w:szCs w:val="18"/>
              </w:rPr>
            </w:pPr>
            <w:r>
              <w:rPr>
                <w:rFonts w:ascii="宋体" w:hAnsi="宋体" w:cs="宋体" w:eastAsia="宋体" w:hint="default"/>
                <w:sz w:val="18"/>
                <w:szCs w:val="18"/>
              </w:rPr>
              <w:t>淄博市淄川区</w:t>
            </w:r>
          </w:p>
          <w:p>
            <w:pPr>
              <w:pStyle w:val="TableParagraph"/>
              <w:spacing w:line="240" w:lineRule="auto" w:before="76"/>
              <w:ind w:left="393" w:right="0"/>
              <w:jc w:val="left"/>
              <w:rPr>
                <w:rFonts w:ascii="宋体" w:hAnsi="宋体" w:cs="宋体" w:eastAsia="宋体" w:hint="default"/>
                <w:sz w:val="18"/>
                <w:szCs w:val="18"/>
              </w:rPr>
            </w:pPr>
            <w:r>
              <w:rPr>
                <w:rFonts w:ascii="宋体" w:hAnsi="宋体" w:cs="宋体" w:eastAsia="宋体" w:hint="default"/>
                <w:sz w:val="18"/>
                <w:szCs w:val="18"/>
              </w:rPr>
              <w:t>人民法院</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spacing w:val="-1"/>
                <w:sz w:val="18"/>
              </w:rPr>
              <w:t>2012/12/7</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spacing w:val="-1"/>
                <w:sz w:val="18"/>
              </w:rPr>
              <w:t>2016/5/29</w:t>
            </w:r>
          </w:p>
        </w:tc>
      </w:tr>
      <w:tr>
        <w:trPr>
          <w:trHeight w:val="662" w:hRule="exact"/>
        </w:trPr>
        <w:tc>
          <w:tcPr>
            <w:tcW w:w="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85"/>
              <w:jc w:val="center"/>
              <w:rPr>
                <w:rFonts w:ascii="宋体" w:hAnsi="宋体" w:cs="宋体" w:eastAsia="宋体" w:hint="default"/>
                <w:sz w:val="18"/>
                <w:szCs w:val="18"/>
              </w:rPr>
            </w:pPr>
            <w:r>
              <w:rPr>
                <w:rFonts w:ascii="宋体"/>
                <w:w w:val="101"/>
                <w:sz w:val="18"/>
              </w:rPr>
              <w:t>2</w:t>
            </w:r>
            <w:r>
              <w:rPr>
                <w:rFonts w:ascii="宋体"/>
                <w:sz w:val="18"/>
              </w:rPr>
            </w:r>
          </w:p>
        </w:tc>
        <w:tc>
          <w:tcPr>
            <w:tcW w:w="11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89"/>
              <w:jc w:val="center"/>
              <w:rPr>
                <w:rFonts w:ascii="宋体" w:hAnsi="宋体" w:cs="宋体" w:eastAsia="宋体" w:hint="default"/>
                <w:sz w:val="18"/>
                <w:szCs w:val="18"/>
              </w:rPr>
            </w:pPr>
            <w:r>
              <w:rPr>
                <w:rFonts w:ascii="宋体"/>
                <w:sz w:val="18"/>
              </w:rPr>
              <w:t>100680687</w:t>
            </w: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杜军</w:t>
            </w:r>
          </w:p>
        </w:tc>
        <w:tc>
          <w:tcPr>
            <w:tcW w:w="8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sz w:val="18"/>
              </w:rPr>
              <w:t>3,500</w:t>
            </w:r>
          </w:p>
        </w:tc>
        <w:tc>
          <w:tcPr>
            <w:tcW w:w="11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
              <w:jc w:val="right"/>
              <w:rPr>
                <w:rFonts w:ascii="宋体" w:hAnsi="宋体" w:cs="宋体" w:eastAsia="宋体" w:hint="default"/>
                <w:sz w:val="18"/>
                <w:szCs w:val="18"/>
              </w:rPr>
            </w:pPr>
            <w:r>
              <w:rPr>
                <w:rFonts w:ascii="宋体"/>
                <w:sz w:val="18"/>
              </w:rPr>
              <w:t>2,200</w:t>
            </w:r>
          </w:p>
        </w:tc>
        <w:tc>
          <w:tcPr>
            <w:tcW w:w="4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hAnsi="宋体" w:cs="宋体" w:eastAsia="宋体" w:hint="default"/>
                <w:w w:val="101"/>
                <w:sz w:val="18"/>
                <w:szCs w:val="18"/>
              </w:rPr>
              <w:t>①</w:t>
            </w:r>
            <w:r>
              <w:rPr>
                <w:rFonts w:ascii="宋体" w:hAnsi="宋体" w:cs="宋体" w:eastAsia="宋体" w:hint="default"/>
                <w:sz w:val="18"/>
                <w:szCs w:val="18"/>
              </w:rPr>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质押</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38" w:right="-5"/>
              <w:jc w:val="left"/>
              <w:rPr>
                <w:rFonts w:ascii="宋体" w:hAnsi="宋体" w:cs="宋体" w:eastAsia="宋体" w:hint="default"/>
                <w:sz w:val="18"/>
                <w:szCs w:val="18"/>
              </w:rPr>
            </w:pPr>
            <w:r>
              <w:rPr>
                <w:rFonts w:ascii="宋体" w:hAnsi="宋体" w:cs="宋体" w:eastAsia="宋体" w:hint="default"/>
                <w:sz w:val="18"/>
                <w:szCs w:val="18"/>
              </w:rPr>
              <w:t>海通证券股份</w:t>
            </w:r>
          </w:p>
          <w:p>
            <w:pPr>
              <w:pStyle w:val="TableParagraph"/>
              <w:spacing w:line="240" w:lineRule="auto" w:before="76"/>
              <w:ind w:left="393"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spacing w:val="-1"/>
                <w:sz w:val="18"/>
              </w:rPr>
              <w:t>2014/12/1</w:t>
            </w:r>
          </w:p>
          <w:p>
            <w:pPr>
              <w:pStyle w:val="TableParagraph"/>
              <w:spacing w:line="240" w:lineRule="auto" w:before="76"/>
              <w:ind w:right="0"/>
              <w:jc w:val="right"/>
              <w:rPr>
                <w:rFonts w:ascii="宋体" w:hAnsi="宋体" w:cs="宋体" w:eastAsia="宋体" w:hint="default"/>
                <w:sz w:val="18"/>
                <w:szCs w:val="18"/>
              </w:rPr>
            </w:pPr>
            <w:r>
              <w:rPr>
                <w:rFonts w:ascii="宋体"/>
                <w:w w:val="101"/>
                <w:sz w:val="18"/>
              </w:rPr>
              <w:t>8</w:t>
            </w:r>
            <w:r>
              <w:rPr>
                <w:rFonts w:ascii="宋体"/>
                <w:sz w:val="18"/>
              </w:rPr>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w:t>
            </w:r>
          </w:p>
        </w:tc>
      </w:tr>
      <w:tr>
        <w:trPr>
          <w:trHeight w:val="658" w:hRule="exact"/>
        </w:trPr>
        <w:tc>
          <w:tcPr>
            <w:tcW w:w="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85"/>
              <w:jc w:val="center"/>
              <w:rPr>
                <w:rFonts w:ascii="宋体" w:hAnsi="宋体" w:cs="宋体" w:eastAsia="宋体" w:hint="default"/>
                <w:sz w:val="18"/>
                <w:szCs w:val="18"/>
              </w:rPr>
            </w:pPr>
            <w:r>
              <w:rPr>
                <w:rFonts w:ascii="宋体"/>
                <w:w w:val="101"/>
                <w:sz w:val="18"/>
              </w:rPr>
              <w:t>3</w:t>
            </w:r>
            <w:r>
              <w:rPr>
                <w:rFonts w:ascii="宋体"/>
                <w:sz w:val="18"/>
              </w:rPr>
            </w:r>
          </w:p>
        </w:tc>
        <w:tc>
          <w:tcPr>
            <w:tcW w:w="11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89"/>
              <w:jc w:val="center"/>
              <w:rPr>
                <w:rFonts w:ascii="宋体" w:hAnsi="宋体" w:cs="宋体" w:eastAsia="宋体" w:hint="default"/>
                <w:sz w:val="18"/>
                <w:szCs w:val="18"/>
              </w:rPr>
            </w:pPr>
            <w:r>
              <w:rPr>
                <w:rFonts w:ascii="宋体"/>
                <w:sz w:val="18"/>
              </w:rPr>
              <w:t>100680687</w:t>
            </w: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杜军</w:t>
            </w:r>
          </w:p>
        </w:tc>
        <w:tc>
          <w:tcPr>
            <w:tcW w:w="8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sz w:val="18"/>
              </w:rPr>
              <w:t>3,500</w:t>
            </w:r>
          </w:p>
        </w:tc>
        <w:tc>
          <w:tcPr>
            <w:tcW w:w="11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
              <w:jc w:val="right"/>
              <w:rPr>
                <w:rFonts w:ascii="宋体" w:hAnsi="宋体" w:cs="宋体" w:eastAsia="宋体" w:hint="default"/>
                <w:sz w:val="18"/>
                <w:szCs w:val="18"/>
              </w:rPr>
            </w:pPr>
            <w:r>
              <w:rPr>
                <w:rFonts w:ascii="宋体"/>
                <w:sz w:val="18"/>
              </w:rPr>
              <w:t>900</w:t>
            </w:r>
          </w:p>
        </w:tc>
        <w:tc>
          <w:tcPr>
            <w:tcW w:w="4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hAnsi="宋体" w:cs="宋体" w:eastAsia="宋体" w:hint="default"/>
                <w:w w:val="101"/>
                <w:sz w:val="18"/>
                <w:szCs w:val="18"/>
              </w:rPr>
              <w:t>①</w:t>
            </w:r>
            <w:r>
              <w:rPr>
                <w:rFonts w:ascii="宋体" w:hAnsi="宋体" w:cs="宋体" w:eastAsia="宋体" w:hint="default"/>
                <w:sz w:val="18"/>
                <w:szCs w:val="18"/>
              </w:rPr>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质押</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38" w:right="-5"/>
              <w:jc w:val="left"/>
              <w:rPr>
                <w:rFonts w:ascii="宋体" w:hAnsi="宋体" w:cs="宋体" w:eastAsia="宋体" w:hint="default"/>
                <w:sz w:val="18"/>
                <w:szCs w:val="18"/>
              </w:rPr>
            </w:pPr>
            <w:r>
              <w:rPr>
                <w:rFonts w:ascii="宋体" w:hAnsi="宋体" w:cs="宋体" w:eastAsia="宋体" w:hint="default"/>
                <w:sz w:val="18"/>
                <w:szCs w:val="18"/>
              </w:rPr>
              <w:t>海通证券股份</w:t>
            </w:r>
          </w:p>
          <w:p>
            <w:pPr>
              <w:pStyle w:val="TableParagraph"/>
              <w:spacing w:line="240" w:lineRule="auto" w:before="76"/>
              <w:ind w:left="393"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spacing w:val="-1"/>
                <w:sz w:val="18"/>
              </w:rPr>
              <w:t>2014/12/3</w:t>
            </w:r>
          </w:p>
          <w:p>
            <w:pPr>
              <w:pStyle w:val="TableParagraph"/>
              <w:spacing w:line="240" w:lineRule="auto" w:before="76"/>
              <w:ind w:right="0"/>
              <w:jc w:val="right"/>
              <w:rPr>
                <w:rFonts w:ascii="宋体" w:hAnsi="宋体" w:cs="宋体" w:eastAsia="宋体" w:hint="default"/>
                <w:sz w:val="18"/>
                <w:szCs w:val="18"/>
              </w:rPr>
            </w:pPr>
            <w:r>
              <w:rPr>
                <w:rFonts w:ascii="宋体"/>
                <w:w w:val="101"/>
                <w:sz w:val="18"/>
              </w:rPr>
              <w:t>0</w:t>
            </w:r>
            <w:r>
              <w:rPr>
                <w:rFonts w:ascii="宋体"/>
                <w:sz w:val="18"/>
              </w:rPr>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w:t>
            </w:r>
          </w:p>
        </w:tc>
      </w:tr>
      <w:tr>
        <w:trPr>
          <w:trHeight w:val="658" w:hRule="exact"/>
        </w:trPr>
        <w:tc>
          <w:tcPr>
            <w:tcW w:w="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85"/>
              <w:jc w:val="center"/>
              <w:rPr>
                <w:rFonts w:ascii="宋体" w:hAnsi="宋体" w:cs="宋体" w:eastAsia="宋体" w:hint="default"/>
                <w:sz w:val="18"/>
                <w:szCs w:val="18"/>
              </w:rPr>
            </w:pPr>
            <w:r>
              <w:rPr>
                <w:rFonts w:ascii="宋体"/>
                <w:w w:val="101"/>
                <w:sz w:val="18"/>
              </w:rPr>
              <w:t>4</w:t>
            </w:r>
            <w:r>
              <w:rPr>
                <w:rFonts w:ascii="宋体"/>
                <w:sz w:val="18"/>
              </w:rPr>
            </w:r>
          </w:p>
        </w:tc>
        <w:tc>
          <w:tcPr>
            <w:tcW w:w="11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89"/>
              <w:jc w:val="center"/>
              <w:rPr>
                <w:rFonts w:ascii="宋体" w:hAnsi="宋体" w:cs="宋体" w:eastAsia="宋体" w:hint="default"/>
                <w:sz w:val="18"/>
                <w:szCs w:val="18"/>
              </w:rPr>
            </w:pPr>
            <w:r>
              <w:rPr>
                <w:rFonts w:ascii="宋体"/>
                <w:sz w:val="18"/>
              </w:rPr>
              <w:t>137506415</w:t>
            </w: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张忠</w:t>
            </w:r>
          </w:p>
        </w:tc>
        <w:tc>
          <w:tcPr>
            <w:tcW w:w="8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spacing w:val="-1"/>
                <w:sz w:val="18"/>
              </w:rPr>
              <w:t>18,400</w:t>
            </w:r>
          </w:p>
        </w:tc>
        <w:tc>
          <w:tcPr>
            <w:tcW w:w="11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
              <w:jc w:val="right"/>
              <w:rPr>
                <w:rFonts w:ascii="宋体" w:hAnsi="宋体" w:cs="宋体" w:eastAsia="宋体" w:hint="default"/>
                <w:sz w:val="18"/>
                <w:szCs w:val="18"/>
              </w:rPr>
            </w:pPr>
            <w:r>
              <w:rPr>
                <w:rFonts w:ascii="宋体"/>
                <w:spacing w:val="-1"/>
                <w:sz w:val="18"/>
              </w:rPr>
              <w:t>18,400</w:t>
            </w:r>
          </w:p>
        </w:tc>
        <w:tc>
          <w:tcPr>
            <w:tcW w:w="4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hAnsi="宋体" w:cs="宋体" w:eastAsia="宋体" w:hint="default"/>
                <w:w w:val="101"/>
                <w:sz w:val="18"/>
                <w:szCs w:val="18"/>
              </w:rPr>
              <w:t>①</w:t>
            </w:r>
            <w:r>
              <w:rPr>
                <w:rFonts w:ascii="宋体" w:hAnsi="宋体" w:cs="宋体" w:eastAsia="宋体" w:hint="default"/>
                <w:sz w:val="18"/>
                <w:szCs w:val="18"/>
              </w:rPr>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司法</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38" w:right="-5"/>
              <w:jc w:val="left"/>
              <w:rPr>
                <w:rFonts w:ascii="宋体" w:hAnsi="宋体" w:cs="宋体" w:eastAsia="宋体" w:hint="default"/>
                <w:sz w:val="18"/>
                <w:szCs w:val="18"/>
              </w:rPr>
            </w:pPr>
            <w:r>
              <w:rPr>
                <w:rFonts w:ascii="宋体" w:hAnsi="宋体" w:cs="宋体" w:eastAsia="宋体" w:hint="default"/>
                <w:sz w:val="18"/>
                <w:szCs w:val="18"/>
              </w:rPr>
              <w:t>保定市新市区</w:t>
            </w:r>
          </w:p>
          <w:p>
            <w:pPr>
              <w:pStyle w:val="TableParagraph"/>
              <w:spacing w:line="240" w:lineRule="auto" w:before="76"/>
              <w:ind w:left="393" w:right="0"/>
              <w:jc w:val="left"/>
              <w:rPr>
                <w:rFonts w:ascii="宋体" w:hAnsi="宋体" w:cs="宋体" w:eastAsia="宋体" w:hint="default"/>
                <w:sz w:val="18"/>
                <w:szCs w:val="18"/>
              </w:rPr>
            </w:pPr>
            <w:r>
              <w:rPr>
                <w:rFonts w:ascii="宋体" w:hAnsi="宋体" w:cs="宋体" w:eastAsia="宋体" w:hint="default"/>
                <w:sz w:val="18"/>
                <w:szCs w:val="18"/>
              </w:rPr>
              <w:t>人民法院</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spacing w:val="-1"/>
                <w:sz w:val="18"/>
              </w:rPr>
              <w:t>2015/5/14</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spacing w:val="-1"/>
                <w:sz w:val="18"/>
              </w:rPr>
              <w:t>2016/4/12</w:t>
            </w:r>
          </w:p>
        </w:tc>
      </w:tr>
      <w:tr>
        <w:trPr>
          <w:trHeight w:val="658" w:hRule="exact"/>
        </w:trPr>
        <w:tc>
          <w:tcPr>
            <w:tcW w:w="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85"/>
              <w:jc w:val="center"/>
              <w:rPr>
                <w:rFonts w:ascii="宋体" w:hAnsi="宋体" w:cs="宋体" w:eastAsia="宋体" w:hint="default"/>
                <w:sz w:val="18"/>
                <w:szCs w:val="18"/>
              </w:rPr>
            </w:pPr>
            <w:r>
              <w:rPr>
                <w:rFonts w:ascii="宋体"/>
                <w:w w:val="101"/>
                <w:sz w:val="18"/>
              </w:rPr>
              <w:t>5</w:t>
            </w:r>
            <w:r>
              <w:rPr>
                <w:rFonts w:ascii="宋体"/>
                <w:sz w:val="18"/>
              </w:rPr>
            </w:r>
          </w:p>
        </w:tc>
        <w:tc>
          <w:tcPr>
            <w:tcW w:w="11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89"/>
              <w:jc w:val="center"/>
              <w:rPr>
                <w:rFonts w:ascii="宋体" w:hAnsi="宋体" w:cs="宋体" w:eastAsia="宋体" w:hint="default"/>
                <w:sz w:val="18"/>
                <w:szCs w:val="18"/>
              </w:rPr>
            </w:pPr>
            <w:r>
              <w:rPr>
                <w:rFonts w:ascii="宋体"/>
                <w:sz w:val="18"/>
              </w:rPr>
              <w:t>126384475</w:t>
            </w: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pacing w:val="-2"/>
                <w:sz w:val="18"/>
                <w:szCs w:val="18"/>
              </w:rPr>
              <w:t>尤玉仙</w:t>
            </w:r>
          </w:p>
        </w:tc>
        <w:tc>
          <w:tcPr>
            <w:tcW w:w="8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0"/>
              <w:jc w:val="right"/>
              <w:rPr>
                <w:rFonts w:ascii="宋体" w:hAnsi="宋体" w:cs="宋体" w:eastAsia="宋体" w:hint="default"/>
                <w:sz w:val="18"/>
                <w:szCs w:val="18"/>
              </w:rPr>
            </w:pPr>
            <w:r>
              <w:rPr>
                <w:rFonts w:ascii="宋体"/>
                <w:spacing w:val="-1"/>
                <w:sz w:val="18"/>
              </w:rPr>
              <w:t>34,060,50</w:t>
            </w:r>
          </w:p>
          <w:p>
            <w:pPr>
              <w:pStyle w:val="TableParagraph"/>
              <w:spacing w:line="240" w:lineRule="auto" w:before="76"/>
              <w:ind w:right="-5"/>
              <w:jc w:val="right"/>
              <w:rPr>
                <w:rFonts w:ascii="宋体" w:hAnsi="宋体" w:cs="宋体" w:eastAsia="宋体" w:hint="default"/>
                <w:sz w:val="18"/>
                <w:szCs w:val="18"/>
              </w:rPr>
            </w:pPr>
            <w:r>
              <w:rPr>
                <w:rFonts w:ascii="宋体"/>
                <w:w w:val="101"/>
                <w:sz w:val="18"/>
              </w:rPr>
              <w:t>0</w:t>
            </w:r>
            <w:r>
              <w:rPr>
                <w:rFonts w:ascii="宋体"/>
                <w:sz w:val="18"/>
              </w:rPr>
            </w:r>
          </w:p>
        </w:tc>
        <w:tc>
          <w:tcPr>
            <w:tcW w:w="11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
              <w:jc w:val="right"/>
              <w:rPr>
                <w:rFonts w:ascii="宋体" w:hAnsi="宋体" w:cs="宋体" w:eastAsia="宋体" w:hint="default"/>
                <w:sz w:val="18"/>
                <w:szCs w:val="18"/>
              </w:rPr>
            </w:pPr>
            <w:r>
              <w:rPr>
                <w:rFonts w:ascii="宋体"/>
                <w:spacing w:val="-1"/>
                <w:sz w:val="18"/>
              </w:rPr>
              <w:t>18,000,000</w:t>
            </w:r>
          </w:p>
        </w:tc>
        <w:tc>
          <w:tcPr>
            <w:tcW w:w="4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hAnsi="宋体" w:cs="宋体" w:eastAsia="宋体" w:hint="default"/>
                <w:w w:val="101"/>
                <w:sz w:val="18"/>
                <w:szCs w:val="18"/>
              </w:rPr>
              <w:t>②</w:t>
            </w:r>
            <w:r>
              <w:rPr>
                <w:rFonts w:ascii="宋体" w:hAnsi="宋体" w:cs="宋体" w:eastAsia="宋体" w:hint="default"/>
                <w:sz w:val="18"/>
                <w:szCs w:val="18"/>
              </w:rPr>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质押</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38" w:right="-5"/>
              <w:jc w:val="left"/>
              <w:rPr>
                <w:rFonts w:ascii="宋体" w:hAnsi="宋体" w:cs="宋体" w:eastAsia="宋体" w:hint="default"/>
                <w:sz w:val="18"/>
                <w:szCs w:val="18"/>
              </w:rPr>
            </w:pPr>
            <w:r>
              <w:rPr>
                <w:rFonts w:ascii="宋体" w:hAnsi="宋体" w:cs="宋体" w:eastAsia="宋体" w:hint="default"/>
                <w:sz w:val="18"/>
                <w:szCs w:val="18"/>
              </w:rPr>
              <w:t>中信证券股份</w:t>
            </w:r>
          </w:p>
          <w:p>
            <w:pPr>
              <w:pStyle w:val="TableParagraph"/>
              <w:spacing w:line="240" w:lineRule="auto" w:before="76"/>
              <w:ind w:left="393"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spacing w:val="-1"/>
                <w:sz w:val="18"/>
              </w:rPr>
              <w:t>2015/6/18</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w:t>
            </w:r>
          </w:p>
        </w:tc>
      </w:tr>
      <w:tr>
        <w:trPr>
          <w:trHeight w:val="662" w:hRule="exact"/>
        </w:trPr>
        <w:tc>
          <w:tcPr>
            <w:tcW w:w="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85"/>
              <w:jc w:val="center"/>
              <w:rPr>
                <w:rFonts w:ascii="宋体" w:hAnsi="宋体" w:cs="宋体" w:eastAsia="宋体" w:hint="default"/>
                <w:sz w:val="18"/>
                <w:szCs w:val="18"/>
              </w:rPr>
            </w:pPr>
            <w:r>
              <w:rPr>
                <w:rFonts w:ascii="宋体"/>
                <w:w w:val="101"/>
                <w:sz w:val="18"/>
              </w:rPr>
              <w:t>6</w:t>
            </w:r>
            <w:r>
              <w:rPr>
                <w:rFonts w:ascii="宋体"/>
                <w:sz w:val="18"/>
              </w:rPr>
            </w:r>
          </w:p>
        </w:tc>
        <w:tc>
          <w:tcPr>
            <w:tcW w:w="11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89"/>
              <w:jc w:val="center"/>
              <w:rPr>
                <w:rFonts w:ascii="宋体" w:hAnsi="宋体" w:cs="宋体" w:eastAsia="宋体" w:hint="default"/>
                <w:sz w:val="18"/>
                <w:szCs w:val="18"/>
              </w:rPr>
            </w:pPr>
            <w:r>
              <w:rPr>
                <w:rFonts w:ascii="宋体"/>
                <w:sz w:val="18"/>
              </w:rPr>
              <w:t>126384475</w:t>
            </w: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pacing w:val="-2"/>
                <w:sz w:val="18"/>
                <w:szCs w:val="18"/>
              </w:rPr>
              <w:t>尤玉仙</w:t>
            </w:r>
          </w:p>
        </w:tc>
        <w:tc>
          <w:tcPr>
            <w:tcW w:w="8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0"/>
              <w:jc w:val="right"/>
              <w:rPr>
                <w:rFonts w:ascii="宋体" w:hAnsi="宋体" w:cs="宋体" w:eastAsia="宋体" w:hint="default"/>
                <w:sz w:val="18"/>
                <w:szCs w:val="18"/>
              </w:rPr>
            </w:pPr>
            <w:r>
              <w:rPr>
                <w:rFonts w:ascii="宋体"/>
                <w:spacing w:val="-1"/>
                <w:sz w:val="18"/>
              </w:rPr>
              <w:t>34,060,50</w:t>
            </w:r>
          </w:p>
          <w:p>
            <w:pPr>
              <w:pStyle w:val="TableParagraph"/>
              <w:spacing w:line="240" w:lineRule="auto" w:before="76"/>
              <w:ind w:right="-5"/>
              <w:jc w:val="right"/>
              <w:rPr>
                <w:rFonts w:ascii="宋体" w:hAnsi="宋体" w:cs="宋体" w:eastAsia="宋体" w:hint="default"/>
                <w:sz w:val="18"/>
                <w:szCs w:val="18"/>
              </w:rPr>
            </w:pPr>
            <w:r>
              <w:rPr>
                <w:rFonts w:ascii="宋体"/>
                <w:w w:val="101"/>
                <w:sz w:val="18"/>
              </w:rPr>
              <w:t>0</w:t>
            </w:r>
            <w:r>
              <w:rPr>
                <w:rFonts w:ascii="宋体"/>
                <w:sz w:val="18"/>
              </w:rPr>
            </w:r>
          </w:p>
        </w:tc>
        <w:tc>
          <w:tcPr>
            <w:tcW w:w="11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
              <w:jc w:val="right"/>
              <w:rPr>
                <w:rFonts w:ascii="宋体" w:hAnsi="宋体" w:cs="宋体" w:eastAsia="宋体" w:hint="default"/>
                <w:sz w:val="18"/>
                <w:szCs w:val="18"/>
              </w:rPr>
            </w:pPr>
            <w:r>
              <w:rPr>
                <w:rFonts w:ascii="宋体"/>
                <w:spacing w:val="-1"/>
                <w:sz w:val="18"/>
              </w:rPr>
              <w:t>1,350,000</w:t>
            </w:r>
          </w:p>
        </w:tc>
        <w:tc>
          <w:tcPr>
            <w:tcW w:w="4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hAnsi="宋体" w:cs="宋体" w:eastAsia="宋体" w:hint="default"/>
                <w:w w:val="101"/>
                <w:sz w:val="18"/>
                <w:szCs w:val="18"/>
              </w:rPr>
              <w:t>②</w:t>
            </w:r>
            <w:r>
              <w:rPr>
                <w:rFonts w:ascii="宋体" w:hAnsi="宋体" w:cs="宋体" w:eastAsia="宋体" w:hint="default"/>
                <w:sz w:val="18"/>
                <w:szCs w:val="18"/>
              </w:rPr>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质押</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38" w:right="-5"/>
              <w:jc w:val="left"/>
              <w:rPr>
                <w:rFonts w:ascii="宋体" w:hAnsi="宋体" w:cs="宋体" w:eastAsia="宋体" w:hint="default"/>
                <w:sz w:val="18"/>
                <w:szCs w:val="18"/>
              </w:rPr>
            </w:pPr>
            <w:r>
              <w:rPr>
                <w:rFonts w:ascii="宋体" w:hAnsi="宋体" w:cs="宋体" w:eastAsia="宋体" w:hint="default"/>
                <w:sz w:val="18"/>
                <w:szCs w:val="18"/>
              </w:rPr>
              <w:t>中信证券股份</w:t>
            </w:r>
          </w:p>
          <w:p>
            <w:pPr>
              <w:pStyle w:val="TableParagraph"/>
              <w:spacing w:line="240" w:lineRule="auto" w:before="76"/>
              <w:ind w:left="393"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spacing w:val="-1"/>
                <w:sz w:val="18"/>
              </w:rPr>
              <w:t>2015/6/30</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w:t>
            </w:r>
          </w:p>
        </w:tc>
      </w:tr>
      <w:tr>
        <w:trPr>
          <w:trHeight w:val="970" w:hRule="exact"/>
        </w:trPr>
        <w:tc>
          <w:tcPr>
            <w:tcW w:w="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85"/>
              <w:jc w:val="center"/>
              <w:rPr>
                <w:rFonts w:ascii="宋体" w:hAnsi="宋体" w:cs="宋体" w:eastAsia="宋体" w:hint="default"/>
                <w:sz w:val="18"/>
                <w:szCs w:val="18"/>
              </w:rPr>
            </w:pPr>
            <w:r>
              <w:rPr>
                <w:rFonts w:ascii="宋体"/>
                <w:w w:val="101"/>
                <w:sz w:val="18"/>
              </w:rPr>
              <w:t>7</w:t>
            </w:r>
            <w:r>
              <w:rPr>
                <w:rFonts w:ascii="宋体"/>
                <w:sz w:val="18"/>
              </w:rPr>
            </w:r>
          </w:p>
        </w:tc>
        <w:tc>
          <w:tcPr>
            <w:tcW w:w="11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89"/>
              <w:jc w:val="center"/>
              <w:rPr>
                <w:rFonts w:ascii="宋体" w:hAnsi="宋体" w:cs="宋体" w:eastAsia="宋体" w:hint="default"/>
                <w:sz w:val="18"/>
                <w:szCs w:val="18"/>
              </w:rPr>
            </w:pPr>
            <w:r>
              <w:rPr>
                <w:rFonts w:ascii="宋体"/>
                <w:sz w:val="18"/>
              </w:rPr>
              <w:t>126344505</w:t>
            </w: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pacing w:val="-2"/>
                <w:sz w:val="18"/>
                <w:szCs w:val="18"/>
              </w:rPr>
              <w:t>章棉桃</w:t>
            </w:r>
          </w:p>
        </w:tc>
        <w:tc>
          <w:tcPr>
            <w:tcW w:w="8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spacing w:val="-1"/>
                <w:sz w:val="18"/>
              </w:rPr>
              <w:t>1,938,000</w:t>
            </w:r>
          </w:p>
        </w:tc>
        <w:tc>
          <w:tcPr>
            <w:tcW w:w="11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
              <w:jc w:val="right"/>
              <w:rPr>
                <w:rFonts w:ascii="宋体" w:hAnsi="宋体" w:cs="宋体" w:eastAsia="宋体" w:hint="default"/>
                <w:sz w:val="18"/>
                <w:szCs w:val="18"/>
              </w:rPr>
            </w:pPr>
            <w:r>
              <w:rPr>
                <w:rFonts w:ascii="宋体"/>
                <w:spacing w:val="-1"/>
                <w:sz w:val="18"/>
              </w:rPr>
              <w:t>1,300,000</w:t>
            </w:r>
          </w:p>
        </w:tc>
        <w:tc>
          <w:tcPr>
            <w:tcW w:w="4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hAnsi="宋体" w:cs="宋体" w:eastAsia="宋体" w:hint="default"/>
                <w:w w:val="101"/>
                <w:sz w:val="18"/>
                <w:szCs w:val="18"/>
              </w:rPr>
              <w:t>①</w:t>
            </w:r>
            <w:r>
              <w:rPr>
                <w:rFonts w:ascii="宋体" w:hAnsi="宋体" w:cs="宋体" w:eastAsia="宋体" w:hint="default"/>
                <w:sz w:val="18"/>
                <w:szCs w:val="18"/>
              </w:rPr>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质押</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38" w:right="-5"/>
              <w:jc w:val="right"/>
              <w:rPr>
                <w:rFonts w:ascii="宋体" w:hAnsi="宋体" w:cs="宋体" w:eastAsia="宋体" w:hint="default"/>
                <w:sz w:val="18"/>
                <w:szCs w:val="18"/>
              </w:rPr>
            </w:pPr>
            <w:r>
              <w:rPr>
                <w:rFonts w:ascii="宋体" w:hAnsi="宋体" w:cs="宋体" w:eastAsia="宋体" w:hint="default"/>
                <w:spacing w:val="-2"/>
                <w:sz w:val="18"/>
                <w:szCs w:val="18"/>
              </w:rPr>
              <w:t>平安银行股份</w:t>
            </w:r>
            <w:r>
              <w:rPr>
                <w:rFonts w:ascii="宋体" w:hAnsi="宋体" w:cs="宋体" w:eastAsia="宋体" w:hint="default"/>
                <w:w w:val="101"/>
                <w:sz w:val="18"/>
                <w:szCs w:val="18"/>
              </w:rPr>
              <w:t> </w:t>
            </w:r>
            <w:r>
              <w:rPr>
                <w:rFonts w:ascii="宋体" w:hAnsi="宋体" w:cs="宋体" w:eastAsia="宋体" w:hint="default"/>
                <w:spacing w:val="-2"/>
                <w:sz w:val="18"/>
                <w:szCs w:val="18"/>
              </w:rPr>
              <w:t>有限公司福州</w:t>
            </w:r>
          </w:p>
          <w:p>
            <w:pPr>
              <w:pStyle w:val="TableParagraph"/>
              <w:spacing w:line="240" w:lineRule="auto" w:before="19"/>
              <w:ind w:right="0"/>
              <w:jc w:val="right"/>
              <w:rPr>
                <w:rFonts w:ascii="宋体" w:hAnsi="宋体" w:cs="宋体" w:eastAsia="宋体" w:hint="default"/>
                <w:sz w:val="18"/>
                <w:szCs w:val="18"/>
              </w:rPr>
            </w:pPr>
            <w:r>
              <w:rPr>
                <w:rFonts w:ascii="宋体" w:hAnsi="宋体" w:cs="宋体" w:eastAsia="宋体" w:hint="default"/>
                <w:sz w:val="18"/>
                <w:szCs w:val="18"/>
              </w:rPr>
              <w:t>分行</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spacing w:val="-1"/>
                <w:sz w:val="18"/>
              </w:rPr>
              <w:t>2015/6/30</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w:t>
            </w:r>
          </w:p>
        </w:tc>
      </w:tr>
      <w:tr>
        <w:trPr>
          <w:trHeight w:val="658" w:hRule="exact"/>
        </w:trPr>
        <w:tc>
          <w:tcPr>
            <w:tcW w:w="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85"/>
              <w:jc w:val="center"/>
              <w:rPr>
                <w:rFonts w:ascii="宋体" w:hAnsi="宋体" w:cs="宋体" w:eastAsia="宋体" w:hint="default"/>
                <w:sz w:val="18"/>
                <w:szCs w:val="18"/>
              </w:rPr>
            </w:pPr>
            <w:r>
              <w:rPr>
                <w:rFonts w:ascii="宋体"/>
                <w:w w:val="101"/>
                <w:sz w:val="18"/>
              </w:rPr>
              <w:t>8</w:t>
            </w:r>
            <w:r>
              <w:rPr>
                <w:rFonts w:ascii="宋体"/>
                <w:sz w:val="18"/>
              </w:rPr>
            </w:r>
          </w:p>
        </w:tc>
        <w:tc>
          <w:tcPr>
            <w:tcW w:w="11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89"/>
              <w:jc w:val="center"/>
              <w:rPr>
                <w:rFonts w:ascii="宋体" w:hAnsi="宋体" w:cs="宋体" w:eastAsia="宋体" w:hint="default"/>
                <w:sz w:val="18"/>
                <w:szCs w:val="18"/>
              </w:rPr>
            </w:pPr>
            <w:r>
              <w:rPr>
                <w:rFonts w:ascii="宋体"/>
                <w:sz w:val="18"/>
              </w:rPr>
              <w:t>126384475</w:t>
            </w: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pacing w:val="-2"/>
                <w:sz w:val="18"/>
                <w:szCs w:val="18"/>
              </w:rPr>
              <w:t>尤玉仙</w:t>
            </w:r>
          </w:p>
        </w:tc>
        <w:tc>
          <w:tcPr>
            <w:tcW w:w="8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0"/>
              <w:jc w:val="right"/>
              <w:rPr>
                <w:rFonts w:ascii="宋体" w:hAnsi="宋体" w:cs="宋体" w:eastAsia="宋体" w:hint="default"/>
                <w:sz w:val="18"/>
                <w:szCs w:val="18"/>
              </w:rPr>
            </w:pPr>
            <w:r>
              <w:rPr>
                <w:rFonts w:ascii="宋体"/>
                <w:spacing w:val="-1"/>
                <w:sz w:val="18"/>
              </w:rPr>
              <w:t>34,060,50</w:t>
            </w:r>
          </w:p>
          <w:p>
            <w:pPr>
              <w:pStyle w:val="TableParagraph"/>
              <w:spacing w:line="240" w:lineRule="auto" w:before="76"/>
              <w:ind w:right="-5"/>
              <w:jc w:val="right"/>
              <w:rPr>
                <w:rFonts w:ascii="宋体" w:hAnsi="宋体" w:cs="宋体" w:eastAsia="宋体" w:hint="default"/>
                <w:sz w:val="18"/>
                <w:szCs w:val="18"/>
              </w:rPr>
            </w:pPr>
            <w:r>
              <w:rPr>
                <w:rFonts w:ascii="宋体"/>
                <w:w w:val="101"/>
                <w:sz w:val="18"/>
              </w:rPr>
              <w:t>0</w:t>
            </w:r>
            <w:r>
              <w:rPr>
                <w:rFonts w:ascii="宋体"/>
                <w:sz w:val="18"/>
              </w:rPr>
            </w:r>
          </w:p>
        </w:tc>
        <w:tc>
          <w:tcPr>
            <w:tcW w:w="11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
              <w:jc w:val="right"/>
              <w:rPr>
                <w:rFonts w:ascii="宋体" w:hAnsi="宋体" w:cs="宋体" w:eastAsia="宋体" w:hint="default"/>
                <w:sz w:val="18"/>
                <w:szCs w:val="18"/>
              </w:rPr>
            </w:pPr>
            <w:r>
              <w:rPr>
                <w:rFonts w:ascii="宋体"/>
                <w:spacing w:val="-1"/>
                <w:sz w:val="18"/>
              </w:rPr>
              <w:t>1,350,000</w:t>
            </w:r>
          </w:p>
        </w:tc>
        <w:tc>
          <w:tcPr>
            <w:tcW w:w="4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hAnsi="宋体" w:cs="宋体" w:eastAsia="宋体" w:hint="default"/>
                <w:w w:val="101"/>
                <w:sz w:val="18"/>
                <w:szCs w:val="18"/>
              </w:rPr>
              <w:t>②</w:t>
            </w:r>
            <w:r>
              <w:rPr>
                <w:rFonts w:ascii="宋体" w:hAnsi="宋体" w:cs="宋体" w:eastAsia="宋体" w:hint="default"/>
                <w:sz w:val="18"/>
                <w:szCs w:val="18"/>
              </w:rPr>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质押</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38" w:right="-5"/>
              <w:jc w:val="left"/>
              <w:rPr>
                <w:rFonts w:ascii="宋体" w:hAnsi="宋体" w:cs="宋体" w:eastAsia="宋体" w:hint="default"/>
                <w:sz w:val="18"/>
                <w:szCs w:val="18"/>
              </w:rPr>
            </w:pPr>
            <w:r>
              <w:rPr>
                <w:rFonts w:ascii="宋体" w:hAnsi="宋体" w:cs="宋体" w:eastAsia="宋体" w:hint="default"/>
                <w:sz w:val="18"/>
                <w:szCs w:val="18"/>
              </w:rPr>
              <w:t>中信证券股份</w:t>
            </w:r>
          </w:p>
          <w:p>
            <w:pPr>
              <w:pStyle w:val="TableParagraph"/>
              <w:spacing w:line="240" w:lineRule="auto" w:before="76"/>
              <w:ind w:left="393"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spacing w:val="-1"/>
                <w:sz w:val="18"/>
              </w:rPr>
              <w:t>2015/7/2</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w:t>
            </w:r>
          </w:p>
        </w:tc>
      </w:tr>
      <w:tr>
        <w:trPr>
          <w:trHeight w:val="662" w:hRule="exact"/>
        </w:trPr>
        <w:tc>
          <w:tcPr>
            <w:tcW w:w="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85"/>
              <w:jc w:val="center"/>
              <w:rPr>
                <w:rFonts w:ascii="宋体" w:hAnsi="宋体" w:cs="宋体" w:eastAsia="宋体" w:hint="default"/>
                <w:sz w:val="18"/>
                <w:szCs w:val="18"/>
              </w:rPr>
            </w:pPr>
            <w:r>
              <w:rPr>
                <w:rFonts w:ascii="宋体"/>
                <w:w w:val="101"/>
                <w:sz w:val="18"/>
              </w:rPr>
              <w:t>9</w:t>
            </w:r>
            <w:r>
              <w:rPr>
                <w:rFonts w:ascii="宋体"/>
                <w:sz w:val="18"/>
              </w:rPr>
            </w:r>
          </w:p>
        </w:tc>
        <w:tc>
          <w:tcPr>
            <w:tcW w:w="11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89"/>
              <w:jc w:val="center"/>
              <w:rPr>
                <w:rFonts w:ascii="宋体" w:hAnsi="宋体" w:cs="宋体" w:eastAsia="宋体" w:hint="default"/>
                <w:sz w:val="18"/>
                <w:szCs w:val="18"/>
              </w:rPr>
            </w:pPr>
            <w:r>
              <w:rPr>
                <w:rFonts w:ascii="宋体"/>
                <w:sz w:val="18"/>
              </w:rPr>
              <w:t>126384475</w:t>
            </w: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pacing w:val="-2"/>
                <w:sz w:val="18"/>
                <w:szCs w:val="18"/>
              </w:rPr>
              <w:t>尤玉仙</w:t>
            </w:r>
          </w:p>
        </w:tc>
        <w:tc>
          <w:tcPr>
            <w:tcW w:w="8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0"/>
              <w:jc w:val="right"/>
              <w:rPr>
                <w:rFonts w:ascii="宋体" w:hAnsi="宋体" w:cs="宋体" w:eastAsia="宋体" w:hint="default"/>
                <w:sz w:val="18"/>
                <w:szCs w:val="18"/>
              </w:rPr>
            </w:pPr>
            <w:r>
              <w:rPr>
                <w:rFonts w:ascii="宋体"/>
                <w:spacing w:val="-1"/>
                <w:sz w:val="18"/>
              </w:rPr>
              <w:t>34,060,50</w:t>
            </w:r>
          </w:p>
          <w:p>
            <w:pPr>
              <w:pStyle w:val="TableParagraph"/>
              <w:spacing w:line="240" w:lineRule="auto" w:before="76"/>
              <w:ind w:right="-5"/>
              <w:jc w:val="right"/>
              <w:rPr>
                <w:rFonts w:ascii="宋体" w:hAnsi="宋体" w:cs="宋体" w:eastAsia="宋体" w:hint="default"/>
                <w:sz w:val="18"/>
                <w:szCs w:val="18"/>
              </w:rPr>
            </w:pPr>
            <w:r>
              <w:rPr>
                <w:rFonts w:ascii="宋体"/>
                <w:w w:val="101"/>
                <w:sz w:val="18"/>
              </w:rPr>
              <w:t>0</w:t>
            </w:r>
            <w:r>
              <w:rPr>
                <w:rFonts w:ascii="宋体"/>
                <w:sz w:val="18"/>
              </w:rPr>
            </w:r>
          </w:p>
        </w:tc>
        <w:tc>
          <w:tcPr>
            <w:tcW w:w="11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
              <w:jc w:val="right"/>
              <w:rPr>
                <w:rFonts w:ascii="宋体" w:hAnsi="宋体" w:cs="宋体" w:eastAsia="宋体" w:hint="default"/>
                <w:sz w:val="18"/>
                <w:szCs w:val="18"/>
              </w:rPr>
            </w:pPr>
            <w:r>
              <w:rPr>
                <w:rFonts w:ascii="宋体"/>
                <w:spacing w:val="-1"/>
                <w:sz w:val="18"/>
              </w:rPr>
              <w:t>2,400,000</w:t>
            </w:r>
          </w:p>
        </w:tc>
        <w:tc>
          <w:tcPr>
            <w:tcW w:w="4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hAnsi="宋体" w:cs="宋体" w:eastAsia="宋体" w:hint="default"/>
                <w:w w:val="101"/>
                <w:sz w:val="18"/>
                <w:szCs w:val="18"/>
              </w:rPr>
              <w:t>②</w:t>
            </w:r>
            <w:r>
              <w:rPr>
                <w:rFonts w:ascii="宋体" w:hAnsi="宋体" w:cs="宋体" w:eastAsia="宋体" w:hint="default"/>
                <w:sz w:val="18"/>
                <w:szCs w:val="18"/>
              </w:rPr>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质押</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38" w:right="-5"/>
              <w:jc w:val="left"/>
              <w:rPr>
                <w:rFonts w:ascii="宋体" w:hAnsi="宋体" w:cs="宋体" w:eastAsia="宋体" w:hint="default"/>
                <w:sz w:val="18"/>
                <w:szCs w:val="18"/>
              </w:rPr>
            </w:pPr>
            <w:r>
              <w:rPr>
                <w:rFonts w:ascii="宋体" w:hAnsi="宋体" w:cs="宋体" w:eastAsia="宋体" w:hint="default"/>
                <w:sz w:val="18"/>
                <w:szCs w:val="18"/>
              </w:rPr>
              <w:t>中信证券股份</w:t>
            </w:r>
          </w:p>
          <w:p>
            <w:pPr>
              <w:pStyle w:val="TableParagraph"/>
              <w:spacing w:line="240" w:lineRule="auto" w:before="76"/>
              <w:ind w:left="393"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spacing w:val="-1"/>
                <w:sz w:val="18"/>
              </w:rPr>
              <w:t>2015/7/6</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w:t>
            </w:r>
          </w:p>
        </w:tc>
      </w:tr>
      <w:tr>
        <w:trPr>
          <w:trHeight w:val="658" w:hRule="exact"/>
        </w:trPr>
        <w:tc>
          <w:tcPr>
            <w:tcW w:w="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4"/>
              <w:jc w:val="center"/>
              <w:rPr>
                <w:rFonts w:ascii="宋体" w:hAnsi="宋体" w:cs="宋体" w:eastAsia="宋体" w:hint="default"/>
                <w:sz w:val="18"/>
                <w:szCs w:val="18"/>
              </w:rPr>
            </w:pPr>
            <w:r>
              <w:rPr>
                <w:rFonts w:ascii="宋体"/>
                <w:sz w:val="18"/>
              </w:rPr>
              <w:t>10</w:t>
            </w:r>
          </w:p>
        </w:tc>
        <w:tc>
          <w:tcPr>
            <w:tcW w:w="11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89"/>
              <w:jc w:val="center"/>
              <w:rPr>
                <w:rFonts w:ascii="宋体" w:hAnsi="宋体" w:cs="宋体" w:eastAsia="宋体" w:hint="default"/>
                <w:sz w:val="18"/>
                <w:szCs w:val="18"/>
              </w:rPr>
            </w:pPr>
            <w:r>
              <w:rPr>
                <w:rFonts w:ascii="宋体"/>
                <w:sz w:val="18"/>
              </w:rPr>
              <w:t>126384475</w:t>
            </w: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pacing w:val="-2"/>
                <w:sz w:val="18"/>
                <w:szCs w:val="18"/>
              </w:rPr>
              <w:t>尤玉仙</w:t>
            </w:r>
          </w:p>
        </w:tc>
        <w:tc>
          <w:tcPr>
            <w:tcW w:w="8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0"/>
              <w:jc w:val="right"/>
              <w:rPr>
                <w:rFonts w:ascii="宋体" w:hAnsi="宋体" w:cs="宋体" w:eastAsia="宋体" w:hint="default"/>
                <w:sz w:val="18"/>
                <w:szCs w:val="18"/>
              </w:rPr>
            </w:pPr>
            <w:r>
              <w:rPr>
                <w:rFonts w:ascii="宋体"/>
                <w:spacing w:val="-1"/>
                <w:sz w:val="18"/>
              </w:rPr>
              <w:t>34,060,50</w:t>
            </w:r>
          </w:p>
          <w:p>
            <w:pPr>
              <w:pStyle w:val="TableParagraph"/>
              <w:spacing w:line="240" w:lineRule="auto" w:before="76"/>
              <w:ind w:right="-5"/>
              <w:jc w:val="right"/>
              <w:rPr>
                <w:rFonts w:ascii="宋体" w:hAnsi="宋体" w:cs="宋体" w:eastAsia="宋体" w:hint="default"/>
                <w:sz w:val="18"/>
                <w:szCs w:val="18"/>
              </w:rPr>
            </w:pPr>
            <w:r>
              <w:rPr>
                <w:rFonts w:ascii="宋体"/>
                <w:w w:val="101"/>
                <w:sz w:val="18"/>
              </w:rPr>
              <w:t>0</w:t>
            </w:r>
            <w:r>
              <w:rPr>
                <w:rFonts w:ascii="宋体"/>
                <w:sz w:val="18"/>
              </w:rPr>
            </w:r>
          </w:p>
        </w:tc>
        <w:tc>
          <w:tcPr>
            <w:tcW w:w="11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
              <w:jc w:val="right"/>
              <w:rPr>
                <w:rFonts w:ascii="宋体" w:hAnsi="宋体" w:cs="宋体" w:eastAsia="宋体" w:hint="default"/>
                <w:sz w:val="18"/>
                <w:szCs w:val="18"/>
              </w:rPr>
            </w:pPr>
            <w:r>
              <w:rPr>
                <w:rFonts w:ascii="宋体"/>
                <w:spacing w:val="-1"/>
                <w:sz w:val="18"/>
              </w:rPr>
              <w:t>2,400,000</w:t>
            </w:r>
          </w:p>
        </w:tc>
        <w:tc>
          <w:tcPr>
            <w:tcW w:w="4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hAnsi="宋体" w:cs="宋体" w:eastAsia="宋体" w:hint="default"/>
                <w:w w:val="101"/>
                <w:sz w:val="18"/>
                <w:szCs w:val="18"/>
              </w:rPr>
              <w:t>②</w:t>
            </w:r>
            <w:r>
              <w:rPr>
                <w:rFonts w:ascii="宋体" w:hAnsi="宋体" w:cs="宋体" w:eastAsia="宋体" w:hint="default"/>
                <w:sz w:val="18"/>
                <w:szCs w:val="18"/>
              </w:rPr>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质押</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38" w:right="-5"/>
              <w:jc w:val="left"/>
              <w:rPr>
                <w:rFonts w:ascii="宋体" w:hAnsi="宋体" w:cs="宋体" w:eastAsia="宋体" w:hint="default"/>
                <w:sz w:val="18"/>
                <w:szCs w:val="18"/>
              </w:rPr>
            </w:pPr>
            <w:r>
              <w:rPr>
                <w:rFonts w:ascii="宋体" w:hAnsi="宋体" w:cs="宋体" w:eastAsia="宋体" w:hint="default"/>
                <w:sz w:val="18"/>
                <w:szCs w:val="18"/>
              </w:rPr>
              <w:t>中信证券股份</w:t>
            </w:r>
          </w:p>
          <w:p>
            <w:pPr>
              <w:pStyle w:val="TableParagraph"/>
              <w:spacing w:line="240" w:lineRule="auto" w:before="76"/>
              <w:ind w:left="393"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spacing w:val="-1"/>
                <w:sz w:val="18"/>
              </w:rPr>
              <w:t>2015/7/6</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w:t>
            </w:r>
          </w:p>
        </w:tc>
      </w:tr>
      <w:tr>
        <w:trPr>
          <w:trHeight w:val="658" w:hRule="exact"/>
        </w:trPr>
        <w:tc>
          <w:tcPr>
            <w:tcW w:w="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4"/>
              <w:jc w:val="center"/>
              <w:rPr>
                <w:rFonts w:ascii="宋体" w:hAnsi="宋体" w:cs="宋体" w:eastAsia="宋体" w:hint="default"/>
                <w:sz w:val="18"/>
                <w:szCs w:val="18"/>
              </w:rPr>
            </w:pPr>
            <w:r>
              <w:rPr>
                <w:rFonts w:ascii="宋体"/>
                <w:sz w:val="18"/>
              </w:rPr>
              <w:t>11</w:t>
            </w:r>
          </w:p>
        </w:tc>
        <w:tc>
          <w:tcPr>
            <w:tcW w:w="11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89"/>
              <w:jc w:val="center"/>
              <w:rPr>
                <w:rFonts w:ascii="宋体" w:hAnsi="宋体" w:cs="宋体" w:eastAsia="宋体" w:hint="default"/>
                <w:sz w:val="18"/>
                <w:szCs w:val="18"/>
              </w:rPr>
            </w:pPr>
            <w:r>
              <w:rPr>
                <w:rFonts w:ascii="宋体"/>
                <w:sz w:val="18"/>
              </w:rPr>
              <w:t>126384475</w:t>
            </w: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pacing w:val="-2"/>
                <w:sz w:val="18"/>
                <w:szCs w:val="18"/>
              </w:rPr>
              <w:t>尤玉仙</w:t>
            </w:r>
          </w:p>
        </w:tc>
        <w:tc>
          <w:tcPr>
            <w:tcW w:w="8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0"/>
              <w:jc w:val="right"/>
              <w:rPr>
                <w:rFonts w:ascii="宋体" w:hAnsi="宋体" w:cs="宋体" w:eastAsia="宋体" w:hint="default"/>
                <w:sz w:val="18"/>
                <w:szCs w:val="18"/>
              </w:rPr>
            </w:pPr>
            <w:r>
              <w:rPr>
                <w:rFonts w:ascii="宋体"/>
                <w:spacing w:val="-1"/>
                <w:sz w:val="18"/>
              </w:rPr>
              <w:t>34,060,50</w:t>
            </w:r>
          </w:p>
          <w:p>
            <w:pPr>
              <w:pStyle w:val="TableParagraph"/>
              <w:spacing w:line="240" w:lineRule="auto" w:before="76"/>
              <w:ind w:right="-5"/>
              <w:jc w:val="right"/>
              <w:rPr>
                <w:rFonts w:ascii="宋体" w:hAnsi="宋体" w:cs="宋体" w:eastAsia="宋体" w:hint="default"/>
                <w:sz w:val="18"/>
                <w:szCs w:val="18"/>
              </w:rPr>
            </w:pPr>
            <w:r>
              <w:rPr>
                <w:rFonts w:ascii="宋体"/>
                <w:w w:val="101"/>
                <w:sz w:val="18"/>
              </w:rPr>
              <w:t>0</w:t>
            </w:r>
            <w:r>
              <w:rPr>
                <w:rFonts w:ascii="宋体"/>
                <w:sz w:val="18"/>
              </w:rPr>
            </w:r>
          </w:p>
        </w:tc>
        <w:tc>
          <w:tcPr>
            <w:tcW w:w="11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
              <w:jc w:val="right"/>
              <w:rPr>
                <w:rFonts w:ascii="宋体" w:hAnsi="宋体" w:cs="宋体" w:eastAsia="宋体" w:hint="default"/>
                <w:sz w:val="18"/>
                <w:szCs w:val="18"/>
              </w:rPr>
            </w:pPr>
            <w:r>
              <w:rPr>
                <w:rFonts w:ascii="宋体"/>
                <w:spacing w:val="-1"/>
                <w:sz w:val="18"/>
              </w:rPr>
              <w:t>3,000,000</w:t>
            </w:r>
          </w:p>
        </w:tc>
        <w:tc>
          <w:tcPr>
            <w:tcW w:w="4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hAnsi="宋体" w:cs="宋体" w:eastAsia="宋体" w:hint="default"/>
                <w:w w:val="101"/>
                <w:sz w:val="18"/>
                <w:szCs w:val="18"/>
              </w:rPr>
              <w:t>②</w:t>
            </w:r>
            <w:r>
              <w:rPr>
                <w:rFonts w:ascii="宋体" w:hAnsi="宋体" w:cs="宋体" w:eastAsia="宋体" w:hint="default"/>
                <w:sz w:val="18"/>
                <w:szCs w:val="18"/>
              </w:rPr>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质押</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pacing w:val="-2"/>
                <w:sz w:val="18"/>
                <w:szCs w:val="18"/>
              </w:rPr>
              <w:t>陈松兴</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spacing w:val="-1"/>
                <w:sz w:val="18"/>
              </w:rPr>
              <w:t>2015/11/2</w:t>
            </w:r>
          </w:p>
          <w:p>
            <w:pPr>
              <w:pStyle w:val="TableParagraph"/>
              <w:spacing w:line="240" w:lineRule="auto" w:before="76"/>
              <w:ind w:right="0"/>
              <w:jc w:val="right"/>
              <w:rPr>
                <w:rFonts w:ascii="宋体" w:hAnsi="宋体" w:cs="宋体" w:eastAsia="宋体" w:hint="default"/>
                <w:sz w:val="18"/>
                <w:szCs w:val="18"/>
              </w:rPr>
            </w:pPr>
            <w:r>
              <w:rPr>
                <w:rFonts w:ascii="宋体"/>
                <w:w w:val="101"/>
                <w:sz w:val="18"/>
              </w:rPr>
              <w:t>6</w:t>
            </w:r>
            <w:r>
              <w:rPr>
                <w:rFonts w:ascii="宋体"/>
                <w:sz w:val="18"/>
              </w:rPr>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spacing w:val="-1"/>
                <w:sz w:val="18"/>
              </w:rPr>
              <w:t>2016/2/3</w:t>
            </w:r>
          </w:p>
        </w:tc>
      </w:tr>
      <w:tr>
        <w:trPr>
          <w:trHeight w:val="662" w:hRule="exact"/>
        </w:trPr>
        <w:tc>
          <w:tcPr>
            <w:tcW w:w="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4"/>
              <w:jc w:val="center"/>
              <w:rPr>
                <w:rFonts w:ascii="宋体" w:hAnsi="宋体" w:cs="宋体" w:eastAsia="宋体" w:hint="default"/>
                <w:sz w:val="18"/>
                <w:szCs w:val="18"/>
              </w:rPr>
            </w:pPr>
            <w:r>
              <w:rPr>
                <w:rFonts w:ascii="宋体"/>
                <w:sz w:val="18"/>
              </w:rPr>
              <w:t>12</w:t>
            </w:r>
          </w:p>
        </w:tc>
        <w:tc>
          <w:tcPr>
            <w:tcW w:w="11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89"/>
              <w:jc w:val="center"/>
              <w:rPr>
                <w:rFonts w:ascii="宋体" w:hAnsi="宋体" w:cs="宋体" w:eastAsia="宋体" w:hint="default"/>
                <w:sz w:val="18"/>
                <w:szCs w:val="18"/>
              </w:rPr>
            </w:pPr>
            <w:r>
              <w:rPr>
                <w:rFonts w:ascii="宋体"/>
                <w:sz w:val="18"/>
              </w:rPr>
              <w:t>126384475</w:t>
            </w: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pacing w:val="-2"/>
                <w:sz w:val="18"/>
                <w:szCs w:val="18"/>
              </w:rPr>
              <w:t>尤玉仙</w:t>
            </w:r>
          </w:p>
        </w:tc>
        <w:tc>
          <w:tcPr>
            <w:tcW w:w="8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0"/>
              <w:jc w:val="right"/>
              <w:rPr>
                <w:rFonts w:ascii="宋体" w:hAnsi="宋体" w:cs="宋体" w:eastAsia="宋体" w:hint="default"/>
                <w:sz w:val="18"/>
                <w:szCs w:val="18"/>
              </w:rPr>
            </w:pPr>
            <w:r>
              <w:rPr>
                <w:rFonts w:ascii="宋体"/>
                <w:spacing w:val="-1"/>
                <w:sz w:val="18"/>
              </w:rPr>
              <w:t>34,060,50</w:t>
            </w:r>
          </w:p>
          <w:p>
            <w:pPr>
              <w:pStyle w:val="TableParagraph"/>
              <w:spacing w:line="240" w:lineRule="auto" w:before="76"/>
              <w:ind w:right="-5"/>
              <w:jc w:val="right"/>
              <w:rPr>
                <w:rFonts w:ascii="宋体" w:hAnsi="宋体" w:cs="宋体" w:eastAsia="宋体" w:hint="default"/>
                <w:sz w:val="18"/>
                <w:szCs w:val="18"/>
              </w:rPr>
            </w:pPr>
            <w:r>
              <w:rPr>
                <w:rFonts w:ascii="宋体"/>
                <w:w w:val="101"/>
                <w:sz w:val="18"/>
              </w:rPr>
              <w:t>0</w:t>
            </w:r>
            <w:r>
              <w:rPr>
                <w:rFonts w:ascii="宋体"/>
                <w:sz w:val="18"/>
              </w:rPr>
            </w:r>
          </w:p>
        </w:tc>
        <w:tc>
          <w:tcPr>
            <w:tcW w:w="11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
              <w:jc w:val="right"/>
              <w:rPr>
                <w:rFonts w:ascii="宋体" w:hAnsi="宋体" w:cs="宋体" w:eastAsia="宋体" w:hint="default"/>
                <w:sz w:val="18"/>
                <w:szCs w:val="18"/>
              </w:rPr>
            </w:pPr>
            <w:r>
              <w:rPr>
                <w:rFonts w:ascii="宋体"/>
                <w:spacing w:val="-1"/>
                <w:sz w:val="18"/>
              </w:rPr>
              <w:t>1,600,000</w:t>
            </w:r>
          </w:p>
        </w:tc>
        <w:tc>
          <w:tcPr>
            <w:tcW w:w="4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hAnsi="宋体" w:cs="宋体" w:eastAsia="宋体" w:hint="default"/>
                <w:w w:val="101"/>
                <w:sz w:val="18"/>
                <w:szCs w:val="18"/>
              </w:rPr>
              <w:t>②</w:t>
            </w:r>
            <w:r>
              <w:rPr>
                <w:rFonts w:ascii="宋体" w:hAnsi="宋体" w:cs="宋体" w:eastAsia="宋体" w:hint="default"/>
                <w:sz w:val="18"/>
                <w:szCs w:val="18"/>
              </w:rPr>
            </w:r>
          </w:p>
        </w:tc>
        <w:tc>
          <w:tcPr>
            <w:tcW w:w="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质押</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pacing w:val="-2"/>
                <w:sz w:val="18"/>
                <w:szCs w:val="18"/>
              </w:rPr>
              <w:t>张恩君</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spacing w:val="-1"/>
                <w:sz w:val="18"/>
              </w:rPr>
              <w:t>2015/12/1</w:t>
            </w:r>
          </w:p>
          <w:p>
            <w:pPr>
              <w:pStyle w:val="TableParagraph"/>
              <w:spacing w:line="240" w:lineRule="auto" w:before="76"/>
              <w:ind w:right="0"/>
              <w:jc w:val="right"/>
              <w:rPr>
                <w:rFonts w:ascii="宋体" w:hAnsi="宋体" w:cs="宋体" w:eastAsia="宋体" w:hint="default"/>
                <w:sz w:val="18"/>
                <w:szCs w:val="18"/>
              </w:rPr>
            </w:pPr>
            <w:r>
              <w:rPr>
                <w:rFonts w:ascii="宋体"/>
                <w:w w:val="101"/>
                <w:sz w:val="18"/>
              </w:rPr>
              <w:t>8</w:t>
            </w:r>
            <w:r>
              <w:rPr>
                <w:rFonts w:ascii="宋体"/>
                <w:sz w:val="18"/>
              </w:rPr>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spacing w:val="-1"/>
                <w:sz w:val="18"/>
              </w:rPr>
              <w:t>2016/1/18</w:t>
            </w:r>
          </w:p>
        </w:tc>
      </w:tr>
    </w:tbl>
    <w:p>
      <w:pPr>
        <w:spacing w:line="240" w:lineRule="auto" w:before="3"/>
        <w:rPr>
          <w:rFonts w:ascii="宋体" w:hAnsi="宋体" w:cs="宋体" w:eastAsia="宋体" w:hint="default"/>
          <w:sz w:val="5"/>
          <w:szCs w:val="5"/>
        </w:rPr>
      </w:pPr>
    </w:p>
    <w:p>
      <w:pPr>
        <w:pStyle w:val="BodyText"/>
        <w:spacing w:line="240" w:lineRule="auto" w:before="36"/>
        <w:ind w:right="0"/>
        <w:jc w:val="left"/>
      </w:pPr>
      <w:r>
        <w:rPr/>
        <w:t>注：股份性质：①无限售流通股②高管锁定股</w:t>
      </w:r>
    </w:p>
    <w:p>
      <w:pPr>
        <w:spacing w:line="240" w:lineRule="auto" w:before="5"/>
        <w:rPr>
          <w:rFonts w:ascii="宋体" w:hAnsi="宋体" w:cs="宋体" w:eastAsia="宋体" w:hint="default"/>
          <w:sz w:val="19"/>
          <w:szCs w:val="19"/>
        </w:rPr>
      </w:pPr>
    </w:p>
    <w:p>
      <w:pPr>
        <w:pStyle w:val="BodyText"/>
        <w:spacing w:line="240" w:lineRule="auto"/>
        <w:ind w:right="0"/>
        <w:jc w:val="left"/>
      </w:pPr>
      <w:r>
        <w:rPr/>
        <w:t>（3）诉讼事项</w:t>
      </w:r>
    </w:p>
    <w:p>
      <w:pPr>
        <w:spacing w:line="240" w:lineRule="auto" w:before="5"/>
        <w:rPr>
          <w:rFonts w:ascii="宋体" w:hAnsi="宋体" w:cs="宋体" w:eastAsia="宋体" w:hint="default"/>
          <w:sz w:val="19"/>
          <w:szCs w:val="19"/>
        </w:rPr>
      </w:pPr>
    </w:p>
    <w:p>
      <w:pPr>
        <w:pStyle w:val="BodyText"/>
        <w:spacing w:line="273" w:lineRule="auto"/>
        <w:ind w:right="0" w:firstLine="422"/>
        <w:jc w:val="left"/>
      </w:pPr>
      <w:r>
        <w:rPr>
          <w:spacing w:val="-2"/>
        </w:rPr>
        <w:t>本公司全资子公司鸿博昊天科技有限公司（以下简称“鸿博昊天”）、全资孙公司北京昊天国彩印刷</w:t>
      </w:r>
      <w:r>
        <w:rPr>
          <w:w w:val="100"/>
        </w:rPr>
        <w:t> </w:t>
      </w:r>
      <w:r>
        <w:rPr>
          <w:spacing w:val="-2"/>
        </w:rPr>
        <w:t>有限公司（以下简称“昊天国彩“）起诉北京国彩印刷有限公司（以下简称“北京国彩”）租赁合同纠纷</w:t>
      </w:r>
    </w:p>
    <w:p>
      <w:pPr>
        <w:spacing w:after="0" w:line="273" w:lineRule="auto"/>
        <w:jc w:val="left"/>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BodyText"/>
        <w:spacing w:line="273" w:lineRule="auto" w:before="36"/>
        <w:ind w:right="0"/>
        <w:jc w:val="left"/>
      </w:pPr>
      <w:r>
        <w:rPr>
          <w:spacing w:val="-4"/>
        </w:rPr>
        <w:t>一案，案件已于2015年1月30日一审判决生效。根据一审判决结果，本公司共可收回款项29,675,754.85元，</w:t>
      </w:r>
      <w:r>
        <w:rPr>
          <w:spacing w:val="-9"/>
        </w:rPr>
        <w:t> </w:t>
      </w:r>
      <w:r>
        <w:rPr>
          <w:spacing w:val="-9"/>
        </w:rPr>
      </w:r>
      <w:r>
        <w:rPr/>
        <w:t>本期已收回1,400.00万元，期后收回500万元。</w:t>
      </w:r>
    </w:p>
    <w:p>
      <w:pPr>
        <w:spacing w:line="240" w:lineRule="auto" w:before="1"/>
        <w:rPr>
          <w:rFonts w:ascii="宋体" w:hAnsi="宋体" w:cs="宋体" w:eastAsia="宋体" w:hint="default"/>
          <w:sz w:val="17"/>
          <w:szCs w:val="17"/>
        </w:rPr>
      </w:pPr>
    </w:p>
    <w:p>
      <w:pPr>
        <w:pStyle w:val="BodyText"/>
        <w:spacing w:line="273" w:lineRule="auto"/>
        <w:ind w:right="202" w:firstLine="422"/>
        <w:jc w:val="both"/>
      </w:pPr>
      <w:r>
        <w:rPr>
          <w:spacing w:val="-2"/>
        </w:rPr>
        <w:t>2013年12月16日，根据鸿博昊天、昊天国彩的财产保全申请，并提供鸿博昊天名下的高斯牌八色卷筒</w:t>
      </w:r>
      <w:r>
        <w:rPr>
          <w:w w:val="100"/>
        </w:rPr>
        <w:t> </w:t>
      </w:r>
      <w:r>
        <w:rPr>
          <w:spacing w:val="-4"/>
        </w:rPr>
        <w:t>纸商业胶印机二套作为财产保全担保，北京市通州区人民法院作出民事裁定书【（2013）通民初字第16156</w:t>
      </w:r>
      <w:r>
        <w:rPr>
          <w:spacing w:val="-35"/>
        </w:rPr>
        <w:t> </w:t>
      </w:r>
      <w:r>
        <w:rPr>
          <w:spacing w:val="-35"/>
        </w:rPr>
      </w:r>
      <w:r>
        <w:rPr>
          <w:spacing w:val="-2"/>
        </w:rPr>
        <w:t>号】，查封北京国彩名下使用权证号为京通国用（2001出）字第104号及京通国用（2004出）字第051号的</w:t>
      </w:r>
      <w:r>
        <w:rPr>
          <w:spacing w:val="-24"/>
        </w:rPr>
        <w:t> </w:t>
      </w:r>
      <w:r>
        <w:rPr>
          <w:spacing w:val="-24"/>
        </w:rPr>
      </w:r>
      <w:r>
        <w:rPr>
          <w:spacing w:val="-2"/>
        </w:rPr>
        <w:t>土地使用权，案件已由北京市通州区人民法院（2015）通民初字第15455号民事判决于2015年1月30日一审</w:t>
      </w:r>
      <w:r>
        <w:rPr>
          <w:spacing w:val="-21"/>
        </w:rPr>
        <w:t> </w:t>
      </w:r>
      <w:r>
        <w:rPr>
          <w:spacing w:val="-21"/>
        </w:rPr>
      </w:r>
      <w:r>
        <w:rPr>
          <w:spacing w:val="-2"/>
        </w:rPr>
        <w:t>判决生效，根据一审判决结果，本公司共可收回款项29,675,754.85元。本报告期内北京国彩偿还1,400万</w:t>
      </w:r>
      <w:r>
        <w:rPr>
          <w:spacing w:val="-17"/>
        </w:rPr>
        <w:t> </w:t>
      </w:r>
      <w:r>
        <w:rPr>
          <w:spacing w:val="-17"/>
        </w:rPr>
      </w:r>
      <w:r>
        <w:rPr/>
        <w:t>元，并就北京市通州区人民法院（2015）通民初字第15455号民事判决向北京市第三中级人民法院提起上</w:t>
      </w:r>
      <w:r>
        <w:rPr>
          <w:spacing w:val="-32"/>
        </w:rPr>
        <w:t> </w:t>
      </w:r>
      <w:r>
        <w:rPr>
          <w:spacing w:val="-32"/>
        </w:rPr>
      </w:r>
      <w:r>
        <w:rPr/>
        <w:t>诉，2015年12月31日取得【（2015）三中民终字第16544号】判决书，维持原判。</w:t>
      </w:r>
    </w:p>
    <w:p>
      <w:pPr>
        <w:spacing w:line="240" w:lineRule="auto" w:before="1"/>
        <w:rPr>
          <w:rFonts w:ascii="宋体" w:hAnsi="宋体" w:cs="宋体" w:eastAsia="宋体" w:hint="default"/>
          <w:sz w:val="17"/>
          <w:szCs w:val="17"/>
        </w:rPr>
      </w:pPr>
    </w:p>
    <w:p>
      <w:pPr>
        <w:pStyle w:val="BodyText"/>
        <w:spacing w:line="240" w:lineRule="auto"/>
        <w:ind w:right="0"/>
        <w:jc w:val="left"/>
      </w:pPr>
      <w:r>
        <w:rPr/>
        <w:t>（4）截至2015年12月31日，本公司不存在其他应披露的或有事项。</w:t>
      </w:r>
    </w:p>
    <w:p>
      <w:pPr>
        <w:spacing w:line="240" w:lineRule="auto" w:before="11"/>
        <w:rPr>
          <w:rFonts w:ascii="宋体" w:hAnsi="宋体" w:cs="宋体" w:eastAsia="宋体" w:hint="default"/>
          <w:sz w:val="20"/>
          <w:szCs w:val="20"/>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）公司没有需要披露的重要或有事项，也应予以说明</w:t>
      </w:r>
      <w:r>
        <w:rPr>
          <w:b w:val="0"/>
          <w:bCs w:val="0"/>
        </w:rPr>
      </w:r>
    </w:p>
    <w:p>
      <w:pPr>
        <w:spacing w:line="620" w:lineRule="exact" w:before="55"/>
        <w:ind w:left="152" w:right="6253" w:firstLine="0"/>
        <w:jc w:val="left"/>
        <w:rPr>
          <w:rFonts w:ascii="Microsoft JhengHei" w:hAnsi="Microsoft JhengHei" w:cs="Microsoft JhengHei" w:eastAsia="Microsoft JhengHei" w:hint="default"/>
          <w:sz w:val="24"/>
          <w:szCs w:val="24"/>
        </w:rPr>
      </w:pPr>
      <w:r>
        <w:rPr>
          <w:rFonts w:ascii="宋体" w:hAnsi="宋体" w:cs="宋体" w:eastAsia="宋体" w:hint="default"/>
          <w:spacing w:val="-3"/>
          <w:sz w:val="18"/>
          <w:szCs w:val="18"/>
        </w:rPr>
        <w:t>公司不存在需要披露的重要或有事项。</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b/>
          <w:bCs/>
          <w:spacing w:val="-49"/>
          <w:sz w:val="21"/>
          <w:szCs w:val="21"/>
        </w:rPr>
        <w:t> </w:t>
      </w:r>
      <w:r>
        <w:rPr>
          <w:rFonts w:ascii="Microsoft JhengHei" w:hAnsi="Microsoft JhengHei" w:cs="Microsoft JhengHei" w:eastAsia="Microsoft JhengHei" w:hint="default"/>
          <w:b/>
          <w:bCs/>
          <w:sz w:val="24"/>
          <w:szCs w:val="24"/>
        </w:rPr>
        <w:t>十五、资产负债表日后事项</w:t>
      </w:r>
      <w:r>
        <w:rPr>
          <w:rFonts w:ascii="Microsoft JhengHei" w:hAnsi="Microsoft JhengHei" w:cs="Microsoft JhengHei" w:eastAsia="Microsoft JhengHei" w:hint="default"/>
          <w:sz w:val="24"/>
          <w:szCs w:val="24"/>
        </w:rPr>
      </w:r>
    </w:p>
    <w:p>
      <w:pPr>
        <w:pStyle w:val="Heading4"/>
        <w:spacing w:line="240" w:lineRule="auto" w:before="168"/>
        <w:ind w:right="0"/>
        <w:jc w:val="left"/>
        <w:rPr>
          <w:b w:val="0"/>
          <w:bCs w:val="0"/>
        </w:rPr>
      </w:pPr>
      <w:r>
        <w:rPr>
          <w:rFonts w:ascii="Times New Roman" w:hAnsi="Times New Roman" w:cs="Times New Roman" w:eastAsia="Times New Roman" w:hint="default"/>
        </w:rPr>
        <w:t>1</w:t>
      </w:r>
      <w:r>
        <w:rPr/>
        <w:t>、重要的非调整事项</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0" w:right="20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491"/>
        <w:gridCol w:w="2299"/>
        <w:gridCol w:w="2386"/>
        <w:gridCol w:w="2390"/>
      </w:tblGrid>
      <w:tr>
        <w:trPr>
          <w:trHeight w:val="715" w:hRule="exact"/>
        </w:trPr>
        <w:tc>
          <w:tcPr>
            <w:tcW w:w="24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内容</w:t>
            </w:r>
          </w:p>
        </w:tc>
        <w:tc>
          <w:tcPr>
            <w:tcW w:w="23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1003" w:right="103" w:hanging="898"/>
              <w:jc w:val="left"/>
              <w:rPr>
                <w:rFonts w:ascii="宋体" w:hAnsi="宋体" w:cs="宋体" w:eastAsia="宋体" w:hint="default"/>
                <w:sz w:val="18"/>
                <w:szCs w:val="18"/>
              </w:rPr>
            </w:pPr>
            <w:r>
              <w:rPr>
                <w:rFonts w:ascii="宋体" w:hAnsi="宋体" w:cs="宋体" w:eastAsia="宋体" w:hint="default"/>
                <w:spacing w:val="-3"/>
                <w:sz w:val="18"/>
                <w:szCs w:val="18"/>
              </w:rPr>
              <w:t>对财务状况和经营成果的影</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响数</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无法估计影响数的原因</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rFonts w:ascii="Times New Roman" w:hAnsi="Times New Roman" w:cs="Times New Roman" w:eastAsia="Times New Roman" w:hint="default"/>
        </w:rPr>
        <w:t>2</w:t>
      </w:r>
      <w:r>
        <w:rPr/>
        <w:t>、利润分配情况</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20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7"/>
        <w:rPr>
          <w:rFonts w:ascii="宋体" w:hAnsi="宋体" w:cs="宋体" w:eastAsia="宋体" w:hint="default"/>
          <w:sz w:val="23"/>
          <w:szCs w:val="23"/>
        </w:rPr>
      </w:pPr>
    </w:p>
    <w:p>
      <w:pPr>
        <w:pStyle w:val="Heading4"/>
        <w:spacing w:line="335" w:lineRule="exact"/>
        <w:ind w:right="0"/>
        <w:jc w:val="both"/>
        <w:rPr>
          <w:b w:val="0"/>
          <w:bCs w:val="0"/>
        </w:rPr>
      </w:pPr>
      <w:r>
        <w:rPr>
          <w:rFonts w:ascii="Times New Roman" w:hAnsi="Times New Roman" w:cs="Times New Roman" w:eastAsia="Times New Roman" w:hint="default"/>
        </w:rPr>
        <w:t>3</w:t>
      </w:r>
      <w:r>
        <w:rPr/>
        <w:t>、销售退回</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both"/>
        <w:rPr>
          <w:b w:val="0"/>
          <w:bCs w:val="0"/>
        </w:rPr>
      </w:pPr>
      <w:r>
        <w:rPr>
          <w:rFonts w:ascii="Times New Roman" w:hAnsi="Times New Roman" w:cs="Times New Roman" w:eastAsia="Times New Roman" w:hint="default"/>
        </w:rPr>
        <w:t>4</w:t>
      </w:r>
      <w:r>
        <w:rPr/>
        <w:t>、其他资产负债表日后事项说明</w:t>
      </w:r>
      <w:r>
        <w:rPr>
          <w:b w:val="0"/>
          <w:bCs w:val="0"/>
        </w:rPr>
      </w:r>
    </w:p>
    <w:p>
      <w:pPr>
        <w:pStyle w:val="BodyText"/>
        <w:spacing w:line="520" w:lineRule="atLeast" w:before="70"/>
        <w:ind w:left="575" w:right="0" w:hanging="423"/>
        <w:jc w:val="left"/>
      </w:pPr>
      <w:r>
        <w:rPr/>
        <w:t>（1）拟非公开发行股票事项</w:t>
      </w:r>
      <w:r>
        <w:rPr>
          <w:spacing w:val="-101"/>
        </w:rPr>
        <w:t> </w:t>
      </w:r>
      <w:r>
        <w:rPr>
          <w:spacing w:val="-101"/>
        </w:rPr>
      </w:r>
      <w:r>
        <w:rPr>
          <w:spacing w:val="-2"/>
        </w:rPr>
        <w:t>本集团于2015年11月17日召开了第三届董事会第十二次会议审议通过了《关于2015年非公开发行股票</w:t>
      </w:r>
    </w:p>
    <w:p>
      <w:pPr>
        <w:pStyle w:val="BodyText"/>
        <w:spacing w:line="273" w:lineRule="auto" w:before="37"/>
        <w:ind w:right="202"/>
        <w:jc w:val="both"/>
      </w:pPr>
      <w:r>
        <w:rPr/>
        <w:t>方案的议案》，于2016年1月29日召开第三届董事会2016年第一次临时会议审议通过了《关于调整公司本</w:t>
      </w:r>
      <w:r>
        <w:rPr>
          <w:spacing w:val="-33"/>
        </w:rPr>
        <w:t> </w:t>
      </w:r>
      <w:r>
        <w:rPr>
          <w:spacing w:val="-33"/>
        </w:rPr>
      </w:r>
      <w:r>
        <w:rPr/>
        <w:t>次非公开发行 A </w:t>
      </w:r>
      <w:r>
        <w:rPr>
          <w:spacing w:val="-6"/>
        </w:rPr>
        <w:t>股股票方案的议案》、《 </w:t>
      </w:r>
      <w:r>
        <w:rPr/>
        <w:t>关于公司非公开发行 A</w:t>
      </w:r>
      <w:r>
        <w:rPr>
          <w:spacing w:val="53"/>
        </w:rPr>
        <w:t> </w:t>
      </w:r>
      <w:r>
        <w:rPr>
          <w:spacing w:val="-7"/>
        </w:rPr>
        <w:t>股股票预案（修订稿）的议案》、《关</w:t>
      </w:r>
      <w:r>
        <w:rPr>
          <w:w w:val="100"/>
        </w:rPr>
        <w:t> </w:t>
      </w:r>
      <w:r>
        <w:rPr/>
        <w:t>于公司本次非公开发行</w:t>
      </w:r>
      <w:r>
        <w:rPr>
          <w:spacing w:val="37"/>
        </w:rPr>
        <w:t> </w:t>
      </w:r>
      <w:r>
        <w:rPr/>
        <w:t>A</w:t>
      </w:r>
      <w:r>
        <w:rPr>
          <w:spacing w:val="30"/>
        </w:rPr>
        <w:t> </w:t>
      </w:r>
      <w:r>
        <w:rPr/>
        <w:t>股股票募集资金使用可行性分析报告（修订稿）的议案》。拟非公开发行不超</w:t>
      </w:r>
      <w:r>
        <w:rPr>
          <w:spacing w:val="-100"/>
        </w:rPr>
        <w:t> </w:t>
      </w:r>
      <w:r>
        <w:rPr>
          <w:spacing w:val="-100"/>
        </w:rPr>
      </w:r>
      <w:r>
        <w:rPr>
          <w:spacing w:val="-2"/>
        </w:rPr>
        <w:t>过4,050万股，面值1元，发行价格不低于定价基准日（2015年11月18日）前二十个交易日公司股票均价的</w:t>
      </w:r>
      <w:r>
        <w:rPr>
          <w:spacing w:val="-21"/>
        </w:rPr>
        <w:t> </w:t>
      </w:r>
      <w:r>
        <w:rPr>
          <w:spacing w:val="-21"/>
        </w:rPr>
      </w:r>
      <w:r>
        <w:rPr/>
        <w:t>百分之九十（即不低于19.42元/股）的普通股。</w:t>
      </w:r>
    </w:p>
    <w:p>
      <w:pPr>
        <w:spacing w:line="240" w:lineRule="auto" w:before="1"/>
        <w:rPr>
          <w:rFonts w:ascii="宋体" w:hAnsi="宋体" w:cs="宋体" w:eastAsia="宋体" w:hint="default"/>
          <w:sz w:val="17"/>
          <w:szCs w:val="17"/>
        </w:rPr>
      </w:pPr>
    </w:p>
    <w:p>
      <w:pPr>
        <w:pStyle w:val="BodyText"/>
        <w:spacing w:line="240" w:lineRule="auto"/>
        <w:ind w:left="575" w:right="0"/>
        <w:jc w:val="left"/>
      </w:pPr>
      <w:r>
        <w:rPr/>
        <w:t>非公开发行对象为包括公司实际控制人尤友岳先生在内的不超过 10</w:t>
      </w:r>
      <w:r>
        <w:rPr>
          <w:spacing w:val="18"/>
        </w:rPr>
        <w:t> </w:t>
      </w:r>
      <w:r>
        <w:rPr>
          <w:spacing w:val="-3"/>
        </w:rPr>
        <w:t>名特定对象。除公司实际控制人</w:t>
      </w:r>
    </w:p>
    <w:p>
      <w:pPr>
        <w:spacing w:after="0" w:line="240" w:lineRule="auto"/>
        <w:jc w:val="left"/>
        <w:sectPr>
          <w:pgSz w:w="11900" w:h="16840"/>
          <w:pgMar w:header="872" w:footer="984" w:top="1060" w:bottom="1180" w:left="980" w:right="920"/>
        </w:sectPr>
      </w:pPr>
    </w:p>
    <w:p>
      <w:pPr>
        <w:spacing w:line="240" w:lineRule="auto" w:before="12"/>
        <w:rPr>
          <w:rFonts w:ascii="宋体" w:hAnsi="宋体" w:cs="宋体" w:eastAsia="宋体" w:hint="default"/>
          <w:sz w:val="24"/>
          <w:szCs w:val="24"/>
        </w:rPr>
      </w:pPr>
    </w:p>
    <w:p>
      <w:pPr>
        <w:pStyle w:val="BodyText"/>
        <w:spacing w:line="273" w:lineRule="auto" w:before="36"/>
        <w:ind w:right="141"/>
        <w:jc w:val="both"/>
      </w:pPr>
      <w:r>
        <w:rPr>
          <w:spacing w:val="-2"/>
        </w:rPr>
        <w:t>尤友岳先生之外，其他发行对象须为符合中国证监会规定的投资者，包括证券投资基金管理公司（以其管</w:t>
      </w:r>
      <w:r>
        <w:rPr>
          <w:spacing w:val="-35"/>
        </w:rPr>
        <w:t> </w:t>
      </w:r>
      <w:r>
        <w:rPr>
          <w:spacing w:val="-35"/>
        </w:rPr>
      </w:r>
      <w:r>
        <w:rPr/>
        <w:t>理的</w:t>
      </w:r>
      <w:r>
        <w:rPr>
          <w:spacing w:val="32"/>
        </w:rPr>
        <w:t> </w:t>
      </w:r>
      <w:r>
        <w:rPr/>
        <w:t>2</w:t>
      </w:r>
      <w:r>
        <w:rPr>
          <w:spacing w:val="32"/>
        </w:rPr>
        <w:t> </w:t>
      </w:r>
      <w:r>
        <w:rPr/>
        <w:t>只以上基金认购的，视为一个发行对象）、证券公司、财务公司、资产管理公司、保险机构、信</w:t>
      </w:r>
      <w:r>
        <w:rPr>
          <w:spacing w:val="-99"/>
        </w:rPr>
        <w:t> </w:t>
      </w:r>
      <w:r>
        <w:rPr>
          <w:spacing w:val="-99"/>
        </w:rPr>
      </w:r>
      <w:r>
        <w:rPr>
          <w:spacing w:val="-2"/>
        </w:rPr>
        <w:t>托投资公司（以其自有资金）、QFII、主承销商自主推荐的具有较高定价能力和长期投资意向的机构投资</w:t>
      </w:r>
      <w:r>
        <w:rPr>
          <w:spacing w:val="-32"/>
        </w:rPr>
        <w:t> </w:t>
      </w:r>
      <w:r>
        <w:rPr>
          <w:spacing w:val="-32"/>
        </w:rPr>
      </w:r>
      <w:r>
        <w:rPr>
          <w:spacing w:val="-2"/>
        </w:rPr>
        <w:t>者，以及符合中国证监会规定其他法人、自然人或者其他合法投资组织；具体发行对象将在本次非公开发</w:t>
      </w:r>
      <w:r>
        <w:rPr>
          <w:spacing w:val="-35"/>
        </w:rPr>
        <w:t> </w:t>
      </w:r>
      <w:r>
        <w:rPr>
          <w:spacing w:val="-35"/>
        </w:rPr>
      </w:r>
      <w:r>
        <w:rPr>
          <w:spacing w:val="-2"/>
        </w:rPr>
        <w:t>行申请获得中国证监会的核准文件后，由董事会和保荐人（主承销商）根据发行对象申购报价情况，按照</w:t>
      </w:r>
      <w:r>
        <w:rPr>
          <w:spacing w:val="-35"/>
        </w:rPr>
        <w:t> </w:t>
      </w:r>
      <w:r>
        <w:rPr>
          <w:spacing w:val="-35"/>
        </w:rPr>
      </w:r>
      <w:r>
        <w:rPr>
          <w:spacing w:val="-2"/>
        </w:rPr>
        <w:t>价格优先原则确定。本次发行的股票全部采用现金认购方式，其中公司实际控制人尤友岳先生拟以不低于</w:t>
      </w:r>
      <w:r>
        <w:rPr>
          <w:spacing w:val="-35"/>
        </w:rPr>
        <w:t> </w:t>
      </w:r>
      <w:r>
        <w:rPr>
          <w:spacing w:val="-35"/>
        </w:rPr>
      </w:r>
      <w:r>
        <w:rPr/>
        <w:t>人民币 5,000</w:t>
      </w:r>
      <w:r>
        <w:rPr>
          <w:spacing w:val="2"/>
        </w:rPr>
        <w:t> </w:t>
      </w:r>
      <w:r>
        <w:rPr/>
        <w:t>万元现金认购本次发行的股票。</w:t>
      </w:r>
    </w:p>
    <w:p>
      <w:pPr>
        <w:spacing w:line="240" w:lineRule="auto" w:before="1"/>
        <w:rPr>
          <w:rFonts w:ascii="宋体" w:hAnsi="宋体" w:cs="宋体" w:eastAsia="宋体" w:hint="default"/>
          <w:sz w:val="17"/>
          <w:szCs w:val="17"/>
        </w:rPr>
      </w:pPr>
    </w:p>
    <w:p>
      <w:pPr>
        <w:pStyle w:val="BodyText"/>
        <w:spacing w:line="273" w:lineRule="auto"/>
        <w:ind w:right="142" w:firstLine="422"/>
        <w:jc w:val="both"/>
      </w:pPr>
      <w:r>
        <w:rPr/>
        <w:t>本次非公开发行完成后，尤友岳先生认购的股份自本次发行结束之日起三十六个月内不得转让，</w:t>
      </w:r>
      <w:r>
        <w:rPr>
          <w:spacing w:val="61"/>
        </w:rPr>
        <w:t> </w:t>
      </w:r>
      <w:r>
        <w:rPr/>
        <w:t>其</w:t>
      </w:r>
      <w:r>
        <w:rPr>
          <w:w w:val="100"/>
        </w:rPr>
        <w:t> </w:t>
      </w:r>
      <w:r>
        <w:rPr>
          <w:spacing w:val="-2"/>
        </w:rPr>
        <w:t>他发行对象认购的股份自本次发行结束之日起十二个月内不得转让。本次非公开发行股票募集资金总额不</w:t>
      </w:r>
      <w:r>
        <w:rPr>
          <w:spacing w:val="-34"/>
        </w:rPr>
        <w:t> </w:t>
      </w:r>
      <w:r>
        <w:rPr>
          <w:spacing w:val="-34"/>
        </w:rPr>
      </w:r>
      <w:r>
        <w:rPr/>
        <w:t>超过 78,360</w:t>
      </w:r>
      <w:r>
        <w:rPr>
          <w:spacing w:val="-3"/>
        </w:rPr>
        <w:t> </w:t>
      </w:r>
      <w:r>
        <w:rPr/>
        <w:t>万元，在扣除发行费用后将分别用于投资以下项目：</w:t>
      </w:r>
    </w:p>
    <w:p>
      <w:pPr>
        <w:spacing w:line="240" w:lineRule="auto" w:before="7"/>
        <w:rPr>
          <w:rFonts w:ascii="宋体" w:hAnsi="宋体" w:cs="宋体" w:eastAsia="宋体" w:hint="default"/>
          <w:sz w:val="16"/>
          <w:szCs w:val="16"/>
        </w:rPr>
      </w:pPr>
    </w:p>
    <w:p>
      <w:pPr>
        <w:tabs>
          <w:tab w:pos="2994" w:val="left" w:leader="none"/>
          <w:tab w:pos="5471" w:val="left" w:leader="none"/>
        </w:tabs>
        <w:spacing w:before="0"/>
        <w:ind w:left="7693" w:right="1265" w:hanging="7532"/>
        <w:jc w:val="left"/>
        <w:rPr>
          <w:rFonts w:ascii="Microsoft JhengHei" w:hAnsi="Microsoft JhengHei" w:cs="Microsoft JhengHei" w:eastAsia="Microsoft JhengHei" w:hint="default"/>
          <w:sz w:val="18"/>
          <w:szCs w:val="18"/>
        </w:rPr>
      </w:pPr>
      <w:r>
        <w:rPr/>
        <w:pict>
          <v:group style="position:absolute;margin-left:56.279999pt;margin-top:1.135254pt;width:426.25pt;height:.75pt;mso-position-horizontal-relative:page;mso-position-vertical-relative:paragraph;z-index:-1068448" coordorigin="1126,23" coordsize="8525,15">
            <v:group style="position:absolute;left:1133;top:30;width:874;height:2" coordorigin="1133,30" coordsize="874,2">
              <v:shape style="position:absolute;left:1133;top:30;width:874;height:2" coordorigin="1133,30" coordsize="874,0" path="m1133,30l2006,30e" filled="false" stroked="true" strokeweight=".72pt" strokecolor="#000000">
                <v:path arrowok="t"/>
              </v:shape>
            </v:group>
            <v:group style="position:absolute;left:2006;top:30;width:15;height:2" coordorigin="2006,30" coordsize="15,2">
              <v:shape style="position:absolute;left:2006;top:30;width:15;height:2" coordorigin="2006,30" coordsize="15,0" path="m2006,30l2021,30e" filled="false" stroked="true" strokeweight=".72pt" strokecolor="#000000">
                <v:path arrowok="t"/>
              </v:shape>
            </v:group>
            <v:group style="position:absolute;left:2021;top:30;width:4268;height:2" coordorigin="2021,30" coordsize="4268,2">
              <v:shape style="position:absolute;left:2021;top:30;width:4268;height:2" coordorigin="2021,30" coordsize="4268,0" path="m2021,30l6288,30e" filled="false" stroked="true" strokeweight=".72pt" strokecolor="#000000">
                <v:path arrowok="t"/>
              </v:shape>
            </v:group>
            <v:group style="position:absolute;left:6288;top:30;width:15;height:2" coordorigin="6288,30" coordsize="15,2">
              <v:shape style="position:absolute;left:6288;top:30;width:15;height:2" coordorigin="6288,30" coordsize="15,0" path="m6288,30l6302,30e" filled="false" stroked="true" strokeweight=".72pt" strokecolor="#000000">
                <v:path arrowok="t"/>
              </v:shape>
            </v:group>
            <v:group style="position:absolute;left:6302;top:30;width:1743;height:2" coordorigin="6302,30" coordsize="1743,2">
              <v:shape style="position:absolute;left:6302;top:30;width:1743;height:2" coordorigin="6302,30" coordsize="1743,0" path="m6302,30l8045,30e" filled="false" stroked="true" strokeweight=".72pt" strokecolor="#000000">
                <v:path arrowok="t"/>
              </v:shape>
            </v:group>
            <v:group style="position:absolute;left:8045;top:30;width:15;height:2" coordorigin="8045,30" coordsize="15,2">
              <v:shape style="position:absolute;left:8045;top:30;width:15;height:2" coordorigin="8045,30" coordsize="15,0" path="m8045,30l8059,30e" filled="false" stroked="true" strokeweight=".72pt" strokecolor="#000000">
                <v:path arrowok="t"/>
              </v:shape>
            </v:group>
            <v:group style="position:absolute;left:8059;top:30;width:1584;height:2" coordorigin="8059,30" coordsize="1584,2">
              <v:shape style="position:absolute;left:8059;top:30;width:1584;height:2" coordorigin="8059,30" coordsize="1584,0" path="m8059,30l9643,30e" filled="false" stroked="true" strokeweight=".72pt" strokecolor="#000000">
                <v:path arrowok="t"/>
              </v:shape>
            </v:group>
            <w10:wrap type="none"/>
          </v:group>
        </w:pict>
      </w:r>
      <w:r>
        <w:rPr>
          <w:rFonts w:ascii="Microsoft JhengHei" w:hAnsi="Microsoft JhengHei" w:cs="Microsoft JhengHei" w:eastAsia="Microsoft JhengHei" w:hint="default"/>
          <w:b/>
          <w:bCs/>
          <w:sz w:val="18"/>
          <w:szCs w:val="18"/>
        </w:rPr>
        <w:t>序号</w:t>
        <w:tab/>
        <w:t>项目</w:t>
        <w:tab/>
        <w:t>投资总额（万元）   </w:t>
      </w:r>
      <w:r>
        <w:rPr>
          <w:rFonts w:ascii="Microsoft JhengHei" w:hAnsi="Microsoft JhengHei" w:cs="Microsoft JhengHei" w:eastAsia="Microsoft JhengHei" w:hint="default"/>
          <w:b/>
          <w:bCs/>
          <w:spacing w:val="13"/>
          <w:sz w:val="18"/>
          <w:szCs w:val="18"/>
        </w:rPr>
        <w:t> </w:t>
      </w:r>
      <w:r>
        <w:rPr>
          <w:rFonts w:ascii="Microsoft JhengHei" w:hAnsi="Microsoft JhengHei" w:cs="Microsoft JhengHei" w:eastAsia="Microsoft JhengHei" w:hint="default"/>
          <w:b/>
          <w:bCs/>
          <w:spacing w:val="-6"/>
          <w:sz w:val="18"/>
          <w:szCs w:val="18"/>
        </w:rPr>
        <w:t>拟利用募集资金（万</w:t>
      </w:r>
      <w:r>
        <w:rPr>
          <w:rFonts w:ascii="Microsoft JhengHei" w:hAnsi="Microsoft JhengHei" w:cs="Microsoft JhengHei" w:eastAsia="Microsoft JhengHei" w:hint="default"/>
          <w:b/>
          <w:bCs/>
          <w:w w:val="101"/>
          <w:sz w:val="18"/>
          <w:szCs w:val="18"/>
        </w:rPr>
        <w:t> </w:t>
      </w:r>
      <w:r>
        <w:rPr>
          <w:rFonts w:ascii="Microsoft JhengHei" w:hAnsi="Microsoft JhengHei" w:cs="Microsoft JhengHei" w:eastAsia="Microsoft JhengHei" w:hint="default"/>
          <w:b/>
          <w:bCs/>
          <w:sz w:val="18"/>
          <w:szCs w:val="18"/>
        </w:rPr>
        <w:t>元）</w:t>
      </w:r>
      <w:r>
        <w:rPr>
          <w:rFonts w:ascii="Microsoft JhengHei" w:hAnsi="Microsoft JhengHei" w:cs="Microsoft JhengHei" w:eastAsia="Microsoft JhengHei" w:hint="default"/>
          <w:sz w:val="18"/>
          <w:szCs w:val="18"/>
        </w:rPr>
      </w:r>
    </w:p>
    <w:p>
      <w:pPr>
        <w:spacing w:line="240" w:lineRule="auto" w:before="12"/>
        <w:rPr>
          <w:rFonts w:ascii="Microsoft JhengHei" w:hAnsi="Microsoft JhengHei" w:cs="Microsoft JhengHei" w:eastAsia="Microsoft JhengHei" w:hint="default"/>
          <w:b/>
          <w:bCs/>
          <w:sz w:val="3"/>
          <w:szCs w:val="3"/>
        </w:rPr>
      </w:pPr>
    </w:p>
    <w:tbl>
      <w:tblPr>
        <w:tblW w:w="0" w:type="auto"/>
        <w:jc w:val="left"/>
        <w:tblInd w:w="152" w:type="dxa"/>
        <w:tblLayout w:type="fixed"/>
        <w:tblCellMar>
          <w:top w:w="0" w:type="dxa"/>
          <w:left w:w="0" w:type="dxa"/>
          <w:bottom w:w="0" w:type="dxa"/>
          <w:right w:w="0" w:type="dxa"/>
        </w:tblCellMar>
        <w:tblLook w:val="01E0"/>
      </w:tblPr>
      <w:tblGrid>
        <w:gridCol w:w="775"/>
        <w:gridCol w:w="4850"/>
        <w:gridCol w:w="1678"/>
        <w:gridCol w:w="1217"/>
      </w:tblGrid>
      <w:tr>
        <w:trPr>
          <w:trHeight w:val="662" w:hRule="exact"/>
        </w:trPr>
        <w:tc>
          <w:tcPr>
            <w:tcW w:w="775"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left="105" w:right="0"/>
              <w:jc w:val="left"/>
              <w:rPr>
                <w:rFonts w:ascii="宋体" w:hAnsi="宋体" w:cs="宋体" w:eastAsia="宋体" w:hint="default"/>
                <w:sz w:val="18"/>
                <w:szCs w:val="18"/>
              </w:rPr>
            </w:pPr>
            <w:r>
              <w:rPr>
                <w:rFonts w:ascii="宋体"/>
                <w:w w:val="101"/>
                <w:sz w:val="18"/>
              </w:rPr>
              <w:t>1</w:t>
            </w:r>
            <w:r>
              <w:rPr>
                <w:rFonts w:ascii="宋体"/>
                <w:sz w:val="18"/>
              </w:rPr>
            </w:r>
          </w:p>
        </w:tc>
        <w:tc>
          <w:tcPr>
            <w:tcW w:w="4850" w:type="dxa"/>
            <w:tcBorders>
              <w:top w:val="single" w:sz="8" w:space="0" w:color="000000"/>
              <w:left w:val="nil" w:sz="6" w:space="0" w:color="auto"/>
              <w:bottom w:val="single" w:sz="8" w:space="0" w:color="000000"/>
              <w:right w:val="nil" w:sz="6" w:space="0" w:color="auto"/>
            </w:tcBorders>
          </w:tcPr>
          <w:p>
            <w:pPr>
              <w:pStyle w:val="TableParagraph"/>
              <w:spacing w:line="316" w:lineRule="auto" w:before="15"/>
              <w:ind w:left="213" w:right="463"/>
              <w:jc w:val="left"/>
              <w:rPr>
                <w:rFonts w:ascii="宋体" w:hAnsi="宋体" w:cs="宋体" w:eastAsia="宋体" w:hint="default"/>
                <w:sz w:val="18"/>
                <w:szCs w:val="18"/>
              </w:rPr>
            </w:pPr>
            <w:r>
              <w:rPr>
                <w:rFonts w:ascii="宋体" w:hAnsi="宋体" w:cs="宋体" w:eastAsia="宋体" w:hint="default"/>
                <w:spacing w:val="-5"/>
                <w:sz w:val="18"/>
                <w:szCs w:val="18"/>
              </w:rPr>
              <w:t>收购无锡双龙信息纸有限公司40%股权并增资用于“彩</w:t>
            </w:r>
            <w:r>
              <w:rPr>
                <w:rFonts w:ascii="宋体" w:hAnsi="宋体" w:cs="宋体" w:eastAsia="宋体" w:hint="default"/>
                <w:spacing w:val="-28"/>
                <w:sz w:val="18"/>
                <w:szCs w:val="18"/>
              </w:rPr>
              <w:t> </w:t>
            </w:r>
            <w:r>
              <w:rPr>
                <w:rFonts w:ascii="宋体" w:hAnsi="宋体" w:cs="宋体" w:eastAsia="宋体" w:hint="default"/>
                <w:spacing w:val="-28"/>
                <w:sz w:val="18"/>
                <w:szCs w:val="18"/>
              </w:rPr>
            </w:r>
            <w:r>
              <w:rPr>
                <w:rFonts w:ascii="宋体" w:hAnsi="宋体" w:cs="宋体" w:eastAsia="宋体" w:hint="default"/>
                <w:spacing w:val="-3"/>
                <w:sz w:val="18"/>
                <w:szCs w:val="18"/>
              </w:rPr>
              <w:t>票物联网智能化管理及应用</w:t>
            </w:r>
            <w:r>
              <w:rPr>
                <w:rFonts w:ascii="宋体" w:hAnsi="宋体" w:cs="宋体" w:eastAsia="宋体" w:hint="default"/>
                <w:spacing w:val="37"/>
                <w:sz w:val="18"/>
                <w:szCs w:val="18"/>
              </w:rPr>
              <w:t> </w:t>
            </w:r>
            <w:r>
              <w:rPr>
                <w:rFonts w:ascii="宋体" w:hAnsi="宋体" w:cs="宋体" w:eastAsia="宋体" w:hint="default"/>
                <w:sz w:val="18"/>
                <w:szCs w:val="18"/>
              </w:rPr>
              <w:t>项目”</w:t>
            </w:r>
          </w:p>
        </w:tc>
        <w:tc>
          <w:tcPr>
            <w:tcW w:w="1678"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389"/>
              <w:jc w:val="right"/>
              <w:rPr>
                <w:rFonts w:ascii="宋体" w:hAnsi="宋体" w:cs="宋体" w:eastAsia="宋体" w:hint="default"/>
                <w:sz w:val="18"/>
                <w:szCs w:val="18"/>
              </w:rPr>
            </w:pPr>
            <w:r>
              <w:rPr>
                <w:rFonts w:ascii="宋体"/>
                <w:spacing w:val="-1"/>
                <w:sz w:val="18"/>
              </w:rPr>
              <w:t>44,501.00</w:t>
            </w:r>
          </w:p>
        </w:tc>
        <w:tc>
          <w:tcPr>
            <w:tcW w:w="1217"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2"/>
              <w:jc w:val="right"/>
              <w:rPr>
                <w:rFonts w:ascii="宋体" w:hAnsi="宋体" w:cs="宋体" w:eastAsia="宋体" w:hint="default"/>
                <w:sz w:val="18"/>
                <w:szCs w:val="18"/>
              </w:rPr>
            </w:pPr>
            <w:r>
              <w:rPr>
                <w:rFonts w:ascii="宋体"/>
                <w:spacing w:val="-1"/>
                <w:sz w:val="18"/>
              </w:rPr>
              <w:t>44,501.00</w:t>
            </w:r>
          </w:p>
        </w:tc>
      </w:tr>
      <w:tr>
        <w:trPr>
          <w:trHeight w:val="346" w:hRule="exact"/>
        </w:trPr>
        <w:tc>
          <w:tcPr>
            <w:tcW w:w="775"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211"/>
              <w:jc w:val="right"/>
              <w:rPr>
                <w:rFonts w:ascii="宋体" w:hAnsi="宋体" w:cs="宋体" w:eastAsia="宋体" w:hint="default"/>
                <w:sz w:val="18"/>
                <w:szCs w:val="18"/>
              </w:rPr>
            </w:pPr>
            <w:r>
              <w:rPr>
                <w:rFonts w:ascii="宋体" w:hAnsi="宋体" w:cs="宋体" w:eastAsia="宋体" w:hint="default"/>
                <w:sz w:val="18"/>
                <w:szCs w:val="18"/>
              </w:rPr>
              <w:t>（1）</w:t>
            </w:r>
          </w:p>
        </w:tc>
        <w:tc>
          <w:tcPr>
            <w:tcW w:w="4850"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left="213" w:right="0"/>
              <w:jc w:val="left"/>
              <w:rPr>
                <w:rFonts w:ascii="宋体" w:hAnsi="宋体" w:cs="宋体" w:eastAsia="宋体" w:hint="default"/>
                <w:sz w:val="18"/>
                <w:szCs w:val="18"/>
              </w:rPr>
            </w:pPr>
            <w:r>
              <w:rPr>
                <w:rFonts w:ascii="宋体" w:hAnsi="宋体" w:cs="宋体" w:eastAsia="宋体" w:hint="default"/>
                <w:sz w:val="18"/>
                <w:szCs w:val="18"/>
              </w:rPr>
              <w:t>收购无锡双龙信息纸有限公司40%股权</w:t>
            </w:r>
          </w:p>
        </w:tc>
        <w:tc>
          <w:tcPr>
            <w:tcW w:w="1678"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389"/>
              <w:jc w:val="right"/>
              <w:rPr>
                <w:rFonts w:ascii="宋体" w:hAnsi="宋体" w:cs="宋体" w:eastAsia="宋体" w:hint="default"/>
                <w:sz w:val="18"/>
                <w:szCs w:val="18"/>
              </w:rPr>
            </w:pPr>
            <w:r>
              <w:rPr>
                <w:rFonts w:ascii="宋体"/>
                <w:spacing w:val="-1"/>
                <w:sz w:val="18"/>
              </w:rPr>
              <w:t>4,098.00</w:t>
            </w:r>
          </w:p>
        </w:tc>
        <w:tc>
          <w:tcPr>
            <w:tcW w:w="1217"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2"/>
              <w:jc w:val="right"/>
              <w:rPr>
                <w:rFonts w:ascii="宋体" w:hAnsi="宋体" w:cs="宋体" w:eastAsia="宋体" w:hint="default"/>
                <w:sz w:val="18"/>
                <w:szCs w:val="18"/>
              </w:rPr>
            </w:pPr>
            <w:r>
              <w:rPr>
                <w:rFonts w:ascii="宋体"/>
                <w:spacing w:val="-1"/>
                <w:sz w:val="18"/>
              </w:rPr>
              <w:t>4,098.00</w:t>
            </w:r>
          </w:p>
        </w:tc>
      </w:tr>
      <w:tr>
        <w:trPr>
          <w:trHeight w:val="346" w:hRule="exact"/>
        </w:trPr>
        <w:tc>
          <w:tcPr>
            <w:tcW w:w="775"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211"/>
              <w:jc w:val="right"/>
              <w:rPr>
                <w:rFonts w:ascii="宋体" w:hAnsi="宋体" w:cs="宋体" w:eastAsia="宋体" w:hint="default"/>
                <w:sz w:val="18"/>
                <w:szCs w:val="18"/>
              </w:rPr>
            </w:pPr>
            <w:r>
              <w:rPr>
                <w:rFonts w:ascii="宋体" w:hAnsi="宋体" w:cs="宋体" w:eastAsia="宋体" w:hint="default"/>
                <w:sz w:val="18"/>
                <w:szCs w:val="18"/>
              </w:rPr>
              <w:t>（2）</w:t>
            </w:r>
          </w:p>
        </w:tc>
        <w:tc>
          <w:tcPr>
            <w:tcW w:w="4850"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left="213" w:right="0"/>
              <w:jc w:val="left"/>
              <w:rPr>
                <w:rFonts w:ascii="宋体" w:hAnsi="宋体" w:cs="宋体" w:eastAsia="宋体" w:hint="default"/>
                <w:sz w:val="18"/>
                <w:szCs w:val="18"/>
              </w:rPr>
            </w:pPr>
            <w:r>
              <w:rPr>
                <w:rFonts w:ascii="宋体" w:hAnsi="宋体" w:cs="宋体" w:eastAsia="宋体" w:hint="default"/>
                <w:spacing w:val="-3"/>
                <w:sz w:val="18"/>
                <w:szCs w:val="18"/>
              </w:rPr>
              <w:t>彩票物联网智能化管理及应用项目</w:t>
            </w:r>
          </w:p>
        </w:tc>
        <w:tc>
          <w:tcPr>
            <w:tcW w:w="1678"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389"/>
              <w:jc w:val="right"/>
              <w:rPr>
                <w:rFonts w:ascii="宋体" w:hAnsi="宋体" w:cs="宋体" w:eastAsia="宋体" w:hint="default"/>
                <w:sz w:val="18"/>
                <w:szCs w:val="18"/>
              </w:rPr>
            </w:pPr>
            <w:r>
              <w:rPr>
                <w:rFonts w:ascii="宋体"/>
                <w:spacing w:val="-1"/>
                <w:sz w:val="18"/>
              </w:rPr>
              <w:t>40,403.00</w:t>
            </w:r>
          </w:p>
        </w:tc>
        <w:tc>
          <w:tcPr>
            <w:tcW w:w="1217"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2"/>
              <w:jc w:val="right"/>
              <w:rPr>
                <w:rFonts w:ascii="宋体" w:hAnsi="宋体" w:cs="宋体" w:eastAsia="宋体" w:hint="default"/>
                <w:sz w:val="18"/>
                <w:szCs w:val="18"/>
              </w:rPr>
            </w:pPr>
            <w:r>
              <w:rPr>
                <w:rFonts w:ascii="宋体"/>
                <w:spacing w:val="-1"/>
                <w:sz w:val="18"/>
              </w:rPr>
              <w:t>40,403.00</w:t>
            </w:r>
          </w:p>
        </w:tc>
      </w:tr>
      <w:tr>
        <w:trPr>
          <w:trHeight w:val="346" w:hRule="exact"/>
        </w:trPr>
        <w:tc>
          <w:tcPr>
            <w:tcW w:w="775"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left="105" w:right="0"/>
              <w:jc w:val="left"/>
              <w:rPr>
                <w:rFonts w:ascii="宋体" w:hAnsi="宋体" w:cs="宋体" w:eastAsia="宋体" w:hint="default"/>
                <w:sz w:val="18"/>
                <w:szCs w:val="18"/>
              </w:rPr>
            </w:pPr>
            <w:r>
              <w:rPr>
                <w:rFonts w:ascii="宋体"/>
                <w:w w:val="101"/>
                <w:sz w:val="18"/>
              </w:rPr>
              <w:t>2</w:t>
            </w:r>
            <w:r>
              <w:rPr>
                <w:rFonts w:ascii="宋体"/>
                <w:sz w:val="18"/>
              </w:rPr>
            </w:r>
          </w:p>
        </w:tc>
        <w:tc>
          <w:tcPr>
            <w:tcW w:w="4850"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left="213" w:right="0"/>
              <w:jc w:val="left"/>
              <w:rPr>
                <w:rFonts w:ascii="宋体" w:hAnsi="宋体" w:cs="宋体" w:eastAsia="宋体" w:hint="default"/>
                <w:sz w:val="18"/>
                <w:szCs w:val="18"/>
              </w:rPr>
            </w:pPr>
            <w:r>
              <w:rPr>
                <w:rFonts w:ascii="宋体" w:hAnsi="宋体" w:cs="宋体" w:eastAsia="宋体" w:hint="default"/>
                <w:sz w:val="18"/>
                <w:szCs w:val="18"/>
              </w:rPr>
              <w:t>电子彩票研发中心项目</w:t>
            </w:r>
          </w:p>
        </w:tc>
        <w:tc>
          <w:tcPr>
            <w:tcW w:w="1678"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389"/>
              <w:jc w:val="right"/>
              <w:rPr>
                <w:rFonts w:ascii="宋体" w:hAnsi="宋体" w:cs="宋体" w:eastAsia="宋体" w:hint="default"/>
                <w:sz w:val="18"/>
                <w:szCs w:val="18"/>
              </w:rPr>
            </w:pPr>
            <w:r>
              <w:rPr>
                <w:rFonts w:ascii="宋体"/>
                <w:spacing w:val="-1"/>
                <w:sz w:val="18"/>
              </w:rPr>
              <w:t>10,459.00</w:t>
            </w:r>
          </w:p>
        </w:tc>
        <w:tc>
          <w:tcPr>
            <w:tcW w:w="1217"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2"/>
              <w:jc w:val="right"/>
              <w:rPr>
                <w:rFonts w:ascii="宋体" w:hAnsi="宋体" w:cs="宋体" w:eastAsia="宋体" w:hint="default"/>
                <w:sz w:val="18"/>
                <w:szCs w:val="18"/>
              </w:rPr>
            </w:pPr>
            <w:r>
              <w:rPr>
                <w:rFonts w:ascii="宋体"/>
                <w:spacing w:val="-1"/>
                <w:sz w:val="18"/>
              </w:rPr>
              <w:t>10,459.00</w:t>
            </w:r>
          </w:p>
        </w:tc>
      </w:tr>
      <w:tr>
        <w:trPr>
          <w:trHeight w:val="350" w:hRule="exact"/>
        </w:trPr>
        <w:tc>
          <w:tcPr>
            <w:tcW w:w="775"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left="105" w:right="0"/>
              <w:jc w:val="left"/>
              <w:rPr>
                <w:rFonts w:ascii="宋体" w:hAnsi="宋体" w:cs="宋体" w:eastAsia="宋体" w:hint="default"/>
                <w:sz w:val="18"/>
                <w:szCs w:val="18"/>
              </w:rPr>
            </w:pPr>
            <w:r>
              <w:rPr>
                <w:rFonts w:ascii="宋体"/>
                <w:w w:val="101"/>
                <w:sz w:val="18"/>
              </w:rPr>
              <w:t>3</w:t>
            </w:r>
            <w:r>
              <w:rPr>
                <w:rFonts w:ascii="宋体"/>
                <w:sz w:val="18"/>
              </w:rPr>
            </w:r>
          </w:p>
        </w:tc>
        <w:tc>
          <w:tcPr>
            <w:tcW w:w="4850"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left="213" w:right="0"/>
              <w:jc w:val="left"/>
              <w:rPr>
                <w:rFonts w:ascii="宋体" w:hAnsi="宋体" w:cs="宋体" w:eastAsia="宋体" w:hint="default"/>
                <w:sz w:val="18"/>
                <w:szCs w:val="18"/>
              </w:rPr>
            </w:pPr>
            <w:r>
              <w:rPr>
                <w:rFonts w:ascii="宋体" w:hAnsi="宋体" w:cs="宋体" w:eastAsia="宋体" w:hint="default"/>
                <w:sz w:val="18"/>
                <w:szCs w:val="18"/>
              </w:rPr>
              <w:t>补充流动资金</w:t>
            </w:r>
          </w:p>
        </w:tc>
        <w:tc>
          <w:tcPr>
            <w:tcW w:w="1678"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389"/>
              <w:jc w:val="right"/>
              <w:rPr>
                <w:rFonts w:ascii="宋体" w:hAnsi="宋体" w:cs="宋体" w:eastAsia="宋体" w:hint="default"/>
                <w:sz w:val="18"/>
                <w:szCs w:val="18"/>
              </w:rPr>
            </w:pPr>
            <w:r>
              <w:rPr>
                <w:rFonts w:ascii="宋体"/>
                <w:spacing w:val="-1"/>
                <w:sz w:val="18"/>
              </w:rPr>
              <w:t>23,400.00</w:t>
            </w:r>
          </w:p>
        </w:tc>
        <w:tc>
          <w:tcPr>
            <w:tcW w:w="1217" w:type="dxa"/>
            <w:tcBorders>
              <w:top w:val="single" w:sz="8" w:space="0" w:color="000000"/>
              <w:left w:val="nil" w:sz="6" w:space="0" w:color="auto"/>
              <w:bottom w:val="single" w:sz="8" w:space="0" w:color="000000"/>
              <w:right w:val="nil" w:sz="6" w:space="0" w:color="auto"/>
            </w:tcBorders>
          </w:tcPr>
          <w:p>
            <w:pPr>
              <w:pStyle w:val="TableParagraph"/>
              <w:spacing w:line="240" w:lineRule="auto" w:before="15"/>
              <w:ind w:right="2"/>
              <w:jc w:val="right"/>
              <w:rPr>
                <w:rFonts w:ascii="宋体" w:hAnsi="宋体" w:cs="宋体" w:eastAsia="宋体" w:hint="default"/>
                <w:sz w:val="18"/>
                <w:szCs w:val="18"/>
              </w:rPr>
            </w:pPr>
            <w:r>
              <w:rPr>
                <w:rFonts w:ascii="宋体"/>
                <w:spacing w:val="-1"/>
                <w:sz w:val="18"/>
              </w:rPr>
              <w:t>23,400.00</w:t>
            </w:r>
          </w:p>
        </w:tc>
      </w:tr>
      <w:tr>
        <w:trPr>
          <w:trHeight w:val="346" w:hRule="exact"/>
        </w:trPr>
        <w:tc>
          <w:tcPr>
            <w:tcW w:w="775" w:type="dxa"/>
            <w:tcBorders>
              <w:top w:val="single" w:sz="8" w:space="0" w:color="000000"/>
              <w:left w:val="nil" w:sz="6" w:space="0" w:color="auto"/>
              <w:bottom w:val="single" w:sz="8" w:space="0" w:color="000000"/>
              <w:right w:val="nil" w:sz="6" w:space="0" w:color="auto"/>
            </w:tcBorders>
          </w:tcPr>
          <w:p>
            <w:pPr>
              <w:pStyle w:val="TableParagraph"/>
              <w:spacing w:line="271" w:lineRule="exact"/>
              <w:ind w:left="9"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   </w:t>
            </w:r>
            <w:r>
              <w:rPr>
                <w:rFonts w:ascii="Microsoft JhengHei" w:hAnsi="Microsoft JhengHei" w:cs="Microsoft JhengHei" w:eastAsia="Microsoft JhengHei" w:hint="default"/>
                <w:b/>
                <w:bCs/>
                <w:spacing w:val="6"/>
                <w:sz w:val="18"/>
                <w:szCs w:val="18"/>
              </w:rPr>
              <w:t> </w:t>
            </w:r>
            <w:r>
              <w:rPr>
                <w:rFonts w:ascii="Microsoft JhengHei" w:hAnsi="Microsoft JhengHei" w:cs="Microsoft JhengHei" w:eastAsia="Microsoft JhengHei" w:hint="default"/>
                <w:b/>
                <w:bCs/>
                <w:sz w:val="18"/>
                <w:szCs w:val="18"/>
              </w:rPr>
              <w:t>计</w:t>
            </w:r>
            <w:r>
              <w:rPr>
                <w:rFonts w:ascii="Microsoft JhengHei" w:hAnsi="Microsoft JhengHei" w:cs="Microsoft JhengHei" w:eastAsia="Microsoft JhengHei" w:hint="default"/>
                <w:sz w:val="18"/>
                <w:szCs w:val="18"/>
              </w:rPr>
            </w:r>
          </w:p>
        </w:tc>
        <w:tc>
          <w:tcPr>
            <w:tcW w:w="4850" w:type="dxa"/>
            <w:tcBorders>
              <w:top w:val="single" w:sz="8" w:space="0" w:color="000000"/>
              <w:left w:val="nil" w:sz="6" w:space="0" w:color="auto"/>
              <w:bottom w:val="single" w:sz="8" w:space="0" w:color="000000"/>
              <w:right w:val="nil" w:sz="6" w:space="0" w:color="auto"/>
            </w:tcBorders>
          </w:tcPr>
          <w:p>
            <w:pPr/>
          </w:p>
        </w:tc>
        <w:tc>
          <w:tcPr>
            <w:tcW w:w="1678" w:type="dxa"/>
            <w:tcBorders>
              <w:top w:val="single" w:sz="8" w:space="0" w:color="000000"/>
              <w:left w:val="nil" w:sz="6" w:space="0" w:color="auto"/>
              <w:bottom w:val="single" w:sz="8" w:space="0" w:color="000000"/>
              <w:right w:val="nil" w:sz="6" w:space="0" w:color="auto"/>
            </w:tcBorders>
          </w:tcPr>
          <w:p>
            <w:pPr>
              <w:pStyle w:val="TableParagraph"/>
              <w:spacing w:line="271" w:lineRule="exact"/>
              <w:ind w:right="389"/>
              <w:jc w:val="right"/>
              <w:rPr>
                <w:rFonts w:ascii="Microsoft JhengHei" w:hAnsi="Microsoft JhengHei" w:cs="Microsoft JhengHei" w:eastAsia="Microsoft JhengHei" w:hint="default"/>
                <w:sz w:val="18"/>
                <w:szCs w:val="18"/>
              </w:rPr>
            </w:pPr>
            <w:r>
              <w:rPr>
                <w:rFonts w:ascii="Microsoft JhengHei"/>
                <w:b/>
                <w:w w:val="95"/>
                <w:sz w:val="18"/>
              </w:rPr>
              <w:t>78,360.00</w:t>
            </w:r>
            <w:r>
              <w:rPr>
                <w:rFonts w:ascii="Microsoft JhengHei"/>
                <w:sz w:val="18"/>
              </w:rPr>
            </w:r>
          </w:p>
        </w:tc>
        <w:tc>
          <w:tcPr>
            <w:tcW w:w="1217" w:type="dxa"/>
            <w:tcBorders>
              <w:top w:val="single" w:sz="8" w:space="0" w:color="000000"/>
              <w:left w:val="nil" w:sz="6" w:space="0" w:color="auto"/>
              <w:bottom w:val="single" w:sz="8" w:space="0" w:color="000000"/>
              <w:right w:val="nil" w:sz="6" w:space="0" w:color="auto"/>
            </w:tcBorders>
          </w:tcPr>
          <w:p>
            <w:pPr>
              <w:pStyle w:val="TableParagraph"/>
              <w:spacing w:line="271" w:lineRule="exact"/>
              <w:ind w:right="2"/>
              <w:jc w:val="right"/>
              <w:rPr>
                <w:rFonts w:ascii="Microsoft JhengHei" w:hAnsi="Microsoft JhengHei" w:cs="Microsoft JhengHei" w:eastAsia="Microsoft JhengHei" w:hint="default"/>
                <w:sz w:val="18"/>
                <w:szCs w:val="18"/>
              </w:rPr>
            </w:pPr>
            <w:r>
              <w:rPr>
                <w:rFonts w:ascii="Microsoft JhengHei"/>
                <w:b/>
                <w:w w:val="95"/>
                <w:sz w:val="18"/>
              </w:rPr>
              <w:t>78,360.00</w:t>
            </w:r>
            <w:r>
              <w:rPr>
                <w:rFonts w:ascii="Microsoft JhengHei"/>
                <w:sz w:val="18"/>
              </w:rPr>
            </w:r>
          </w:p>
        </w:tc>
      </w:tr>
    </w:tbl>
    <w:p>
      <w:pPr>
        <w:pStyle w:val="BodyText"/>
        <w:spacing w:line="273" w:lineRule="auto" w:before="95"/>
        <w:ind w:right="142" w:firstLine="422"/>
        <w:jc w:val="both"/>
      </w:pPr>
      <w:r>
        <w:rPr>
          <w:spacing w:val="-2"/>
        </w:rPr>
        <w:t>2016年3月23日，中国证券监督管理委员会发行审核委员会对本集团非公开发行A股股票的申请进行了</w:t>
      </w:r>
      <w:r>
        <w:rPr>
          <w:w w:val="100"/>
        </w:rPr>
        <w:t> </w:t>
      </w:r>
      <w:r>
        <w:rPr/>
        <w:t>审核。根据审核结果，本次非公开发行A股股票的申请获得审核通过。</w:t>
      </w:r>
    </w:p>
    <w:p>
      <w:pPr>
        <w:spacing w:line="240" w:lineRule="auto" w:before="1"/>
        <w:rPr>
          <w:rFonts w:ascii="宋体" w:hAnsi="宋体" w:cs="宋体" w:eastAsia="宋体" w:hint="default"/>
          <w:sz w:val="17"/>
          <w:szCs w:val="17"/>
        </w:rPr>
      </w:pPr>
    </w:p>
    <w:p>
      <w:pPr>
        <w:pStyle w:val="BodyText"/>
        <w:spacing w:line="240" w:lineRule="auto"/>
        <w:ind w:right="0"/>
        <w:jc w:val="both"/>
      </w:pPr>
      <w:r>
        <w:rPr/>
        <w:t>（2）员工持股计划</w:t>
      </w:r>
    </w:p>
    <w:p>
      <w:pPr>
        <w:spacing w:line="240" w:lineRule="auto" w:before="5"/>
        <w:rPr>
          <w:rFonts w:ascii="宋体" w:hAnsi="宋体" w:cs="宋体" w:eastAsia="宋体" w:hint="default"/>
          <w:sz w:val="19"/>
          <w:szCs w:val="19"/>
        </w:rPr>
      </w:pPr>
    </w:p>
    <w:p>
      <w:pPr>
        <w:pStyle w:val="BodyText"/>
        <w:spacing w:line="240" w:lineRule="auto"/>
        <w:ind w:left="575" w:right="0"/>
        <w:jc w:val="left"/>
      </w:pPr>
      <w:r>
        <w:rPr/>
        <w:t>本集团分别于 2015 年 08 月 05 日召开的第三届董事会第九次会议以及 2015 年 08 月 24 </w:t>
      </w:r>
      <w:r>
        <w:rPr>
          <w:spacing w:val="68"/>
        </w:rPr>
        <w:t> </w:t>
      </w:r>
      <w:r>
        <w:rPr/>
        <w:t>日召</w:t>
      </w:r>
    </w:p>
    <w:p>
      <w:pPr>
        <w:pStyle w:val="BodyText"/>
        <w:spacing w:line="240" w:lineRule="auto" w:before="37"/>
        <w:ind w:right="0"/>
        <w:jc w:val="both"/>
      </w:pPr>
      <w:r>
        <w:rPr/>
        <w:t>开的  2015</w:t>
      </w:r>
      <w:r>
        <w:rPr>
          <w:spacing w:val="60"/>
        </w:rPr>
        <w:t> </w:t>
      </w:r>
      <w:r>
        <w:rPr/>
        <w:t>年第三次临时股东大会审议通过了《鸿博股份有限公司第一期员工持股计划》及其摘要，于</w:t>
      </w:r>
    </w:p>
    <w:p>
      <w:pPr>
        <w:pStyle w:val="BodyText"/>
        <w:spacing w:line="273" w:lineRule="auto" w:before="37"/>
        <w:ind w:right="142"/>
        <w:jc w:val="both"/>
      </w:pPr>
      <w:r>
        <w:rPr/>
        <w:t>2015年 12 月 30 日召开的第三届董事会 2015</w:t>
      </w:r>
      <w:r>
        <w:rPr>
          <w:spacing w:val="-24"/>
        </w:rPr>
        <w:t> </w:t>
      </w:r>
      <w:r>
        <w:rPr/>
        <w:t>年第八次临时会议审议通过了《关于修订公司第一期员工</w:t>
      </w:r>
      <w:r>
        <w:rPr>
          <w:w w:val="100"/>
        </w:rPr>
        <w:t> </w:t>
      </w:r>
      <w:r>
        <w:rPr/>
        <w:t>持股计划的议案》。</w:t>
      </w:r>
    </w:p>
    <w:p>
      <w:pPr>
        <w:spacing w:line="240" w:lineRule="auto" w:before="1"/>
        <w:rPr>
          <w:rFonts w:ascii="宋体" w:hAnsi="宋体" w:cs="宋体" w:eastAsia="宋体" w:hint="default"/>
          <w:sz w:val="17"/>
          <w:szCs w:val="17"/>
        </w:rPr>
      </w:pPr>
    </w:p>
    <w:p>
      <w:pPr>
        <w:pStyle w:val="BodyText"/>
        <w:spacing w:line="273" w:lineRule="auto"/>
        <w:ind w:right="142" w:firstLine="422"/>
        <w:jc w:val="both"/>
      </w:pPr>
      <w:r>
        <w:rPr/>
        <w:t>本次员工持股计划拟筹集资金总额不超过2,000万元，资金来源为员工合法薪酬、自筹资金、大股东</w:t>
      </w:r>
      <w:r>
        <w:rPr>
          <w:w w:val="100"/>
        </w:rPr>
        <w:t> </w:t>
      </w:r>
      <w:r>
        <w:rPr>
          <w:spacing w:val="-2"/>
        </w:rPr>
        <w:t>借款及其他合法合规方式等如：（1）公司员工的自筹资金；（2）实际控制人借款。公司实际控制人尤丽</w:t>
      </w:r>
      <w:r>
        <w:rPr>
          <w:spacing w:val="-39"/>
        </w:rPr>
        <w:t> </w:t>
      </w:r>
      <w:r>
        <w:rPr>
          <w:spacing w:val="-39"/>
        </w:rPr>
      </w:r>
      <w:r>
        <w:rPr>
          <w:spacing w:val="-2"/>
        </w:rPr>
        <w:t>娟女士拟以其自有资金向员工持股计划参加对象提供借款支持，借款期限为员工持股计划的存续期。单个</w:t>
      </w:r>
      <w:r>
        <w:rPr>
          <w:spacing w:val="-35"/>
        </w:rPr>
        <w:t> </w:t>
      </w:r>
      <w:r>
        <w:rPr>
          <w:spacing w:val="-35"/>
        </w:rPr>
      </w:r>
      <w:r>
        <w:rPr/>
        <w:t>员工必须认购1万元的整数倍份额，且最低认购金额为1万元（即1万份），但任一持有人所持有本员工持</w:t>
      </w:r>
      <w:r>
        <w:rPr>
          <w:spacing w:val="-33"/>
        </w:rPr>
        <w:t> </w:t>
      </w:r>
      <w:r>
        <w:rPr>
          <w:spacing w:val="-33"/>
        </w:rPr>
      </w:r>
      <w:r>
        <w:rPr>
          <w:spacing w:val="-2"/>
        </w:rPr>
        <w:t>股计划份额所对应的标的股票数量不超过公司股本总额的1%。且本员工持股计划份额所对应股票总数累计</w:t>
      </w:r>
      <w:r>
        <w:rPr>
          <w:spacing w:val="-32"/>
        </w:rPr>
        <w:t> </w:t>
      </w:r>
      <w:r>
        <w:rPr>
          <w:spacing w:val="-32"/>
        </w:rPr>
      </w:r>
      <w:r>
        <w:rPr/>
        <w:t>不超过公司股本总额的10%；员工持股计划持有的股票总数不包括员工在公司首次公开发行股票上市前获</w:t>
      </w:r>
      <w:r>
        <w:rPr>
          <w:spacing w:val="-32"/>
        </w:rPr>
        <w:t> </w:t>
      </w:r>
      <w:r>
        <w:rPr>
          <w:spacing w:val="-32"/>
        </w:rPr>
      </w:r>
      <w:r>
        <w:rPr/>
        <w:t>得的股份、通过二级市场自行购买的股份。</w:t>
      </w:r>
    </w:p>
    <w:p>
      <w:pPr>
        <w:spacing w:line="240" w:lineRule="auto" w:before="1"/>
        <w:rPr>
          <w:rFonts w:ascii="宋体" w:hAnsi="宋体" w:cs="宋体" w:eastAsia="宋体" w:hint="default"/>
          <w:sz w:val="17"/>
          <w:szCs w:val="17"/>
        </w:rPr>
      </w:pPr>
    </w:p>
    <w:p>
      <w:pPr>
        <w:pStyle w:val="BodyText"/>
        <w:spacing w:line="273" w:lineRule="auto"/>
        <w:ind w:right="142" w:firstLine="422"/>
        <w:jc w:val="both"/>
      </w:pPr>
      <w:r>
        <w:rPr>
          <w:spacing w:val="2"/>
        </w:rPr>
        <w:t>本员工持股计划成立后委托兴证证券资产管理有限公司设立兴证资管鑫众-鸿博1号定向资产管理计</w:t>
      </w:r>
      <w:r>
        <w:rPr>
          <w:w w:val="100"/>
        </w:rPr>
        <w:t> </w:t>
      </w:r>
      <w:r>
        <w:rPr>
          <w:spacing w:val="-2"/>
        </w:rPr>
        <w:t>划，受托管理本员工持股计划的全部委托资产。兴证资管鑫众-鸿博1号定向资产管理计划以二级市场购买</w:t>
      </w:r>
    </w:p>
    <w:p>
      <w:pPr>
        <w:pStyle w:val="BodyText"/>
        <w:spacing w:line="273" w:lineRule="auto" w:before="7"/>
        <w:ind w:right="142"/>
        <w:jc w:val="both"/>
      </w:pPr>
      <w:r>
        <w:rPr>
          <w:spacing w:val="-2"/>
        </w:rPr>
        <w:t>（包括但不限于竞价交易、大宗交易、协议转让）等法律法规许可的方式取得并持有标的股票。股东大会</w:t>
      </w:r>
      <w:r>
        <w:rPr>
          <w:spacing w:val="-35"/>
        </w:rPr>
        <w:t> </w:t>
      </w:r>
      <w:r>
        <w:rPr>
          <w:spacing w:val="-35"/>
        </w:rPr>
      </w:r>
      <w:r>
        <w:rPr/>
        <w:t>通过本员工持股计划后6个月内，兴证资管鑫众-鸿博1号定向资产管理计划通过二级市场购买（包括但不</w:t>
      </w:r>
      <w:r>
        <w:rPr>
          <w:spacing w:val="-33"/>
        </w:rPr>
        <w:t> </w:t>
      </w:r>
      <w:r>
        <w:rPr>
          <w:spacing w:val="-33"/>
        </w:rPr>
      </w:r>
      <w:r>
        <w:rPr/>
        <w:t>限于竞价交易、大宗交易、协议转让）等法律法规许可的方式完成标的股票的购买。</w:t>
      </w:r>
    </w:p>
    <w:p>
      <w:pPr>
        <w:spacing w:after="0" w:line="273" w:lineRule="auto"/>
        <w:jc w:val="both"/>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BodyText"/>
        <w:spacing w:line="273" w:lineRule="auto" w:before="36"/>
        <w:ind w:right="221" w:firstLine="422"/>
        <w:jc w:val="both"/>
      </w:pPr>
      <w:r>
        <w:rPr>
          <w:spacing w:val="-2"/>
        </w:rPr>
        <w:t>本员工持股计划的存续期为24个月，自本员工持股计划成立之日起算，本员工持股计划的存续期届满</w:t>
      </w:r>
      <w:r>
        <w:rPr>
          <w:w w:val="100"/>
        </w:rPr>
        <w:t> </w:t>
      </w:r>
      <w:r>
        <w:rPr>
          <w:spacing w:val="-2"/>
        </w:rPr>
        <w:t>后自行终止。本员工持股计划的锁定期为12个月，自公司公告最后一笔标的股票过户至鑫众-鸿博1号定向</w:t>
      </w:r>
      <w:r>
        <w:rPr>
          <w:spacing w:val="-32"/>
        </w:rPr>
        <w:t> </w:t>
      </w:r>
      <w:r>
        <w:rPr>
          <w:spacing w:val="-32"/>
        </w:rPr>
      </w:r>
      <w:r>
        <w:rPr/>
        <w:t>计划名下之日起算，本员工持股计划的存续期届满后自行终止。</w:t>
      </w:r>
    </w:p>
    <w:p>
      <w:pPr>
        <w:spacing w:line="240" w:lineRule="auto" w:before="1"/>
        <w:rPr>
          <w:rFonts w:ascii="宋体" w:hAnsi="宋体" w:cs="宋体" w:eastAsia="宋体" w:hint="default"/>
          <w:sz w:val="17"/>
          <w:szCs w:val="17"/>
        </w:rPr>
      </w:pPr>
    </w:p>
    <w:p>
      <w:pPr>
        <w:pStyle w:val="BodyText"/>
        <w:spacing w:line="273" w:lineRule="auto"/>
        <w:ind w:right="112" w:firstLine="422"/>
        <w:jc w:val="left"/>
      </w:pPr>
      <w:r>
        <w:rPr/>
        <w:t>截至报告日，员工持股计划实施进展情况：2016 年 1 月 20</w:t>
      </w:r>
      <w:r>
        <w:rPr>
          <w:spacing w:val="-24"/>
        </w:rPr>
        <w:t> </w:t>
      </w:r>
      <w:r>
        <w:rPr/>
        <w:t>日，公司第一期员工持股计划通过深圳</w:t>
      </w:r>
      <w:r>
        <w:rPr>
          <w:w w:val="100"/>
        </w:rPr>
        <w:t> </w:t>
      </w:r>
      <w:r>
        <w:rPr>
          <w:spacing w:val="15"/>
        </w:rPr>
        <w:t>证券交易所二级市场已买入公司股票</w:t>
      </w:r>
      <w:r>
        <w:rPr>
          <w:spacing w:val="53"/>
        </w:rPr>
        <w:t> </w:t>
      </w:r>
      <w:r>
        <w:rPr/>
        <w:t>1,003,319</w:t>
      </w:r>
      <w:r>
        <w:rPr>
          <w:spacing w:val="27"/>
        </w:rPr>
        <w:t> </w:t>
      </w:r>
      <w:r>
        <w:rPr>
          <w:spacing w:val="9"/>
        </w:rPr>
        <w:t>股，</w:t>
      </w:r>
      <w:r>
        <w:rPr>
          <w:spacing w:val="53"/>
        </w:rPr>
        <w:t> </w:t>
      </w:r>
      <w:r>
        <w:rPr>
          <w:spacing w:val="14"/>
        </w:rPr>
        <w:t>占公司已发行总股本的</w:t>
      </w:r>
      <w:r>
        <w:rPr>
          <w:spacing w:val="48"/>
        </w:rPr>
        <w:t> </w:t>
      </w:r>
      <w:r>
        <w:rPr>
          <w:spacing w:val="2"/>
        </w:rPr>
        <w:t>0.34%，</w:t>
      </w:r>
      <w:r>
        <w:rPr>
          <w:spacing w:val="53"/>
        </w:rPr>
        <w:t> </w:t>
      </w:r>
      <w:r>
        <w:rPr>
          <w:spacing w:val="12"/>
        </w:rPr>
        <w:t>购买金额</w:t>
      </w:r>
      <w:r>
        <w:rPr>
          <w:spacing w:val="-93"/>
        </w:rPr>
        <w:t> </w:t>
      </w:r>
      <w:r>
        <w:rPr>
          <w:spacing w:val="-93"/>
        </w:rPr>
      </w:r>
      <w:r>
        <w:rPr/>
        <w:t>19,593,471.96</w:t>
      </w:r>
      <w:r>
        <w:rPr>
          <w:spacing w:val="22"/>
        </w:rPr>
        <w:t> </w:t>
      </w:r>
      <w:r>
        <w:rPr>
          <w:spacing w:val="-9"/>
        </w:rPr>
        <w:t>元，成交均价为</w:t>
      </w:r>
      <w:r>
        <w:rPr>
          <w:spacing w:val="16"/>
        </w:rPr>
        <w:t> </w:t>
      </w:r>
      <w:r>
        <w:rPr/>
        <w:t>19.53</w:t>
      </w:r>
      <w:r>
        <w:rPr>
          <w:spacing w:val="22"/>
        </w:rPr>
        <w:t> </w:t>
      </w:r>
      <w:r>
        <w:rPr>
          <w:spacing w:val="-11"/>
        </w:rPr>
        <w:t>元/股。根据《鸿博股份有限公司第一期员工持股计划（修正案）》，</w:t>
      </w:r>
      <w:r>
        <w:rPr>
          <w:spacing w:val="-103"/>
        </w:rPr>
        <w:t> </w:t>
      </w:r>
      <w:r>
        <w:rPr>
          <w:spacing w:val="-103"/>
        </w:rPr>
      </w:r>
      <w:r>
        <w:rPr/>
        <w:t>第一期员工持股计划已完成股票购买，锁定期 </w:t>
      </w:r>
      <w:r>
        <w:rPr>
          <w:spacing w:val="-3"/>
        </w:rPr>
        <w:t>12 </w:t>
      </w:r>
      <w:r>
        <w:rPr/>
        <w:t>个月，</w:t>
      </w:r>
      <w:r>
        <w:rPr>
          <w:spacing w:val="7"/>
        </w:rPr>
        <w:t> </w:t>
      </w:r>
      <w:r>
        <w:rPr/>
        <w:t>自2016年1月21日起算。</w:t>
      </w:r>
    </w:p>
    <w:p>
      <w:pPr>
        <w:pStyle w:val="BodyText"/>
        <w:spacing w:line="528" w:lineRule="exact" w:before="46"/>
        <w:ind w:left="575" w:right="109" w:hanging="423"/>
        <w:jc w:val="left"/>
      </w:pPr>
      <w:r>
        <w:rPr/>
        <w:t>（3）股东或高管股权质押</w:t>
      </w:r>
      <w:r>
        <w:rPr>
          <w:spacing w:val="-102"/>
        </w:rPr>
        <w:t> </w:t>
      </w:r>
      <w:r>
        <w:rPr>
          <w:spacing w:val="-102"/>
        </w:rPr>
      </w:r>
      <w:r>
        <w:rPr/>
        <w:t>因合同履行完毕，尤玉仙女士于2016年1月18日将其原质押给个人的本公司股份160万股高管锁定股</w:t>
      </w:r>
    </w:p>
    <w:p>
      <w:pPr>
        <w:pStyle w:val="BodyText"/>
        <w:spacing w:line="236" w:lineRule="exact"/>
        <w:ind w:right="109"/>
        <w:jc w:val="left"/>
      </w:pPr>
      <w:r>
        <w:rPr/>
        <w:t>（占公司总股本的0.54%）</w:t>
      </w:r>
      <w:r>
        <w:rPr>
          <w:spacing w:val="-2"/>
        </w:rPr>
        <w:t> </w:t>
      </w:r>
      <w:r>
        <w:rPr/>
        <w:t>办理了解除质押手续。</w:t>
      </w:r>
    </w:p>
    <w:p>
      <w:pPr>
        <w:spacing w:line="240" w:lineRule="auto" w:before="5"/>
        <w:rPr>
          <w:rFonts w:ascii="宋体" w:hAnsi="宋体" w:cs="宋体" w:eastAsia="宋体" w:hint="default"/>
          <w:sz w:val="19"/>
          <w:szCs w:val="19"/>
        </w:rPr>
      </w:pPr>
    </w:p>
    <w:p>
      <w:pPr>
        <w:pStyle w:val="BodyText"/>
        <w:spacing w:line="273" w:lineRule="auto"/>
        <w:ind w:right="217" w:firstLine="422"/>
        <w:jc w:val="both"/>
      </w:pPr>
      <w:r>
        <w:rPr>
          <w:spacing w:val="-2"/>
        </w:rPr>
        <w:t>2016年2月1日，尤玉仙女士将其持有的本公司股份445万股无限售流通股（占公司总股本的1.49%）质</w:t>
      </w:r>
      <w:r>
        <w:rPr>
          <w:w w:val="100"/>
        </w:rPr>
        <w:t> </w:t>
      </w:r>
      <w:r>
        <w:rPr/>
        <w:t>押给日信证券有限责任公司，用于个人融资，质押期限为2016</w:t>
      </w:r>
      <w:r>
        <w:rPr>
          <w:spacing w:val="-1"/>
        </w:rPr>
        <w:t> </w:t>
      </w:r>
      <w:r>
        <w:rPr/>
        <w:t>年2月1日至2017年1月26日。</w:t>
      </w:r>
    </w:p>
    <w:p>
      <w:pPr>
        <w:spacing w:line="240" w:lineRule="auto" w:before="1"/>
        <w:rPr>
          <w:rFonts w:ascii="宋体" w:hAnsi="宋体" w:cs="宋体" w:eastAsia="宋体" w:hint="default"/>
          <w:sz w:val="17"/>
          <w:szCs w:val="17"/>
        </w:rPr>
      </w:pPr>
    </w:p>
    <w:p>
      <w:pPr>
        <w:pStyle w:val="BodyText"/>
        <w:spacing w:line="273" w:lineRule="auto"/>
        <w:ind w:right="222" w:firstLine="422"/>
        <w:jc w:val="both"/>
      </w:pPr>
      <w:r>
        <w:rPr>
          <w:spacing w:val="-4"/>
        </w:rPr>
        <w:t>因合同履行完毕，尤玉仙女士于2016年2月3日将其原质押给个人的本公司股份300万股高管锁定股（占</w:t>
      </w:r>
      <w:r>
        <w:rPr>
          <w:w w:val="100"/>
        </w:rPr>
        <w:t> </w:t>
      </w:r>
      <w:r>
        <w:rPr/>
        <w:t>公司总股本的1.01%）</w:t>
      </w:r>
      <w:r>
        <w:rPr>
          <w:spacing w:val="2"/>
        </w:rPr>
        <w:t> </w:t>
      </w:r>
      <w:r>
        <w:rPr/>
        <w:t>办理了解除质押手续。</w:t>
      </w:r>
    </w:p>
    <w:p>
      <w:pPr>
        <w:spacing w:line="240" w:lineRule="auto" w:before="1"/>
        <w:rPr>
          <w:rFonts w:ascii="宋体" w:hAnsi="宋体" w:cs="宋体" w:eastAsia="宋体" w:hint="default"/>
          <w:sz w:val="17"/>
          <w:szCs w:val="17"/>
        </w:rPr>
      </w:pPr>
    </w:p>
    <w:p>
      <w:pPr>
        <w:pStyle w:val="BodyText"/>
        <w:spacing w:line="273" w:lineRule="auto"/>
        <w:ind w:right="217" w:firstLine="422"/>
        <w:jc w:val="both"/>
      </w:pPr>
      <w:r>
        <w:rPr>
          <w:spacing w:val="-2"/>
        </w:rPr>
        <w:t>2016年3月2日，尤友鸾先生将其持有的本公司股份400万股高管锁定股（占公司总股本的1.34%）质押</w:t>
      </w:r>
      <w:r>
        <w:rPr>
          <w:w w:val="100"/>
        </w:rPr>
        <w:t> </w:t>
      </w:r>
      <w:r>
        <w:rPr/>
        <w:t>给日信证券有限责任公司，用于个人融资，质押期限为</w:t>
      </w:r>
      <w:r>
        <w:rPr>
          <w:spacing w:val="-4"/>
        </w:rPr>
        <w:t> </w:t>
      </w:r>
      <w:r>
        <w:rPr/>
        <w:t>2016年3月2日至2017年2月24日。</w:t>
      </w:r>
    </w:p>
    <w:p>
      <w:pPr>
        <w:spacing w:line="240" w:lineRule="auto" w:before="1"/>
        <w:rPr>
          <w:rFonts w:ascii="宋体" w:hAnsi="宋体" w:cs="宋体" w:eastAsia="宋体" w:hint="default"/>
          <w:sz w:val="17"/>
          <w:szCs w:val="17"/>
        </w:rPr>
      </w:pPr>
    </w:p>
    <w:p>
      <w:pPr>
        <w:pStyle w:val="BodyText"/>
        <w:spacing w:line="273" w:lineRule="auto"/>
        <w:ind w:right="226" w:firstLine="422"/>
        <w:jc w:val="both"/>
      </w:pPr>
      <w:r>
        <w:rPr/>
        <w:t>2016年3月11日，尤玉仙女士将其持有的本公司股份290万股无限售流通股（占公司总股本的0.97%）</w:t>
      </w:r>
      <w:r>
        <w:rPr>
          <w:w w:val="100"/>
        </w:rPr>
        <w:t> </w:t>
      </w:r>
      <w:r>
        <w:rPr/>
        <w:t>质押给日信证券有限责任公司，用于个人融资，质押期限为2016年3月11日至2017年3月6日。</w:t>
      </w:r>
    </w:p>
    <w:p>
      <w:pPr>
        <w:spacing w:line="240" w:lineRule="auto" w:before="1"/>
        <w:rPr>
          <w:rFonts w:ascii="宋体" w:hAnsi="宋体" w:cs="宋体" w:eastAsia="宋体" w:hint="default"/>
          <w:sz w:val="17"/>
          <w:szCs w:val="17"/>
        </w:rPr>
      </w:pPr>
    </w:p>
    <w:p>
      <w:pPr>
        <w:pStyle w:val="BodyText"/>
        <w:spacing w:line="240" w:lineRule="auto"/>
        <w:ind w:right="109"/>
        <w:jc w:val="left"/>
      </w:pPr>
      <w:r>
        <w:rPr/>
        <w:t>（4）诉讼事项</w:t>
      </w:r>
    </w:p>
    <w:p>
      <w:pPr>
        <w:spacing w:line="240" w:lineRule="auto" w:before="5"/>
        <w:rPr>
          <w:rFonts w:ascii="宋体" w:hAnsi="宋体" w:cs="宋体" w:eastAsia="宋体" w:hint="default"/>
          <w:sz w:val="19"/>
          <w:szCs w:val="19"/>
        </w:rPr>
      </w:pPr>
    </w:p>
    <w:p>
      <w:pPr>
        <w:pStyle w:val="BodyText"/>
        <w:spacing w:line="273" w:lineRule="auto"/>
        <w:ind w:right="217" w:firstLine="422"/>
        <w:jc w:val="both"/>
      </w:pPr>
      <w:r>
        <w:rPr>
          <w:spacing w:val="-2"/>
        </w:rPr>
        <w:t>本集团子公司鸿博（福建）数据网络科技股份有限公司起诉北京启思睿德文科技有限公司合同纠纷一</w:t>
      </w:r>
      <w:r>
        <w:rPr>
          <w:w w:val="100"/>
        </w:rPr>
        <w:t> </w:t>
      </w:r>
      <w:r>
        <w:rPr>
          <w:spacing w:val="-2"/>
        </w:rPr>
        <w:t>案，于2016年3月15日在北京市海淀区人民法院开庭审理，并定于2016年4月12日第二次开庭审理。目前该</w:t>
      </w:r>
      <w:r>
        <w:rPr>
          <w:spacing w:val="-27"/>
        </w:rPr>
        <w:t> </w:t>
      </w:r>
      <w:r>
        <w:rPr>
          <w:spacing w:val="-27"/>
        </w:rPr>
      </w:r>
      <w:r>
        <w:rPr/>
        <w:t>案诉讼程序正在进行中，本诉中鸿博（福建）数据网络科技股份有限公司诉讼请求为：（1）请求判令北</w:t>
      </w:r>
      <w:r>
        <w:rPr>
          <w:spacing w:val="-32"/>
        </w:rPr>
        <w:t> </w:t>
      </w:r>
      <w:r>
        <w:rPr>
          <w:spacing w:val="-32"/>
        </w:rPr>
      </w:r>
      <w:r>
        <w:rPr/>
        <w:t>京启思公司支付拖欠服务费11,440,000.00元及按58,500.00元/日的标准支付违约金（自2015年7月5日起</w:t>
      </w:r>
      <w:r>
        <w:rPr>
          <w:spacing w:val="-32"/>
        </w:rPr>
        <w:t> </w:t>
      </w:r>
      <w:r>
        <w:rPr>
          <w:spacing w:val="-32"/>
        </w:rPr>
      </w:r>
      <w:r>
        <w:rPr>
          <w:spacing w:val="-2"/>
        </w:rPr>
        <w:t>计至欠款实际付清止）；（2）请求判令北京启思公司承担诉讼费（一审诉讼费为68,211.00元）。反诉中</w:t>
      </w:r>
      <w:r>
        <w:rPr>
          <w:spacing w:val="-31"/>
        </w:rPr>
        <w:t> </w:t>
      </w:r>
      <w:r>
        <w:rPr>
          <w:spacing w:val="-31"/>
        </w:rPr>
      </w:r>
      <w:r>
        <w:rPr>
          <w:spacing w:val="-2"/>
        </w:rPr>
        <w:t>北京启思公司诉讼请求为：（1）请求解除《彩票投注推广协议》及其附属的《债权债务协议》；（2）请</w:t>
      </w:r>
      <w:r>
        <w:rPr>
          <w:spacing w:val="-45"/>
        </w:rPr>
        <w:t> </w:t>
      </w:r>
      <w:r>
        <w:rPr>
          <w:spacing w:val="-45"/>
        </w:rPr>
      </w:r>
      <w:r>
        <w:rPr>
          <w:spacing w:val="-2"/>
        </w:rPr>
        <w:t>求判令鸿博数据公司退还已收到的服务费5850,000.00元；（3）请求判令鸿博数据公司承担诉讼费（一审</w:t>
      </w:r>
      <w:r>
        <w:rPr>
          <w:spacing w:val="-24"/>
        </w:rPr>
        <w:t> </w:t>
      </w:r>
      <w:r>
        <w:rPr>
          <w:spacing w:val="-24"/>
        </w:rPr>
      </w:r>
      <w:r>
        <w:rPr/>
        <w:t>诉讼费68,211.00元）。</w:t>
      </w:r>
    </w:p>
    <w:p>
      <w:pPr>
        <w:spacing w:line="240" w:lineRule="auto" w:before="1"/>
        <w:rPr>
          <w:rFonts w:ascii="宋体" w:hAnsi="宋体" w:cs="宋体" w:eastAsia="宋体" w:hint="default"/>
          <w:sz w:val="17"/>
          <w:szCs w:val="17"/>
        </w:rPr>
      </w:pPr>
    </w:p>
    <w:p>
      <w:pPr>
        <w:pStyle w:val="BodyText"/>
        <w:spacing w:line="240" w:lineRule="auto"/>
        <w:ind w:right="109"/>
        <w:jc w:val="left"/>
      </w:pPr>
      <w:r>
        <w:rPr/>
        <w:t>（5）截至2016年3月28日，本集团不存在其他应披露的资产负债表日后事项。</w:t>
      </w:r>
    </w:p>
    <w:p>
      <w:pPr>
        <w:spacing w:line="240" w:lineRule="auto" w:before="11"/>
        <w:rPr>
          <w:rFonts w:ascii="宋体" w:hAnsi="宋体" w:cs="宋体" w:eastAsia="宋体" w:hint="default"/>
          <w:sz w:val="17"/>
          <w:szCs w:val="17"/>
        </w:rPr>
      </w:pPr>
    </w:p>
    <w:p>
      <w:pPr>
        <w:pStyle w:val="Heading2"/>
        <w:spacing w:line="240" w:lineRule="auto"/>
        <w:ind w:right="109"/>
        <w:jc w:val="left"/>
        <w:rPr>
          <w:b w:val="0"/>
          <w:bCs w:val="0"/>
        </w:rPr>
      </w:pPr>
      <w:r>
        <w:rPr/>
        <w:t>十六、其他重要事项</w:t>
      </w:r>
      <w:r>
        <w:rPr>
          <w:b w:val="0"/>
          <w:bCs w:val="0"/>
        </w:rPr>
      </w:r>
    </w:p>
    <w:p>
      <w:pPr>
        <w:spacing w:line="240" w:lineRule="auto" w:before="5"/>
        <w:rPr>
          <w:rFonts w:ascii="Microsoft JhengHei" w:hAnsi="Microsoft JhengHei" w:cs="Microsoft JhengHei" w:eastAsia="Microsoft JhengHei" w:hint="default"/>
          <w:b/>
          <w:bCs/>
          <w:sz w:val="13"/>
          <w:szCs w:val="13"/>
        </w:rPr>
      </w:pPr>
    </w:p>
    <w:p>
      <w:pPr>
        <w:pStyle w:val="Heading4"/>
        <w:spacing w:line="240" w:lineRule="auto"/>
        <w:ind w:right="109"/>
        <w:jc w:val="left"/>
        <w:rPr>
          <w:b w:val="0"/>
          <w:bCs w:val="0"/>
        </w:rPr>
      </w:pPr>
      <w:r>
        <w:rPr>
          <w:rFonts w:ascii="Times New Roman" w:hAnsi="Times New Roman" w:cs="Times New Roman" w:eastAsia="Times New Roman" w:hint="default"/>
        </w:rPr>
        <w:t>1</w:t>
      </w:r>
      <w:r>
        <w:rPr/>
        <w:t>、前期会计差错更正</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109"/>
        <w:jc w:val="left"/>
        <w:rPr>
          <w:b w:val="0"/>
          <w:bCs w:val="0"/>
        </w:rPr>
      </w:pPr>
      <w:r>
        <w:rPr/>
        <w:t>（</w:t>
      </w:r>
      <w:r>
        <w:rPr>
          <w:rFonts w:ascii="Times New Roman" w:hAnsi="Times New Roman" w:cs="Times New Roman" w:eastAsia="Times New Roman" w:hint="default"/>
        </w:rPr>
        <w:t>1</w:t>
      </w:r>
      <w:r>
        <w:rPr/>
        <w:t>）追溯重述法</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0" w:right="22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491"/>
        <w:gridCol w:w="2299"/>
        <w:gridCol w:w="2386"/>
        <w:gridCol w:w="2390"/>
      </w:tblGrid>
      <w:tr>
        <w:trPr>
          <w:trHeight w:val="398" w:hRule="exact"/>
        </w:trPr>
        <w:tc>
          <w:tcPr>
            <w:tcW w:w="24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pacing w:val="-3"/>
                <w:sz w:val="18"/>
                <w:szCs w:val="18"/>
              </w:rPr>
              <w:t>会计差错更正的内容</w:t>
            </w:r>
          </w:p>
        </w:tc>
        <w:tc>
          <w:tcPr>
            <w:tcW w:w="22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7"/>
              <w:jc w:val="center"/>
              <w:rPr>
                <w:rFonts w:ascii="宋体" w:hAnsi="宋体" w:cs="宋体" w:eastAsia="宋体" w:hint="default"/>
                <w:sz w:val="18"/>
                <w:szCs w:val="18"/>
              </w:rPr>
            </w:pPr>
            <w:r>
              <w:rPr>
                <w:rFonts w:ascii="宋体" w:hAnsi="宋体" w:cs="宋体" w:eastAsia="宋体" w:hint="default"/>
                <w:sz w:val="18"/>
                <w:szCs w:val="18"/>
              </w:rPr>
              <w:t>处理程序</w:t>
            </w:r>
          </w:p>
        </w:tc>
        <w:tc>
          <w:tcPr>
            <w:tcW w:w="23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105" w:right="0"/>
              <w:jc w:val="left"/>
              <w:rPr>
                <w:rFonts w:ascii="宋体" w:hAnsi="宋体" w:cs="宋体" w:eastAsia="宋体" w:hint="default"/>
                <w:sz w:val="18"/>
                <w:szCs w:val="18"/>
              </w:rPr>
            </w:pPr>
            <w:r>
              <w:rPr>
                <w:rFonts w:ascii="宋体" w:hAnsi="宋体" w:cs="宋体" w:eastAsia="宋体" w:hint="default"/>
                <w:spacing w:val="-3"/>
                <w:sz w:val="18"/>
                <w:szCs w:val="18"/>
              </w:rPr>
              <w:t>受影响的各个比较期间报表</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9" w:right="0"/>
              <w:jc w:val="left"/>
              <w:rPr>
                <w:rFonts w:ascii="宋体" w:hAnsi="宋体" w:cs="宋体" w:eastAsia="宋体" w:hint="default"/>
                <w:sz w:val="18"/>
                <w:szCs w:val="18"/>
              </w:rPr>
            </w:pPr>
            <w:r>
              <w:rPr>
                <w:rFonts w:ascii="宋体" w:hAnsi="宋体" w:cs="宋体" w:eastAsia="宋体" w:hint="default"/>
                <w:sz w:val="18"/>
                <w:szCs w:val="18"/>
              </w:rPr>
              <w:t>累积影响数</w:t>
            </w:r>
          </w:p>
        </w:tc>
      </w:tr>
    </w:tbl>
    <w:p>
      <w:pPr>
        <w:spacing w:after="0" w:line="240" w:lineRule="auto"/>
        <w:jc w:val="left"/>
        <w:rPr>
          <w:rFonts w:ascii="宋体" w:hAnsi="宋体" w:cs="宋体" w:eastAsia="宋体" w:hint="default"/>
          <w:sz w:val="18"/>
          <w:szCs w:val="18"/>
        </w:rPr>
        <w:sectPr>
          <w:pgSz w:w="11900" w:h="16840"/>
          <w:pgMar w:header="872" w:footer="984" w:top="1060" w:bottom="1180" w:left="980" w:right="90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2491"/>
        <w:gridCol w:w="2299"/>
        <w:gridCol w:w="2386"/>
        <w:gridCol w:w="2390"/>
      </w:tblGrid>
      <w:tr>
        <w:trPr>
          <w:trHeight w:val="360" w:hRule="exact"/>
        </w:trPr>
        <w:tc>
          <w:tcPr>
            <w:tcW w:w="249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29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3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right="7"/>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）未来适用法</w:t>
      </w:r>
      <w:r>
        <w:rPr>
          <w:b w:val="0"/>
          <w:bCs w:val="0"/>
        </w:rPr>
      </w:r>
    </w:p>
    <w:p>
      <w:pPr>
        <w:spacing w:line="240" w:lineRule="auto" w:before="17"/>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3326"/>
        <w:gridCol w:w="3058"/>
        <w:gridCol w:w="3187"/>
      </w:tblGrid>
      <w:tr>
        <w:trPr>
          <w:trHeight w:val="394" w:hRule="exact"/>
        </w:trPr>
        <w:tc>
          <w:tcPr>
            <w:tcW w:w="33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44" w:right="0"/>
              <w:jc w:val="left"/>
              <w:rPr>
                <w:rFonts w:ascii="宋体" w:hAnsi="宋体" w:cs="宋体" w:eastAsia="宋体" w:hint="default"/>
                <w:sz w:val="18"/>
                <w:szCs w:val="18"/>
              </w:rPr>
            </w:pPr>
            <w:r>
              <w:rPr>
                <w:rFonts w:ascii="宋体" w:hAnsi="宋体" w:cs="宋体" w:eastAsia="宋体" w:hint="default"/>
                <w:spacing w:val="-3"/>
                <w:sz w:val="18"/>
                <w:szCs w:val="18"/>
              </w:rPr>
              <w:t>会计差错更正的内容</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7"/>
              <w:jc w:val="center"/>
              <w:rPr>
                <w:rFonts w:ascii="宋体" w:hAnsi="宋体" w:cs="宋体" w:eastAsia="宋体" w:hint="default"/>
                <w:sz w:val="18"/>
                <w:szCs w:val="18"/>
              </w:rPr>
            </w:pPr>
            <w:r>
              <w:rPr>
                <w:rFonts w:ascii="宋体" w:hAnsi="宋体" w:cs="宋体" w:eastAsia="宋体" w:hint="default"/>
                <w:sz w:val="18"/>
                <w:szCs w:val="18"/>
              </w:rPr>
              <w:t>批准程序</w:t>
            </w:r>
          </w:p>
        </w:tc>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686" w:right="0"/>
              <w:jc w:val="left"/>
              <w:rPr>
                <w:rFonts w:ascii="宋体" w:hAnsi="宋体" w:cs="宋体" w:eastAsia="宋体" w:hint="default"/>
                <w:sz w:val="18"/>
                <w:szCs w:val="18"/>
              </w:rPr>
            </w:pPr>
            <w:r>
              <w:rPr>
                <w:rFonts w:ascii="宋体" w:hAnsi="宋体" w:cs="宋体" w:eastAsia="宋体" w:hint="default"/>
                <w:sz w:val="18"/>
                <w:szCs w:val="18"/>
              </w:rPr>
              <w:t>采用未来适用法的原因</w:t>
            </w:r>
          </w:p>
        </w:tc>
      </w:tr>
    </w:tbl>
    <w:p>
      <w:pPr>
        <w:spacing w:line="240" w:lineRule="auto" w:before="17"/>
        <w:rPr>
          <w:rFonts w:ascii="Microsoft JhengHei" w:hAnsi="Microsoft JhengHei" w:cs="Microsoft JhengHei" w:eastAsia="Microsoft JhengHei" w:hint="default"/>
          <w:b/>
          <w:bCs/>
          <w:sz w:val="14"/>
          <w:szCs w:val="14"/>
        </w:rPr>
      </w:pPr>
    </w:p>
    <w:p>
      <w:pPr>
        <w:pStyle w:val="Heading4"/>
        <w:spacing w:line="335" w:lineRule="exact"/>
        <w:ind w:right="0"/>
        <w:jc w:val="left"/>
        <w:rPr>
          <w:b w:val="0"/>
          <w:bCs w:val="0"/>
        </w:rPr>
      </w:pPr>
      <w:r>
        <w:rPr>
          <w:rFonts w:ascii="Times New Roman" w:hAnsi="Times New Roman" w:cs="Times New Roman" w:eastAsia="Times New Roman" w:hint="default"/>
        </w:rPr>
        <w:t>2</w:t>
      </w:r>
      <w:r>
        <w:rPr/>
        <w:t>、债务重组</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rFonts w:ascii="Times New Roman" w:hAnsi="Times New Roman" w:cs="Times New Roman" w:eastAsia="Times New Roman" w:hint="default"/>
        </w:rPr>
        <w:t>3</w:t>
      </w:r>
      <w:r>
        <w:rPr/>
        <w:t>、资产置换</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）非货币性资产交换</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）其他资产置换</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rFonts w:ascii="Times New Roman" w:hAnsi="Times New Roman" w:cs="Times New Roman" w:eastAsia="Times New Roman" w:hint="default"/>
        </w:rPr>
        <w:t>4</w:t>
      </w:r>
      <w:r>
        <w:rPr/>
        <w:t>、年金计划</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rFonts w:ascii="Times New Roman" w:hAnsi="Times New Roman" w:cs="Times New Roman" w:eastAsia="Times New Roman" w:hint="default"/>
        </w:rPr>
        <w:t>5</w:t>
      </w:r>
      <w:r>
        <w:rPr/>
        <w:t>、终止经营</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1368"/>
        <w:gridCol w:w="1368"/>
        <w:gridCol w:w="1363"/>
        <w:gridCol w:w="1368"/>
        <w:gridCol w:w="1368"/>
      </w:tblGrid>
      <w:tr>
        <w:trPr>
          <w:trHeight w:val="357" w:hRule="exact"/>
        </w:trPr>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3"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8"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pacing w:val="-3"/>
                <w:sz w:val="18"/>
                <w:szCs w:val="18"/>
              </w:rPr>
              <w:t>归属于母公司所</w:t>
            </w:r>
          </w:p>
        </w:tc>
      </w:tr>
      <w:tr>
        <w:trPr>
          <w:trHeight w:val="314" w:hRule="exact"/>
        </w:trPr>
        <w:tc>
          <w:tcPr>
            <w:tcW w:w="13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right="2"/>
              <w:jc w:val="center"/>
              <w:rPr>
                <w:rFonts w:ascii="宋体" w:hAnsi="宋体" w:cs="宋体" w:eastAsia="宋体" w:hint="default"/>
                <w:sz w:val="18"/>
                <w:szCs w:val="18"/>
              </w:rPr>
            </w:pPr>
            <w:r>
              <w:rPr>
                <w:rFonts w:ascii="宋体" w:hAnsi="宋体" w:cs="宋体" w:eastAsia="宋体" w:hint="default"/>
                <w:sz w:val="18"/>
                <w:szCs w:val="18"/>
              </w:rPr>
              <w:t>收入</w:t>
            </w:r>
          </w:p>
        </w:tc>
        <w:tc>
          <w:tcPr>
            <w:tcW w:w="13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right="2"/>
              <w:jc w:val="center"/>
              <w:rPr>
                <w:rFonts w:ascii="宋体" w:hAnsi="宋体" w:cs="宋体" w:eastAsia="宋体" w:hint="default"/>
                <w:sz w:val="18"/>
                <w:szCs w:val="18"/>
              </w:rPr>
            </w:pPr>
            <w:r>
              <w:rPr>
                <w:rFonts w:ascii="宋体" w:hAnsi="宋体" w:cs="宋体" w:eastAsia="宋体" w:hint="default"/>
                <w:sz w:val="18"/>
                <w:szCs w:val="18"/>
              </w:rPr>
              <w:t>费用</w:t>
            </w:r>
          </w:p>
        </w:tc>
        <w:tc>
          <w:tcPr>
            <w:tcW w:w="13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left="316"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136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left="220"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3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3"/>
              <w:ind w:left="407"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3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pacing w:val="-3"/>
                <w:sz w:val="18"/>
                <w:szCs w:val="18"/>
              </w:rPr>
              <w:t>有者的终止经营</w:t>
            </w:r>
          </w:p>
        </w:tc>
      </w:tr>
      <w:tr>
        <w:trPr>
          <w:trHeight w:val="356" w:hRule="exact"/>
        </w:trPr>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3"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1"/>
              <w:ind w:right="2"/>
              <w:jc w:val="center"/>
              <w:rPr>
                <w:rFonts w:ascii="宋体" w:hAnsi="宋体" w:cs="宋体" w:eastAsia="宋体" w:hint="default"/>
                <w:sz w:val="18"/>
                <w:szCs w:val="18"/>
              </w:rPr>
            </w:pPr>
            <w:r>
              <w:rPr>
                <w:rFonts w:ascii="宋体" w:hAnsi="宋体" w:cs="宋体" w:eastAsia="宋体" w:hint="default"/>
                <w:sz w:val="18"/>
                <w:szCs w:val="18"/>
              </w:rPr>
              <w:t>利润</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6</w:t>
      </w:r>
      <w:r>
        <w:rPr/>
        <w:t>、分部信息</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）报告分部的确定依据与会计政策</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）报告分部的财务信息</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0"/>
        <w:gridCol w:w="2395"/>
        <w:gridCol w:w="2390"/>
        <w:gridCol w:w="2390"/>
      </w:tblGrid>
      <w:tr>
        <w:trPr>
          <w:trHeight w:val="403"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5"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39" w:right="0"/>
              <w:jc w:val="left"/>
              <w:rPr>
                <w:rFonts w:ascii="宋体" w:hAnsi="宋体" w:cs="宋体" w:eastAsia="宋体" w:hint="default"/>
                <w:sz w:val="18"/>
                <w:szCs w:val="18"/>
              </w:rPr>
            </w:pPr>
            <w:r>
              <w:rPr>
                <w:rFonts w:ascii="宋体" w:hAnsi="宋体" w:cs="宋体" w:eastAsia="宋体" w:hint="default"/>
                <w:sz w:val="18"/>
                <w:szCs w:val="18"/>
              </w:rPr>
              <w:t>分部间抵销</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3</w:t>
      </w:r>
      <w:r>
        <w:rPr/>
        <w:t>）公司无报告分部的，或者不能披露各报告分部的资产总额和负债总额的，应说明原因</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73" w:lineRule="auto"/>
        <w:ind w:right="137" w:firstLine="422"/>
        <w:jc w:val="both"/>
      </w:pPr>
      <w:r>
        <w:rPr>
          <w:spacing w:val="-2"/>
        </w:rPr>
        <w:t>本集团2015年度收入主要来自票证、包装装潢品印刷等业务，99.85%的收入来源于中国境内，所有资</w:t>
      </w:r>
      <w:r>
        <w:rPr>
          <w:w w:val="100"/>
        </w:rPr>
        <w:t> </w:t>
      </w:r>
      <w:r>
        <w:rPr>
          <w:spacing w:val="-2"/>
        </w:rPr>
        <w:t>产均位于中国境内。同时，本集团在内部组织结构和管理要求方面不再对其业务进行区分，管理层在复核</w:t>
      </w:r>
      <w:r>
        <w:rPr>
          <w:spacing w:val="-35"/>
        </w:rPr>
        <w:t> </w:t>
      </w:r>
      <w:r>
        <w:rPr>
          <w:spacing w:val="-35"/>
        </w:rPr>
      </w:r>
      <w:r>
        <w:rPr>
          <w:spacing w:val="-2"/>
        </w:rPr>
        <w:t>内部报告、决定资源配置及业绩评价时，亦认为无需再对其业务的经营成果进行区分。故本集团无分部信</w:t>
      </w:r>
      <w:r>
        <w:rPr>
          <w:spacing w:val="-35"/>
        </w:rPr>
        <w:t> </w:t>
      </w:r>
      <w:r>
        <w:rPr>
          <w:spacing w:val="-35"/>
        </w:rPr>
      </w:r>
      <w:r>
        <w:rPr/>
        <w:t>息的相关披露。</w:t>
      </w:r>
    </w:p>
    <w:p>
      <w:pPr>
        <w:spacing w:after="0" w:line="273" w:lineRule="auto"/>
        <w:jc w:val="both"/>
        <w:sectPr>
          <w:pgSz w:w="11900" w:h="16840"/>
          <w:pgMar w:header="872" w:footer="984" w:top="1060" w:bottom="1180" w:left="980" w:right="980"/>
        </w:sectPr>
      </w:pPr>
    </w:p>
    <w:p>
      <w:pPr>
        <w:spacing w:line="240" w:lineRule="auto" w:before="4"/>
        <w:rPr>
          <w:rFonts w:ascii="宋体" w:hAnsi="宋体" w:cs="宋体" w:eastAsia="宋体" w:hint="default"/>
          <w:sz w:val="25"/>
          <w:szCs w:val="25"/>
        </w:rPr>
      </w:pPr>
    </w:p>
    <w:p>
      <w:pPr>
        <w:pStyle w:val="Heading4"/>
        <w:spacing w:line="335" w:lineRule="exact"/>
        <w:ind w:right="0"/>
        <w:jc w:val="left"/>
        <w:rPr>
          <w:b w:val="0"/>
          <w:bCs w:val="0"/>
        </w:rPr>
      </w:pPr>
      <w:r>
        <w:rPr/>
        <w:t>（</w:t>
      </w:r>
      <w:r>
        <w:rPr>
          <w:rFonts w:ascii="Times New Roman" w:hAnsi="Times New Roman" w:cs="Times New Roman" w:eastAsia="Times New Roman" w:hint="default"/>
        </w:rPr>
        <w:t>4</w:t>
      </w:r>
      <w:r>
        <w:rPr/>
        <w:t>）其他说明</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rFonts w:ascii="Times New Roman" w:hAnsi="Times New Roman" w:cs="Times New Roman" w:eastAsia="Times New Roman" w:hint="default"/>
        </w:rPr>
        <w:t>7</w:t>
      </w:r>
      <w:r>
        <w:rPr/>
        <w:t>、其他对投资者决策有影响的重要交易和事项</w:t>
      </w:r>
      <w:r>
        <w:rPr>
          <w:b w:val="0"/>
          <w:bCs w:val="0"/>
        </w:rPr>
      </w:r>
    </w:p>
    <w:p>
      <w:pPr>
        <w:spacing w:line="240" w:lineRule="auto" w:before="5"/>
        <w:rPr>
          <w:rFonts w:ascii="Microsoft JhengHei" w:hAnsi="Microsoft JhengHei" w:cs="Microsoft JhengHei" w:eastAsia="Microsoft JhengHei" w:hint="default"/>
          <w:b/>
          <w:bCs/>
          <w:sz w:val="14"/>
          <w:szCs w:val="14"/>
        </w:rPr>
      </w:pPr>
    </w:p>
    <w:p>
      <w:pPr>
        <w:spacing w:line="374" w:lineRule="auto" w:before="0"/>
        <w:ind w:left="152" w:right="5928"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b/>
          <w:bCs/>
          <w:spacing w:val="-49"/>
          <w:sz w:val="21"/>
          <w:szCs w:val="21"/>
        </w:rPr>
        <w:t> </w:t>
      </w:r>
      <w:r>
        <w:rPr>
          <w:rFonts w:ascii="Microsoft JhengHei" w:hAnsi="Microsoft JhengHei" w:cs="Microsoft JhengHei" w:eastAsia="Microsoft JhengHei" w:hint="default"/>
          <w:b/>
          <w:bCs/>
          <w:sz w:val="24"/>
          <w:szCs w:val="24"/>
        </w:rPr>
        <w:t>十七、母公司财务报表主要项目注释</w:t>
      </w:r>
      <w:r>
        <w:rPr>
          <w:rFonts w:ascii="Microsoft JhengHei" w:hAnsi="Microsoft JhengHei" w:cs="Microsoft JhengHei" w:eastAsia="Microsoft JhengHei" w:hint="default"/>
          <w:b/>
          <w:bCs/>
          <w:spacing w:val="-49"/>
          <w:sz w:val="24"/>
          <w:szCs w:val="24"/>
        </w:rPr>
        <w:t> </w:t>
      </w:r>
      <w:r>
        <w:rPr>
          <w:rFonts w:ascii="Microsoft JhengHei" w:hAnsi="Microsoft JhengHei" w:cs="Microsoft JhengHei" w:eastAsia="Microsoft JhengHei" w:hint="default"/>
          <w:b/>
          <w:bCs/>
          <w:spacing w:val="-49"/>
          <w:sz w:val="24"/>
          <w:szCs w:val="24"/>
        </w:rPr>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、应收账款</w:t>
      </w:r>
      <w:r>
        <w:rPr>
          <w:rFonts w:ascii="Microsoft JhengHei" w:hAnsi="Microsoft JhengHei" w:cs="Microsoft JhengHei" w:eastAsia="Microsoft JhengHei" w:hint="default"/>
          <w:sz w:val="21"/>
          <w:szCs w:val="21"/>
        </w:rPr>
      </w:r>
    </w:p>
    <w:p>
      <w:pPr>
        <w:pStyle w:val="Heading4"/>
        <w:spacing w:line="240" w:lineRule="auto" w:before="92"/>
        <w:ind w:right="0"/>
        <w:jc w:val="left"/>
        <w:rPr>
          <w:b w:val="0"/>
          <w:bCs w:val="0"/>
        </w:rPr>
      </w:pPr>
      <w:r>
        <w:rPr/>
        <w:t>（</w:t>
      </w:r>
      <w:r>
        <w:rPr>
          <w:rFonts w:ascii="Times New Roman" w:hAnsi="Times New Roman" w:cs="Times New Roman" w:eastAsia="Times New Roman" w:hint="default"/>
        </w:rPr>
        <w:t>1</w:t>
      </w:r>
      <w:r>
        <w:rPr/>
        <w:t>）应收账款分类披露</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610"/>
        <w:gridCol w:w="773"/>
        <w:gridCol w:w="763"/>
        <w:gridCol w:w="763"/>
        <w:gridCol w:w="763"/>
        <w:gridCol w:w="787"/>
        <w:gridCol w:w="653"/>
        <w:gridCol w:w="763"/>
        <w:gridCol w:w="816"/>
        <w:gridCol w:w="931"/>
        <w:gridCol w:w="931"/>
      </w:tblGrid>
      <w:tr>
        <w:trPr>
          <w:trHeight w:val="398" w:hRule="exact"/>
        </w:trPr>
        <w:tc>
          <w:tcPr>
            <w:tcW w:w="1610" w:type="dxa"/>
            <w:vMerge w:val="restart"/>
            <w:tcBorders>
              <w:top w:val="single" w:sz="4" w:space="0" w:color="000000"/>
              <w:left w:val="single" w:sz="4" w:space="0" w:color="000000"/>
              <w:right w:val="single" w:sz="4" w:space="0" w:color="000000"/>
            </w:tcBorders>
            <w:shd w:val="clear" w:color="auto" w:fill="D2D2D2"/>
          </w:tcPr>
          <w:p>
            <w:pPr/>
          </w:p>
        </w:tc>
        <w:tc>
          <w:tcPr>
            <w:tcW w:w="385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58" w:hRule="exact"/>
        </w:trPr>
        <w:tc>
          <w:tcPr>
            <w:tcW w:w="1610" w:type="dxa"/>
            <w:vMerge/>
            <w:tcBorders>
              <w:left w:val="single" w:sz="4" w:space="0" w:color="000000"/>
              <w:bottom w:val="nil" w:sz="6" w:space="0" w:color="auto"/>
              <w:right w:val="single" w:sz="4" w:space="0" w:color="000000"/>
            </w:tcBorders>
            <w:shd w:val="clear" w:color="auto" w:fill="D2D2D2"/>
          </w:tcPr>
          <w:p>
            <w:pPr/>
          </w:p>
        </w:tc>
        <w:tc>
          <w:tcPr>
            <w:tcW w:w="153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40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9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7"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40"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50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2D2D2"/>
          </w:tcPr>
          <w:p>
            <w:pPr/>
          </w:p>
        </w:tc>
      </w:tr>
      <w:tr>
        <w:trPr>
          <w:trHeight w:val="247" w:hRule="exact"/>
        </w:trPr>
        <w:tc>
          <w:tcPr>
            <w:tcW w:w="161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536" w:type="dxa"/>
            <w:gridSpan w:val="2"/>
            <w:vMerge/>
            <w:tcBorders>
              <w:left w:val="single" w:sz="4" w:space="0" w:color="000000"/>
              <w:bottom w:val="single" w:sz="4" w:space="0" w:color="000000"/>
              <w:right w:val="single" w:sz="4" w:space="0" w:color="000000"/>
            </w:tcBorders>
            <w:shd w:val="clear" w:color="auto" w:fill="D2D2D2"/>
          </w:tcPr>
          <w:p>
            <w:pPr/>
          </w:p>
        </w:tc>
        <w:tc>
          <w:tcPr>
            <w:tcW w:w="1526" w:type="dxa"/>
            <w:gridSpan w:val="2"/>
            <w:vMerge/>
            <w:tcBorders>
              <w:left w:val="single" w:sz="4" w:space="0" w:color="000000"/>
              <w:bottom w:val="single" w:sz="4" w:space="0" w:color="000000"/>
              <w:right w:val="single" w:sz="4" w:space="0" w:color="000000"/>
            </w:tcBorders>
            <w:shd w:val="clear" w:color="auto" w:fill="D2D2D2"/>
          </w:tcPr>
          <w:p>
            <w:pPr/>
          </w:p>
        </w:tc>
        <w:tc>
          <w:tcPr>
            <w:tcW w:w="787"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7" w:type="dxa"/>
            <w:gridSpan w:val="2"/>
            <w:vMerge/>
            <w:tcBorders>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153" w:hRule="exact"/>
        </w:trPr>
        <w:tc>
          <w:tcPr>
            <w:tcW w:w="1610" w:type="dxa"/>
            <w:vMerge/>
            <w:tcBorders>
              <w:left w:val="single" w:sz="4" w:space="0" w:color="000000"/>
              <w:bottom w:val="single" w:sz="4" w:space="0" w:color="FFFFFF"/>
              <w:right w:val="single" w:sz="4" w:space="0" w:color="000000"/>
            </w:tcBorders>
            <w:shd w:val="clear" w:color="auto" w:fill="D2D2D2"/>
          </w:tcPr>
          <w:p>
            <w:pPr/>
          </w:p>
        </w:tc>
        <w:tc>
          <w:tcPr>
            <w:tcW w:w="77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vMerge w:val="restart"/>
            <w:tcBorders>
              <w:top w:val="single" w:sz="4" w:space="0" w:color="000000"/>
              <w:left w:val="single" w:sz="4" w:space="0" w:color="000000"/>
              <w:right w:val="single" w:sz="4" w:space="0" w:color="000000"/>
            </w:tcBorders>
            <w:shd w:val="clear" w:color="auto" w:fill="D2D2D2"/>
          </w:tcPr>
          <w:p>
            <w:pPr>
              <w:pStyle w:val="TableParagraph"/>
              <w:spacing w:line="321" w:lineRule="auto" w:before="51"/>
              <w:ind w:left="283" w:right="103" w:hanging="178"/>
              <w:jc w:val="left"/>
              <w:rPr>
                <w:rFonts w:ascii="宋体" w:hAnsi="宋体" w:cs="宋体" w:eastAsia="宋体" w:hint="default"/>
                <w:sz w:val="18"/>
                <w:szCs w:val="18"/>
              </w:rPr>
            </w:pPr>
            <w:r>
              <w:rPr>
                <w:rFonts w:ascii="宋体" w:hAnsi="宋体" w:cs="宋体" w:eastAsia="宋体" w:hint="default"/>
                <w:sz w:val="18"/>
                <w:szCs w:val="18"/>
              </w:rPr>
              <w:t>计提比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例</w:t>
            </w:r>
          </w:p>
        </w:tc>
        <w:tc>
          <w:tcPr>
            <w:tcW w:w="78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3"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tcBorders>
              <w:top w:val="single" w:sz="4" w:space="0" w:color="000000"/>
              <w:left w:val="single" w:sz="4" w:space="0" w:color="000000"/>
              <w:bottom w:val="nil" w:sz="6" w:space="0" w:color="auto"/>
              <w:right w:val="single" w:sz="4" w:space="0" w:color="000000"/>
            </w:tcBorders>
            <w:shd w:val="clear" w:color="auto" w:fill="D2D2D2"/>
          </w:tcPr>
          <w:p>
            <w:pPr/>
          </w:p>
        </w:tc>
        <w:tc>
          <w:tcPr>
            <w:tcW w:w="816" w:type="dxa"/>
            <w:tcBorders>
              <w:top w:val="single" w:sz="4" w:space="0" w:color="000000"/>
              <w:left w:val="single" w:sz="4" w:space="0" w:color="000000"/>
              <w:bottom w:val="nil" w:sz="6" w:space="0" w:color="auto"/>
              <w:right w:val="single" w:sz="4" w:space="0" w:color="000000"/>
            </w:tcBorders>
            <w:shd w:val="clear" w:color="auto" w:fill="D2D2D2"/>
          </w:tcPr>
          <w:p>
            <w:pPr/>
          </w:p>
        </w:tc>
        <w:tc>
          <w:tcPr>
            <w:tcW w:w="931" w:type="dxa"/>
            <w:tcBorders>
              <w:top w:val="single" w:sz="4" w:space="0" w:color="000000"/>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0" w:hRule="exact"/>
        </w:trPr>
        <w:tc>
          <w:tcPr>
            <w:tcW w:w="1610" w:type="dxa"/>
            <w:vMerge w:val="restart"/>
            <w:tcBorders>
              <w:top w:val="single" w:sz="4" w:space="0" w:color="FFFFFF"/>
              <w:left w:val="single" w:sz="4" w:space="0" w:color="000000"/>
              <w:right w:val="single" w:sz="4" w:space="0" w:color="000000"/>
            </w:tcBorders>
            <w:shd w:val="clear" w:color="auto" w:fill="D2D2D2"/>
          </w:tcPr>
          <w:p>
            <w:pPr/>
          </w:p>
        </w:tc>
        <w:tc>
          <w:tcPr>
            <w:tcW w:w="77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51"/>
              <w:ind w:left="20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51"/>
              <w:ind w:left="192"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tcBorders>
              <w:left w:val="single" w:sz="4" w:space="0" w:color="000000"/>
              <w:right w:val="single" w:sz="4" w:space="0" w:color="000000"/>
            </w:tcBorders>
            <w:shd w:val="clear" w:color="auto" w:fill="D2D2D2"/>
          </w:tcPr>
          <w:p>
            <w:pPr/>
          </w:p>
        </w:tc>
        <w:tc>
          <w:tcPr>
            <w:tcW w:w="787" w:type="dxa"/>
            <w:vMerge/>
            <w:tcBorders>
              <w:left w:val="single" w:sz="4" w:space="0" w:color="000000"/>
              <w:bottom w:val="nil" w:sz="6" w:space="0" w:color="auto"/>
              <w:right w:val="single" w:sz="4" w:space="0" w:color="000000"/>
            </w:tcBorders>
            <w:shd w:val="clear" w:color="auto" w:fill="D2D2D2"/>
          </w:tcPr>
          <w:p>
            <w:pPr/>
          </w:p>
        </w:tc>
        <w:tc>
          <w:tcPr>
            <w:tcW w:w="65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6"/>
              <w:ind w:left="139"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6"/>
              <w:ind w:left="192"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6"/>
              <w:ind w:left="22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6"/>
              <w:ind w:left="95"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1610" w:type="dxa"/>
            <w:vMerge/>
            <w:tcBorders>
              <w:left w:val="single" w:sz="4" w:space="0" w:color="000000"/>
              <w:right w:val="single" w:sz="4" w:space="0" w:color="000000"/>
            </w:tcBorders>
            <w:shd w:val="clear" w:color="auto" w:fill="D2D2D2"/>
          </w:tcPr>
          <w:p>
            <w:pPr/>
          </w:p>
        </w:tc>
        <w:tc>
          <w:tcPr>
            <w:tcW w:w="77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right w:val="single" w:sz="4" w:space="0" w:color="000000"/>
            </w:tcBorders>
            <w:shd w:val="clear" w:color="auto" w:fill="D2D2D2"/>
          </w:tcPr>
          <w:p>
            <w:pPr/>
          </w:p>
        </w:tc>
        <w:tc>
          <w:tcPr>
            <w:tcW w:w="787" w:type="dxa"/>
            <w:vMerge w:val="restart"/>
            <w:tcBorders>
              <w:top w:val="nil" w:sz="6" w:space="0" w:color="auto"/>
              <w:left w:val="single" w:sz="4" w:space="0" w:color="000000"/>
              <w:right w:val="single" w:sz="4" w:space="0" w:color="000000"/>
            </w:tcBorders>
            <w:shd w:val="clear" w:color="auto" w:fill="D2D2D2"/>
          </w:tcPr>
          <w:p>
            <w:pPr/>
          </w:p>
        </w:tc>
        <w:tc>
          <w:tcPr>
            <w:tcW w:w="65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816" w:type="dxa"/>
            <w:vMerge/>
            <w:tcBorders>
              <w:left w:val="single" w:sz="4" w:space="0" w:color="000000"/>
              <w:bottom w:val="nil" w:sz="6" w:space="0" w:color="auto"/>
              <w:right w:val="single" w:sz="4" w:space="0" w:color="000000"/>
            </w:tcBorders>
            <w:shd w:val="clear" w:color="auto" w:fill="D2D2D2"/>
          </w:tcPr>
          <w:p>
            <w:pPr/>
          </w:p>
        </w:tc>
        <w:tc>
          <w:tcPr>
            <w:tcW w:w="931" w:type="dxa"/>
            <w:vMerge/>
            <w:tcBorders>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
        </w:tc>
      </w:tr>
      <w:tr>
        <w:trPr>
          <w:trHeight w:val="163" w:hRule="exact"/>
        </w:trPr>
        <w:tc>
          <w:tcPr>
            <w:tcW w:w="1610" w:type="dxa"/>
            <w:vMerge/>
            <w:tcBorders>
              <w:left w:val="single" w:sz="4" w:space="0" w:color="000000"/>
              <w:bottom w:val="single" w:sz="4" w:space="0" w:color="000000"/>
              <w:right w:val="single" w:sz="4" w:space="0" w:color="000000"/>
            </w:tcBorders>
            <w:shd w:val="clear" w:color="auto" w:fill="D2D2D2"/>
          </w:tcPr>
          <w:p>
            <w:pPr/>
          </w:p>
        </w:tc>
        <w:tc>
          <w:tcPr>
            <w:tcW w:w="77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4" w:space="0" w:color="000000"/>
              <w:bottom w:val="single" w:sz="4" w:space="0" w:color="000000"/>
              <w:right w:val="single" w:sz="4" w:space="0" w:color="000000"/>
            </w:tcBorders>
            <w:shd w:val="clear" w:color="auto" w:fill="D2D2D2"/>
          </w:tcPr>
          <w:p>
            <w:pPr/>
          </w:p>
        </w:tc>
        <w:tc>
          <w:tcPr>
            <w:tcW w:w="787" w:type="dxa"/>
            <w:vMerge/>
            <w:tcBorders>
              <w:left w:val="single" w:sz="4" w:space="0" w:color="000000"/>
              <w:bottom w:val="single" w:sz="4" w:space="0" w:color="000000"/>
              <w:right w:val="single" w:sz="4" w:space="0" w:color="000000"/>
            </w:tcBorders>
            <w:shd w:val="clear" w:color="auto" w:fill="D2D2D2"/>
          </w:tcPr>
          <w:p>
            <w:pPr/>
          </w:p>
        </w:tc>
        <w:tc>
          <w:tcPr>
            <w:tcW w:w="65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816" w:type="dxa"/>
            <w:tcBorders>
              <w:top w:val="nil" w:sz="6" w:space="0" w:color="auto"/>
              <w:left w:val="single" w:sz="4" w:space="0" w:color="000000"/>
              <w:bottom w:val="single" w:sz="4" w:space="0" w:color="000000"/>
              <w:right w:val="single" w:sz="4" w:space="0" w:color="000000"/>
            </w:tcBorders>
            <w:shd w:val="clear" w:color="auto" w:fill="D2D2D2"/>
          </w:tcPr>
          <w:p>
            <w:pPr/>
          </w:p>
        </w:tc>
        <w:tc>
          <w:tcPr>
            <w:tcW w:w="931" w:type="dxa"/>
            <w:tcBorders>
              <w:top w:val="nil" w:sz="6" w:space="0" w:color="auto"/>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1027" w:hRule="exact"/>
        </w:trPr>
        <w:tc>
          <w:tcPr>
            <w:tcW w:w="1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11" w:right="142"/>
              <w:jc w:val="both"/>
              <w:rPr>
                <w:rFonts w:ascii="宋体" w:hAnsi="宋体" w:cs="宋体" w:eastAsia="宋体" w:hint="default"/>
                <w:sz w:val="18"/>
                <w:szCs w:val="18"/>
              </w:rPr>
            </w:pPr>
            <w:r>
              <w:rPr>
                <w:rFonts w:ascii="宋体" w:hAnsi="宋体" w:cs="宋体" w:eastAsia="宋体" w:hint="default"/>
                <w:spacing w:val="-2"/>
                <w:sz w:val="18"/>
                <w:szCs w:val="18"/>
              </w:rPr>
              <w:t>按信用风险特征组</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2"/>
                <w:sz w:val="18"/>
                <w:szCs w:val="18"/>
              </w:rPr>
              <w:t>合计提坏账准备的</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应收账款</w:t>
            </w:r>
          </w:p>
        </w:tc>
        <w:tc>
          <w:tcPr>
            <w:tcW w:w="77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31,220,9</w:t>
            </w:r>
          </w:p>
          <w:p>
            <w:pPr>
              <w:pStyle w:val="TableParagraph"/>
              <w:spacing w:line="240" w:lineRule="auto" w:before="110"/>
              <w:ind w:left="321" w:right="0"/>
              <w:jc w:val="left"/>
              <w:rPr>
                <w:rFonts w:ascii="Times New Roman" w:hAnsi="Times New Roman" w:cs="Times New Roman" w:eastAsia="Times New Roman" w:hint="default"/>
                <w:sz w:val="18"/>
                <w:szCs w:val="18"/>
              </w:rPr>
            </w:pPr>
            <w:r>
              <w:rPr>
                <w:rFonts w:ascii="Times New Roman"/>
                <w:sz w:val="18"/>
              </w:rPr>
              <w:t>82.54</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100.00%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1,804,50</w:t>
            </w:r>
          </w:p>
          <w:p>
            <w:pPr>
              <w:pStyle w:val="TableParagraph"/>
              <w:spacing w:line="240" w:lineRule="auto" w:before="110"/>
              <w:ind w:left="407" w:right="0"/>
              <w:jc w:val="left"/>
              <w:rPr>
                <w:rFonts w:ascii="Times New Roman" w:hAnsi="Times New Roman" w:cs="Times New Roman" w:eastAsia="Times New Roman" w:hint="default"/>
                <w:sz w:val="18"/>
                <w:szCs w:val="18"/>
              </w:rPr>
            </w:pPr>
            <w:r>
              <w:rPr>
                <w:rFonts w:ascii="Times New Roman"/>
                <w:sz w:val="18"/>
              </w:rPr>
              <w:t>7.91</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259" w:right="0"/>
              <w:jc w:val="left"/>
              <w:rPr>
                <w:rFonts w:ascii="Times New Roman" w:hAnsi="Times New Roman" w:cs="Times New Roman" w:eastAsia="Times New Roman" w:hint="default"/>
                <w:sz w:val="18"/>
                <w:szCs w:val="18"/>
              </w:rPr>
            </w:pPr>
            <w:r>
              <w:rPr>
                <w:rFonts w:ascii="Times New Roman"/>
                <w:sz w:val="18"/>
              </w:rPr>
              <w:t>5.78%</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29,416,47</w:t>
            </w:r>
          </w:p>
          <w:p>
            <w:pPr>
              <w:pStyle w:val="TableParagraph"/>
              <w:spacing w:line="240" w:lineRule="auto" w:before="110"/>
              <w:ind w:left="436" w:right="0"/>
              <w:jc w:val="left"/>
              <w:rPr>
                <w:rFonts w:ascii="Times New Roman" w:hAnsi="Times New Roman" w:cs="Times New Roman" w:eastAsia="Times New Roman" w:hint="default"/>
                <w:sz w:val="18"/>
                <w:szCs w:val="18"/>
              </w:rPr>
            </w:pPr>
            <w:r>
              <w:rPr>
                <w:rFonts w:ascii="Times New Roman"/>
                <w:sz w:val="18"/>
              </w:rPr>
              <w:t>4.63</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61,862,</w:t>
            </w:r>
          </w:p>
          <w:p>
            <w:pPr>
              <w:pStyle w:val="TableParagraph"/>
              <w:spacing w:line="240" w:lineRule="auto" w:before="110"/>
              <w:ind w:left="124" w:right="0"/>
              <w:jc w:val="left"/>
              <w:rPr>
                <w:rFonts w:ascii="Times New Roman" w:hAnsi="Times New Roman" w:cs="Times New Roman" w:eastAsia="Times New Roman" w:hint="default"/>
                <w:sz w:val="18"/>
                <w:szCs w:val="18"/>
              </w:rPr>
            </w:pPr>
            <w:r>
              <w:rPr>
                <w:rFonts w:ascii="Times New Roman"/>
                <w:sz w:val="18"/>
              </w:rPr>
              <w:t>369.03</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100.00%</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3,450,826</w:t>
            </w:r>
          </w:p>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sz w:val="18"/>
              </w:rPr>
              <w:t>.33</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427" w:right="0"/>
              <w:jc w:val="left"/>
              <w:rPr>
                <w:rFonts w:ascii="Times New Roman" w:hAnsi="Times New Roman" w:cs="Times New Roman" w:eastAsia="Times New Roman" w:hint="default"/>
                <w:sz w:val="18"/>
                <w:szCs w:val="18"/>
              </w:rPr>
            </w:pPr>
            <w:r>
              <w:rPr>
                <w:rFonts w:ascii="Times New Roman"/>
                <w:sz w:val="18"/>
              </w:rPr>
              <w:t>5.58%</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2"/>
                <w:sz w:val="18"/>
              </w:rPr>
              <w:t>58,411,542.</w:t>
            </w:r>
          </w:p>
          <w:p>
            <w:pPr>
              <w:pStyle w:val="TableParagraph"/>
              <w:spacing w:line="240" w:lineRule="auto" w:before="110"/>
              <w:ind w:right="17"/>
              <w:jc w:val="right"/>
              <w:rPr>
                <w:rFonts w:ascii="Times New Roman" w:hAnsi="Times New Roman" w:cs="Times New Roman" w:eastAsia="Times New Roman" w:hint="default"/>
                <w:sz w:val="18"/>
                <w:szCs w:val="18"/>
              </w:rPr>
            </w:pPr>
            <w:r>
              <w:rPr>
                <w:rFonts w:ascii="Times New Roman"/>
                <w:sz w:val="18"/>
              </w:rPr>
              <w:t>70</w:t>
            </w:r>
          </w:p>
        </w:tc>
      </w:tr>
      <w:tr>
        <w:trPr>
          <w:trHeight w:val="158" w:hRule="exact"/>
        </w:trPr>
        <w:tc>
          <w:tcPr>
            <w:tcW w:w="1610" w:type="dxa"/>
            <w:tcBorders>
              <w:top w:val="single" w:sz="4" w:space="0" w:color="000000"/>
              <w:left w:val="single" w:sz="4" w:space="0" w:color="000000"/>
              <w:bottom w:val="nil" w:sz="6" w:space="0" w:color="auto"/>
              <w:right w:val="single" w:sz="4" w:space="0" w:color="000000"/>
            </w:tcBorders>
            <w:shd w:val="clear" w:color="auto" w:fill="D2D2D2"/>
          </w:tcPr>
          <w:p>
            <w:pPr/>
          </w:p>
        </w:tc>
        <w:tc>
          <w:tcPr>
            <w:tcW w:w="773" w:type="dxa"/>
            <w:vMerge w:val="restart"/>
            <w:tcBorders>
              <w:top w:val="single" w:sz="4" w:space="0" w:color="000000"/>
              <w:left w:val="single" w:sz="8" w:space="0" w:color="D2D2D2"/>
              <w:right w:val="single" w:sz="4" w:space="0" w:color="000000"/>
            </w:tcBorders>
          </w:tcPr>
          <w:p>
            <w:pPr>
              <w:pStyle w:val="TableParagraph"/>
              <w:spacing w:line="240" w:lineRule="auto" w:before="96"/>
              <w:ind w:left="105" w:right="0"/>
              <w:jc w:val="left"/>
              <w:rPr>
                <w:rFonts w:ascii="Times New Roman" w:hAnsi="Times New Roman" w:cs="Times New Roman" w:eastAsia="Times New Roman" w:hint="default"/>
                <w:sz w:val="18"/>
                <w:szCs w:val="18"/>
              </w:rPr>
            </w:pPr>
            <w:r>
              <w:rPr>
                <w:rFonts w:ascii="Times New Roman"/>
                <w:sz w:val="18"/>
              </w:rPr>
              <w:t>31,220,9</w:t>
            </w:r>
          </w:p>
          <w:p>
            <w:pPr>
              <w:pStyle w:val="TableParagraph"/>
              <w:spacing w:line="240" w:lineRule="auto" w:before="105"/>
              <w:ind w:left="326" w:right="0"/>
              <w:jc w:val="left"/>
              <w:rPr>
                <w:rFonts w:ascii="Times New Roman" w:hAnsi="Times New Roman" w:cs="Times New Roman" w:eastAsia="Times New Roman" w:hint="default"/>
                <w:sz w:val="18"/>
                <w:szCs w:val="18"/>
              </w:rPr>
            </w:pPr>
            <w:r>
              <w:rPr>
                <w:rFonts w:ascii="Times New Roman"/>
                <w:sz w:val="18"/>
              </w:rPr>
              <w:t>82.54</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100.00%</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1,804,50</w:t>
            </w:r>
          </w:p>
          <w:p>
            <w:pPr>
              <w:pStyle w:val="TableParagraph"/>
              <w:spacing w:line="240" w:lineRule="auto" w:before="105"/>
              <w:ind w:left="407" w:right="0"/>
              <w:jc w:val="left"/>
              <w:rPr>
                <w:rFonts w:ascii="Times New Roman" w:hAnsi="Times New Roman" w:cs="Times New Roman" w:eastAsia="Times New Roman" w:hint="default"/>
                <w:sz w:val="18"/>
                <w:szCs w:val="18"/>
              </w:rPr>
            </w:pPr>
            <w:r>
              <w:rPr>
                <w:rFonts w:ascii="Times New Roman"/>
                <w:sz w:val="18"/>
              </w:rPr>
              <w:t>7.91</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59" w:right="0"/>
              <w:jc w:val="left"/>
              <w:rPr>
                <w:rFonts w:ascii="Times New Roman" w:hAnsi="Times New Roman" w:cs="Times New Roman" w:eastAsia="Times New Roman" w:hint="default"/>
                <w:sz w:val="18"/>
                <w:szCs w:val="18"/>
              </w:rPr>
            </w:pPr>
            <w:r>
              <w:rPr>
                <w:rFonts w:ascii="Times New Roman"/>
                <w:sz w:val="18"/>
              </w:rPr>
              <w:t>5.78%</w:t>
            </w:r>
          </w:p>
        </w:tc>
        <w:tc>
          <w:tcPr>
            <w:tcW w:w="787" w:type="dxa"/>
            <w:vMerge w:val="restart"/>
            <w:tcBorders>
              <w:top w:val="single" w:sz="4" w:space="0" w:color="000000"/>
              <w:left w:val="single" w:sz="4" w:space="0" w:color="000000"/>
              <w:right w:val="single" w:sz="4" w:space="0" w:color="000000"/>
            </w:tcBorders>
          </w:tcPr>
          <w:p>
            <w:pPr>
              <w:pStyle w:val="TableParagraph"/>
              <w:spacing w:line="240" w:lineRule="auto" w:before="96"/>
              <w:ind w:left="38" w:right="0"/>
              <w:jc w:val="left"/>
              <w:rPr>
                <w:rFonts w:ascii="Times New Roman" w:hAnsi="Times New Roman" w:cs="Times New Roman" w:eastAsia="Times New Roman" w:hint="default"/>
                <w:sz w:val="18"/>
                <w:szCs w:val="18"/>
              </w:rPr>
            </w:pPr>
            <w:r>
              <w:rPr>
                <w:rFonts w:ascii="Times New Roman"/>
                <w:sz w:val="18"/>
              </w:rPr>
              <w:t>29,416,47</w:t>
            </w:r>
          </w:p>
          <w:p>
            <w:pPr>
              <w:pStyle w:val="TableParagraph"/>
              <w:spacing w:line="240" w:lineRule="auto" w:before="105"/>
              <w:ind w:left="436" w:right="0"/>
              <w:jc w:val="left"/>
              <w:rPr>
                <w:rFonts w:ascii="Times New Roman" w:hAnsi="Times New Roman" w:cs="Times New Roman" w:eastAsia="Times New Roman" w:hint="default"/>
                <w:sz w:val="18"/>
                <w:szCs w:val="18"/>
              </w:rPr>
            </w:pPr>
            <w:r>
              <w:rPr>
                <w:rFonts w:ascii="Times New Roman"/>
                <w:sz w:val="18"/>
              </w:rPr>
              <w:t>4.63</w:t>
            </w:r>
          </w:p>
        </w:tc>
        <w:tc>
          <w:tcPr>
            <w:tcW w:w="653" w:type="dxa"/>
            <w:vMerge w:val="restart"/>
            <w:tcBorders>
              <w:top w:val="single" w:sz="4" w:space="0" w:color="000000"/>
              <w:left w:val="single" w:sz="4" w:space="0" w:color="000000"/>
              <w:right w:val="single" w:sz="4" w:space="0" w:color="000000"/>
            </w:tcBorders>
          </w:tcPr>
          <w:p>
            <w:pPr>
              <w:pStyle w:val="TableParagraph"/>
              <w:spacing w:line="240" w:lineRule="auto" w:before="96"/>
              <w:ind w:left="86" w:right="0"/>
              <w:jc w:val="left"/>
              <w:rPr>
                <w:rFonts w:ascii="Times New Roman" w:hAnsi="Times New Roman" w:cs="Times New Roman" w:eastAsia="Times New Roman" w:hint="default"/>
                <w:sz w:val="18"/>
                <w:szCs w:val="18"/>
              </w:rPr>
            </w:pPr>
            <w:r>
              <w:rPr>
                <w:rFonts w:ascii="Times New Roman"/>
                <w:sz w:val="18"/>
              </w:rPr>
              <w:t>61,862,</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369.03</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100.00%</w:t>
            </w:r>
          </w:p>
        </w:tc>
        <w:tc>
          <w:tcPr>
            <w:tcW w:w="816" w:type="dxa"/>
            <w:vMerge w:val="restart"/>
            <w:tcBorders>
              <w:top w:val="single" w:sz="4" w:space="0" w:color="000000"/>
              <w:left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3,450,826</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.33</w:t>
            </w: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27" w:right="0"/>
              <w:jc w:val="left"/>
              <w:rPr>
                <w:rFonts w:ascii="Times New Roman" w:hAnsi="Times New Roman" w:cs="Times New Roman" w:eastAsia="Times New Roman" w:hint="default"/>
                <w:sz w:val="18"/>
                <w:szCs w:val="18"/>
              </w:rPr>
            </w:pPr>
            <w:r>
              <w:rPr>
                <w:rFonts w:ascii="Times New Roman"/>
                <w:sz w:val="18"/>
              </w:rPr>
              <w:t>5.58%</w:t>
            </w: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2"/>
                <w:sz w:val="18"/>
              </w:rPr>
              <w:t>58,411,542.</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70</w:t>
            </w:r>
          </w:p>
        </w:tc>
      </w:tr>
      <w:tr>
        <w:trPr>
          <w:trHeight w:val="394" w:hRule="exact"/>
        </w:trPr>
        <w:tc>
          <w:tcPr>
            <w:tcW w:w="161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4"/>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3" w:type="dxa"/>
            <w:vMerge/>
            <w:tcBorders>
              <w:left w:val="single" w:sz="8" w:space="0" w:color="D2D2D2"/>
              <w:right w:val="single" w:sz="4" w:space="0" w:color="000000"/>
            </w:tcBorders>
          </w:tcPr>
          <w:p>
            <w:pPr/>
          </w:p>
        </w:tc>
        <w:tc>
          <w:tcPr>
            <w:tcW w:w="763"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87" w:type="dxa"/>
            <w:vMerge/>
            <w:tcBorders>
              <w:left w:val="single" w:sz="4" w:space="0" w:color="000000"/>
              <w:right w:val="single" w:sz="4" w:space="0" w:color="000000"/>
            </w:tcBorders>
          </w:tcPr>
          <w:p>
            <w:pPr/>
          </w:p>
        </w:tc>
        <w:tc>
          <w:tcPr>
            <w:tcW w:w="653"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816"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3" w:hRule="exact"/>
        </w:trPr>
        <w:tc>
          <w:tcPr>
            <w:tcW w:w="1610" w:type="dxa"/>
            <w:tcBorders>
              <w:top w:val="nil" w:sz="6" w:space="0" w:color="auto"/>
              <w:left w:val="single" w:sz="4" w:space="0" w:color="000000"/>
              <w:bottom w:val="single" w:sz="4" w:space="0" w:color="000000"/>
              <w:right w:val="single" w:sz="4" w:space="0" w:color="000000"/>
            </w:tcBorders>
            <w:shd w:val="clear" w:color="auto" w:fill="D2D2D2"/>
          </w:tcPr>
          <w:p>
            <w:pPr/>
          </w:p>
        </w:tc>
        <w:tc>
          <w:tcPr>
            <w:tcW w:w="773" w:type="dxa"/>
            <w:vMerge/>
            <w:tcBorders>
              <w:left w:val="single" w:sz="8" w:space="0" w:color="D2D2D2"/>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87" w:type="dxa"/>
            <w:vMerge/>
            <w:tcBorders>
              <w:left w:val="single" w:sz="4" w:space="0" w:color="000000"/>
              <w:bottom w:val="single" w:sz="4" w:space="0" w:color="000000"/>
              <w:right w:val="single" w:sz="4" w:space="0" w:color="000000"/>
            </w:tcBorders>
          </w:tcPr>
          <w:p>
            <w:pPr/>
          </w:p>
        </w:tc>
        <w:tc>
          <w:tcPr>
            <w:tcW w:w="653"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816"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期末单项金额重大并单项计提坏账准备的应收账款：</w:t>
      </w:r>
    </w:p>
    <w:p>
      <w:pPr>
        <w:spacing w:line="343" w:lineRule="auto" w:before="115"/>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组合中，按账龄分析法计提坏账准备的应收账款：</w:t>
      </w:r>
    </w:p>
    <w:p>
      <w:pPr>
        <w:spacing w:before="37"/>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00" w:h="16840"/>
          <w:pgMar w:top="1060" w:bottom="1180" w:left="980" w:right="980"/>
          <w:cols w:num="2" w:equalWidth="0">
            <w:col w:w="4296" w:space="4527"/>
            <w:col w:w="1117"/>
          </w:cols>
        </w:sectPr>
      </w:pP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480"/>
        <w:gridCol w:w="2297"/>
        <w:gridCol w:w="2387"/>
        <w:gridCol w:w="2390"/>
      </w:tblGrid>
      <w:tr>
        <w:trPr>
          <w:trHeight w:val="197" w:hRule="exact"/>
        </w:trPr>
        <w:tc>
          <w:tcPr>
            <w:tcW w:w="2480" w:type="dxa"/>
            <w:tcBorders>
              <w:top w:val="single" w:sz="4" w:space="0" w:color="000000"/>
              <w:left w:val="single" w:sz="4" w:space="0" w:color="000000"/>
              <w:bottom w:val="nil" w:sz="6" w:space="0" w:color="auto"/>
              <w:right w:val="single" w:sz="4" w:space="0" w:color="000000"/>
            </w:tcBorders>
            <w:shd w:val="clear" w:color="auto" w:fill="D2D2D2"/>
          </w:tcPr>
          <w:p>
            <w:pPr/>
          </w:p>
        </w:tc>
        <w:tc>
          <w:tcPr>
            <w:tcW w:w="7074"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4"/>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204" w:hRule="exact"/>
        </w:trPr>
        <w:tc>
          <w:tcPr>
            <w:tcW w:w="248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right="6"/>
              <w:jc w:val="center"/>
              <w:rPr>
                <w:rFonts w:ascii="宋体" w:hAnsi="宋体" w:cs="宋体" w:eastAsia="宋体" w:hint="default"/>
                <w:sz w:val="18"/>
                <w:szCs w:val="18"/>
              </w:rPr>
            </w:pPr>
            <w:r>
              <w:rPr>
                <w:rFonts w:ascii="宋体" w:hAnsi="宋体" w:cs="宋体" w:eastAsia="宋体" w:hint="default"/>
                <w:sz w:val="18"/>
                <w:szCs w:val="18"/>
              </w:rPr>
              <w:t>账龄</w:t>
            </w:r>
          </w:p>
        </w:tc>
        <w:tc>
          <w:tcPr>
            <w:tcW w:w="7074" w:type="dxa"/>
            <w:gridSpan w:val="3"/>
            <w:vMerge/>
            <w:tcBorders>
              <w:left w:val="single" w:sz="4" w:space="0" w:color="000000"/>
              <w:bottom w:val="single" w:sz="4" w:space="0" w:color="000000"/>
              <w:right w:val="single" w:sz="4" w:space="0" w:color="000000"/>
            </w:tcBorders>
            <w:shd w:val="clear" w:color="auto" w:fill="D2D2D2"/>
          </w:tcPr>
          <w:p>
            <w:pPr/>
          </w:p>
        </w:tc>
      </w:tr>
      <w:tr>
        <w:trPr>
          <w:trHeight w:val="185" w:hRule="exact"/>
        </w:trPr>
        <w:tc>
          <w:tcPr>
            <w:tcW w:w="2480" w:type="dxa"/>
            <w:vMerge/>
            <w:tcBorders>
              <w:left w:val="single" w:sz="4" w:space="0" w:color="000000"/>
              <w:bottom w:val="nil" w:sz="6" w:space="0" w:color="auto"/>
              <w:right w:val="single" w:sz="4" w:space="0" w:color="000000"/>
            </w:tcBorders>
            <w:shd w:val="clear" w:color="auto" w:fill="D2D2D2"/>
          </w:tcPr>
          <w:p>
            <w:pPr/>
          </w:p>
        </w:tc>
        <w:tc>
          <w:tcPr>
            <w:tcW w:w="22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7"/>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8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6"/>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2"/>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21" w:hRule="exact"/>
        </w:trPr>
        <w:tc>
          <w:tcPr>
            <w:tcW w:w="2480" w:type="dxa"/>
            <w:tcBorders>
              <w:top w:val="nil" w:sz="6" w:space="0" w:color="auto"/>
              <w:left w:val="single" w:sz="4" w:space="0" w:color="000000"/>
              <w:bottom w:val="single" w:sz="4" w:space="0" w:color="000000"/>
              <w:right w:val="single" w:sz="4" w:space="0" w:color="000000"/>
            </w:tcBorders>
            <w:shd w:val="clear" w:color="auto" w:fill="D2D2D2"/>
          </w:tcPr>
          <w:p>
            <w:pPr/>
          </w:p>
        </w:tc>
        <w:tc>
          <w:tcPr>
            <w:tcW w:w="2297" w:type="dxa"/>
            <w:vMerge/>
            <w:tcBorders>
              <w:left w:val="single" w:sz="4" w:space="0" w:color="000000"/>
              <w:bottom w:val="single" w:sz="4" w:space="0" w:color="000000"/>
              <w:right w:val="single" w:sz="4" w:space="0" w:color="000000"/>
            </w:tcBorders>
            <w:shd w:val="clear" w:color="auto" w:fill="D2D2D2"/>
          </w:tcPr>
          <w:p>
            <w:pPr/>
          </w:p>
        </w:tc>
        <w:tc>
          <w:tcPr>
            <w:tcW w:w="2387" w:type="dxa"/>
            <w:vMerge/>
            <w:tcBorders>
              <w:left w:val="single" w:sz="4" w:space="0" w:color="000000"/>
              <w:bottom w:val="single" w:sz="4" w:space="0" w:color="000000"/>
              <w:right w:val="single" w:sz="4" w:space="0" w:color="000000"/>
            </w:tcBorders>
            <w:shd w:val="clear" w:color="auto" w:fill="D2D2D2"/>
          </w:tcPr>
          <w:p>
            <w:pPr/>
          </w:p>
        </w:tc>
        <w:tc>
          <w:tcPr>
            <w:tcW w:w="2390" w:type="dxa"/>
            <w:vMerge/>
            <w:tcBorders>
              <w:left w:val="single" w:sz="4" w:space="0" w:color="000000"/>
              <w:bottom w:val="single" w:sz="4" w:space="0" w:color="000000"/>
              <w:right w:val="single" w:sz="4" w:space="0" w:color="000000"/>
            </w:tcBorders>
            <w:shd w:val="clear" w:color="auto" w:fill="D2D2D2"/>
          </w:tcPr>
          <w:p>
            <w:pPr/>
          </w:p>
        </w:tc>
      </w:tr>
      <w:tr>
        <w:trPr>
          <w:trHeight w:val="398" w:hRule="exact"/>
        </w:trPr>
        <w:tc>
          <w:tcPr>
            <w:tcW w:w="9554"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年以内分项</w:t>
            </w:r>
          </w:p>
        </w:tc>
      </w:tr>
      <w:tr>
        <w:trPr>
          <w:trHeight w:val="403" w:hRule="exact"/>
        </w:trPr>
        <w:tc>
          <w:tcPr>
            <w:tcW w:w="24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年以内小计</w:t>
            </w:r>
          </w:p>
        </w:tc>
        <w:tc>
          <w:tcPr>
            <w:tcW w:w="229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30,461,860.59</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1,523,093.03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5.00%</w:t>
            </w:r>
          </w:p>
        </w:tc>
      </w:tr>
      <w:tr>
        <w:trPr>
          <w:trHeight w:val="403" w:hRule="exact"/>
        </w:trPr>
        <w:tc>
          <w:tcPr>
            <w:tcW w:w="24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229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13,257.01</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1,325.70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10.00%</w:t>
            </w:r>
          </w:p>
        </w:tc>
      </w:tr>
      <w:tr>
        <w:trPr>
          <w:trHeight w:val="398" w:hRule="exact"/>
        </w:trPr>
        <w:tc>
          <w:tcPr>
            <w:tcW w:w="24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229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468,920.47</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93,784.09</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20.00%</w:t>
            </w:r>
          </w:p>
        </w:tc>
      </w:tr>
      <w:tr>
        <w:trPr>
          <w:trHeight w:val="403" w:hRule="exact"/>
        </w:trPr>
        <w:tc>
          <w:tcPr>
            <w:tcW w:w="24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年</w:t>
            </w:r>
          </w:p>
        </w:tc>
        <w:tc>
          <w:tcPr>
            <w:tcW w:w="229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2"/>
                <w:sz w:val="18"/>
              </w:rPr>
              <w:t>117,501.65</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58,750.83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50.00%</w:t>
            </w:r>
          </w:p>
        </w:tc>
      </w:tr>
      <w:tr>
        <w:trPr>
          <w:trHeight w:val="403" w:hRule="exact"/>
        </w:trPr>
        <w:tc>
          <w:tcPr>
            <w:tcW w:w="24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年</w:t>
            </w:r>
          </w:p>
        </w:tc>
        <w:tc>
          <w:tcPr>
            <w:tcW w:w="229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159,442.82</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127,554.26</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80.00%</w:t>
            </w:r>
          </w:p>
        </w:tc>
      </w:tr>
      <w:tr>
        <w:trPr>
          <w:trHeight w:val="403" w:hRule="exact"/>
        </w:trPr>
        <w:tc>
          <w:tcPr>
            <w:tcW w:w="24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97"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31,220,982.54</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1,804,507.91</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5.78%</w:t>
            </w:r>
          </w:p>
        </w:tc>
      </w:tr>
    </w:tbl>
    <w:p>
      <w:pPr>
        <w:spacing w:line="357" w:lineRule="auto" w:before="53"/>
        <w:ind w:left="152" w:right="5284" w:firstLine="0"/>
        <w:jc w:val="left"/>
        <w:rPr>
          <w:rFonts w:ascii="宋体" w:hAnsi="宋体" w:cs="宋体" w:eastAsia="宋体" w:hint="default"/>
          <w:sz w:val="18"/>
          <w:szCs w:val="18"/>
        </w:rPr>
      </w:pPr>
      <w:r>
        <w:rPr>
          <w:rFonts w:ascii="宋体" w:hAnsi="宋体" w:cs="宋体" w:eastAsia="宋体" w:hint="default"/>
          <w:spacing w:val="-3"/>
          <w:sz w:val="18"/>
          <w:szCs w:val="18"/>
        </w:rPr>
        <w:t>确定该组合依据的说明：</w:t>
      </w:r>
      <w:r>
        <w:rPr>
          <w:rFonts w:ascii="宋体" w:hAnsi="宋体" w:cs="宋体" w:eastAsia="宋体" w:hint="default"/>
          <w:spacing w:val="-57"/>
          <w:sz w:val="18"/>
          <w:szCs w:val="18"/>
        </w:rPr>
        <w:t> </w:t>
      </w:r>
      <w:r>
        <w:rPr>
          <w:rFonts w:ascii="宋体" w:hAnsi="宋体" w:cs="宋体" w:eastAsia="宋体" w:hint="default"/>
          <w:spacing w:val="-57"/>
          <w:sz w:val="18"/>
          <w:szCs w:val="18"/>
        </w:rPr>
      </w:r>
      <w:r>
        <w:rPr>
          <w:rFonts w:ascii="宋体" w:hAnsi="宋体" w:cs="宋体" w:eastAsia="宋体" w:hint="default"/>
          <w:spacing w:val="-3"/>
          <w:sz w:val="18"/>
          <w:szCs w:val="18"/>
        </w:rPr>
        <w:t>组合中，采用余额百分比法计提坏账准备的应收账款：</w:t>
      </w:r>
    </w:p>
    <w:p>
      <w:pPr>
        <w:spacing w:before="31"/>
        <w:ind w:left="15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type w:val="continuous"/>
          <w:pgSz w:w="11900" w:h="16840"/>
          <w:pgMar w:top="1060" w:bottom="1180" w:left="980" w:right="980"/>
        </w:sectPr>
      </w:pPr>
    </w:p>
    <w:p>
      <w:pPr>
        <w:spacing w:line="240" w:lineRule="auto" w:before="6"/>
        <w:rPr>
          <w:rFonts w:ascii="宋体" w:hAnsi="宋体" w:cs="宋体" w:eastAsia="宋体" w:hint="default"/>
          <w:sz w:val="26"/>
          <w:szCs w:val="26"/>
        </w:rPr>
      </w:pPr>
    </w:p>
    <w:p>
      <w:pPr>
        <w:spacing w:before="46"/>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组合中，采用其他方法计提坏账准备的应收账款：</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after="0" w:line="240" w:lineRule="auto"/>
        <w:rPr>
          <w:rFonts w:ascii="Microsoft JhengHei" w:hAnsi="Microsoft JhengHei" w:cs="Microsoft JhengHei" w:eastAsia="Microsoft JhengHei" w:hint="default"/>
          <w:sz w:val="17"/>
          <w:szCs w:val="17"/>
        </w:rPr>
        <w:sectPr>
          <w:pgSz w:w="11900" w:h="16840"/>
          <w:pgMar w:header="872" w:footer="984" w:top="1060" w:bottom="1180" w:left="980" w:right="800"/>
        </w:sectPr>
      </w:pPr>
    </w:p>
    <w:p>
      <w:pPr>
        <w:spacing w:line="362" w:lineRule="auto" w:before="46"/>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本期计提坏账准备金额元；本期收回或转回坏账准备金额元。</w:t>
      </w:r>
      <w:r>
        <w:rPr>
          <w:rFonts w:ascii="宋体" w:hAnsi="宋体" w:cs="宋体" w:eastAsia="宋体" w:hint="default"/>
          <w:spacing w:val="-11"/>
          <w:sz w:val="18"/>
          <w:szCs w:val="18"/>
        </w:rPr>
        <w:t> </w:t>
      </w:r>
      <w:r>
        <w:rPr>
          <w:rFonts w:ascii="宋体" w:hAnsi="宋体" w:cs="宋体" w:eastAsia="宋体" w:hint="default"/>
          <w:spacing w:val="-11"/>
          <w:sz w:val="18"/>
          <w:szCs w:val="18"/>
        </w:rPr>
      </w:r>
      <w:r>
        <w:rPr>
          <w:rFonts w:ascii="宋体" w:hAnsi="宋体" w:cs="宋体" w:eastAsia="宋体" w:hint="default"/>
          <w:spacing w:val="-3"/>
          <w:sz w:val="18"/>
          <w:szCs w:val="18"/>
        </w:rPr>
        <w:t>其中本期坏账准备收回或转回金额重要的：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00" w:h="16840"/>
          <w:pgMar w:top="1060" w:bottom="1180" w:left="980" w:right="800"/>
          <w:cols w:num="2" w:equalWidth="0">
            <w:col w:w="5016" w:space="3807"/>
            <w:col w:w="1297"/>
          </w:cols>
        </w:sectPr>
      </w:pP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370"/>
        <w:gridCol w:w="3101"/>
        <w:gridCol w:w="3096"/>
      </w:tblGrid>
      <w:tr>
        <w:trPr>
          <w:trHeight w:val="403" w:hRule="exact"/>
        </w:trPr>
        <w:tc>
          <w:tcPr>
            <w:tcW w:w="3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11" w:right="0"/>
              <w:jc w:val="left"/>
              <w:rPr>
                <w:rFonts w:ascii="宋体" w:hAnsi="宋体" w:cs="宋体" w:eastAsia="宋体" w:hint="default"/>
                <w:sz w:val="18"/>
                <w:szCs w:val="18"/>
              </w:rPr>
            </w:pPr>
            <w:r>
              <w:rPr>
                <w:rFonts w:ascii="宋体" w:hAnsi="宋体" w:cs="宋体" w:eastAsia="宋体" w:hint="default"/>
                <w:spacing w:val="-3"/>
                <w:sz w:val="18"/>
                <w:szCs w:val="18"/>
              </w:rPr>
              <w:t>收回或转回金额</w:t>
            </w:r>
          </w:p>
        </w:tc>
        <w:tc>
          <w:tcPr>
            <w:tcW w:w="30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7"/>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3</w:t>
      </w:r>
      <w:r>
        <w:rPr/>
        <w:t>）本期实际核销的应收账款情况</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32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982"/>
        <w:gridCol w:w="4584"/>
      </w:tblGrid>
      <w:tr>
        <w:trPr>
          <w:trHeight w:val="398"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3" w:hRule="exact"/>
        </w:trPr>
        <w:tc>
          <w:tcPr>
            <w:tcW w:w="4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应收账款核销</w:t>
            </w:r>
          </w:p>
        </w:tc>
        <w:tc>
          <w:tcPr>
            <w:tcW w:w="4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323,358.07</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其中重要的应收账款核销情况：</w:t>
      </w:r>
    </w:p>
    <w:p>
      <w:pPr>
        <w:spacing w:before="119"/>
        <w:ind w:left="0" w:right="32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685"/>
        <w:gridCol w:w="1550"/>
        <w:gridCol w:w="1550"/>
        <w:gridCol w:w="1555"/>
        <w:gridCol w:w="1613"/>
        <w:gridCol w:w="1618"/>
      </w:tblGrid>
      <w:tr>
        <w:trPr>
          <w:trHeight w:val="715" w:hRule="exact"/>
        </w:trPr>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5"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5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8"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6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7" w:right="0"/>
              <w:jc w:val="left"/>
              <w:rPr>
                <w:rFonts w:ascii="宋体" w:hAnsi="宋体" w:cs="宋体" w:eastAsia="宋体" w:hint="default"/>
                <w:sz w:val="18"/>
                <w:szCs w:val="18"/>
              </w:rPr>
            </w:pPr>
            <w:r>
              <w:rPr>
                <w:rFonts w:ascii="宋体" w:hAnsi="宋体" w:cs="宋体" w:eastAsia="宋体" w:hint="default"/>
                <w:spacing w:val="-3"/>
                <w:sz w:val="18"/>
                <w:szCs w:val="18"/>
              </w:rPr>
              <w:t>履行的核销程序</w:t>
            </w:r>
          </w:p>
        </w:tc>
        <w:tc>
          <w:tcPr>
            <w:tcW w:w="16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532" w:right="79" w:hanging="452"/>
              <w:jc w:val="left"/>
              <w:rPr>
                <w:rFonts w:ascii="宋体" w:hAnsi="宋体" w:cs="宋体" w:eastAsia="宋体" w:hint="default"/>
                <w:sz w:val="18"/>
                <w:szCs w:val="18"/>
              </w:rPr>
            </w:pPr>
            <w:r>
              <w:rPr>
                <w:rFonts w:ascii="宋体" w:hAnsi="宋体" w:cs="宋体" w:eastAsia="宋体" w:hint="default"/>
                <w:spacing w:val="-2"/>
                <w:sz w:val="18"/>
                <w:szCs w:val="18"/>
              </w:rPr>
              <w:t>款项是否由关联交</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易产生</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应收账款核销说明：</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17"/>
        <w:rPr>
          <w:rFonts w:ascii="Microsoft JhengHei" w:hAnsi="Microsoft JhengHei" w:cs="Microsoft JhengHei" w:eastAsia="Microsoft JhengHei" w:hint="default"/>
          <w:b/>
          <w:bCs/>
          <w:sz w:val="18"/>
          <w:szCs w:val="18"/>
        </w:rPr>
      </w:pPr>
    </w:p>
    <w:tbl>
      <w:tblPr>
        <w:tblW w:w="0" w:type="auto"/>
        <w:jc w:val="left"/>
        <w:tblInd w:w="143" w:type="dxa"/>
        <w:tblLayout w:type="fixed"/>
        <w:tblCellMar>
          <w:top w:w="0" w:type="dxa"/>
          <w:left w:w="0" w:type="dxa"/>
          <w:bottom w:w="0" w:type="dxa"/>
          <w:right w:w="0" w:type="dxa"/>
        </w:tblCellMar>
        <w:tblLook w:val="01E0"/>
      </w:tblPr>
      <w:tblGrid>
        <w:gridCol w:w="2822"/>
        <w:gridCol w:w="2102"/>
        <w:gridCol w:w="2467"/>
        <w:gridCol w:w="2462"/>
      </w:tblGrid>
      <w:tr>
        <w:trPr>
          <w:trHeight w:val="778" w:hRule="exact"/>
        </w:trPr>
        <w:tc>
          <w:tcPr>
            <w:tcW w:w="2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163"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357" w:lineRule="auto" w:before="63"/>
              <w:ind w:left="1363" w:right="0"/>
              <w:jc w:val="left"/>
              <w:rPr>
                <w:rFonts w:ascii="宋体" w:hAnsi="宋体" w:cs="宋体" w:eastAsia="宋体" w:hint="default"/>
                <w:sz w:val="18"/>
                <w:szCs w:val="18"/>
              </w:rPr>
            </w:pPr>
            <w:r>
              <w:rPr>
                <w:rFonts w:ascii="宋体" w:hAnsi="宋体" w:cs="宋体" w:eastAsia="宋体" w:hint="default"/>
                <w:sz w:val="18"/>
                <w:szCs w:val="18"/>
              </w:rPr>
              <w:t>应收账款</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期末余额</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0"/>
              <w:jc w:val="right"/>
              <w:rPr>
                <w:rFonts w:ascii="宋体" w:hAnsi="宋体" w:cs="宋体" w:eastAsia="宋体" w:hint="default"/>
                <w:sz w:val="18"/>
                <w:szCs w:val="18"/>
              </w:rPr>
            </w:pPr>
            <w:r>
              <w:rPr>
                <w:rFonts w:ascii="宋体" w:hAnsi="宋体" w:cs="宋体" w:eastAsia="宋体" w:hint="default"/>
                <w:spacing w:val="-3"/>
                <w:sz w:val="18"/>
                <w:szCs w:val="18"/>
              </w:rPr>
              <w:t>占应收账款期末余额合计数的</w:t>
            </w:r>
          </w:p>
          <w:p>
            <w:pPr>
              <w:pStyle w:val="TableParagraph"/>
              <w:spacing w:line="240" w:lineRule="auto" w:before="76"/>
              <w:ind w:right="4"/>
              <w:jc w:val="right"/>
              <w:rPr>
                <w:rFonts w:ascii="Times New Roman" w:hAnsi="Times New Roman" w:cs="Times New Roman" w:eastAsia="Times New Roman" w:hint="default"/>
                <w:sz w:val="18"/>
                <w:szCs w:val="18"/>
              </w:rPr>
            </w:pPr>
            <w:r>
              <w:rPr>
                <w:rFonts w:ascii="宋体" w:hAnsi="宋体" w:cs="宋体" w:eastAsia="宋体" w:hint="default"/>
                <w:spacing w:val="-2"/>
                <w:sz w:val="18"/>
                <w:szCs w:val="18"/>
              </w:rPr>
              <w:t>比例</w:t>
            </w:r>
            <w:r>
              <w:rPr>
                <w:rFonts w:ascii="Times New Roman" w:hAnsi="Times New Roman" w:cs="Times New Roman" w:eastAsia="Times New Roman" w:hint="default"/>
                <w:spacing w:val="-2"/>
                <w:sz w:val="18"/>
                <w:szCs w:val="18"/>
              </w:rPr>
              <w:t>%</w:t>
            </w:r>
          </w:p>
        </w:tc>
        <w:tc>
          <w:tcPr>
            <w:tcW w:w="2462" w:type="dxa"/>
            <w:tcBorders>
              <w:top w:val="single" w:sz="6" w:space="0" w:color="000000"/>
              <w:left w:val="single" w:sz="6" w:space="0" w:color="000000"/>
              <w:bottom w:val="single" w:sz="6" w:space="0" w:color="000000"/>
              <w:right w:val="single" w:sz="6" w:space="0" w:color="000000"/>
            </w:tcBorders>
          </w:tcPr>
          <w:p>
            <w:pPr>
              <w:pStyle w:val="TableParagraph"/>
              <w:spacing w:line="357" w:lineRule="auto" w:before="63"/>
              <w:ind w:left="1723" w:right="0"/>
              <w:jc w:val="right"/>
              <w:rPr>
                <w:rFonts w:ascii="宋体" w:hAnsi="宋体" w:cs="宋体" w:eastAsia="宋体" w:hint="default"/>
                <w:sz w:val="18"/>
                <w:szCs w:val="18"/>
              </w:rPr>
            </w:pPr>
            <w:r>
              <w:rPr>
                <w:rFonts w:ascii="宋体" w:hAnsi="宋体" w:cs="宋体" w:eastAsia="宋体" w:hint="default"/>
                <w:spacing w:val="-2"/>
                <w:sz w:val="18"/>
                <w:szCs w:val="18"/>
              </w:rPr>
              <w:t>坏账准备</w:t>
            </w:r>
            <w:r>
              <w:rPr>
                <w:rFonts w:ascii="宋体" w:hAnsi="宋体" w:cs="宋体" w:eastAsia="宋体" w:hint="default"/>
                <w:w w:val="101"/>
                <w:sz w:val="18"/>
                <w:szCs w:val="18"/>
              </w:rPr>
              <w:t> </w:t>
            </w:r>
            <w:r>
              <w:rPr>
                <w:rFonts w:ascii="宋体" w:hAnsi="宋体" w:cs="宋体" w:eastAsia="宋体" w:hint="default"/>
                <w:spacing w:val="-2"/>
                <w:sz w:val="18"/>
                <w:szCs w:val="18"/>
              </w:rPr>
              <w:t>期末余额</w:t>
            </w:r>
          </w:p>
        </w:tc>
      </w:tr>
      <w:tr>
        <w:trPr>
          <w:trHeight w:val="427" w:hRule="exact"/>
        </w:trPr>
        <w:tc>
          <w:tcPr>
            <w:tcW w:w="2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A</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113"/>
              <w:jc w:val="right"/>
              <w:rPr>
                <w:rFonts w:ascii="Times New Roman" w:hAnsi="Times New Roman" w:cs="Times New Roman" w:eastAsia="Times New Roman" w:hint="default"/>
                <w:sz w:val="18"/>
                <w:szCs w:val="18"/>
              </w:rPr>
            </w:pPr>
            <w:r>
              <w:rPr>
                <w:rFonts w:ascii="Times New Roman"/>
                <w:spacing w:val="-1"/>
                <w:sz w:val="18"/>
              </w:rPr>
              <w:t>15,840,000.00</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2"/>
              <w:jc w:val="right"/>
              <w:rPr>
                <w:rFonts w:ascii="Times New Roman" w:hAnsi="Times New Roman" w:cs="Times New Roman" w:eastAsia="Times New Roman" w:hint="default"/>
                <w:sz w:val="18"/>
                <w:szCs w:val="18"/>
              </w:rPr>
            </w:pPr>
            <w:r>
              <w:rPr>
                <w:rFonts w:ascii="Times New Roman"/>
                <w:spacing w:val="-1"/>
                <w:sz w:val="18"/>
              </w:rPr>
              <w:t>50.74</w:t>
            </w:r>
          </w:p>
        </w:tc>
        <w:tc>
          <w:tcPr>
            <w:tcW w:w="2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0"/>
              <w:jc w:val="right"/>
              <w:rPr>
                <w:rFonts w:ascii="Times New Roman" w:hAnsi="Times New Roman" w:cs="Times New Roman" w:eastAsia="Times New Roman" w:hint="default"/>
                <w:sz w:val="18"/>
                <w:szCs w:val="18"/>
              </w:rPr>
            </w:pPr>
            <w:r>
              <w:rPr>
                <w:rFonts w:ascii="Times New Roman"/>
                <w:spacing w:val="-1"/>
                <w:sz w:val="18"/>
              </w:rPr>
              <w:t>792,000.00</w:t>
            </w:r>
          </w:p>
        </w:tc>
      </w:tr>
      <w:tr>
        <w:trPr>
          <w:trHeight w:val="427" w:hRule="exact"/>
        </w:trPr>
        <w:tc>
          <w:tcPr>
            <w:tcW w:w="2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B</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113"/>
              <w:jc w:val="right"/>
              <w:rPr>
                <w:rFonts w:ascii="Times New Roman" w:hAnsi="Times New Roman" w:cs="Times New Roman" w:eastAsia="Times New Roman" w:hint="default"/>
                <w:sz w:val="18"/>
                <w:szCs w:val="18"/>
              </w:rPr>
            </w:pPr>
            <w:r>
              <w:rPr>
                <w:rFonts w:ascii="Times New Roman"/>
                <w:spacing w:val="-1"/>
                <w:sz w:val="18"/>
              </w:rPr>
              <w:t>5,849,072.30</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2"/>
              <w:jc w:val="right"/>
              <w:rPr>
                <w:rFonts w:ascii="Times New Roman" w:hAnsi="Times New Roman" w:cs="Times New Roman" w:eastAsia="Times New Roman" w:hint="default"/>
                <w:sz w:val="18"/>
                <w:szCs w:val="18"/>
              </w:rPr>
            </w:pPr>
            <w:r>
              <w:rPr>
                <w:rFonts w:ascii="Times New Roman"/>
                <w:spacing w:val="-1"/>
                <w:sz w:val="18"/>
              </w:rPr>
              <w:t>18.73</w:t>
            </w:r>
          </w:p>
        </w:tc>
        <w:tc>
          <w:tcPr>
            <w:tcW w:w="2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0"/>
              <w:jc w:val="right"/>
              <w:rPr>
                <w:rFonts w:ascii="Times New Roman" w:hAnsi="Times New Roman" w:cs="Times New Roman" w:eastAsia="Times New Roman" w:hint="default"/>
                <w:sz w:val="18"/>
                <w:szCs w:val="18"/>
              </w:rPr>
            </w:pPr>
            <w:r>
              <w:rPr>
                <w:rFonts w:ascii="Times New Roman"/>
                <w:spacing w:val="-1"/>
                <w:sz w:val="18"/>
              </w:rPr>
              <w:t>292,453.62</w:t>
            </w:r>
          </w:p>
        </w:tc>
      </w:tr>
      <w:tr>
        <w:trPr>
          <w:trHeight w:val="427" w:hRule="exact"/>
        </w:trPr>
        <w:tc>
          <w:tcPr>
            <w:tcW w:w="2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C</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113"/>
              <w:jc w:val="right"/>
              <w:rPr>
                <w:rFonts w:ascii="Times New Roman" w:hAnsi="Times New Roman" w:cs="Times New Roman" w:eastAsia="Times New Roman" w:hint="default"/>
                <w:sz w:val="18"/>
                <w:szCs w:val="18"/>
              </w:rPr>
            </w:pPr>
            <w:r>
              <w:rPr>
                <w:rFonts w:ascii="Times New Roman"/>
                <w:spacing w:val="-1"/>
                <w:sz w:val="18"/>
              </w:rPr>
              <w:t>1,260,920.00</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2"/>
              <w:jc w:val="right"/>
              <w:rPr>
                <w:rFonts w:ascii="Times New Roman" w:hAnsi="Times New Roman" w:cs="Times New Roman" w:eastAsia="Times New Roman" w:hint="default"/>
                <w:sz w:val="18"/>
                <w:szCs w:val="18"/>
              </w:rPr>
            </w:pPr>
            <w:r>
              <w:rPr>
                <w:rFonts w:ascii="Times New Roman"/>
                <w:sz w:val="18"/>
              </w:rPr>
              <w:t>4.04</w:t>
            </w:r>
          </w:p>
        </w:tc>
        <w:tc>
          <w:tcPr>
            <w:tcW w:w="2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0"/>
              <w:jc w:val="right"/>
              <w:rPr>
                <w:rFonts w:ascii="Times New Roman" w:hAnsi="Times New Roman" w:cs="Times New Roman" w:eastAsia="Times New Roman" w:hint="default"/>
                <w:sz w:val="18"/>
                <w:szCs w:val="18"/>
              </w:rPr>
            </w:pPr>
            <w:r>
              <w:rPr>
                <w:rFonts w:ascii="Times New Roman"/>
                <w:spacing w:val="-1"/>
                <w:sz w:val="18"/>
              </w:rPr>
              <w:t>63,046.00</w:t>
            </w:r>
          </w:p>
        </w:tc>
      </w:tr>
      <w:tr>
        <w:trPr>
          <w:trHeight w:val="427" w:hRule="exact"/>
        </w:trPr>
        <w:tc>
          <w:tcPr>
            <w:tcW w:w="2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D</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113"/>
              <w:jc w:val="right"/>
              <w:rPr>
                <w:rFonts w:ascii="Times New Roman" w:hAnsi="Times New Roman" w:cs="Times New Roman" w:eastAsia="Times New Roman" w:hint="default"/>
                <w:sz w:val="18"/>
                <w:szCs w:val="18"/>
              </w:rPr>
            </w:pPr>
            <w:r>
              <w:rPr>
                <w:rFonts w:ascii="Times New Roman"/>
                <w:spacing w:val="-1"/>
                <w:sz w:val="18"/>
              </w:rPr>
              <w:t>1,098,200.00</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2"/>
              <w:jc w:val="right"/>
              <w:rPr>
                <w:rFonts w:ascii="Times New Roman" w:hAnsi="Times New Roman" w:cs="Times New Roman" w:eastAsia="Times New Roman" w:hint="default"/>
                <w:sz w:val="18"/>
                <w:szCs w:val="18"/>
              </w:rPr>
            </w:pPr>
            <w:r>
              <w:rPr>
                <w:rFonts w:ascii="Times New Roman"/>
                <w:sz w:val="18"/>
              </w:rPr>
              <w:t>3.52</w:t>
            </w:r>
          </w:p>
        </w:tc>
        <w:tc>
          <w:tcPr>
            <w:tcW w:w="2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0"/>
              <w:jc w:val="right"/>
              <w:rPr>
                <w:rFonts w:ascii="Times New Roman" w:hAnsi="Times New Roman" w:cs="Times New Roman" w:eastAsia="Times New Roman" w:hint="default"/>
                <w:sz w:val="18"/>
                <w:szCs w:val="18"/>
              </w:rPr>
            </w:pPr>
            <w:r>
              <w:rPr>
                <w:rFonts w:ascii="Times New Roman"/>
                <w:spacing w:val="-1"/>
                <w:sz w:val="18"/>
              </w:rPr>
              <w:t>54,910.00</w:t>
            </w:r>
          </w:p>
        </w:tc>
      </w:tr>
      <w:tr>
        <w:trPr>
          <w:trHeight w:val="427" w:hRule="exact"/>
        </w:trPr>
        <w:tc>
          <w:tcPr>
            <w:tcW w:w="2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E</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113"/>
              <w:jc w:val="right"/>
              <w:rPr>
                <w:rFonts w:ascii="Times New Roman" w:hAnsi="Times New Roman" w:cs="Times New Roman" w:eastAsia="Times New Roman" w:hint="default"/>
                <w:sz w:val="18"/>
                <w:szCs w:val="18"/>
              </w:rPr>
            </w:pPr>
            <w:r>
              <w:rPr>
                <w:rFonts w:ascii="Times New Roman"/>
                <w:spacing w:val="-1"/>
                <w:sz w:val="18"/>
              </w:rPr>
              <w:t>1,022,610.00</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2"/>
              <w:jc w:val="right"/>
              <w:rPr>
                <w:rFonts w:ascii="Times New Roman" w:hAnsi="Times New Roman" w:cs="Times New Roman" w:eastAsia="Times New Roman" w:hint="default"/>
                <w:sz w:val="18"/>
                <w:szCs w:val="18"/>
              </w:rPr>
            </w:pPr>
            <w:r>
              <w:rPr>
                <w:rFonts w:ascii="Times New Roman"/>
                <w:sz w:val="18"/>
              </w:rPr>
              <w:t>3.28</w:t>
            </w:r>
          </w:p>
        </w:tc>
        <w:tc>
          <w:tcPr>
            <w:tcW w:w="2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0"/>
              <w:jc w:val="right"/>
              <w:rPr>
                <w:rFonts w:ascii="Times New Roman" w:hAnsi="Times New Roman" w:cs="Times New Roman" w:eastAsia="Times New Roman" w:hint="default"/>
                <w:sz w:val="18"/>
                <w:szCs w:val="18"/>
              </w:rPr>
            </w:pPr>
            <w:r>
              <w:rPr>
                <w:rFonts w:ascii="Times New Roman"/>
                <w:spacing w:val="-1"/>
                <w:sz w:val="18"/>
              </w:rPr>
              <w:t>51,130.50</w:t>
            </w:r>
          </w:p>
        </w:tc>
      </w:tr>
      <w:tr>
        <w:trPr>
          <w:trHeight w:val="427" w:hRule="exact"/>
        </w:trPr>
        <w:tc>
          <w:tcPr>
            <w:tcW w:w="2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58"/>
                <w:sz w:val="18"/>
                <w:szCs w:val="18"/>
              </w:rPr>
              <w:t> </w:t>
            </w:r>
            <w:r>
              <w:rPr>
                <w:rFonts w:ascii="宋体" w:hAnsi="宋体" w:cs="宋体" w:eastAsia="宋体" w:hint="default"/>
                <w:sz w:val="18"/>
                <w:szCs w:val="18"/>
              </w:rPr>
              <w:t>计</w:t>
            </w:r>
          </w:p>
        </w:tc>
        <w:tc>
          <w:tcPr>
            <w:tcW w:w="21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113"/>
              <w:jc w:val="right"/>
              <w:rPr>
                <w:rFonts w:ascii="Times New Roman" w:hAnsi="Times New Roman" w:cs="Times New Roman" w:eastAsia="Times New Roman" w:hint="default"/>
                <w:sz w:val="18"/>
                <w:szCs w:val="18"/>
              </w:rPr>
            </w:pPr>
            <w:r>
              <w:rPr>
                <w:rFonts w:ascii="Times New Roman"/>
                <w:spacing w:val="-1"/>
                <w:sz w:val="18"/>
              </w:rPr>
              <w:t>25,070,802.30</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2"/>
              <w:jc w:val="right"/>
              <w:rPr>
                <w:rFonts w:ascii="Times New Roman" w:hAnsi="Times New Roman" w:cs="Times New Roman" w:eastAsia="Times New Roman" w:hint="default"/>
                <w:sz w:val="18"/>
                <w:szCs w:val="18"/>
              </w:rPr>
            </w:pPr>
            <w:r>
              <w:rPr>
                <w:rFonts w:ascii="Times New Roman"/>
                <w:spacing w:val="-2"/>
                <w:sz w:val="18"/>
              </w:rPr>
              <w:t>80.31</w:t>
            </w:r>
          </w:p>
        </w:tc>
        <w:tc>
          <w:tcPr>
            <w:tcW w:w="2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0"/>
              <w:jc w:val="right"/>
              <w:rPr>
                <w:rFonts w:ascii="Times New Roman" w:hAnsi="Times New Roman" w:cs="Times New Roman" w:eastAsia="Times New Roman" w:hint="default"/>
                <w:sz w:val="18"/>
                <w:szCs w:val="18"/>
              </w:rPr>
            </w:pPr>
            <w:r>
              <w:rPr>
                <w:rFonts w:ascii="Times New Roman"/>
                <w:spacing w:val="-1"/>
                <w:sz w:val="18"/>
              </w:rPr>
              <w:t>1,253,540.12</w:t>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6"/>
        <w:rPr>
          <w:rFonts w:ascii="Microsoft JhengHei" w:hAnsi="Microsoft JhengHei" w:cs="Microsoft JhengHei" w:eastAsia="Microsoft JhengHei" w:hint="default"/>
          <w:b/>
          <w:bCs/>
          <w:sz w:val="12"/>
          <w:szCs w:val="12"/>
        </w:rPr>
      </w:pPr>
    </w:p>
    <w:p>
      <w:pPr>
        <w:pStyle w:val="Heading4"/>
        <w:spacing w:line="335" w:lineRule="exact"/>
        <w:ind w:right="0"/>
        <w:jc w:val="left"/>
        <w:rPr>
          <w:b w:val="0"/>
          <w:bCs w:val="0"/>
        </w:rPr>
      </w:pPr>
      <w:r>
        <w:rPr/>
        <w:t>（</w:t>
      </w:r>
      <w:r>
        <w:rPr>
          <w:rFonts w:ascii="Times New Roman" w:hAnsi="Times New Roman" w:cs="Times New Roman" w:eastAsia="Times New Roman" w:hint="default"/>
        </w:rPr>
        <w:t>5</w:t>
      </w:r>
      <w:r>
        <w:rPr/>
        <w:t>）因金融资产转移而终止确认的应收账款</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6</w:t>
      </w:r>
      <w:r>
        <w:rPr/>
        <w:t>）转移应收账款且继续涉入形成的资产、负债金额</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type w:val="continuous"/>
          <w:pgSz w:w="11900" w:h="16840"/>
          <w:pgMar w:top="1060" w:bottom="1180" w:left="980" w:right="800"/>
        </w:sectPr>
      </w:pPr>
    </w:p>
    <w:p>
      <w:pPr>
        <w:spacing w:line="240" w:lineRule="auto" w:before="12"/>
        <w:rPr>
          <w:rFonts w:ascii="宋体" w:hAnsi="宋体" w:cs="宋体" w:eastAsia="宋体" w:hint="default"/>
          <w:sz w:val="24"/>
          <w:szCs w:val="24"/>
        </w:rPr>
      </w:pPr>
    </w:p>
    <w:p>
      <w:pPr>
        <w:pStyle w:val="Heading4"/>
        <w:spacing w:line="335" w:lineRule="exact"/>
        <w:ind w:right="0"/>
        <w:jc w:val="left"/>
        <w:rPr>
          <w:b w:val="0"/>
          <w:bCs w:val="0"/>
        </w:rPr>
      </w:pPr>
      <w:r>
        <w:rPr>
          <w:rFonts w:ascii="Times New Roman" w:hAnsi="Times New Roman" w:cs="Times New Roman" w:eastAsia="Times New Roman" w:hint="default"/>
        </w:rPr>
        <w:t>2</w:t>
      </w:r>
      <w:r>
        <w:rPr/>
        <w:t>、其他应收款</w:t>
      </w:r>
      <w:r>
        <w:rPr>
          <w:b w:val="0"/>
          <w:bCs w:val="0"/>
        </w:rPr>
      </w:r>
    </w:p>
    <w:p>
      <w:pPr>
        <w:spacing w:line="240" w:lineRule="auto" w:before="5"/>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）其他应收款分类披露</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610"/>
        <w:gridCol w:w="773"/>
        <w:gridCol w:w="763"/>
        <w:gridCol w:w="763"/>
        <w:gridCol w:w="763"/>
        <w:gridCol w:w="787"/>
        <w:gridCol w:w="653"/>
        <w:gridCol w:w="763"/>
        <w:gridCol w:w="816"/>
        <w:gridCol w:w="931"/>
        <w:gridCol w:w="931"/>
      </w:tblGrid>
      <w:tr>
        <w:trPr>
          <w:trHeight w:val="398" w:hRule="exact"/>
        </w:trPr>
        <w:tc>
          <w:tcPr>
            <w:tcW w:w="1610" w:type="dxa"/>
            <w:vMerge w:val="restart"/>
            <w:tcBorders>
              <w:top w:val="single" w:sz="4" w:space="0" w:color="000000"/>
              <w:left w:val="single" w:sz="4" w:space="0" w:color="000000"/>
              <w:right w:val="single" w:sz="4" w:space="0" w:color="000000"/>
            </w:tcBorders>
            <w:shd w:val="clear" w:color="auto" w:fill="D2D2D2"/>
          </w:tcPr>
          <w:p>
            <w:pPr/>
          </w:p>
        </w:tc>
        <w:tc>
          <w:tcPr>
            <w:tcW w:w="385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58" w:hRule="exact"/>
        </w:trPr>
        <w:tc>
          <w:tcPr>
            <w:tcW w:w="1610" w:type="dxa"/>
            <w:vMerge/>
            <w:tcBorders>
              <w:left w:val="single" w:sz="4" w:space="0" w:color="000000"/>
              <w:bottom w:val="nil" w:sz="6" w:space="0" w:color="auto"/>
              <w:right w:val="single" w:sz="4" w:space="0" w:color="000000"/>
            </w:tcBorders>
            <w:shd w:val="clear" w:color="auto" w:fill="D2D2D2"/>
          </w:tcPr>
          <w:p>
            <w:pPr/>
          </w:p>
        </w:tc>
        <w:tc>
          <w:tcPr>
            <w:tcW w:w="153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40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9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7"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40"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50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2D2D2"/>
          </w:tcPr>
          <w:p>
            <w:pPr/>
          </w:p>
        </w:tc>
      </w:tr>
      <w:tr>
        <w:trPr>
          <w:trHeight w:val="245" w:hRule="exact"/>
        </w:trPr>
        <w:tc>
          <w:tcPr>
            <w:tcW w:w="161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536" w:type="dxa"/>
            <w:gridSpan w:val="2"/>
            <w:vMerge/>
            <w:tcBorders>
              <w:left w:val="single" w:sz="4" w:space="0" w:color="000000"/>
              <w:bottom w:val="single" w:sz="4" w:space="0" w:color="000000"/>
              <w:right w:val="single" w:sz="4" w:space="0" w:color="000000"/>
            </w:tcBorders>
            <w:shd w:val="clear" w:color="auto" w:fill="D2D2D2"/>
          </w:tcPr>
          <w:p>
            <w:pPr/>
          </w:p>
        </w:tc>
        <w:tc>
          <w:tcPr>
            <w:tcW w:w="1526" w:type="dxa"/>
            <w:gridSpan w:val="2"/>
            <w:vMerge/>
            <w:tcBorders>
              <w:left w:val="single" w:sz="4" w:space="0" w:color="000000"/>
              <w:bottom w:val="single" w:sz="4" w:space="0" w:color="000000"/>
              <w:right w:val="single" w:sz="4" w:space="0" w:color="000000"/>
            </w:tcBorders>
            <w:shd w:val="clear" w:color="auto" w:fill="D2D2D2"/>
          </w:tcPr>
          <w:p>
            <w:pPr/>
          </w:p>
        </w:tc>
        <w:tc>
          <w:tcPr>
            <w:tcW w:w="787"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7" w:type="dxa"/>
            <w:gridSpan w:val="2"/>
            <w:vMerge/>
            <w:tcBorders>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156" w:hRule="exact"/>
        </w:trPr>
        <w:tc>
          <w:tcPr>
            <w:tcW w:w="1610" w:type="dxa"/>
            <w:vMerge/>
            <w:tcBorders>
              <w:left w:val="single" w:sz="4" w:space="0" w:color="000000"/>
              <w:bottom w:val="single" w:sz="4" w:space="0" w:color="FFFFFF"/>
              <w:right w:val="single" w:sz="4" w:space="0" w:color="000000"/>
            </w:tcBorders>
            <w:shd w:val="clear" w:color="auto" w:fill="D2D2D2"/>
          </w:tcPr>
          <w:p>
            <w:pPr/>
          </w:p>
        </w:tc>
        <w:tc>
          <w:tcPr>
            <w:tcW w:w="77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vMerge w:val="restart"/>
            <w:tcBorders>
              <w:top w:val="single" w:sz="4" w:space="0" w:color="000000"/>
              <w:left w:val="single" w:sz="4" w:space="0" w:color="000000"/>
              <w:right w:val="single" w:sz="4" w:space="0" w:color="000000"/>
            </w:tcBorders>
            <w:shd w:val="clear" w:color="auto" w:fill="D2D2D2"/>
          </w:tcPr>
          <w:p>
            <w:pPr>
              <w:pStyle w:val="TableParagraph"/>
              <w:spacing w:line="321" w:lineRule="auto" w:before="53"/>
              <w:ind w:left="283" w:right="103" w:hanging="178"/>
              <w:jc w:val="left"/>
              <w:rPr>
                <w:rFonts w:ascii="宋体" w:hAnsi="宋体" w:cs="宋体" w:eastAsia="宋体" w:hint="default"/>
                <w:sz w:val="18"/>
                <w:szCs w:val="18"/>
              </w:rPr>
            </w:pPr>
            <w:r>
              <w:rPr>
                <w:rFonts w:ascii="宋体" w:hAnsi="宋体" w:cs="宋体" w:eastAsia="宋体" w:hint="default"/>
                <w:sz w:val="18"/>
                <w:szCs w:val="18"/>
              </w:rPr>
              <w:t>计提比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例</w:t>
            </w:r>
          </w:p>
        </w:tc>
        <w:tc>
          <w:tcPr>
            <w:tcW w:w="78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3"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tcBorders>
              <w:top w:val="single" w:sz="4" w:space="0" w:color="000000"/>
              <w:left w:val="single" w:sz="4" w:space="0" w:color="000000"/>
              <w:bottom w:val="nil" w:sz="6" w:space="0" w:color="auto"/>
              <w:right w:val="single" w:sz="4" w:space="0" w:color="000000"/>
            </w:tcBorders>
            <w:shd w:val="clear" w:color="auto" w:fill="D2D2D2"/>
          </w:tcPr>
          <w:p>
            <w:pPr/>
          </w:p>
        </w:tc>
        <w:tc>
          <w:tcPr>
            <w:tcW w:w="816" w:type="dxa"/>
            <w:tcBorders>
              <w:top w:val="single" w:sz="4" w:space="0" w:color="000000"/>
              <w:left w:val="single" w:sz="4" w:space="0" w:color="000000"/>
              <w:bottom w:val="nil" w:sz="6" w:space="0" w:color="auto"/>
              <w:right w:val="single" w:sz="4" w:space="0" w:color="000000"/>
            </w:tcBorders>
            <w:shd w:val="clear" w:color="auto" w:fill="D2D2D2"/>
          </w:tcPr>
          <w:p>
            <w:pPr/>
          </w:p>
        </w:tc>
        <w:tc>
          <w:tcPr>
            <w:tcW w:w="931" w:type="dxa"/>
            <w:tcBorders>
              <w:top w:val="single" w:sz="4" w:space="0" w:color="000000"/>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0" w:hRule="exact"/>
        </w:trPr>
        <w:tc>
          <w:tcPr>
            <w:tcW w:w="1610" w:type="dxa"/>
            <w:vMerge w:val="restart"/>
            <w:tcBorders>
              <w:top w:val="single" w:sz="4" w:space="0" w:color="FFFFFF"/>
              <w:left w:val="single" w:sz="4" w:space="0" w:color="000000"/>
              <w:right w:val="single" w:sz="4" w:space="0" w:color="000000"/>
            </w:tcBorders>
            <w:shd w:val="clear" w:color="auto" w:fill="D2D2D2"/>
          </w:tcPr>
          <w:p>
            <w:pPr/>
          </w:p>
        </w:tc>
        <w:tc>
          <w:tcPr>
            <w:tcW w:w="77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51"/>
              <w:ind w:left="20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51"/>
              <w:ind w:left="192"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tcBorders>
              <w:left w:val="single" w:sz="4" w:space="0" w:color="000000"/>
              <w:right w:val="single" w:sz="4" w:space="0" w:color="000000"/>
            </w:tcBorders>
            <w:shd w:val="clear" w:color="auto" w:fill="D2D2D2"/>
          </w:tcPr>
          <w:p>
            <w:pPr/>
          </w:p>
        </w:tc>
        <w:tc>
          <w:tcPr>
            <w:tcW w:w="787" w:type="dxa"/>
            <w:vMerge/>
            <w:tcBorders>
              <w:left w:val="single" w:sz="4" w:space="0" w:color="000000"/>
              <w:bottom w:val="nil" w:sz="6" w:space="0" w:color="auto"/>
              <w:right w:val="single" w:sz="4" w:space="0" w:color="000000"/>
            </w:tcBorders>
            <w:shd w:val="clear" w:color="auto" w:fill="D2D2D2"/>
          </w:tcPr>
          <w:p>
            <w:pPr/>
          </w:p>
        </w:tc>
        <w:tc>
          <w:tcPr>
            <w:tcW w:w="65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6"/>
              <w:ind w:left="139"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6"/>
              <w:ind w:left="192"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6"/>
              <w:ind w:left="22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6"/>
              <w:ind w:left="95"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207" w:hRule="exact"/>
        </w:trPr>
        <w:tc>
          <w:tcPr>
            <w:tcW w:w="1610" w:type="dxa"/>
            <w:vMerge/>
            <w:tcBorders>
              <w:left w:val="single" w:sz="4" w:space="0" w:color="000000"/>
              <w:right w:val="single" w:sz="4" w:space="0" w:color="000000"/>
            </w:tcBorders>
            <w:shd w:val="clear" w:color="auto" w:fill="D2D2D2"/>
          </w:tcPr>
          <w:p>
            <w:pPr/>
          </w:p>
        </w:tc>
        <w:tc>
          <w:tcPr>
            <w:tcW w:w="77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right w:val="single" w:sz="4" w:space="0" w:color="000000"/>
            </w:tcBorders>
            <w:shd w:val="clear" w:color="auto" w:fill="D2D2D2"/>
          </w:tcPr>
          <w:p>
            <w:pPr/>
          </w:p>
        </w:tc>
        <w:tc>
          <w:tcPr>
            <w:tcW w:w="787" w:type="dxa"/>
            <w:vMerge w:val="restart"/>
            <w:tcBorders>
              <w:top w:val="nil" w:sz="6" w:space="0" w:color="auto"/>
              <w:left w:val="single" w:sz="4" w:space="0" w:color="000000"/>
              <w:right w:val="single" w:sz="4" w:space="0" w:color="000000"/>
            </w:tcBorders>
            <w:shd w:val="clear" w:color="auto" w:fill="D2D2D2"/>
          </w:tcPr>
          <w:p>
            <w:pPr/>
          </w:p>
        </w:tc>
        <w:tc>
          <w:tcPr>
            <w:tcW w:w="65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816" w:type="dxa"/>
            <w:vMerge/>
            <w:tcBorders>
              <w:left w:val="single" w:sz="4" w:space="0" w:color="000000"/>
              <w:bottom w:val="nil" w:sz="6" w:space="0" w:color="auto"/>
              <w:right w:val="single" w:sz="4" w:space="0" w:color="000000"/>
            </w:tcBorders>
            <w:shd w:val="clear" w:color="auto" w:fill="D2D2D2"/>
          </w:tcPr>
          <w:p>
            <w:pPr/>
          </w:p>
        </w:tc>
        <w:tc>
          <w:tcPr>
            <w:tcW w:w="931" w:type="dxa"/>
            <w:vMerge/>
            <w:tcBorders>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
        </w:tc>
      </w:tr>
      <w:tr>
        <w:trPr>
          <w:trHeight w:val="162" w:hRule="exact"/>
        </w:trPr>
        <w:tc>
          <w:tcPr>
            <w:tcW w:w="1610" w:type="dxa"/>
            <w:vMerge/>
            <w:tcBorders>
              <w:left w:val="single" w:sz="4" w:space="0" w:color="000000"/>
              <w:bottom w:val="single" w:sz="4" w:space="0" w:color="000000"/>
              <w:right w:val="single" w:sz="4" w:space="0" w:color="000000"/>
            </w:tcBorders>
            <w:shd w:val="clear" w:color="auto" w:fill="D2D2D2"/>
          </w:tcPr>
          <w:p>
            <w:pPr/>
          </w:p>
        </w:tc>
        <w:tc>
          <w:tcPr>
            <w:tcW w:w="77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4" w:space="0" w:color="000000"/>
              <w:bottom w:val="single" w:sz="4" w:space="0" w:color="000000"/>
              <w:right w:val="single" w:sz="4" w:space="0" w:color="000000"/>
            </w:tcBorders>
            <w:shd w:val="clear" w:color="auto" w:fill="D2D2D2"/>
          </w:tcPr>
          <w:p>
            <w:pPr/>
          </w:p>
        </w:tc>
        <w:tc>
          <w:tcPr>
            <w:tcW w:w="787" w:type="dxa"/>
            <w:vMerge/>
            <w:tcBorders>
              <w:left w:val="single" w:sz="4" w:space="0" w:color="000000"/>
              <w:bottom w:val="single" w:sz="4" w:space="0" w:color="000000"/>
              <w:right w:val="single" w:sz="4" w:space="0" w:color="000000"/>
            </w:tcBorders>
            <w:shd w:val="clear" w:color="auto" w:fill="D2D2D2"/>
          </w:tcPr>
          <w:p>
            <w:pPr/>
          </w:p>
        </w:tc>
        <w:tc>
          <w:tcPr>
            <w:tcW w:w="65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816" w:type="dxa"/>
            <w:tcBorders>
              <w:top w:val="nil" w:sz="6" w:space="0" w:color="auto"/>
              <w:left w:val="single" w:sz="4" w:space="0" w:color="000000"/>
              <w:bottom w:val="single" w:sz="4" w:space="0" w:color="000000"/>
              <w:right w:val="single" w:sz="4" w:space="0" w:color="000000"/>
            </w:tcBorders>
            <w:shd w:val="clear" w:color="auto" w:fill="D2D2D2"/>
          </w:tcPr>
          <w:p>
            <w:pPr/>
          </w:p>
        </w:tc>
        <w:tc>
          <w:tcPr>
            <w:tcW w:w="931" w:type="dxa"/>
            <w:tcBorders>
              <w:top w:val="nil" w:sz="6" w:space="0" w:color="auto"/>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1027" w:hRule="exact"/>
        </w:trPr>
        <w:tc>
          <w:tcPr>
            <w:tcW w:w="1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142"/>
              <w:jc w:val="both"/>
              <w:rPr>
                <w:rFonts w:ascii="宋体" w:hAnsi="宋体" w:cs="宋体" w:eastAsia="宋体" w:hint="default"/>
                <w:sz w:val="18"/>
                <w:szCs w:val="18"/>
              </w:rPr>
            </w:pPr>
            <w:r>
              <w:rPr>
                <w:rFonts w:ascii="宋体" w:hAnsi="宋体" w:cs="宋体" w:eastAsia="宋体" w:hint="default"/>
                <w:spacing w:val="-2"/>
                <w:sz w:val="18"/>
                <w:szCs w:val="18"/>
              </w:rPr>
              <w:t>按信用风险特征组</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2"/>
                <w:sz w:val="18"/>
                <w:szCs w:val="18"/>
              </w:rPr>
              <w:t>合计提坏账准备的</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其他应收款</w:t>
            </w:r>
          </w:p>
        </w:tc>
        <w:tc>
          <w:tcPr>
            <w:tcW w:w="77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79" w:right="0"/>
              <w:jc w:val="center"/>
              <w:rPr>
                <w:rFonts w:ascii="Times New Roman" w:hAnsi="Times New Roman" w:cs="Times New Roman" w:eastAsia="Times New Roman" w:hint="default"/>
                <w:sz w:val="18"/>
                <w:szCs w:val="18"/>
              </w:rPr>
            </w:pPr>
            <w:r>
              <w:rPr>
                <w:rFonts w:ascii="Times New Roman"/>
                <w:sz w:val="18"/>
              </w:rPr>
              <w:t>222,593,</w:t>
            </w:r>
          </w:p>
          <w:p>
            <w:pPr>
              <w:pStyle w:val="TableParagraph"/>
              <w:spacing w:line="240" w:lineRule="auto" w:before="105"/>
              <w:ind w:left="206" w:right="0"/>
              <w:jc w:val="center"/>
              <w:rPr>
                <w:rFonts w:ascii="Times New Roman" w:hAnsi="Times New Roman" w:cs="Times New Roman" w:eastAsia="Times New Roman" w:hint="default"/>
                <w:sz w:val="18"/>
                <w:szCs w:val="18"/>
              </w:rPr>
            </w:pPr>
            <w:r>
              <w:rPr>
                <w:rFonts w:ascii="Times New Roman"/>
                <w:sz w:val="18"/>
              </w:rPr>
              <w:t>435.09</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100.00%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1,156,78</w:t>
            </w:r>
          </w:p>
          <w:p>
            <w:pPr>
              <w:pStyle w:val="TableParagraph"/>
              <w:spacing w:line="240" w:lineRule="auto" w:before="105"/>
              <w:ind w:left="407" w:right="0"/>
              <w:jc w:val="left"/>
              <w:rPr>
                <w:rFonts w:ascii="Times New Roman" w:hAnsi="Times New Roman" w:cs="Times New Roman" w:eastAsia="Times New Roman" w:hint="default"/>
                <w:sz w:val="18"/>
                <w:szCs w:val="18"/>
              </w:rPr>
            </w:pPr>
            <w:r>
              <w:rPr>
                <w:rFonts w:ascii="Times New Roman"/>
                <w:sz w:val="18"/>
              </w:rPr>
              <w:t>6.60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259" w:right="0"/>
              <w:jc w:val="left"/>
              <w:rPr>
                <w:rFonts w:ascii="Times New Roman" w:hAnsi="Times New Roman" w:cs="Times New Roman" w:eastAsia="Times New Roman" w:hint="default"/>
                <w:sz w:val="18"/>
                <w:szCs w:val="18"/>
              </w:rPr>
            </w:pPr>
            <w:r>
              <w:rPr>
                <w:rFonts w:ascii="Times New Roman"/>
                <w:sz w:val="18"/>
              </w:rPr>
              <w:t>0.52%</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221,436,6</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48.49</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141,673</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,552.62</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100.00%</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414,331.4</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427" w:right="0"/>
              <w:jc w:val="left"/>
              <w:rPr>
                <w:rFonts w:ascii="Times New Roman" w:hAnsi="Times New Roman" w:cs="Times New Roman" w:eastAsia="Times New Roman" w:hint="default"/>
                <w:sz w:val="18"/>
                <w:szCs w:val="18"/>
              </w:rPr>
            </w:pPr>
            <w:r>
              <w:rPr>
                <w:rFonts w:ascii="Times New Roman"/>
                <w:sz w:val="18"/>
              </w:rPr>
              <w:t>0.29%</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141,259,22</w:t>
            </w:r>
          </w:p>
          <w:p>
            <w:pPr>
              <w:pStyle w:val="TableParagraph"/>
              <w:spacing w:line="240" w:lineRule="auto" w:before="105"/>
              <w:ind w:left="580" w:right="0"/>
              <w:jc w:val="left"/>
              <w:rPr>
                <w:rFonts w:ascii="Times New Roman" w:hAnsi="Times New Roman" w:cs="Times New Roman" w:eastAsia="Times New Roman" w:hint="default"/>
                <w:sz w:val="18"/>
                <w:szCs w:val="18"/>
              </w:rPr>
            </w:pPr>
            <w:r>
              <w:rPr>
                <w:rFonts w:ascii="Times New Roman"/>
                <w:sz w:val="18"/>
              </w:rPr>
              <w:t>1.19</w:t>
            </w:r>
          </w:p>
        </w:tc>
      </w:tr>
      <w:tr>
        <w:trPr>
          <w:trHeight w:val="158" w:hRule="exact"/>
        </w:trPr>
        <w:tc>
          <w:tcPr>
            <w:tcW w:w="1610" w:type="dxa"/>
            <w:tcBorders>
              <w:top w:val="single" w:sz="4" w:space="0" w:color="000000"/>
              <w:left w:val="single" w:sz="4" w:space="0" w:color="000000"/>
              <w:bottom w:val="nil" w:sz="6" w:space="0" w:color="auto"/>
              <w:right w:val="single" w:sz="4" w:space="0" w:color="000000"/>
            </w:tcBorders>
            <w:shd w:val="clear" w:color="auto" w:fill="D2D2D2"/>
          </w:tcPr>
          <w:p>
            <w:pPr/>
          </w:p>
        </w:tc>
        <w:tc>
          <w:tcPr>
            <w:tcW w:w="773" w:type="dxa"/>
            <w:vMerge w:val="restart"/>
            <w:tcBorders>
              <w:top w:val="single" w:sz="4" w:space="0" w:color="000000"/>
              <w:left w:val="single" w:sz="8" w:space="0" w:color="D2D2D2"/>
              <w:right w:val="single" w:sz="4" w:space="0" w:color="000000"/>
            </w:tcBorders>
          </w:tcPr>
          <w:p>
            <w:pPr>
              <w:pStyle w:val="TableParagraph"/>
              <w:spacing w:line="240" w:lineRule="auto" w:before="96"/>
              <w:ind w:left="83" w:right="0"/>
              <w:jc w:val="center"/>
              <w:rPr>
                <w:rFonts w:ascii="Times New Roman" w:hAnsi="Times New Roman" w:cs="Times New Roman" w:eastAsia="Times New Roman" w:hint="default"/>
                <w:sz w:val="18"/>
                <w:szCs w:val="18"/>
              </w:rPr>
            </w:pPr>
            <w:r>
              <w:rPr>
                <w:rFonts w:ascii="Times New Roman"/>
                <w:sz w:val="18"/>
              </w:rPr>
              <w:t>222,593,</w:t>
            </w:r>
          </w:p>
          <w:p>
            <w:pPr>
              <w:pStyle w:val="TableParagraph"/>
              <w:spacing w:line="240" w:lineRule="auto" w:before="105"/>
              <w:ind w:left="211" w:right="0"/>
              <w:jc w:val="center"/>
              <w:rPr>
                <w:rFonts w:ascii="Times New Roman" w:hAnsi="Times New Roman" w:cs="Times New Roman" w:eastAsia="Times New Roman" w:hint="default"/>
                <w:sz w:val="18"/>
                <w:szCs w:val="18"/>
              </w:rPr>
            </w:pPr>
            <w:r>
              <w:rPr>
                <w:rFonts w:ascii="Times New Roman"/>
                <w:sz w:val="18"/>
              </w:rPr>
              <w:t>435.09</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100.00%</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1,156,78</w:t>
            </w:r>
          </w:p>
          <w:p>
            <w:pPr>
              <w:pStyle w:val="TableParagraph"/>
              <w:spacing w:line="240" w:lineRule="auto" w:before="105"/>
              <w:ind w:left="407" w:right="0"/>
              <w:jc w:val="left"/>
              <w:rPr>
                <w:rFonts w:ascii="Times New Roman" w:hAnsi="Times New Roman" w:cs="Times New Roman" w:eastAsia="Times New Roman" w:hint="default"/>
                <w:sz w:val="18"/>
                <w:szCs w:val="18"/>
              </w:rPr>
            </w:pPr>
            <w:r>
              <w:rPr>
                <w:rFonts w:ascii="Times New Roman"/>
                <w:sz w:val="18"/>
              </w:rPr>
              <w:t>6.60</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59" w:right="0"/>
              <w:jc w:val="left"/>
              <w:rPr>
                <w:rFonts w:ascii="Times New Roman" w:hAnsi="Times New Roman" w:cs="Times New Roman" w:eastAsia="Times New Roman" w:hint="default"/>
                <w:sz w:val="18"/>
                <w:szCs w:val="18"/>
              </w:rPr>
            </w:pPr>
            <w:r>
              <w:rPr>
                <w:rFonts w:ascii="Times New Roman"/>
                <w:sz w:val="18"/>
              </w:rPr>
              <w:t>0.52%</w:t>
            </w:r>
          </w:p>
        </w:tc>
        <w:tc>
          <w:tcPr>
            <w:tcW w:w="787" w:type="dxa"/>
            <w:vMerge w:val="restart"/>
            <w:tcBorders>
              <w:top w:val="single" w:sz="4" w:space="0" w:color="000000"/>
              <w:left w:val="single" w:sz="4" w:space="0" w:color="000000"/>
              <w:right w:val="single" w:sz="4" w:space="0" w:color="000000"/>
            </w:tcBorders>
          </w:tcPr>
          <w:p>
            <w:pPr>
              <w:pStyle w:val="TableParagraph"/>
              <w:spacing w:line="240" w:lineRule="auto" w:before="96"/>
              <w:ind w:left="38" w:right="0"/>
              <w:jc w:val="left"/>
              <w:rPr>
                <w:rFonts w:ascii="Times New Roman" w:hAnsi="Times New Roman" w:cs="Times New Roman" w:eastAsia="Times New Roman" w:hint="default"/>
                <w:sz w:val="18"/>
                <w:szCs w:val="18"/>
              </w:rPr>
            </w:pPr>
            <w:r>
              <w:rPr>
                <w:rFonts w:ascii="Times New Roman"/>
                <w:sz w:val="18"/>
              </w:rPr>
              <w:t>221,436,6</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48.49</w:t>
            </w:r>
          </w:p>
        </w:tc>
        <w:tc>
          <w:tcPr>
            <w:tcW w:w="653" w:type="dxa"/>
            <w:vMerge w:val="restart"/>
            <w:tcBorders>
              <w:top w:val="single" w:sz="4" w:space="0" w:color="000000"/>
              <w:left w:val="single" w:sz="4" w:space="0" w:color="000000"/>
              <w:right w:val="single" w:sz="4" w:space="0" w:color="000000"/>
            </w:tcBorders>
          </w:tcPr>
          <w:p>
            <w:pPr>
              <w:pStyle w:val="TableParagraph"/>
              <w:spacing w:line="240" w:lineRule="auto" w:before="96"/>
              <w:ind w:left="38" w:right="0"/>
              <w:jc w:val="left"/>
              <w:rPr>
                <w:rFonts w:ascii="Times New Roman" w:hAnsi="Times New Roman" w:cs="Times New Roman" w:eastAsia="Times New Roman" w:hint="default"/>
                <w:sz w:val="18"/>
                <w:szCs w:val="18"/>
              </w:rPr>
            </w:pPr>
            <w:r>
              <w:rPr>
                <w:rFonts w:ascii="Times New Roman"/>
                <w:sz w:val="18"/>
              </w:rPr>
              <w:t>141,673</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,552.62</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100.00%</w:t>
            </w:r>
          </w:p>
        </w:tc>
        <w:tc>
          <w:tcPr>
            <w:tcW w:w="816" w:type="dxa"/>
            <w:vMerge w:val="restart"/>
            <w:tcBorders>
              <w:top w:val="single" w:sz="4" w:space="0" w:color="000000"/>
              <w:left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414,331.4</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27" w:right="0"/>
              <w:jc w:val="left"/>
              <w:rPr>
                <w:rFonts w:ascii="Times New Roman" w:hAnsi="Times New Roman" w:cs="Times New Roman" w:eastAsia="Times New Roman" w:hint="default"/>
                <w:sz w:val="18"/>
                <w:szCs w:val="18"/>
              </w:rPr>
            </w:pPr>
            <w:r>
              <w:rPr>
                <w:rFonts w:ascii="Times New Roman"/>
                <w:sz w:val="18"/>
              </w:rPr>
              <w:t>0.29%</w:t>
            </w: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96"/>
              <w:ind w:left="91" w:right="0"/>
              <w:jc w:val="left"/>
              <w:rPr>
                <w:rFonts w:ascii="Times New Roman" w:hAnsi="Times New Roman" w:cs="Times New Roman" w:eastAsia="Times New Roman" w:hint="default"/>
                <w:sz w:val="18"/>
                <w:szCs w:val="18"/>
              </w:rPr>
            </w:pPr>
            <w:r>
              <w:rPr>
                <w:rFonts w:ascii="Times New Roman"/>
                <w:sz w:val="18"/>
              </w:rPr>
              <w:t>141,259,22</w:t>
            </w:r>
          </w:p>
          <w:p>
            <w:pPr>
              <w:pStyle w:val="TableParagraph"/>
              <w:spacing w:line="240" w:lineRule="auto" w:before="105"/>
              <w:ind w:left="580" w:right="0"/>
              <w:jc w:val="left"/>
              <w:rPr>
                <w:rFonts w:ascii="Times New Roman" w:hAnsi="Times New Roman" w:cs="Times New Roman" w:eastAsia="Times New Roman" w:hint="default"/>
                <w:sz w:val="18"/>
                <w:szCs w:val="18"/>
              </w:rPr>
            </w:pPr>
            <w:r>
              <w:rPr>
                <w:rFonts w:ascii="Times New Roman"/>
                <w:sz w:val="18"/>
              </w:rPr>
              <w:t>1.19</w:t>
            </w:r>
          </w:p>
        </w:tc>
      </w:tr>
      <w:tr>
        <w:trPr>
          <w:trHeight w:val="394" w:hRule="exact"/>
        </w:trPr>
        <w:tc>
          <w:tcPr>
            <w:tcW w:w="161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3" w:type="dxa"/>
            <w:vMerge/>
            <w:tcBorders>
              <w:left w:val="single" w:sz="8" w:space="0" w:color="D2D2D2"/>
              <w:right w:val="single" w:sz="4" w:space="0" w:color="000000"/>
            </w:tcBorders>
          </w:tcPr>
          <w:p>
            <w:pPr/>
          </w:p>
        </w:tc>
        <w:tc>
          <w:tcPr>
            <w:tcW w:w="763"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87" w:type="dxa"/>
            <w:vMerge/>
            <w:tcBorders>
              <w:left w:val="single" w:sz="4" w:space="0" w:color="000000"/>
              <w:right w:val="single" w:sz="4" w:space="0" w:color="000000"/>
            </w:tcBorders>
          </w:tcPr>
          <w:p>
            <w:pPr/>
          </w:p>
        </w:tc>
        <w:tc>
          <w:tcPr>
            <w:tcW w:w="653"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816"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3" w:hRule="exact"/>
        </w:trPr>
        <w:tc>
          <w:tcPr>
            <w:tcW w:w="1610" w:type="dxa"/>
            <w:tcBorders>
              <w:top w:val="nil" w:sz="6" w:space="0" w:color="auto"/>
              <w:left w:val="single" w:sz="4" w:space="0" w:color="000000"/>
              <w:bottom w:val="single" w:sz="4" w:space="0" w:color="000000"/>
              <w:right w:val="single" w:sz="4" w:space="0" w:color="000000"/>
            </w:tcBorders>
            <w:shd w:val="clear" w:color="auto" w:fill="D2D2D2"/>
          </w:tcPr>
          <w:p>
            <w:pPr/>
          </w:p>
        </w:tc>
        <w:tc>
          <w:tcPr>
            <w:tcW w:w="773" w:type="dxa"/>
            <w:vMerge/>
            <w:tcBorders>
              <w:left w:val="single" w:sz="8" w:space="0" w:color="D2D2D2"/>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87" w:type="dxa"/>
            <w:vMerge/>
            <w:tcBorders>
              <w:left w:val="single" w:sz="4" w:space="0" w:color="000000"/>
              <w:bottom w:val="single" w:sz="4" w:space="0" w:color="000000"/>
              <w:right w:val="single" w:sz="4" w:space="0" w:color="000000"/>
            </w:tcBorders>
          </w:tcPr>
          <w:p>
            <w:pPr/>
          </w:p>
        </w:tc>
        <w:tc>
          <w:tcPr>
            <w:tcW w:w="653"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816"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期末单项金额重大并单项计提坏账准备的其他应收款：</w:t>
      </w:r>
    </w:p>
    <w:p>
      <w:pPr>
        <w:spacing w:line="362" w:lineRule="auto" w:before="115"/>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 不适用</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3"/>
          <w:sz w:val="18"/>
          <w:szCs w:val="18"/>
        </w:rPr>
        <w:t>组合中，按账龄分析法计提坏账准备的其他应收款：</w:t>
      </w:r>
    </w:p>
    <w:p>
      <w:pPr>
        <w:spacing w:before="23"/>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00" w:h="16840"/>
          <w:pgMar w:top="1060" w:bottom="1180" w:left="980" w:right="980"/>
          <w:cols w:num="2" w:equalWidth="0">
            <w:col w:w="4478" w:space="4344"/>
            <w:col w:w="1118"/>
          </w:cols>
        </w:sectPr>
      </w:pP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476"/>
        <w:gridCol w:w="2302"/>
        <w:gridCol w:w="2387"/>
        <w:gridCol w:w="2390"/>
      </w:tblGrid>
      <w:tr>
        <w:trPr>
          <w:trHeight w:val="197" w:hRule="exact"/>
        </w:trPr>
        <w:tc>
          <w:tcPr>
            <w:tcW w:w="2476" w:type="dxa"/>
            <w:tcBorders>
              <w:top w:val="single" w:sz="4" w:space="0" w:color="000000"/>
              <w:left w:val="single" w:sz="4" w:space="0" w:color="000000"/>
              <w:bottom w:val="nil" w:sz="6" w:space="0" w:color="auto"/>
              <w:right w:val="single" w:sz="4" w:space="0" w:color="000000"/>
            </w:tcBorders>
            <w:shd w:val="clear" w:color="auto" w:fill="D2D2D2"/>
          </w:tcPr>
          <w:p>
            <w:pPr/>
          </w:p>
        </w:tc>
        <w:tc>
          <w:tcPr>
            <w:tcW w:w="7079"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6" w:hRule="exact"/>
        </w:trPr>
        <w:tc>
          <w:tcPr>
            <w:tcW w:w="247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7079" w:type="dxa"/>
            <w:gridSpan w:val="3"/>
            <w:vMerge/>
            <w:tcBorders>
              <w:left w:val="single" w:sz="4" w:space="0" w:color="000000"/>
              <w:bottom w:val="single" w:sz="4" w:space="0" w:color="000000"/>
              <w:right w:val="single" w:sz="4" w:space="0" w:color="000000"/>
            </w:tcBorders>
            <w:shd w:val="clear" w:color="auto" w:fill="D2D2D2"/>
          </w:tcPr>
          <w:p>
            <w:pPr/>
          </w:p>
        </w:tc>
      </w:tr>
      <w:tr>
        <w:trPr>
          <w:trHeight w:val="192" w:hRule="exact"/>
        </w:trPr>
        <w:tc>
          <w:tcPr>
            <w:tcW w:w="2476" w:type="dxa"/>
            <w:vMerge/>
            <w:tcBorders>
              <w:left w:val="single" w:sz="4" w:space="0" w:color="000000"/>
              <w:bottom w:val="nil" w:sz="6" w:space="0" w:color="auto"/>
              <w:right w:val="single" w:sz="4" w:space="0" w:color="000000"/>
            </w:tcBorders>
            <w:shd w:val="clear" w:color="auto" w:fill="D2D2D2"/>
          </w:tcPr>
          <w:p>
            <w:pPr/>
          </w:p>
        </w:tc>
        <w:tc>
          <w:tcPr>
            <w:tcW w:w="23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69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8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right="6"/>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21" w:hRule="exact"/>
        </w:trPr>
        <w:tc>
          <w:tcPr>
            <w:tcW w:w="247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02" w:type="dxa"/>
            <w:vMerge/>
            <w:tcBorders>
              <w:left w:val="single" w:sz="4" w:space="0" w:color="000000"/>
              <w:bottom w:val="single" w:sz="4" w:space="0" w:color="000000"/>
              <w:right w:val="single" w:sz="4" w:space="0" w:color="000000"/>
            </w:tcBorders>
            <w:shd w:val="clear" w:color="auto" w:fill="D2D2D2"/>
          </w:tcPr>
          <w:p>
            <w:pPr/>
          </w:p>
        </w:tc>
        <w:tc>
          <w:tcPr>
            <w:tcW w:w="2387" w:type="dxa"/>
            <w:vMerge/>
            <w:tcBorders>
              <w:left w:val="single" w:sz="4" w:space="0" w:color="000000"/>
              <w:bottom w:val="single" w:sz="4" w:space="0" w:color="000000"/>
              <w:right w:val="single" w:sz="4" w:space="0" w:color="000000"/>
            </w:tcBorders>
            <w:shd w:val="clear" w:color="auto" w:fill="D2D2D2"/>
          </w:tcPr>
          <w:p>
            <w:pPr/>
          </w:p>
        </w:tc>
        <w:tc>
          <w:tcPr>
            <w:tcW w:w="2390" w:type="dxa"/>
            <w:vMerge/>
            <w:tcBorders>
              <w:left w:val="single" w:sz="4" w:space="0" w:color="000000"/>
              <w:bottom w:val="single" w:sz="4" w:space="0" w:color="000000"/>
              <w:right w:val="single" w:sz="4" w:space="0" w:color="000000"/>
            </w:tcBorders>
            <w:shd w:val="clear" w:color="auto" w:fill="D2D2D2"/>
          </w:tcPr>
          <w:p>
            <w:pPr/>
          </w:p>
        </w:tc>
      </w:tr>
      <w:tr>
        <w:trPr>
          <w:trHeight w:val="398" w:hRule="exact"/>
        </w:trPr>
        <w:tc>
          <w:tcPr>
            <w:tcW w:w="9554"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年以内分项</w:t>
            </w:r>
          </w:p>
        </w:tc>
      </w:tr>
      <w:tr>
        <w:trPr>
          <w:trHeight w:val="403"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年以内小计</w:t>
            </w:r>
          </w:p>
        </w:tc>
        <w:tc>
          <w:tcPr>
            <w:tcW w:w="23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6,157,445.85</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307,872.29</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5.00%</w:t>
            </w:r>
          </w:p>
        </w:tc>
      </w:tr>
      <w:tr>
        <w:trPr>
          <w:trHeight w:val="398"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23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466,131.12</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46,613.11</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10.00%</w:t>
            </w:r>
          </w:p>
        </w:tc>
      </w:tr>
      <w:tr>
        <w:trPr>
          <w:trHeight w:val="403"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23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3,247,960.63</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649,592.13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20.00%</w:t>
            </w:r>
          </w:p>
        </w:tc>
      </w:tr>
      <w:tr>
        <w:trPr>
          <w:trHeight w:val="403"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年</w:t>
            </w:r>
          </w:p>
        </w:tc>
        <w:tc>
          <w:tcPr>
            <w:tcW w:w="23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256,543.41</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128,271.71</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50.00%</w:t>
            </w:r>
          </w:p>
        </w:tc>
      </w:tr>
      <w:tr>
        <w:trPr>
          <w:trHeight w:val="403"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年</w:t>
            </w:r>
          </w:p>
        </w:tc>
        <w:tc>
          <w:tcPr>
            <w:tcW w:w="23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4,663.70</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3,730.96</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80.00%</w:t>
            </w:r>
          </w:p>
        </w:tc>
      </w:tr>
      <w:tr>
        <w:trPr>
          <w:trHeight w:val="398"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23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20,706.40</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20,706.40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2"/>
                <w:sz w:val="18"/>
              </w:rPr>
              <w:t>100.00%</w:t>
            </w:r>
          </w:p>
        </w:tc>
      </w:tr>
      <w:tr>
        <w:trPr>
          <w:trHeight w:val="403"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02"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2"/>
                <w:sz w:val="18"/>
              </w:rPr>
              <w:t>10,153,451.11</w:t>
            </w:r>
          </w:p>
        </w:tc>
        <w:tc>
          <w:tcPr>
            <w:tcW w:w="2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1,156,786.60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3"/>
                <w:sz w:val="18"/>
              </w:rPr>
              <w:t>11.39%</w:t>
            </w:r>
          </w:p>
        </w:tc>
      </w:tr>
    </w:tbl>
    <w:p>
      <w:pPr>
        <w:spacing w:line="362" w:lineRule="auto" w:before="53"/>
        <w:ind w:left="152" w:right="5284" w:firstLine="0"/>
        <w:jc w:val="left"/>
        <w:rPr>
          <w:rFonts w:ascii="宋体" w:hAnsi="宋体" w:cs="宋体" w:eastAsia="宋体" w:hint="default"/>
          <w:sz w:val="18"/>
          <w:szCs w:val="18"/>
        </w:rPr>
      </w:pPr>
      <w:r>
        <w:rPr>
          <w:rFonts w:ascii="宋体" w:hAnsi="宋体" w:cs="宋体" w:eastAsia="宋体" w:hint="default"/>
          <w:spacing w:val="-3"/>
          <w:sz w:val="18"/>
          <w:szCs w:val="18"/>
        </w:rPr>
        <w:t>确定该组合依据的说明：</w:t>
      </w:r>
      <w:r>
        <w:rPr>
          <w:rFonts w:ascii="宋体" w:hAnsi="宋体" w:cs="宋体" w:eastAsia="宋体" w:hint="default"/>
          <w:spacing w:val="-57"/>
          <w:sz w:val="18"/>
          <w:szCs w:val="18"/>
        </w:rPr>
        <w:t> </w:t>
      </w:r>
      <w:r>
        <w:rPr>
          <w:rFonts w:ascii="宋体" w:hAnsi="宋体" w:cs="宋体" w:eastAsia="宋体" w:hint="default"/>
          <w:spacing w:val="-57"/>
          <w:sz w:val="18"/>
          <w:szCs w:val="18"/>
        </w:rPr>
      </w:r>
      <w:r>
        <w:rPr>
          <w:rFonts w:ascii="宋体" w:hAnsi="宋体" w:cs="宋体" w:eastAsia="宋体" w:hint="default"/>
          <w:spacing w:val="-3"/>
          <w:sz w:val="18"/>
          <w:szCs w:val="18"/>
        </w:rPr>
        <w:t>组合中，采用余额百分比法计提坏账准备的其他应收款：</w:t>
      </w:r>
    </w:p>
    <w:p>
      <w:pPr>
        <w:spacing w:line="362" w:lineRule="auto" w:before="23"/>
        <w:ind w:left="152" w:right="5284"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 不适用</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3"/>
          <w:sz w:val="18"/>
          <w:szCs w:val="18"/>
        </w:rPr>
        <w:t>组合中，采用其他方法计提坏账准备的其他应收款：</w:t>
      </w:r>
    </w:p>
    <w:p>
      <w:pPr>
        <w:spacing w:before="23"/>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 </w:t>
      </w:r>
      <w:r>
        <w:rPr>
          <w:rFonts w:ascii="Times New Roman" w:hAnsi="Times New Roman" w:cs="Times New Roman" w:eastAsia="Times New Roman" w:hint="default"/>
          <w:sz w:val="18"/>
          <w:szCs w:val="18"/>
        </w:rPr>
        <w:t>742,455.17 </w:t>
      </w:r>
      <w:r>
        <w:rPr>
          <w:rFonts w:ascii="宋体" w:hAnsi="宋体" w:cs="宋体" w:eastAsia="宋体" w:hint="default"/>
          <w:spacing w:val="-3"/>
          <w:sz w:val="18"/>
          <w:szCs w:val="18"/>
        </w:rPr>
        <w:t>元；本期收回或转回坏账准备金额元。</w:t>
      </w:r>
    </w:p>
    <w:p>
      <w:pPr>
        <w:spacing w:after="0"/>
        <w:jc w:val="left"/>
        <w:rPr>
          <w:rFonts w:ascii="宋体" w:hAnsi="宋体" w:cs="宋体" w:eastAsia="宋体" w:hint="default"/>
          <w:sz w:val="18"/>
          <w:szCs w:val="18"/>
        </w:rPr>
        <w:sectPr>
          <w:type w:val="continuous"/>
          <w:pgSz w:w="11900" w:h="16840"/>
          <w:pgMar w:top="1060" w:bottom="1180" w:left="980" w:right="980"/>
        </w:sectPr>
      </w:pPr>
    </w:p>
    <w:p>
      <w:pPr>
        <w:spacing w:line="240" w:lineRule="auto" w:before="6"/>
        <w:rPr>
          <w:rFonts w:ascii="宋体" w:hAnsi="宋体" w:cs="宋体" w:eastAsia="宋体" w:hint="default"/>
          <w:sz w:val="26"/>
          <w:szCs w:val="26"/>
        </w:rPr>
      </w:pPr>
    </w:p>
    <w:p>
      <w:pPr>
        <w:spacing w:before="46"/>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其中本期坏账准备转回或收回金额重要的：</w:t>
      </w:r>
    </w:p>
    <w:p>
      <w:pPr>
        <w:spacing w:before="115"/>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370"/>
        <w:gridCol w:w="3101"/>
        <w:gridCol w:w="3096"/>
      </w:tblGrid>
      <w:tr>
        <w:trPr>
          <w:trHeight w:val="398" w:hRule="exact"/>
        </w:trPr>
        <w:tc>
          <w:tcPr>
            <w:tcW w:w="3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11" w:right="0"/>
              <w:jc w:val="left"/>
              <w:rPr>
                <w:rFonts w:ascii="宋体" w:hAnsi="宋体" w:cs="宋体" w:eastAsia="宋体" w:hint="default"/>
                <w:sz w:val="18"/>
                <w:szCs w:val="18"/>
              </w:rPr>
            </w:pPr>
            <w:r>
              <w:rPr>
                <w:rFonts w:ascii="宋体" w:hAnsi="宋体" w:cs="宋体" w:eastAsia="宋体" w:hint="default"/>
                <w:spacing w:val="-3"/>
                <w:sz w:val="18"/>
                <w:szCs w:val="18"/>
              </w:rPr>
              <w:t>转回或收回金额</w:t>
            </w:r>
          </w:p>
        </w:tc>
        <w:tc>
          <w:tcPr>
            <w:tcW w:w="30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7"/>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3</w:t>
      </w:r>
      <w:r>
        <w:rPr/>
        <w:t>）本期实际核销的其他应收款情况</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7"/>
          <w:szCs w:val="7"/>
        </w:rPr>
      </w:pPr>
    </w:p>
    <w:p>
      <w:pPr>
        <w:spacing w:line="422" w:lineRule="exact"/>
        <w:ind w:left="148"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8pt;height:21.15pt;mso-position-horizontal-relative:char;mso-position-vertical-relative:line" coordorigin="0,0" coordsize="9576,423">
            <v:group style="position:absolute;left:22;top:14;width:2;height:394" coordorigin="22,14" coordsize="2,394">
              <v:shape style="position:absolute;left:22;top:14;width:2;height:394" coordorigin="22,14" coordsize="0,394" path="m22,14l22,408e" filled="false" stroked="true" strokeweight="1.2pt" strokecolor="#d2d2d2">
                <v:path arrowok="t"/>
              </v:shape>
            </v:group>
            <v:group style="position:absolute;left:4973;top:14;width:2;height:394" coordorigin="4973,14" coordsize="2,394">
              <v:shape style="position:absolute;left:4973;top:14;width:2;height:394" coordorigin="4973,14" coordsize="0,394" path="m4973,14l4973,408e" filled="false" stroked="true" strokeweight=".96pt" strokecolor="#d2d2d2">
                <v:path arrowok="t"/>
              </v:shape>
            </v:group>
            <v:group style="position:absolute;left:34;top:14;width:4930;height:394" coordorigin="34,14" coordsize="4930,394">
              <v:shape style="position:absolute;left:34;top:14;width:4930;height:394" coordorigin="34,14" coordsize="4930,394" path="m34,408l4963,408,4963,14,34,14,34,408xe" filled="true" fillcolor="#d2d2d2" stroked="false">
                <v:path arrowok="t"/>
                <v:fill type="solid"/>
              </v:shape>
            </v:group>
            <v:group style="position:absolute;left:5004;top:14;width:2;height:394" coordorigin="5004,14" coordsize="2,394">
              <v:shape style="position:absolute;left:5004;top:14;width:2;height:394" coordorigin="5004,14" coordsize="0,394" path="m5004,14l5004,408e" filled="false" stroked="true" strokeweight="1.2pt" strokecolor="#d2d2d2">
                <v:path arrowok="t"/>
              </v:shape>
            </v:group>
            <v:group style="position:absolute;left:9557;top:14;width:2;height:394" coordorigin="9557,14" coordsize="2,394">
              <v:shape style="position:absolute;left:9557;top:14;width:2;height:394" coordorigin="9557,14" coordsize="0,394" path="m9557,14l9557,408e" filled="false" stroked="true" strokeweight=".96pt" strokecolor="#d2d2d2">
                <v:path arrowok="t"/>
              </v:shape>
            </v:group>
            <v:group style="position:absolute;left:5016;top:14;width:4532;height:394" coordorigin="5016,14" coordsize="4532,394">
              <v:shape style="position:absolute;left:5016;top:14;width:4532;height:394" coordorigin="5016,14" coordsize="4532,394" path="m5016,408l9547,408,9547,14,5016,14,5016,408xe" filled="true" fillcolor="#d2d2d2" stroked="false">
                <v:path arrowok="t"/>
                <v:fill type="solid"/>
              </v:shape>
            </v:group>
            <v:group style="position:absolute;left:10;top:10;width:4973;height:2" coordorigin="10,10" coordsize="4973,2">
              <v:shape style="position:absolute;left:10;top:10;width:4973;height:2" coordorigin="10,10" coordsize="4973,0" path="m10,10l4982,10e" filled="false" stroked="true" strokeweight=".48pt" strokecolor="#000000">
                <v:path arrowok="t"/>
              </v:shape>
            </v:group>
            <v:group style="position:absolute;left:4992;top:10;width:4575;height:2" coordorigin="4992,10" coordsize="4575,2">
              <v:shape style="position:absolute;left:4992;top:10;width:4575;height:2" coordorigin="4992,10" coordsize="4575,0" path="m4992,10l9566,10e" filled="false" stroked="true" strokeweight=".48pt" strokecolor="#000000">
                <v:path arrowok="t"/>
              </v:shape>
            </v:group>
            <v:group style="position:absolute;left:5;top:5;width:2;height:413" coordorigin="5,5" coordsize="2,413">
              <v:shape style="position:absolute;left:5;top:5;width:2;height:413" coordorigin="5,5" coordsize="0,413" path="m5,5l5,418e" filled="false" stroked="true" strokeweight=".48pt" strokecolor="#000000">
                <v:path arrowok="t"/>
              </v:shape>
            </v:group>
            <v:group style="position:absolute;left:10;top:413;width:4973;height:2" coordorigin="10,413" coordsize="4973,2">
              <v:shape style="position:absolute;left:10;top:413;width:4973;height:2" coordorigin="10,413" coordsize="4973,0" path="m10,413l4982,413e" filled="false" stroked="true" strokeweight=".48pt" strokecolor="#000000">
                <v:path arrowok="t"/>
              </v:shape>
            </v:group>
            <v:group style="position:absolute;left:4987;top:5;width:2;height:413" coordorigin="4987,5" coordsize="2,413">
              <v:shape style="position:absolute;left:4987;top:5;width:2;height:413" coordorigin="4987,5" coordsize="0,413" path="m4987,5l4987,418e" filled="false" stroked="true" strokeweight=".48pt" strokecolor="#000000">
                <v:path arrowok="t"/>
              </v:shape>
            </v:group>
            <v:group style="position:absolute;left:4992;top:413;width:4575;height:2" coordorigin="4992,413" coordsize="4575,2">
              <v:shape style="position:absolute;left:4992;top:413;width:4575;height:2" coordorigin="4992,413" coordsize="4575,0" path="m4992,413l9566,413e" filled="false" stroked="true" strokeweight=".48pt" strokecolor="#000000">
                <v:path arrowok="t"/>
              </v:shape>
            </v:group>
            <v:group style="position:absolute;left:9571;top:5;width:2;height:413" coordorigin="9571,5" coordsize="2,413">
              <v:shape style="position:absolute;left:9571;top:5;width:2;height:413" coordorigin="9571,5" coordsize="0,413" path="m9571,5l9571,418e" filled="false" stroked="true" strokeweight=".48pt" strokecolor="#000000">
                <v:path arrowok="t"/>
              </v:shape>
              <v:shape style="position:absolute;left:2314;top:122;width:365;height:183" type="#_x0000_t202" filled="false" stroked="false">
                <v:textbox inset="0,0,0,0">
                  <w:txbxContent>
                    <w:p>
                      <w:pPr>
                        <w:spacing w:line="18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987;top:10;width:4584;height:404" type="#_x0000_t202" filled="false" stroked="false">
                <v:textbox inset="0,0,0,0">
                  <w:txbxContent>
                    <w:p>
                      <w:pPr>
                        <w:spacing w:before="58"/>
                        <w:ind w:left="0" w:right="0" w:firstLine="0"/>
                        <w:jc w:val="center"/>
                        <w:rPr>
                          <w:rFonts w:ascii="宋体" w:hAnsi="宋体" w:cs="宋体" w:eastAsia="宋体" w:hint="default"/>
                          <w:sz w:val="18"/>
                          <w:szCs w:val="18"/>
                        </w:rPr>
                      </w:pPr>
                      <w:r>
                        <w:rPr>
                          <w:rFonts w:ascii="宋体" w:hAnsi="宋体" w:cs="宋体" w:eastAsia="宋体" w:hint="default"/>
                          <w:sz w:val="18"/>
                          <w:szCs w:val="18"/>
                        </w:rPr>
                        <w:t>核销金额</w:t>
                      </w:r>
                    </w:p>
                  </w:txbxContent>
                </v:textbox>
                <w10:wrap type="none"/>
              </v:shape>
            </v:group>
          </v:group>
        </w:pict>
      </w:r>
      <w:r>
        <w:rPr>
          <w:rFonts w:ascii="宋体" w:hAnsi="宋体" w:cs="宋体" w:eastAsia="宋体" w:hint="default"/>
          <w:position w:val="-7"/>
          <w:sz w:val="20"/>
          <w:szCs w:val="20"/>
        </w:rPr>
      </w:r>
    </w:p>
    <w:p>
      <w:pPr>
        <w:spacing w:before="49"/>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其中重要的其他应收款核销情况：</w:t>
      </w:r>
    </w:p>
    <w:p>
      <w:pPr>
        <w:spacing w:before="119"/>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685"/>
        <w:gridCol w:w="1550"/>
        <w:gridCol w:w="1550"/>
        <w:gridCol w:w="1555"/>
        <w:gridCol w:w="1613"/>
        <w:gridCol w:w="1618"/>
      </w:tblGrid>
      <w:tr>
        <w:trPr>
          <w:trHeight w:val="715" w:hRule="exact"/>
        </w:trPr>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5"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9" w:right="0"/>
              <w:jc w:val="left"/>
              <w:rPr>
                <w:rFonts w:ascii="宋体" w:hAnsi="宋体" w:cs="宋体" w:eastAsia="宋体" w:hint="default"/>
                <w:sz w:val="18"/>
                <w:szCs w:val="18"/>
              </w:rPr>
            </w:pPr>
            <w:r>
              <w:rPr>
                <w:rFonts w:ascii="宋体" w:hAnsi="宋体" w:cs="宋体" w:eastAsia="宋体" w:hint="default"/>
                <w:spacing w:val="-3"/>
                <w:sz w:val="18"/>
                <w:szCs w:val="18"/>
              </w:rPr>
              <w:t>其他应收款性质</w:t>
            </w:r>
          </w:p>
        </w:tc>
        <w:tc>
          <w:tcPr>
            <w:tcW w:w="15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8"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6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7" w:right="0"/>
              <w:jc w:val="left"/>
              <w:rPr>
                <w:rFonts w:ascii="宋体" w:hAnsi="宋体" w:cs="宋体" w:eastAsia="宋体" w:hint="default"/>
                <w:sz w:val="18"/>
                <w:szCs w:val="18"/>
              </w:rPr>
            </w:pPr>
            <w:r>
              <w:rPr>
                <w:rFonts w:ascii="宋体" w:hAnsi="宋体" w:cs="宋体" w:eastAsia="宋体" w:hint="default"/>
                <w:spacing w:val="-3"/>
                <w:sz w:val="18"/>
                <w:szCs w:val="18"/>
              </w:rPr>
              <w:t>履行的核销程序</w:t>
            </w:r>
          </w:p>
        </w:tc>
        <w:tc>
          <w:tcPr>
            <w:tcW w:w="16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532" w:right="79" w:hanging="452"/>
              <w:jc w:val="left"/>
              <w:rPr>
                <w:rFonts w:ascii="宋体" w:hAnsi="宋体" w:cs="宋体" w:eastAsia="宋体" w:hint="default"/>
                <w:sz w:val="18"/>
                <w:szCs w:val="18"/>
              </w:rPr>
            </w:pPr>
            <w:r>
              <w:rPr>
                <w:rFonts w:ascii="宋体" w:hAnsi="宋体" w:cs="宋体" w:eastAsia="宋体" w:hint="default"/>
                <w:spacing w:val="-2"/>
                <w:sz w:val="18"/>
                <w:szCs w:val="18"/>
              </w:rPr>
              <w:t>款项是否由关联交</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易产生</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z w:val="18"/>
          <w:szCs w:val="18"/>
        </w:rPr>
        <w:t>其他应收款核销说明：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4</w:t>
      </w:r>
      <w:r>
        <w:rPr/>
        <w:t>）其他应收款按款项性质分类情况</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370"/>
        <w:gridCol w:w="3101"/>
        <w:gridCol w:w="3096"/>
      </w:tblGrid>
      <w:tr>
        <w:trPr>
          <w:trHeight w:val="398" w:hRule="exact"/>
        </w:trPr>
        <w:tc>
          <w:tcPr>
            <w:tcW w:w="3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03"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0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998"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3"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8,309,392.00</w:t>
            </w:r>
          </w:p>
        </w:tc>
        <w:tc>
          <w:tcPr>
            <w:tcW w:w="3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4,679,284.00</w:t>
            </w:r>
          </w:p>
        </w:tc>
      </w:tr>
      <w:tr>
        <w:trPr>
          <w:trHeight w:val="403"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3101" w:type="dxa"/>
            <w:tcBorders>
              <w:top w:val="single" w:sz="4" w:space="0" w:color="000000"/>
              <w:left w:val="single" w:sz="4" w:space="0" w:color="000000"/>
              <w:bottom w:val="single" w:sz="4" w:space="0" w:color="000000"/>
              <w:right w:val="single" w:sz="4" w:space="0" w:color="000000"/>
            </w:tcBorders>
          </w:tcPr>
          <w:p>
            <w:pPr/>
          </w:p>
        </w:tc>
        <w:tc>
          <w:tcPr>
            <w:tcW w:w="3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2,756,894.08</w:t>
            </w:r>
          </w:p>
        </w:tc>
      </w:tr>
      <w:tr>
        <w:trPr>
          <w:trHeight w:val="403"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156,400,591.43</w:t>
            </w:r>
          </w:p>
        </w:tc>
        <w:tc>
          <w:tcPr>
            <w:tcW w:w="3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128,181,985.35</w:t>
            </w:r>
          </w:p>
        </w:tc>
      </w:tr>
      <w:tr>
        <w:trPr>
          <w:trHeight w:val="398"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57,883,451.66</w:t>
            </w:r>
          </w:p>
        </w:tc>
        <w:tc>
          <w:tcPr>
            <w:tcW w:w="3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6,055,389.19</w:t>
            </w:r>
          </w:p>
        </w:tc>
      </w:tr>
      <w:tr>
        <w:trPr>
          <w:trHeight w:val="403" w:hRule="exact"/>
        </w:trPr>
        <w:tc>
          <w:tcPr>
            <w:tcW w:w="3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222,593,435.09</w:t>
            </w:r>
          </w:p>
        </w:tc>
        <w:tc>
          <w:tcPr>
            <w:tcW w:w="3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141,673,552.62</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685"/>
        <w:gridCol w:w="1550"/>
        <w:gridCol w:w="1550"/>
        <w:gridCol w:w="1555"/>
        <w:gridCol w:w="1613"/>
        <w:gridCol w:w="1618"/>
      </w:tblGrid>
      <w:tr>
        <w:trPr>
          <w:trHeight w:val="715" w:hRule="exact"/>
        </w:trPr>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5"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6"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8"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6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76" w:right="79"/>
              <w:jc w:val="left"/>
              <w:rPr>
                <w:rFonts w:ascii="宋体" w:hAnsi="宋体" w:cs="宋体" w:eastAsia="宋体" w:hint="default"/>
                <w:sz w:val="18"/>
                <w:szCs w:val="18"/>
              </w:rPr>
            </w:pPr>
            <w:r>
              <w:rPr>
                <w:rFonts w:ascii="宋体" w:hAnsi="宋体" w:cs="宋体" w:eastAsia="宋体" w:hint="default"/>
                <w:spacing w:val="-2"/>
                <w:sz w:val="18"/>
                <w:szCs w:val="18"/>
              </w:rPr>
              <w:t>占其他应收款期末</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2"/>
                <w:sz w:val="18"/>
                <w:szCs w:val="18"/>
              </w:rPr>
              <w:t>余额合计数的比例</w:t>
            </w:r>
          </w:p>
        </w:tc>
        <w:tc>
          <w:tcPr>
            <w:tcW w:w="16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1"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362" w:hRule="exact"/>
        </w:trPr>
        <w:tc>
          <w:tcPr>
            <w:tcW w:w="1685" w:type="dxa"/>
            <w:tcBorders>
              <w:top w:val="single" w:sz="4" w:space="0" w:color="000000"/>
              <w:left w:val="single" w:sz="4" w:space="0" w:color="000000"/>
              <w:bottom w:val="nil" w:sz="6" w:space="0" w:color="auto"/>
              <w:right w:val="single" w:sz="4" w:space="0" w:color="000000"/>
            </w:tcBorders>
          </w:tcPr>
          <w:p>
            <w:pPr/>
          </w:p>
        </w:tc>
        <w:tc>
          <w:tcPr>
            <w:tcW w:w="1550" w:type="dxa"/>
            <w:tcBorders>
              <w:top w:val="single" w:sz="4" w:space="0" w:color="000000"/>
              <w:left w:val="single" w:sz="4" w:space="0" w:color="000000"/>
              <w:bottom w:val="nil" w:sz="6" w:space="0" w:color="auto"/>
              <w:right w:val="single" w:sz="4" w:space="0" w:color="000000"/>
            </w:tcBorders>
          </w:tcPr>
          <w:p>
            <w:pPr/>
          </w:p>
        </w:tc>
        <w:tc>
          <w:tcPr>
            <w:tcW w:w="1550" w:type="dxa"/>
            <w:tcBorders>
              <w:top w:val="single" w:sz="4" w:space="0" w:color="000000"/>
              <w:left w:val="single" w:sz="4" w:space="0" w:color="000000"/>
              <w:bottom w:val="nil" w:sz="6" w:space="0" w:color="auto"/>
              <w:right w:val="single" w:sz="4" w:space="0" w:color="000000"/>
            </w:tcBorders>
          </w:tcPr>
          <w:p>
            <w:pPr/>
          </w:p>
        </w:tc>
        <w:tc>
          <w:tcPr>
            <w:tcW w:w="155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年以内</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4,022.84</w:t>
            </w:r>
          </w:p>
        </w:tc>
        <w:tc>
          <w:tcPr>
            <w:tcW w:w="1613" w:type="dxa"/>
            <w:tcBorders>
              <w:top w:val="single" w:sz="4" w:space="0" w:color="000000"/>
              <w:left w:val="single" w:sz="4" w:space="0" w:color="000000"/>
              <w:bottom w:val="nil" w:sz="6" w:space="0" w:color="auto"/>
              <w:right w:val="single" w:sz="4" w:space="0" w:color="000000"/>
            </w:tcBorders>
          </w:tcPr>
          <w:p>
            <w:pPr/>
          </w:p>
        </w:tc>
        <w:tc>
          <w:tcPr>
            <w:tcW w:w="1618" w:type="dxa"/>
            <w:vMerge w:val="restart"/>
            <w:tcBorders>
              <w:top w:val="single" w:sz="4" w:space="0" w:color="000000"/>
              <w:left w:val="single" w:sz="4" w:space="0" w:color="000000"/>
              <w:right w:val="single" w:sz="4" w:space="0" w:color="000000"/>
            </w:tcBorders>
          </w:tcPr>
          <w:p>
            <w:pPr/>
          </w:p>
        </w:tc>
      </w:tr>
      <w:tr>
        <w:trPr>
          <w:trHeight w:val="624" w:hRule="exact"/>
        </w:trPr>
        <w:tc>
          <w:tcPr>
            <w:tcW w:w="1685" w:type="dxa"/>
            <w:tcBorders>
              <w:top w:val="nil" w:sz="6" w:space="0" w:color="auto"/>
              <w:left w:val="single" w:sz="4" w:space="0" w:color="000000"/>
              <w:bottom w:val="nil" w:sz="6" w:space="0" w:color="auto"/>
              <w:right w:val="single" w:sz="4" w:space="0" w:color="000000"/>
            </w:tcBorders>
          </w:tcPr>
          <w:p>
            <w:pPr>
              <w:pStyle w:val="TableParagraph"/>
              <w:spacing w:line="316" w:lineRule="auto" w:before="8"/>
              <w:ind w:left="24" w:right="26"/>
              <w:jc w:val="left"/>
              <w:rPr>
                <w:rFonts w:ascii="宋体" w:hAnsi="宋体" w:cs="宋体" w:eastAsia="宋体" w:hint="default"/>
                <w:sz w:val="18"/>
                <w:szCs w:val="18"/>
              </w:rPr>
            </w:pPr>
            <w:r>
              <w:rPr>
                <w:rFonts w:ascii="宋体" w:hAnsi="宋体" w:cs="宋体" w:eastAsia="宋体" w:hint="default"/>
                <w:spacing w:val="-3"/>
                <w:sz w:val="18"/>
                <w:szCs w:val="18"/>
              </w:rPr>
              <w:t>鸿博昊天科技有限公</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司</w:t>
            </w: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137,028,103.79</w:t>
            </w:r>
          </w:p>
        </w:tc>
        <w:tc>
          <w:tcPr>
            <w:tcW w:w="155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万元，</w:t>
            </w:r>
            <w:r>
              <w:rPr>
                <w:rFonts w:ascii="Times New Roman" w:hAnsi="Times New Roman" w:cs="Times New Roman" w:eastAsia="Times New Roman" w:hint="default"/>
                <w:sz w:val="18"/>
                <w:szCs w:val="18"/>
              </w:rPr>
              <w:t>1-2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1,680</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万元，</w:t>
            </w:r>
            <w:r>
              <w:rPr>
                <w:rFonts w:ascii="Times New Roman" w:hAnsi="Times New Roman" w:cs="Times New Roman" w:eastAsia="Times New Roman" w:hint="default"/>
                <w:sz w:val="18"/>
                <w:szCs w:val="18"/>
              </w:rPr>
              <w:t>2-3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8,000</w:t>
            </w:r>
          </w:p>
        </w:tc>
        <w:tc>
          <w:tcPr>
            <w:tcW w:w="161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61.56%</w:t>
            </w:r>
          </w:p>
        </w:tc>
        <w:tc>
          <w:tcPr>
            <w:tcW w:w="1618" w:type="dxa"/>
            <w:vMerge/>
            <w:tcBorders>
              <w:left w:val="single" w:sz="4" w:space="0" w:color="000000"/>
              <w:right w:val="single" w:sz="4" w:space="0" w:color="000000"/>
            </w:tcBorders>
          </w:tcPr>
          <w:p>
            <w:pPr/>
          </w:p>
        </w:tc>
      </w:tr>
      <w:tr>
        <w:trPr>
          <w:trHeight w:val="349" w:hRule="exact"/>
        </w:trPr>
        <w:tc>
          <w:tcPr>
            <w:tcW w:w="1685" w:type="dxa"/>
            <w:tcBorders>
              <w:top w:val="nil" w:sz="6" w:space="0" w:color="auto"/>
              <w:left w:val="single" w:sz="4" w:space="0" w:color="000000"/>
              <w:bottom w:val="single" w:sz="4" w:space="0" w:color="000000"/>
              <w:right w:val="single" w:sz="4" w:space="0" w:color="000000"/>
            </w:tcBorders>
          </w:tcPr>
          <w:p>
            <w:pPr/>
          </w:p>
        </w:tc>
        <w:tc>
          <w:tcPr>
            <w:tcW w:w="1550" w:type="dxa"/>
            <w:tcBorders>
              <w:top w:val="nil" w:sz="6" w:space="0" w:color="auto"/>
              <w:left w:val="single" w:sz="4" w:space="0" w:color="000000"/>
              <w:bottom w:val="single" w:sz="4" w:space="0" w:color="000000"/>
              <w:right w:val="single" w:sz="4" w:space="0" w:color="000000"/>
            </w:tcBorders>
          </w:tcPr>
          <w:p>
            <w:pPr/>
          </w:p>
        </w:tc>
        <w:tc>
          <w:tcPr>
            <w:tcW w:w="1550" w:type="dxa"/>
            <w:tcBorders>
              <w:top w:val="nil" w:sz="6" w:space="0" w:color="auto"/>
              <w:left w:val="single" w:sz="4" w:space="0" w:color="000000"/>
              <w:bottom w:val="single" w:sz="4" w:space="0" w:color="000000"/>
              <w:right w:val="single" w:sz="4" w:space="0" w:color="000000"/>
            </w:tcBorders>
          </w:tcPr>
          <w:p>
            <w:pPr/>
          </w:p>
        </w:tc>
        <w:tc>
          <w:tcPr>
            <w:tcW w:w="155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613" w:type="dxa"/>
            <w:tcBorders>
              <w:top w:val="nil" w:sz="6" w:space="0" w:color="auto"/>
              <w:left w:val="single" w:sz="4" w:space="0" w:color="000000"/>
              <w:bottom w:val="single" w:sz="4" w:space="0" w:color="000000"/>
              <w:right w:val="single" w:sz="4" w:space="0" w:color="000000"/>
            </w:tcBorders>
          </w:tcPr>
          <w:p>
            <w:pPr/>
          </w:p>
        </w:tc>
        <w:tc>
          <w:tcPr>
            <w:tcW w:w="1618" w:type="dxa"/>
            <w:vMerge/>
            <w:tcBorders>
              <w:left w:val="single" w:sz="4" w:space="0" w:color="000000"/>
              <w:bottom w:val="single" w:sz="4" w:space="0" w:color="000000"/>
              <w:right w:val="single" w:sz="4" w:space="0" w:color="000000"/>
            </w:tcBorders>
          </w:tcPr>
          <w:p>
            <w:pPr/>
          </w:p>
        </w:tc>
      </w:tr>
      <w:tr>
        <w:trPr>
          <w:trHeight w:val="715"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4" w:right="26"/>
              <w:jc w:val="left"/>
              <w:rPr>
                <w:rFonts w:ascii="宋体" w:hAnsi="宋体" w:cs="宋体" w:eastAsia="宋体" w:hint="default"/>
                <w:sz w:val="18"/>
                <w:szCs w:val="18"/>
              </w:rPr>
            </w:pPr>
            <w:r>
              <w:rPr>
                <w:rFonts w:ascii="宋体" w:hAnsi="宋体" w:cs="宋体" w:eastAsia="宋体" w:hint="default"/>
                <w:spacing w:val="-3"/>
                <w:sz w:val="18"/>
                <w:szCs w:val="18"/>
              </w:rPr>
              <w:t>天津华科创业投资合</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3"/>
                <w:sz w:val="18"/>
                <w:szCs w:val="18"/>
              </w:rPr>
              <w:t>伙企业（有限合伙）</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投资补偿款</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40,389,515.70</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一年以内</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18.14%</w:t>
            </w: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26"/>
              <w:jc w:val="left"/>
              <w:rPr>
                <w:rFonts w:ascii="宋体" w:hAnsi="宋体" w:cs="宋体" w:eastAsia="宋体" w:hint="default"/>
                <w:sz w:val="18"/>
                <w:szCs w:val="18"/>
              </w:rPr>
            </w:pPr>
            <w:r>
              <w:rPr>
                <w:rFonts w:ascii="宋体" w:hAnsi="宋体" w:cs="宋体" w:eastAsia="宋体" w:hint="default"/>
                <w:spacing w:val="-3"/>
                <w:sz w:val="18"/>
                <w:szCs w:val="18"/>
              </w:rPr>
              <w:t>新疆通泰股权投资有</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限合伙企业</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投资补偿款</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10,097,378.93</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一年以内</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4.54%</w:t>
            </w: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26"/>
              <w:jc w:val="left"/>
              <w:rPr>
                <w:rFonts w:ascii="宋体" w:hAnsi="宋体" w:cs="宋体" w:eastAsia="宋体" w:hint="default"/>
                <w:sz w:val="18"/>
                <w:szCs w:val="18"/>
              </w:rPr>
            </w:pPr>
            <w:r>
              <w:rPr>
                <w:rFonts w:ascii="宋体" w:hAnsi="宋体" w:cs="宋体" w:eastAsia="宋体" w:hint="default"/>
                <w:spacing w:val="-3"/>
                <w:sz w:val="18"/>
                <w:szCs w:val="18"/>
              </w:rPr>
              <w:t>四川鸿海印务有限公</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司</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9,000,000.00</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一年以内</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4.04%</w:t>
            </w:r>
          </w:p>
        </w:tc>
        <w:tc>
          <w:tcPr>
            <w:tcW w:w="161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685"/>
        <w:gridCol w:w="1550"/>
        <w:gridCol w:w="1550"/>
        <w:gridCol w:w="1555"/>
        <w:gridCol w:w="1613"/>
        <w:gridCol w:w="1618"/>
      </w:tblGrid>
      <w:tr>
        <w:trPr>
          <w:trHeight w:val="403"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残疾人退税收入</w:t>
            </w:r>
          </w:p>
        </w:tc>
        <w:tc>
          <w:tcPr>
            <w:tcW w:w="1550" w:type="dxa"/>
            <w:tcBorders>
              <w:top w:val="single" w:sz="4" w:space="0" w:color="000000"/>
              <w:left w:val="single" w:sz="4" w:space="0" w:color="000000"/>
              <w:bottom w:val="single" w:sz="4" w:space="0" w:color="000000"/>
              <w:right w:val="single" w:sz="4" w:space="0" w:color="000000"/>
            </w:tcBorders>
          </w:tcPr>
          <w:p>
            <w:pP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3,667,632.79</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一年以内</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1.65%</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183,381.64</w:t>
            </w:r>
          </w:p>
        </w:tc>
      </w:tr>
      <w:tr>
        <w:trPr>
          <w:trHeight w:val="403" w:hRule="exact"/>
        </w:trPr>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200,182,631.21</w:t>
            </w:r>
          </w:p>
        </w:tc>
        <w:tc>
          <w:tcPr>
            <w:tcW w:w="15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3" w:right="0"/>
              <w:jc w:val="center"/>
              <w:rPr>
                <w:rFonts w:ascii="Times New Roman" w:hAnsi="Times New Roman" w:cs="Times New Roman" w:eastAsia="Times New Roman" w:hint="default"/>
                <w:sz w:val="18"/>
                <w:szCs w:val="18"/>
              </w:rPr>
            </w:pPr>
            <w:r>
              <w:rPr>
                <w:rFonts w:ascii="Times New Roman"/>
                <w:sz w:val="18"/>
              </w:rPr>
              <w:t>--</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89.93%</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183,381.64</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6</w:t>
      </w:r>
      <w:r>
        <w:rPr/>
        <w:t>）涉及政府补助的应收款项</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026"/>
        <w:gridCol w:w="1867"/>
        <w:gridCol w:w="1867"/>
        <w:gridCol w:w="1867"/>
        <w:gridCol w:w="1944"/>
      </w:tblGrid>
      <w:tr>
        <w:trPr>
          <w:trHeight w:val="715" w:hRule="exact"/>
        </w:trPr>
        <w:tc>
          <w:tcPr>
            <w:tcW w:w="20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43"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8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政府补助项目名称</w:t>
            </w:r>
          </w:p>
        </w:tc>
        <w:tc>
          <w:tcPr>
            <w:tcW w:w="18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6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8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61" w:right="0"/>
              <w:jc w:val="left"/>
              <w:rPr>
                <w:rFonts w:ascii="宋体" w:hAnsi="宋体" w:cs="宋体" w:eastAsia="宋体" w:hint="default"/>
                <w:sz w:val="18"/>
                <w:szCs w:val="18"/>
              </w:rPr>
            </w:pPr>
            <w:r>
              <w:rPr>
                <w:rFonts w:ascii="宋体" w:hAnsi="宋体" w:cs="宋体" w:eastAsia="宋体" w:hint="default"/>
                <w:sz w:val="18"/>
                <w:szCs w:val="18"/>
              </w:rPr>
              <w:t>期末账龄</w:t>
            </w:r>
          </w:p>
        </w:tc>
        <w:tc>
          <w:tcPr>
            <w:tcW w:w="19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1" w:lineRule="auto" w:before="53"/>
              <w:ind w:left="691" w:right="65" w:hanging="629"/>
              <w:jc w:val="left"/>
              <w:rPr>
                <w:rFonts w:ascii="宋体" w:hAnsi="宋体" w:cs="宋体" w:eastAsia="宋体" w:hint="default"/>
                <w:sz w:val="18"/>
                <w:szCs w:val="18"/>
              </w:rPr>
            </w:pPr>
            <w:r>
              <w:rPr>
                <w:rFonts w:ascii="宋体" w:hAnsi="宋体" w:cs="宋体" w:eastAsia="宋体" w:hint="default"/>
                <w:spacing w:val="-2"/>
                <w:sz w:val="18"/>
                <w:szCs w:val="18"/>
              </w:rPr>
              <w:t>预计收取的时间、金额</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及依据</w:t>
            </w:r>
          </w:p>
        </w:tc>
      </w:tr>
      <w:tr>
        <w:trPr>
          <w:trHeight w:val="715" w:hRule="exact"/>
        </w:trPr>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财政部</w:t>
            </w:r>
          </w:p>
        </w:tc>
        <w:tc>
          <w:tcPr>
            <w:tcW w:w="18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3" w:right="26"/>
              <w:jc w:val="left"/>
              <w:rPr>
                <w:rFonts w:ascii="宋体" w:hAnsi="宋体" w:cs="宋体" w:eastAsia="宋体" w:hint="default"/>
                <w:sz w:val="18"/>
                <w:szCs w:val="18"/>
              </w:rPr>
            </w:pPr>
            <w:r>
              <w:rPr>
                <w:rFonts w:ascii="宋体" w:hAnsi="宋体" w:cs="宋体" w:eastAsia="宋体" w:hint="default"/>
                <w:spacing w:val="-2"/>
                <w:sz w:val="18"/>
                <w:szCs w:val="18"/>
              </w:rPr>
              <w:t>促进残疾人就业税收优</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惠</w:t>
            </w:r>
          </w:p>
        </w:tc>
        <w:tc>
          <w:tcPr>
            <w:tcW w:w="1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3,667,632.79</w:t>
            </w:r>
          </w:p>
        </w:tc>
        <w:tc>
          <w:tcPr>
            <w:tcW w:w="1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9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0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w:t>
            </w:r>
          </w:p>
        </w:tc>
        <w:tc>
          <w:tcPr>
            <w:tcW w:w="1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6"/>
              <w:jc w:val="right"/>
              <w:rPr>
                <w:rFonts w:ascii="Times New Roman" w:hAnsi="Times New Roman" w:cs="Times New Roman" w:eastAsia="Times New Roman" w:hint="default"/>
                <w:sz w:val="18"/>
                <w:szCs w:val="18"/>
              </w:rPr>
            </w:pPr>
            <w:r>
              <w:rPr>
                <w:rFonts w:ascii="Times New Roman"/>
                <w:spacing w:val="-1"/>
                <w:sz w:val="18"/>
              </w:rPr>
              <w:t>3,667,632.79</w:t>
            </w:r>
          </w:p>
        </w:tc>
        <w:tc>
          <w:tcPr>
            <w:tcW w:w="18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9"/>
              <w:jc w:val="center"/>
              <w:rPr>
                <w:rFonts w:ascii="Times New Roman" w:hAnsi="Times New Roman" w:cs="Times New Roman" w:eastAsia="Times New Roman" w:hint="default"/>
                <w:sz w:val="18"/>
                <w:szCs w:val="18"/>
              </w:rPr>
            </w:pPr>
            <w:r>
              <w:rPr>
                <w:rFonts w:ascii="Times New Roman"/>
                <w:sz w:val="18"/>
              </w:rPr>
              <w:t>--</w:t>
            </w:r>
          </w:p>
        </w:tc>
        <w:tc>
          <w:tcPr>
            <w:tcW w:w="19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9"/>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5"/>
          <w:szCs w:val="5"/>
        </w:rPr>
      </w:pPr>
    </w:p>
    <w:p>
      <w:pPr>
        <w:pStyle w:val="BodyText"/>
        <w:spacing w:line="273" w:lineRule="auto" w:before="36"/>
        <w:ind w:right="142" w:firstLine="422"/>
        <w:jc w:val="both"/>
      </w:pPr>
      <w:r>
        <w:rPr>
          <w:spacing w:val="-2"/>
        </w:rPr>
        <w:t>说明：本集团母公司鸿博股份为福利企业，根据财政部和国家税务总局《关于促进残疾人就业税收优</w:t>
      </w:r>
      <w:r>
        <w:rPr>
          <w:w w:val="100"/>
        </w:rPr>
        <w:t> </w:t>
      </w:r>
      <w:r>
        <w:rPr>
          <w:spacing w:val="-2"/>
        </w:rPr>
        <w:t>惠政策的通知》（财税字［2007］92号）的规定，报告期本公司享受增值税优惠政策为按照实际安置残疾</w:t>
      </w:r>
      <w:r>
        <w:rPr>
          <w:spacing w:val="-29"/>
        </w:rPr>
        <w:t> </w:t>
      </w:r>
      <w:r>
        <w:rPr>
          <w:spacing w:val="-29"/>
        </w:rPr>
      </w:r>
      <w:r>
        <w:rPr/>
        <w:t>人的人数，实行限额即征即退增值税。按照规定每位残疾人年度最高退税额为35,000元/人。</w:t>
      </w:r>
    </w:p>
    <w:p>
      <w:pPr>
        <w:spacing w:line="240" w:lineRule="auto" w:before="8"/>
        <w:rPr>
          <w:rFonts w:ascii="宋体" w:hAnsi="宋体" w:cs="宋体" w:eastAsia="宋体" w:hint="default"/>
          <w:sz w:val="18"/>
          <w:szCs w:val="18"/>
        </w:rPr>
      </w:pPr>
    </w:p>
    <w:p>
      <w:pPr>
        <w:pStyle w:val="Heading4"/>
        <w:spacing w:line="240" w:lineRule="auto"/>
        <w:ind w:right="0"/>
        <w:jc w:val="left"/>
        <w:rPr>
          <w:b w:val="0"/>
          <w:bCs w:val="0"/>
        </w:rPr>
      </w:pPr>
      <w:r>
        <w:rPr/>
        <w:t>（</w:t>
      </w:r>
      <w:r>
        <w:rPr>
          <w:rFonts w:ascii="Times New Roman" w:hAnsi="Times New Roman" w:cs="Times New Roman" w:eastAsia="Times New Roman" w:hint="default"/>
        </w:rPr>
        <w:t>7</w:t>
      </w:r>
      <w:r>
        <w:rPr/>
        <w:t>）因金融资产转移而终止确认的其他应收款</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8</w:t>
      </w:r>
      <w:r>
        <w:rPr/>
        <w:t>）转移其他应收款且继续涉入形成的资产、负债金额</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3</w:t>
      </w:r>
      <w:r>
        <w:rPr/>
        <w:t>、长期股权投资</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358"/>
        <w:gridCol w:w="1366"/>
        <w:gridCol w:w="1368"/>
        <w:gridCol w:w="1368"/>
        <w:gridCol w:w="1363"/>
        <w:gridCol w:w="1368"/>
        <w:gridCol w:w="1368"/>
      </w:tblGrid>
      <w:tr>
        <w:trPr>
          <w:trHeight w:val="197" w:hRule="exact"/>
        </w:trPr>
        <w:tc>
          <w:tcPr>
            <w:tcW w:w="1358" w:type="dxa"/>
            <w:tcBorders>
              <w:top w:val="single" w:sz="4" w:space="0" w:color="000000"/>
              <w:left w:val="single" w:sz="4" w:space="0" w:color="000000"/>
              <w:bottom w:val="nil" w:sz="6" w:space="0" w:color="auto"/>
              <w:right w:val="single" w:sz="4" w:space="0" w:color="000000"/>
            </w:tcBorders>
            <w:shd w:val="clear" w:color="auto" w:fill="D2D2D2"/>
          </w:tcPr>
          <w:p>
            <w:pP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9"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201" w:hRule="exact"/>
        </w:trPr>
        <w:tc>
          <w:tcPr>
            <w:tcW w:w="135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right="17"/>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vMerge/>
            <w:tcBorders>
              <w:left w:val="single" w:sz="4" w:space="0" w:color="000000"/>
              <w:bottom w:val="single" w:sz="4" w:space="0" w:color="000000"/>
              <w:right w:val="single" w:sz="4" w:space="0" w:color="000000"/>
            </w:tcBorders>
            <w:shd w:val="clear" w:color="auto" w:fill="D2D2D2"/>
          </w:tcPr>
          <w:p>
            <w:pPr/>
          </w:p>
        </w:tc>
        <w:tc>
          <w:tcPr>
            <w:tcW w:w="4099" w:type="dxa"/>
            <w:gridSpan w:val="3"/>
            <w:vMerge/>
            <w:tcBorders>
              <w:left w:val="single" w:sz="4" w:space="0" w:color="000000"/>
              <w:bottom w:val="single" w:sz="4" w:space="0" w:color="000000"/>
              <w:right w:val="single" w:sz="4" w:space="0" w:color="000000"/>
            </w:tcBorders>
            <w:shd w:val="clear" w:color="auto" w:fill="D2D2D2"/>
          </w:tcPr>
          <w:p>
            <w:pPr/>
          </w:p>
        </w:tc>
      </w:tr>
      <w:tr>
        <w:trPr>
          <w:trHeight w:val="192" w:hRule="exact"/>
        </w:trPr>
        <w:tc>
          <w:tcPr>
            <w:tcW w:w="1358" w:type="dxa"/>
            <w:vMerge/>
            <w:tcBorders>
              <w:left w:val="single" w:sz="4" w:space="0" w:color="000000"/>
              <w:bottom w:val="nil" w:sz="6" w:space="0" w:color="auto"/>
              <w:right w:val="single" w:sz="4" w:space="0" w:color="000000"/>
            </w:tcBorders>
            <w:shd w:val="clear" w:color="auto" w:fill="D2D2D2"/>
          </w:tcPr>
          <w:p>
            <w:pP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1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16"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1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1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16"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316"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16" w:hRule="exact"/>
        </w:trPr>
        <w:tc>
          <w:tcPr>
            <w:tcW w:w="135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3"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398" w:hRule="exact"/>
        </w:trPr>
        <w:tc>
          <w:tcPr>
            <w:tcW w:w="1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6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666,588,672.83</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666,588,672.83</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568,875,567.46</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568,875,567.46</w:t>
            </w:r>
          </w:p>
        </w:tc>
      </w:tr>
      <w:tr>
        <w:trPr>
          <w:trHeight w:val="403" w:hRule="exact"/>
        </w:trPr>
        <w:tc>
          <w:tcPr>
            <w:tcW w:w="1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666,588,672.83</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666,588,672.83</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568,875,567.46</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568,875,567.46</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1</w:t>
      </w:r>
      <w:r>
        <w:rPr/>
        <w:t>）对子公司投资</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445"/>
        <w:gridCol w:w="1339"/>
        <w:gridCol w:w="1334"/>
        <w:gridCol w:w="1334"/>
        <w:gridCol w:w="1334"/>
        <w:gridCol w:w="1392"/>
        <w:gridCol w:w="1387"/>
      </w:tblGrid>
      <w:tr>
        <w:trPr>
          <w:trHeight w:val="715" w:hRule="exact"/>
        </w:trPr>
        <w:tc>
          <w:tcPr>
            <w:tcW w:w="14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8"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3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9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97"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9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600" w:right="55" w:hanging="538"/>
              <w:jc w:val="left"/>
              <w:rPr>
                <w:rFonts w:ascii="宋体" w:hAnsi="宋体" w:cs="宋体" w:eastAsia="宋体" w:hint="default"/>
                <w:sz w:val="18"/>
                <w:szCs w:val="18"/>
              </w:rPr>
            </w:pPr>
            <w:r>
              <w:rPr>
                <w:rFonts w:ascii="宋体" w:hAnsi="宋体" w:cs="宋体" w:eastAsia="宋体" w:hint="default"/>
                <w:spacing w:val="-3"/>
                <w:sz w:val="18"/>
                <w:szCs w:val="18"/>
              </w:rPr>
              <w:t>本期计提减值准</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备</w:t>
            </w:r>
          </w:p>
        </w:tc>
        <w:tc>
          <w:tcPr>
            <w:tcW w:w="1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595" w:right="55" w:hanging="538"/>
              <w:jc w:val="left"/>
              <w:rPr>
                <w:rFonts w:ascii="宋体" w:hAnsi="宋体" w:cs="宋体" w:eastAsia="宋体" w:hint="default"/>
                <w:sz w:val="18"/>
                <w:szCs w:val="18"/>
              </w:rPr>
            </w:pPr>
            <w:r>
              <w:rPr>
                <w:rFonts w:ascii="宋体" w:hAnsi="宋体" w:cs="宋体" w:eastAsia="宋体" w:hint="default"/>
                <w:spacing w:val="-3"/>
                <w:sz w:val="18"/>
                <w:szCs w:val="18"/>
              </w:rPr>
              <w:t>减值准备期末余</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额</w:t>
            </w:r>
          </w:p>
        </w:tc>
      </w:tr>
      <w:tr>
        <w:trPr>
          <w:trHeight w:val="710" w:hRule="exact"/>
        </w:trPr>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46"/>
              <w:jc w:val="left"/>
              <w:rPr>
                <w:rFonts w:ascii="宋体" w:hAnsi="宋体" w:cs="宋体" w:eastAsia="宋体" w:hint="default"/>
                <w:sz w:val="18"/>
                <w:szCs w:val="18"/>
              </w:rPr>
            </w:pPr>
            <w:r>
              <w:rPr>
                <w:rFonts w:ascii="宋体" w:hAnsi="宋体" w:cs="宋体" w:eastAsia="宋体" w:hint="default"/>
                <w:spacing w:val="-3"/>
                <w:sz w:val="18"/>
                <w:szCs w:val="18"/>
              </w:rPr>
              <w:t>重庆市鸿海印务</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有限公司</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128,431,608.54</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128,431,608.54</w:t>
            </w:r>
          </w:p>
        </w:tc>
        <w:tc>
          <w:tcPr>
            <w:tcW w:w="1392"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4" w:right="146"/>
              <w:jc w:val="left"/>
              <w:rPr>
                <w:rFonts w:ascii="宋体" w:hAnsi="宋体" w:cs="宋体" w:eastAsia="宋体" w:hint="default"/>
                <w:sz w:val="18"/>
                <w:szCs w:val="18"/>
              </w:rPr>
            </w:pPr>
            <w:r>
              <w:rPr>
                <w:rFonts w:ascii="宋体" w:hAnsi="宋体" w:cs="宋体" w:eastAsia="宋体" w:hint="default"/>
                <w:spacing w:val="-3"/>
                <w:sz w:val="18"/>
                <w:szCs w:val="18"/>
              </w:rPr>
              <w:t>广州鸿博文化传</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播有限公司</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50" w:right="0"/>
              <w:jc w:val="left"/>
              <w:rPr>
                <w:rFonts w:ascii="Times New Roman" w:hAnsi="Times New Roman" w:cs="Times New Roman" w:eastAsia="Times New Roman" w:hint="default"/>
                <w:sz w:val="18"/>
                <w:szCs w:val="18"/>
              </w:rPr>
            </w:pPr>
            <w:r>
              <w:rPr>
                <w:rFonts w:ascii="Times New Roman"/>
                <w:sz w:val="18"/>
              </w:rPr>
              <w:t>5,000,000.00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0.00</w:t>
            </w:r>
          </w:p>
        </w:tc>
        <w:tc>
          <w:tcPr>
            <w:tcW w:w="1392"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46"/>
              <w:jc w:val="left"/>
              <w:rPr>
                <w:rFonts w:ascii="宋体" w:hAnsi="宋体" w:cs="宋体" w:eastAsia="宋体" w:hint="default"/>
                <w:sz w:val="18"/>
                <w:szCs w:val="18"/>
              </w:rPr>
            </w:pPr>
            <w:r>
              <w:rPr>
                <w:rFonts w:ascii="宋体" w:hAnsi="宋体" w:cs="宋体" w:eastAsia="宋体" w:hint="default"/>
                <w:spacing w:val="-3"/>
                <w:sz w:val="18"/>
                <w:szCs w:val="18"/>
              </w:rPr>
              <w:t>福州港龙贸易有</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限公司</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5,000,000.00</w:t>
            </w:r>
          </w:p>
        </w:tc>
        <w:tc>
          <w:tcPr>
            <w:tcW w:w="1392"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00" w:h="16840"/>
          <w:pgMar w:header="872" w:footer="984" w:top="1060" w:bottom="1180" w:left="980" w:right="980"/>
        </w:sectPr>
      </w:pPr>
    </w:p>
    <w:p>
      <w:pPr>
        <w:spacing w:line="240" w:lineRule="auto" w:before="11"/>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445"/>
        <w:gridCol w:w="1339"/>
        <w:gridCol w:w="1334"/>
        <w:gridCol w:w="1334"/>
        <w:gridCol w:w="1334"/>
        <w:gridCol w:w="1392"/>
        <w:gridCol w:w="1387"/>
      </w:tblGrid>
      <w:tr>
        <w:trPr>
          <w:trHeight w:val="715" w:hRule="exact"/>
        </w:trPr>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2"/>
              <w:jc w:val="left"/>
              <w:rPr>
                <w:rFonts w:ascii="宋体" w:hAnsi="宋体" w:cs="宋体" w:eastAsia="宋体" w:hint="default"/>
                <w:sz w:val="18"/>
                <w:szCs w:val="18"/>
              </w:rPr>
            </w:pPr>
            <w:r>
              <w:rPr>
                <w:rFonts w:ascii="宋体" w:hAnsi="宋体" w:cs="宋体" w:eastAsia="宋体" w:hint="default"/>
                <w:spacing w:val="-8"/>
                <w:sz w:val="18"/>
                <w:szCs w:val="18"/>
              </w:rPr>
              <w:t>鸿博（福建）数据</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网络科公司</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9,900,000.00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9,900,000.00</w:t>
            </w:r>
          </w:p>
        </w:tc>
        <w:tc>
          <w:tcPr>
            <w:tcW w:w="1392"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46"/>
              <w:jc w:val="left"/>
              <w:rPr>
                <w:rFonts w:ascii="宋体" w:hAnsi="宋体" w:cs="宋体" w:eastAsia="宋体" w:hint="default"/>
                <w:sz w:val="18"/>
                <w:szCs w:val="18"/>
              </w:rPr>
            </w:pPr>
            <w:r>
              <w:rPr>
                <w:rFonts w:ascii="宋体" w:hAnsi="宋体" w:cs="宋体" w:eastAsia="宋体" w:hint="default"/>
                <w:spacing w:val="-3"/>
                <w:sz w:val="18"/>
                <w:szCs w:val="18"/>
              </w:rPr>
              <w:t>无锡双龙信息纸</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有限公司</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53,285,702.77</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53,285,702.77</w:t>
            </w:r>
          </w:p>
        </w:tc>
        <w:tc>
          <w:tcPr>
            <w:tcW w:w="1392"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3"/>
              <w:ind w:left="24" w:right="12"/>
              <w:jc w:val="left"/>
              <w:rPr>
                <w:rFonts w:ascii="宋体" w:hAnsi="宋体" w:cs="宋体" w:eastAsia="宋体" w:hint="default"/>
                <w:sz w:val="18"/>
                <w:szCs w:val="18"/>
              </w:rPr>
            </w:pPr>
            <w:r>
              <w:rPr>
                <w:rFonts w:ascii="宋体" w:hAnsi="宋体" w:cs="宋体" w:eastAsia="宋体" w:hint="default"/>
                <w:spacing w:val="-8"/>
                <w:sz w:val="18"/>
                <w:szCs w:val="18"/>
              </w:rPr>
              <w:t>钻研（北京）国际</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3"/>
                <w:sz w:val="18"/>
                <w:szCs w:val="18"/>
              </w:rPr>
              <w:t>文化传播有限公</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司</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10,000,000.00</w:t>
            </w:r>
          </w:p>
        </w:tc>
        <w:tc>
          <w:tcPr>
            <w:tcW w:w="1392"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4" w:right="146"/>
              <w:jc w:val="left"/>
              <w:rPr>
                <w:rFonts w:ascii="宋体" w:hAnsi="宋体" w:cs="宋体" w:eastAsia="宋体" w:hint="default"/>
                <w:sz w:val="18"/>
                <w:szCs w:val="18"/>
              </w:rPr>
            </w:pPr>
            <w:r>
              <w:rPr>
                <w:rFonts w:ascii="宋体" w:hAnsi="宋体" w:cs="宋体" w:eastAsia="宋体" w:hint="default"/>
                <w:spacing w:val="-3"/>
                <w:sz w:val="18"/>
                <w:szCs w:val="18"/>
              </w:rPr>
              <w:t>鸿博昊天科技有</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限公司</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299,198,256.15</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299,198,256.15</w:t>
            </w:r>
          </w:p>
        </w:tc>
        <w:tc>
          <w:tcPr>
            <w:tcW w:w="1392"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46"/>
              <w:jc w:val="left"/>
              <w:rPr>
                <w:rFonts w:ascii="宋体" w:hAnsi="宋体" w:cs="宋体" w:eastAsia="宋体" w:hint="default"/>
                <w:sz w:val="18"/>
                <w:szCs w:val="18"/>
              </w:rPr>
            </w:pPr>
            <w:r>
              <w:rPr>
                <w:rFonts w:ascii="宋体" w:hAnsi="宋体" w:cs="宋体" w:eastAsia="宋体" w:hint="default"/>
                <w:spacing w:val="-3"/>
                <w:sz w:val="18"/>
                <w:szCs w:val="18"/>
              </w:rPr>
              <w:t>广州彩创网络技</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术有限公司</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38,060,000.00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38,060,000.00</w:t>
            </w:r>
          </w:p>
        </w:tc>
        <w:tc>
          <w:tcPr>
            <w:tcW w:w="1392"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4" w:right="146"/>
              <w:jc w:val="left"/>
              <w:rPr>
                <w:rFonts w:ascii="宋体" w:hAnsi="宋体" w:cs="宋体" w:eastAsia="宋体" w:hint="default"/>
                <w:sz w:val="18"/>
                <w:szCs w:val="18"/>
              </w:rPr>
            </w:pPr>
            <w:r>
              <w:rPr>
                <w:rFonts w:ascii="宋体" w:hAnsi="宋体" w:cs="宋体" w:eastAsia="宋体" w:hint="default"/>
                <w:spacing w:val="-3"/>
                <w:sz w:val="18"/>
                <w:szCs w:val="18"/>
              </w:rPr>
              <w:t>福建鸿博致远信</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息科技有限公司</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10,000,000.00</w:t>
            </w:r>
          </w:p>
        </w:tc>
        <w:tc>
          <w:tcPr>
            <w:tcW w:w="1392"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4" w:right="146"/>
              <w:jc w:val="left"/>
              <w:rPr>
                <w:rFonts w:ascii="宋体" w:hAnsi="宋体" w:cs="宋体" w:eastAsia="宋体" w:hint="default"/>
                <w:sz w:val="18"/>
                <w:szCs w:val="18"/>
              </w:rPr>
            </w:pPr>
            <w:r>
              <w:rPr>
                <w:rFonts w:ascii="宋体" w:hAnsi="宋体" w:cs="宋体" w:eastAsia="宋体" w:hint="default"/>
                <w:spacing w:val="-3"/>
                <w:sz w:val="18"/>
                <w:szCs w:val="18"/>
              </w:rPr>
              <w:t>北京青禾阳光文</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3"/>
                <w:sz w:val="18"/>
                <w:szCs w:val="18"/>
              </w:rPr>
              <w:t>化传播有限公司</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0.00</w:t>
            </w:r>
          </w:p>
        </w:tc>
        <w:tc>
          <w:tcPr>
            <w:tcW w:w="1392"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321" w:lineRule="auto" w:before="53"/>
              <w:ind w:left="24" w:right="146"/>
              <w:jc w:val="left"/>
              <w:rPr>
                <w:rFonts w:ascii="宋体" w:hAnsi="宋体" w:cs="宋体" w:eastAsia="宋体" w:hint="default"/>
                <w:sz w:val="18"/>
                <w:szCs w:val="18"/>
              </w:rPr>
            </w:pPr>
            <w:r>
              <w:rPr>
                <w:rFonts w:ascii="宋体" w:hAnsi="宋体" w:cs="宋体" w:eastAsia="宋体" w:hint="default"/>
                <w:spacing w:val="-3"/>
                <w:sz w:val="18"/>
                <w:szCs w:val="18"/>
              </w:rPr>
              <w:t>北京科信盛彩投</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资有限公司</w:t>
            </w:r>
          </w:p>
        </w:tc>
        <w:tc>
          <w:tcPr>
            <w:tcW w:w="1339"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112,713,105.37</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112,713,105.37</w:t>
            </w:r>
          </w:p>
        </w:tc>
        <w:tc>
          <w:tcPr>
            <w:tcW w:w="1392"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39"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568,875,567.46</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112,713,105.37</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15,000,000.00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666,588,672.83</w:t>
            </w:r>
          </w:p>
        </w:tc>
        <w:tc>
          <w:tcPr>
            <w:tcW w:w="1392"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2</w:t>
      </w:r>
      <w:r>
        <w:rPr/>
        <w:t>）对联营、合营企业投资</w:t>
      </w:r>
      <w:r>
        <w:rPr>
          <w:b w:val="0"/>
          <w:bCs w:val="0"/>
        </w:rPr>
      </w:r>
    </w:p>
    <w:p>
      <w:pPr>
        <w:spacing w:line="240" w:lineRule="auto" w:before="16"/>
        <w:rPr>
          <w:rFonts w:ascii="Microsoft JhengHei" w:hAnsi="Microsoft JhengHei" w:cs="Microsoft JhengHei" w:eastAsia="Microsoft JhengHei" w:hint="default"/>
          <w:b/>
          <w:bCs/>
          <w:sz w:val="16"/>
          <w:szCs w:val="16"/>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797"/>
        <w:gridCol w:w="797"/>
        <w:gridCol w:w="797"/>
        <w:gridCol w:w="797"/>
        <w:gridCol w:w="797"/>
        <w:gridCol w:w="802"/>
        <w:gridCol w:w="797"/>
        <w:gridCol w:w="797"/>
        <w:gridCol w:w="797"/>
        <w:gridCol w:w="802"/>
        <w:gridCol w:w="797"/>
        <w:gridCol w:w="797"/>
      </w:tblGrid>
      <w:tr>
        <w:trPr>
          <w:trHeight w:val="403" w:hRule="exact"/>
        </w:trPr>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投资单位</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321" w:lineRule="auto"/>
              <w:ind w:left="33" w:right="26"/>
              <w:jc w:val="left"/>
              <w:rPr>
                <w:rFonts w:ascii="宋体" w:hAnsi="宋体" w:cs="宋体" w:eastAsia="宋体" w:hint="default"/>
                <w:sz w:val="18"/>
                <w:szCs w:val="18"/>
              </w:rPr>
            </w:pPr>
            <w:r>
              <w:rPr>
                <w:rFonts w:ascii="宋体" w:hAnsi="宋体" w:cs="宋体" w:eastAsia="宋体" w:hint="default"/>
                <w:sz w:val="18"/>
                <w:szCs w:val="18"/>
              </w:rPr>
              <w:t>减值准备</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期末余额</w:t>
            </w:r>
          </w:p>
        </w:tc>
      </w:tr>
      <w:tr>
        <w:trPr>
          <w:trHeight w:val="1027" w:hRule="exact"/>
        </w:trPr>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28"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33" w:right="26"/>
              <w:jc w:val="both"/>
              <w:rPr>
                <w:rFonts w:ascii="宋体" w:hAnsi="宋体" w:cs="宋体" w:eastAsia="宋体" w:hint="default"/>
                <w:sz w:val="18"/>
                <w:szCs w:val="18"/>
              </w:rPr>
            </w:pPr>
            <w:r>
              <w:rPr>
                <w:rFonts w:ascii="宋体" w:hAnsi="宋体" w:cs="宋体" w:eastAsia="宋体" w:hint="default"/>
                <w:sz w:val="18"/>
                <w:szCs w:val="18"/>
              </w:rPr>
              <w:t>权益法下</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确认的投</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资损益</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33" w:right="31"/>
              <w:jc w:val="left"/>
              <w:rPr>
                <w:rFonts w:ascii="宋体" w:hAnsi="宋体" w:cs="宋体" w:eastAsia="宋体" w:hint="default"/>
                <w:sz w:val="18"/>
                <w:szCs w:val="18"/>
              </w:rPr>
            </w:pPr>
            <w:r>
              <w:rPr>
                <w:rFonts w:ascii="宋体" w:hAnsi="宋体" w:cs="宋体" w:eastAsia="宋体" w:hint="default"/>
                <w:sz w:val="18"/>
                <w:szCs w:val="18"/>
              </w:rPr>
              <w:t>其他综合</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收益调整</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211" w:right="26" w:hanging="178"/>
              <w:jc w:val="left"/>
              <w:rPr>
                <w:rFonts w:ascii="宋体" w:hAnsi="宋体" w:cs="宋体" w:eastAsia="宋体" w:hint="default"/>
                <w:sz w:val="18"/>
                <w:szCs w:val="18"/>
              </w:rPr>
            </w:pPr>
            <w:r>
              <w:rPr>
                <w:rFonts w:ascii="宋体" w:hAnsi="宋体" w:cs="宋体" w:eastAsia="宋体" w:hint="default"/>
                <w:sz w:val="18"/>
                <w:szCs w:val="18"/>
              </w:rPr>
              <w:t>其他权益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变动</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3"/>
              <w:ind w:left="33" w:right="26"/>
              <w:jc w:val="both"/>
              <w:rPr>
                <w:rFonts w:ascii="宋体" w:hAnsi="宋体" w:cs="宋体" w:eastAsia="宋体" w:hint="default"/>
                <w:sz w:val="18"/>
                <w:szCs w:val="18"/>
              </w:rPr>
            </w:pPr>
            <w:r>
              <w:rPr>
                <w:rFonts w:ascii="宋体" w:hAnsi="宋体" w:cs="宋体" w:eastAsia="宋体" w:hint="default"/>
                <w:sz w:val="18"/>
                <w:szCs w:val="18"/>
              </w:rPr>
              <w:t>宣告发放</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现金股利</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或利润</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21" w:lineRule="auto"/>
              <w:ind w:left="211" w:right="26" w:hanging="178"/>
              <w:jc w:val="left"/>
              <w:rPr>
                <w:rFonts w:ascii="宋体" w:hAnsi="宋体" w:cs="宋体" w:eastAsia="宋体" w:hint="default"/>
                <w:sz w:val="18"/>
                <w:szCs w:val="18"/>
              </w:rPr>
            </w:pPr>
            <w:r>
              <w:rPr>
                <w:rFonts w:ascii="宋体" w:hAnsi="宋体" w:cs="宋体" w:eastAsia="宋体" w:hint="default"/>
                <w:sz w:val="18"/>
                <w:szCs w:val="18"/>
              </w:rPr>
              <w:t>计提减值</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准备</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2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9571"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1" w:hRule="exact"/>
        </w:trPr>
        <w:tc>
          <w:tcPr>
            <w:tcW w:w="9571"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bl>
    <w:p>
      <w:pPr>
        <w:spacing w:line="240" w:lineRule="auto" w:before="5"/>
        <w:rPr>
          <w:rFonts w:ascii="宋体" w:hAnsi="宋体" w:cs="宋体" w:eastAsia="宋体" w:hint="default"/>
          <w:sz w:val="19"/>
          <w:szCs w:val="19"/>
        </w:rPr>
      </w:pPr>
    </w:p>
    <w:p>
      <w:pPr>
        <w:pStyle w:val="Heading4"/>
        <w:spacing w:line="335" w:lineRule="exact"/>
        <w:ind w:right="0"/>
        <w:jc w:val="left"/>
        <w:rPr>
          <w:b w:val="0"/>
          <w:bCs w:val="0"/>
        </w:rPr>
      </w:pPr>
      <w:r>
        <w:rPr/>
        <w:t>（</w:t>
      </w:r>
      <w:r>
        <w:rPr>
          <w:rFonts w:ascii="Times New Roman" w:hAnsi="Times New Roman" w:cs="Times New Roman" w:eastAsia="Times New Roman" w:hint="default"/>
        </w:rPr>
        <w:t>3</w:t>
      </w:r>
      <w:r>
        <w:rPr/>
        <w:t>）其他说明</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rFonts w:ascii="Times New Roman" w:hAnsi="Times New Roman" w:cs="Times New Roman" w:eastAsia="Times New Roman" w:hint="default"/>
        </w:rPr>
        <w:t>4</w:t>
      </w:r>
      <w:r>
        <w:rPr/>
        <w:t>、营业收入和营业成本</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82"/>
        <w:gridCol w:w="1848"/>
        <w:gridCol w:w="1915"/>
        <w:gridCol w:w="1910"/>
        <w:gridCol w:w="1915"/>
      </w:tblGrid>
      <w:tr>
        <w:trPr>
          <w:trHeight w:val="197" w:hRule="exact"/>
        </w:trPr>
        <w:tc>
          <w:tcPr>
            <w:tcW w:w="1982" w:type="dxa"/>
            <w:tcBorders>
              <w:top w:val="single" w:sz="4" w:space="0" w:color="000000"/>
              <w:left w:val="single" w:sz="4" w:space="0" w:color="000000"/>
              <w:bottom w:val="nil" w:sz="6" w:space="0" w:color="auto"/>
              <w:right w:val="single" w:sz="4" w:space="0" w:color="000000"/>
            </w:tcBorders>
            <w:shd w:val="clear" w:color="auto" w:fill="D2D2D2"/>
          </w:tcPr>
          <w:p>
            <w:pPr/>
          </w:p>
        </w:tc>
        <w:tc>
          <w:tcPr>
            <w:tcW w:w="376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9"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201" w:hRule="exact"/>
        </w:trPr>
        <w:tc>
          <w:tcPr>
            <w:tcW w:w="198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763" w:type="dxa"/>
            <w:gridSpan w:val="2"/>
            <w:vMerge/>
            <w:tcBorders>
              <w:left w:val="single" w:sz="4" w:space="0" w:color="000000"/>
              <w:bottom w:val="single" w:sz="4" w:space="0" w:color="000000"/>
              <w:right w:val="single" w:sz="4" w:space="0" w:color="000000"/>
            </w:tcBorders>
            <w:shd w:val="clear" w:color="auto" w:fill="D2D2D2"/>
          </w:tcPr>
          <w:p>
            <w:pP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192" w:hRule="exact"/>
        </w:trPr>
        <w:tc>
          <w:tcPr>
            <w:tcW w:w="1982" w:type="dxa"/>
            <w:vMerge/>
            <w:tcBorders>
              <w:left w:val="single" w:sz="4" w:space="0" w:color="000000"/>
              <w:bottom w:val="nil" w:sz="6" w:space="0" w:color="auto"/>
              <w:right w:val="single" w:sz="4" w:space="0" w:color="000000"/>
            </w:tcBorders>
            <w:shd w:val="clear" w:color="auto" w:fill="D2D2D2"/>
          </w:tcPr>
          <w:p>
            <w:pPr/>
          </w:p>
        </w:tc>
        <w:tc>
          <w:tcPr>
            <w:tcW w:w="184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成本</w:t>
            </w:r>
          </w:p>
        </w:tc>
        <w:tc>
          <w:tcPr>
            <w:tcW w:w="191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11" w:hRule="exact"/>
        </w:trPr>
        <w:tc>
          <w:tcPr>
            <w:tcW w:w="1982" w:type="dxa"/>
            <w:tcBorders>
              <w:top w:val="nil" w:sz="6" w:space="0" w:color="auto"/>
              <w:left w:val="single" w:sz="4" w:space="0" w:color="000000"/>
              <w:bottom w:val="single" w:sz="4" w:space="0" w:color="000000"/>
              <w:right w:val="single" w:sz="4" w:space="0" w:color="000000"/>
            </w:tcBorders>
            <w:shd w:val="clear" w:color="auto" w:fill="D2D2D2"/>
          </w:tcPr>
          <w:p>
            <w:pPr/>
          </w:p>
        </w:tc>
        <w:tc>
          <w:tcPr>
            <w:tcW w:w="1848"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c>
          <w:tcPr>
            <w:tcW w:w="1910"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4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152,219,836.76</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109,787,634.74</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2"/>
                <w:sz w:val="18"/>
              </w:rPr>
              <w:t>214,118,404.52</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128,947,970.02</w:t>
            </w:r>
          </w:p>
        </w:tc>
      </w:tr>
      <w:tr>
        <w:trPr>
          <w:trHeight w:val="403" w:hRule="exact"/>
        </w:trPr>
        <w:tc>
          <w:tcPr>
            <w:tcW w:w="1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4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599,981.48</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504,762.33</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844,640.47</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780,599.55</w:t>
            </w:r>
          </w:p>
        </w:tc>
      </w:tr>
      <w:tr>
        <w:trPr>
          <w:trHeight w:val="403" w:hRule="exact"/>
        </w:trPr>
        <w:tc>
          <w:tcPr>
            <w:tcW w:w="1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4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152,819,818.24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110,292,397.07</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214,963,044.99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129,728,569.57</w:t>
            </w:r>
          </w:p>
        </w:tc>
      </w:tr>
    </w:tbl>
    <w:p>
      <w:pPr>
        <w:spacing w:after="0" w:line="240" w:lineRule="auto"/>
        <w:jc w:val="right"/>
        <w:rPr>
          <w:rFonts w:ascii="Times New Roman" w:hAnsi="Times New Roman" w:cs="Times New Roman" w:eastAsia="Times New Roman" w:hint="default"/>
          <w:sz w:val="18"/>
          <w:szCs w:val="18"/>
        </w:rPr>
        <w:sectPr>
          <w:pgSz w:w="11900" w:h="16840"/>
          <w:pgMar w:header="872" w:footer="984" w:top="1060" w:bottom="1180" w:left="980" w:right="980"/>
        </w:sectPr>
      </w:pPr>
    </w:p>
    <w:p>
      <w:pPr>
        <w:spacing w:line="240" w:lineRule="auto" w:before="6"/>
        <w:rPr>
          <w:rFonts w:ascii="宋体" w:hAnsi="宋体" w:cs="宋体" w:eastAsia="宋体" w:hint="default"/>
          <w:sz w:val="26"/>
          <w:szCs w:val="26"/>
        </w:rPr>
      </w:pPr>
    </w:p>
    <w:p>
      <w:pPr>
        <w:spacing w:before="46"/>
        <w:ind w:left="152"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5</w:t>
      </w:r>
      <w:r>
        <w:rPr/>
        <w:t>、投资收益</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02"/>
        <w:gridCol w:w="3070"/>
        <w:gridCol w:w="3187"/>
      </w:tblGrid>
      <w:tr>
        <w:trPr>
          <w:trHeight w:val="398"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3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成本法核算的长期股权投资收益</w:t>
            </w:r>
          </w:p>
        </w:tc>
        <w:tc>
          <w:tcPr>
            <w:tcW w:w="307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30,373,455.43</w:t>
            </w:r>
          </w:p>
        </w:tc>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11,281,564.08</w:t>
            </w: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处置长期股权投资产生的投资收益</w:t>
            </w:r>
          </w:p>
        </w:tc>
        <w:tc>
          <w:tcPr>
            <w:tcW w:w="307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-7,474,058.08</w:t>
            </w:r>
          </w:p>
        </w:tc>
        <w:tc>
          <w:tcPr>
            <w:tcW w:w="318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处置可供出售金融资产取得的投资收益</w:t>
            </w:r>
          </w:p>
        </w:tc>
        <w:tc>
          <w:tcPr>
            <w:tcW w:w="307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41,020,265.00</w:t>
            </w:r>
          </w:p>
        </w:tc>
        <w:tc>
          <w:tcPr>
            <w:tcW w:w="3187"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70" w:type="dxa"/>
            <w:tcBorders>
              <w:top w:val="single" w:sz="4" w:space="0" w:color="000000"/>
              <w:left w:val="single" w:sz="4" w:space="0" w:color="000000"/>
              <w:bottom w:val="single" w:sz="4" w:space="0" w:color="000000"/>
              <w:right w:val="single" w:sz="4" w:space="0" w:color="000000"/>
            </w:tcBorders>
          </w:tcPr>
          <w:p>
            <w:pPr/>
          </w:p>
        </w:tc>
        <w:tc>
          <w:tcPr>
            <w:tcW w:w="318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7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63,919,662.35</w:t>
            </w:r>
          </w:p>
        </w:tc>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2"/>
                <w:sz w:val="18"/>
              </w:rPr>
              <w:t>11,281,564.08</w:t>
            </w:r>
          </w:p>
        </w:tc>
      </w:tr>
    </w:tbl>
    <w:p>
      <w:pPr>
        <w:spacing w:line="240" w:lineRule="auto" w:before="3"/>
        <w:rPr>
          <w:rFonts w:ascii="宋体" w:hAnsi="宋体" w:cs="宋体" w:eastAsia="宋体" w:hint="default"/>
          <w:sz w:val="19"/>
          <w:szCs w:val="19"/>
        </w:rPr>
      </w:pPr>
    </w:p>
    <w:p>
      <w:pPr>
        <w:pStyle w:val="Heading4"/>
        <w:spacing w:line="335" w:lineRule="exact"/>
        <w:ind w:right="0"/>
        <w:jc w:val="left"/>
        <w:rPr>
          <w:b w:val="0"/>
          <w:bCs w:val="0"/>
        </w:rPr>
      </w:pPr>
      <w:r>
        <w:rPr>
          <w:rFonts w:ascii="Times New Roman" w:hAnsi="Times New Roman" w:cs="Times New Roman" w:eastAsia="Times New Roman" w:hint="default"/>
        </w:rPr>
        <w:t>6</w:t>
      </w:r>
      <w:r>
        <w:rPr/>
        <w:t>、其他</w:t>
      </w:r>
      <w:r>
        <w:rPr>
          <w:b w:val="0"/>
          <w:bCs w:val="0"/>
        </w:rPr>
      </w:r>
    </w:p>
    <w:p>
      <w:pPr>
        <w:spacing w:line="240" w:lineRule="auto" w:before="13"/>
        <w:rPr>
          <w:rFonts w:ascii="Microsoft JhengHei" w:hAnsi="Microsoft JhengHei" w:cs="Microsoft JhengHei" w:eastAsia="Microsoft JhengHei" w:hint="default"/>
          <w:b/>
          <w:bCs/>
          <w:sz w:val="11"/>
          <w:szCs w:val="11"/>
        </w:rPr>
      </w:pPr>
    </w:p>
    <w:p>
      <w:pPr>
        <w:pStyle w:val="Heading2"/>
        <w:spacing w:line="240" w:lineRule="auto"/>
        <w:ind w:right="0"/>
        <w:jc w:val="left"/>
        <w:rPr>
          <w:b w:val="0"/>
          <w:bCs w:val="0"/>
        </w:rPr>
      </w:pPr>
      <w:r>
        <w:rPr/>
        <w:t>十八、补充资料</w:t>
      </w:r>
      <w:r>
        <w:rPr>
          <w:b w:val="0"/>
          <w:bCs w:val="0"/>
        </w:rPr>
      </w:r>
    </w:p>
    <w:p>
      <w:pPr>
        <w:spacing w:line="240" w:lineRule="auto" w:before="10"/>
        <w:rPr>
          <w:rFonts w:ascii="Microsoft JhengHei" w:hAnsi="Microsoft JhengHei" w:cs="Microsoft JhengHei" w:eastAsia="Microsoft JhengHei" w:hint="default"/>
          <w:b/>
          <w:bCs/>
          <w:sz w:val="13"/>
          <w:szCs w:val="13"/>
        </w:rPr>
      </w:pPr>
    </w:p>
    <w:p>
      <w:pPr>
        <w:pStyle w:val="Heading4"/>
        <w:spacing w:line="240" w:lineRule="auto"/>
        <w:ind w:right="0"/>
        <w:jc w:val="left"/>
        <w:rPr>
          <w:b w:val="0"/>
          <w:bCs w:val="0"/>
        </w:rPr>
      </w:pPr>
      <w:r>
        <w:rPr>
          <w:rFonts w:ascii="Times New Roman" w:hAnsi="Times New Roman" w:cs="Times New Roman" w:eastAsia="Times New Roman" w:hint="default"/>
        </w:rPr>
        <w:t>1</w:t>
      </w:r>
      <w:r>
        <w:rPr/>
        <w:t>、当期非经常性损益明细表</w:t>
      </w:r>
      <w:r>
        <w:rPr>
          <w:b w:val="0"/>
          <w:bCs w:val="0"/>
        </w:rPr>
      </w:r>
    </w:p>
    <w:p>
      <w:pPr>
        <w:spacing w:line="240" w:lineRule="auto" w:before="4"/>
        <w:rPr>
          <w:rFonts w:ascii="Microsoft JhengHei" w:hAnsi="Microsoft JhengHei" w:cs="Microsoft JhengHei" w:eastAsia="Microsoft JhengHei" w:hint="default"/>
          <w:b/>
          <w:bCs/>
          <w:sz w:val="17"/>
          <w:szCs w:val="17"/>
        </w:rPr>
      </w:pPr>
    </w:p>
    <w:p>
      <w:pPr>
        <w:spacing w:before="46"/>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before="115"/>
        <w:ind w:left="0" w:right="146"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5"/>
          <w:sz w:val="18"/>
          <w:szCs w:val="18"/>
        </w:rPr>
        <w:t> </w:t>
      </w:r>
      <w:r>
        <w:rPr>
          <w:rFonts w:ascii="宋体" w:hAnsi="宋体" w:cs="宋体" w:eastAsia="宋体" w:hint="default"/>
          <w:sz w:val="18"/>
          <w:szCs w:val="18"/>
        </w:rPr>
        <w:t>元</w:t>
      </w:r>
    </w:p>
    <w:p>
      <w:pPr>
        <w:spacing w:line="240" w:lineRule="auto" w:before="1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326"/>
        <w:gridCol w:w="3058"/>
        <w:gridCol w:w="3187"/>
      </w:tblGrid>
      <w:tr>
        <w:trPr>
          <w:trHeight w:val="398" w:hRule="exact"/>
        </w:trPr>
        <w:tc>
          <w:tcPr>
            <w:tcW w:w="33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70" w:hRule="exact"/>
        </w:trPr>
        <w:tc>
          <w:tcPr>
            <w:tcW w:w="3326" w:type="dxa"/>
            <w:tcBorders>
              <w:top w:val="single" w:sz="4" w:space="0" w:color="000000"/>
              <w:left w:val="single" w:sz="4" w:space="0" w:color="000000"/>
              <w:bottom w:val="nil" w:sz="6" w:space="0" w:color="auto"/>
              <w:right w:val="single" w:sz="4" w:space="0" w:color="000000"/>
            </w:tcBorders>
            <w:shd w:val="clear" w:color="auto" w:fill="D2D2D2"/>
          </w:tcPr>
          <w:p>
            <w:pPr/>
          </w:p>
        </w:tc>
        <w:tc>
          <w:tcPr>
            <w:tcW w:w="3058"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975" w:right="0"/>
              <w:jc w:val="left"/>
              <w:rPr>
                <w:rFonts w:ascii="Times New Roman" w:hAnsi="Times New Roman" w:cs="Times New Roman" w:eastAsia="Times New Roman" w:hint="default"/>
                <w:sz w:val="18"/>
                <w:szCs w:val="18"/>
              </w:rPr>
            </w:pPr>
            <w:r>
              <w:rPr>
                <w:rFonts w:ascii="Times New Roman"/>
                <w:sz w:val="18"/>
              </w:rPr>
              <w:t>41,280,804.09</w:t>
            </w:r>
          </w:p>
        </w:tc>
        <w:tc>
          <w:tcPr>
            <w:tcW w:w="3187" w:type="dxa"/>
            <w:vMerge w:val="restart"/>
            <w:tcBorders>
              <w:top w:val="single" w:sz="4" w:space="0" w:color="000000"/>
              <w:left w:val="single" w:sz="4" w:space="0" w:color="000000"/>
              <w:right w:val="single" w:sz="4" w:space="0" w:color="000000"/>
            </w:tcBorders>
          </w:tcPr>
          <w:p>
            <w:pPr>
              <w:pStyle w:val="TableParagraph"/>
              <w:spacing w:line="307" w:lineRule="auto" w:before="53"/>
              <w:ind w:left="23" w:right="17"/>
              <w:jc w:val="left"/>
              <w:rPr>
                <w:rFonts w:ascii="宋体" w:hAnsi="宋体" w:cs="宋体" w:eastAsia="宋体" w:hint="default"/>
                <w:sz w:val="18"/>
                <w:szCs w:val="18"/>
              </w:rPr>
            </w:pPr>
            <w:r>
              <w:rPr>
                <w:rFonts w:ascii="宋体" w:hAnsi="宋体" w:cs="宋体" w:eastAsia="宋体" w:hint="default"/>
                <w:spacing w:val="-5"/>
                <w:sz w:val="18"/>
                <w:szCs w:val="18"/>
              </w:rPr>
              <w:t>其中：处置固定资产损益</w:t>
            </w:r>
            <w:r>
              <w:rPr>
                <w:rFonts w:ascii="宋体" w:hAnsi="宋体" w:cs="宋体" w:eastAsia="宋体" w:hint="default"/>
                <w:spacing w:val="-30"/>
                <w:sz w:val="18"/>
                <w:szCs w:val="18"/>
              </w:rPr>
              <w:t> </w:t>
            </w:r>
            <w:r>
              <w:rPr>
                <w:rFonts w:ascii="Times New Roman" w:hAnsi="Times New Roman" w:cs="Times New Roman" w:eastAsia="Times New Roman" w:hint="default"/>
                <w:sz w:val="18"/>
                <w:szCs w:val="18"/>
              </w:rPr>
              <w:t>26.05</w:t>
            </w:r>
            <w:r>
              <w:rPr>
                <w:rFonts w:ascii="Times New Roman" w:hAnsi="Times New Roman" w:cs="Times New Roman" w:eastAsia="Times New Roman" w:hint="default"/>
                <w:spacing w:val="8"/>
                <w:sz w:val="18"/>
                <w:szCs w:val="18"/>
              </w:rPr>
              <w:t> </w:t>
            </w:r>
            <w:r>
              <w:rPr>
                <w:rFonts w:ascii="宋体" w:hAnsi="宋体" w:cs="宋体" w:eastAsia="宋体" w:hint="default"/>
                <w:spacing w:val="-10"/>
                <w:sz w:val="18"/>
                <w:szCs w:val="18"/>
              </w:rPr>
              <w:t>万元，处</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3"/>
                <w:sz w:val="18"/>
                <w:szCs w:val="18"/>
              </w:rPr>
              <w:t>置部分可供出售金融资产成都农村商业</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银行股份有限公司股权的损益</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4,102.03</w:t>
            </w:r>
            <w:r>
              <w:rPr>
                <w:rFonts w:ascii="Times New Roman" w:hAnsi="Times New Roman" w:cs="Times New Roman" w:eastAsia="Times New Roman" w:hint="default"/>
                <w:spacing w:val="-43"/>
                <w:sz w:val="18"/>
                <w:szCs w:val="18"/>
              </w:rPr>
              <w:t> </w:t>
            </w:r>
            <w:r>
              <w:rPr>
                <w:rFonts w:ascii="Times New Roman" w:hAnsi="Times New Roman" w:cs="Times New Roman" w:eastAsia="Times New Roman" w:hint="default"/>
                <w:spacing w:val="-43"/>
                <w:sz w:val="18"/>
                <w:szCs w:val="18"/>
              </w:rPr>
            </w:r>
            <w:r>
              <w:rPr>
                <w:rFonts w:ascii="宋体" w:hAnsi="宋体" w:cs="宋体" w:eastAsia="宋体" w:hint="default"/>
                <w:sz w:val="18"/>
                <w:szCs w:val="18"/>
              </w:rPr>
              <w:t>万元。</w:t>
            </w:r>
          </w:p>
        </w:tc>
      </w:tr>
      <w:tr>
        <w:trPr>
          <w:trHeight w:val="394" w:hRule="exact"/>
        </w:trPr>
        <w:tc>
          <w:tcPr>
            <w:tcW w:w="332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非流动资产处置损益</w:t>
            </w:r>
          </w:p>
        </w:tc>
        <w:tc>
          <w:tcPr>
            <w:tcW w:w="3058" w:type="dxa"/>
            <w:vMerge/>
            <w:tcBorders>
              <w:left w:val="single" w:sz="10" w:space="0" w:color="D2D2D2"/>
              <w:right w:val="single" w:sz="4" w:space="0" w:color="000000"/>
            </w:tcBorders>
          </w:tcPr>
          <w:p>
            <w:pPr/>
          </w:p>
        </w:tc>
        <w:tc>
          <w:tcPr>
            <w:tcW w:w="3187" w:type="dxa"/>
            <w:vMerge/>
            <w:tcBorders>
              <w:left w:val="single" w:sz="4" w:space="0" w:color="000000"/>
              <w:right w:val="single" w:sz="4" w:space="0" w:color="000000"/>
            </w:tcBorders>
          </w:tcPr>
          <w:p>
            <w:pPr/>
          </w:p>
        </w:tc>
      </w:tr>
      <w:tr>
        <w:trPr>
          <w:trHeight w:val="475" w:hRule="exact"/>
        </w:trPr>
        <w:tc>
          <w:tcPr>
            <w:tcW w:w="3326" w:type="dxa"/>
            <w:tcBorders>
              <w:top w:val="nil" w:sz="6" w:space="0" w:color="auto"/>
              <w:left w:val="single" w:sz="4" w:space="0" w:color="000000"/>
              <w:bottom w:val="single" w:sz="4" w:space="0" w:color="000000"/>
              <w:right w:val="single" w:sz="4" w:space="0" w:color="000000"/>
            </w:tcBorders>
            <w:shd w:val="clear" w:color="auto" w:fill="D2D2D2"/>
          </w:tcPr>
          <w:p>
            <w:pPr/>
          </w:p>
        </w:tc>
        <w:tc>
          <w:tcPr>
            <w:tcW w:w="3058" w:type="dxa"/>
            <w:vMerge/>
            <w:tcBorders>
              <w:left w:val="single" w:sz="10" w:space="0" w:color="D2D2D2"/>
              <w:bottom w:val="single" w:sz="4" w:space="0" w:color="000000"/>
              <w:right w:val="single" w:sz="4" w:space="0" w:color="000000"/>
            </w:tcBorders>
          </w:tcPr>
          <w:p>
            <w:pPr/>
          </w:p>
        </w:tc>
        <w:tc>
          <w:tcPr>
            <w:tcW w:w="3187" w:type="dxa"/>
            <w:vMerge/>
            <w:tcBorders>
              <w:left w:val="single" w:sz="4" w:space="0" w:color="000000"/>
              <w:bottom w:val="single" w:sz="4" w:space="0" w:color="000000"/>
              <w:right w:val="single" w:sz="4" w:space="0" w:color="000000"/>
            </w:tcBorders>
          </w:tcPr>
          <w:p>
            <w:pPr/>
          </w:p>
        </w:tc>
      </w:tr>
      <w:tr>
        <w:trPr>
          <w:trHeight w:val="941" w:hRule="exact"/>
        </w:trPr>
        <w:tc>
          <w:tcPr>
            <w:tcW w:w="3326" w:type="dxa"/>
            <w:tcBorders>
              <w:top w:val="single" w:sz="4" w:space="0" w:color="000000"/>
              <w:left w:val="single" w:sz="4" w:space="0" w:color="000000"/>
              <w:bottom w:val="nil" w:sz="6" w:space="0" w:color="auto"/>
              <w:right w:val="single" w:sz="4" w:space="0" w:color="000000"/>
            </w:tcBorders>
            <w:shd w:val="clear" w:color="auto" w:fill="D2D2D2"/>
          </w:tcPr>
          <w:p>
            <w:pPr/>
          </w:p>
        </w:tc>
        <w:tc>
          <w:tcPr>
            <w:tcW w:w="3058"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3,677,319.57</w:t>
            </w:r>
          </w:p>
        </w:tc>
        <w:tc>
          <w:tcPr>
            <w:tcW w:w="3187" w:type="dxa"/>
            <w:vMerge w:val="restart"/>
            <w:tcBorders>
              <w:top w:val="single" w:sz="4" w:space="0" w:color="000000"/>
              <w:left w:val="single" w:sz="4" w:space="0" w:color="000000"/>
              <w:right w:val="single" w:sz="4" w:space="0" w:color="000000"/>
            </w:tcBorders>
          </w:tcPr>
          <w:p>
            <w:pPr>
              <w:pStyle w:val="TableParagraph"/>
              <w:spacing w:line="297" w:lineRule="auto" w:before="53"/>
              <w:ind w:left="23" w:right="17"/>
              <w:jc w:val="both"/>
              <w:rPr>
                <w:rFonts w:ascii="Times New Roman" w:hAnsi="Times New Roman" w:cs="Times New Roman" w:eastAsia="Times New Roman" w:hint="default"/>
                <w:sz w:val="18"/>
                <w:szCs w:val="18"/>
              </w:rPr>
            </w:pPr>
            <w:r>
              <w:rPr>
                <w:rFonts w:ascii="宋体" w:hAnsi="宋体" w:cs="宋体" w:eastAsia="宋体" w:hint="default"/>
                <w:sz w:val="18"/>
                <w:szCs w:val="18"/>
              </w:rPr>
              <w:t>主要包括广州市天河区财政局补助</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90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万</w:t>
            </w:r>
            <w:r>
              <w:rPr>
                <w:rFonts w:ascii="宋体" w:hAnsi="宋体" w:cs="宋体" w:eastAsia="宋体" w:hint="default"/>
                <w:w w:val="10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2015 </w:t>
            </w:r>
            <w:r>
              <w:rPr>
                <w:rFonts w:ascii="宋体" w:hAnsi="宋体" w:cs="宋体" w:eastAsia="宋体" w:hint="default"/>
                <w:spacing w:val="-3"/>
                <w:sz w:val="18"/>
                <w:szCs w:val="18"/>
              </w:rPr>
              <w:t>年国家科技支撑计划课题预算</w:t>
            </w:r>
            <w:r>
              <w:rPr>
                <w:rFonts w:ascii="宋体" w:hAnsi="宋体" w:cs="宋体" w:eastAsia="宋体" w:hint="default"/>
                <w:spacing w:val="-48"/>
                <w:sz w:val="18"/>
                <w:szCs w:val="18"/>
              </w:rPr>
              <w:t> </w:t>
            </w:r>
            <w:r>
              <w:rPr>
                <w:rFonts w:ascii="宋体" w:hAnsi="宋体" w:cs="宋体" w:eastAsia="宋体" w:hint="default"/>
                <w:spacing w:val="-48"/>
                <w:sz w:val="18"/>
                <w:szCs w:val="18"/>
              </w:rPr>
            </w:r>
            <w:r>
              <w:rPr>
                <w:rFonts w:ascii="宋体" w:hAnsi="宋体" w:cs="宋体" w:eastAsia="宋体" w:hint="default"/>
                <w:w w:val="101"/>
                <w:sz w:val="18"/>
                <w:szCs w:val="18"/>
              </w:rPr>
              <w:t>拨款</w:t>
            </w:r>
            <w:r>
              <w:rPr>
                <w:rFonts w:ascii="宋体" w:hAnsi="宋体" w:cs="宋体" w:eastAsia="宋体" w:hint="default"/>
                <w:spacing w:val="-51"/>
                <w:w w:val="101"/>
                <w:sz w:val="18"/>
                <w:szCs w:val="18"/>
              </w:rPr>
              <w:t> </w:t>
            </w:r>
            <w:r>
              <w:rPr>
                <w:rFonts w:ascii="Times New Roman" w:hAnsi="Times New Roman" w:cs="Times New Roman" w:eastAsia="Times New Roman" w:hint="default"/>
                <w:spacing w:val="-3"/>
                <w:w w:val="101"/>
                <w:sz w:val="18"/>
                <w:szCs w:val="18"/>
              </w:rPr>
              <w:t>53</w:t>
            </w:r>
            <w:r>
              <w:rPr>
                <w:rFonts w:ascii="Times New Roman" w:hAnsi="Times New Roman" w:cs="Times New Roman" w:eastAsia="Times New Roman" w:hint="default"/>
                <w:spacing w:val="-6"/>
                <w:w w:val="101"/>
                <w:sz w:val="18"/>
                <w:szCs w:val="18"/>
              </w:rPr>
              <w:t> </w:t>
            </w:r>
            <w:r>
              <w:rPr>
                <w:rFonts w:ascii="宋体" w:hAnsi="宋体" w:cs="宋体" w:eastAsia="宋体" w:hint="default"/>
                <w:spacing w:val="-10"/>
                <w:w w:val="101"/>
                <w:sz w:val="18"/>
                <w:szCs w:val="18"/>
              </w:rPr>
              <w:t>万，昊天科技进口设备贴息</w:t>
            </w:r>
            <w:r>
              <w:rPr>
                <w:rFonts w:ascii="宋体" w:hAnsi="宋体" w:cs="宋体" w:eastAsia="宋体" w:hint="default"/>
                <w:spacing w:val="-57"/>
                <w:w w:val="101"/>
                <w:sz w:val="18"/>
                <w:szCs w:val="18"/>
              </w:rPr>
              <w:t> </w:t>
            </w:r>
            <w:r>
              <w:rPr>
                <w:rFonts w:ascii="Times New Roman" w:hAnsi="Times New Roman" w:cs="Times New Roman" w:eastAsia="Times New Roman" w:hint="default"/>
                <w:spacing w:val="-1"/>
                <w:w w:val="101"/>
                <w:sz w:val="18"/>
                <w:szCs w:val="18"/>
              </w:rPr>
              <w:t>37.25</w:t>
            </w:r>
            <w:r>
              <w:rPr>
                <w:rFonts w:ascii="Times New Roman" w:hAnsi="Times New Roman" w:cs="Times New Roman" w:eastAsia="Times New Roman" w:hint="default"/>
                <w:spacing w:val="-1"/>
                <w:sz w:val="18"/>
                <w:szCs w:val="18"/>
              </w:rPr>
            </w:r>
          </w:p>
          <w:p>
            <w:pPr>
              <w:pStyle w:val="TableParagraph"/>
              <w:spacing w:line="309" w:lineRule="auto" w:before="15"/>
              <w:ind w:left="23" w:right="17"/>
              <w:jc w:val="left"/>
              <w:rPr>
                <w:rFonts w:ascii="宋体" w:hAnsi="宋体" w:cs="宋体" w:eastAsia="宋体" w:hint="default"/>
                <w:sz w:val="18"/>
                <w:szCs w:val="18"/>
              </w:rPr>
            </w:pPr>
            <w:r>
              <w:rPr>
                <w:rFonts w:ascii="宋体" w:hAnsi="宋体" w:cs="宋体" w:eastAsia="宋体" w:hint="default"/>
                <w:sz w:val="18"/>
                <w:szCs w:val="18"/>
              </w:rPr>
              <w:t>万元，无锡双龙发展扶持资金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23.94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r>
              <w:rPr>
                <w:rFonts w:ascii="宋体" w:hAnsi="宋体" w:cs="宋体" w:eastAsia="宋体" w:hint="default"/>
                <w:spacing w:val="-87"/>
                <w:sz w:val="18"/>
                <w:szCs w:val="18"/>
              </w:rPr>
              <w:t> </w:t>
            </w:r>
            <w:r>
              <w:rPr>
                <w:rFonts w:ascii="宋体" w:hAnsi="宋体" w:cs="宋体" w:eastAsia="宋体" w:hint="default"/>
                <w:spacing w:val="-3"/>
                <w:sz w:val="18"/>
                <w:szCs w:val="18"/>
              </w:rPr>
              <w:t>元，泸州市纳溪区就业服务管理局再就</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业补助</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22.03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年度福建省印</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刷企业转型升级扶持资金</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pacing w:val="-6"/>
                <w:sz w:val="18"/>
                <w:szCs w:val="18"/>
              </w:rPr>
              <w:t>万元，福建</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省残疾人劳动就业服务中心扶残助残奖</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励费</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19.79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万元等</w:t>
            </w:r>
          </w:p>
        </w:tc>
      </w:tr>
      <w:tr>
        <w:trPr>
          <w:trHeight w:val="1018" w:hRule="exact"/>
        </w:trPr>
        <w:tc>
          <w:tcPr>
            <w:tcW w:w="332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53"/>
              <w:ind w:left="24" w:right="46"/>
              <w:jc w:val="both"/>
              <w:rPr>
                <w:rFonts w:ascii="宋体" w:hAnsi="宋体" w:cs="宋体" w:eastAsia="宋体" w:hint="default"/>
                <w:sz w:val="18"/>
                <w:szCs w:val="18"/>
              </w:rPr>
            </w:pPr>
            <w:r>
              <w:rPr>
                <w:rFonts w:ascii="宋体" w:hAnsi="宋体" w:cs="宋体" w:eastAsia="宋体" w:hint="default"/>
                <w:spacing w:val="-3"/>
                <w:sz w:val="18"/>
                <w:szCs w:val="18"/>
              </w:rPr>
              <w:t>计入当期损益的政府补助（与企业业务密</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pacing w:val="-3"/>
                <w:sz w:val="18"/>
                <w:szCs w:val="18"/>
              </w:rPr>
              <w:t>切相关，按照国家统一标准定额或定量享</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pacing w:val="-3"/>
                <w:sz w:val="18"/>
                <w:szCs w:val="18"/>
              </w:rPr>
              <w:t>受的政府补助除外）</w:t>
            </w:r>
          </w:p>
        </w:tc>
        <w:tc>
          <w:tcPr>
            <w:tcW w:w="3058" w:type="dxa"/>
            <w:vMerge/>
            <w:tcBorders>
              <w:left w:val="single" w:sz="10" w:space="0" w:color="D2D2D2"/>
              <w:right w:val="single" w:sz="4" w:space="0" w:color="000000"/>
            </w:tcBorders>
          </w:tcPr>
          <w:p>
            <w:pPr/>
          </w:p>
        </w:tc>
        <w:tc>
          <w:tcPr>
            <w:tcW w:w="3187" w:type="dxa"/>
            <w:vMerge/>
            <w:tcBorders>
              <w:left w:val="single" w:sz="4" w:space="0" w:color="000000"/>
              <w:right w:val="single" w:sz="4" w:space="0" w:color="000000"/>
            </w:tcBorders>
          </w:tcPr>
          <w:p>
            <w:pPr/>
          </w:p>
        </w:tc>
      </w:tr>
      <w:tr>
        <w:trPr>
          <w:trHeight w:val="940" w:hRule="exact"/>
        </w:trPr>
        <w:tc>
          <w:tcPr>
            <w:tcW w:w="3326" w:type="dxa"/>
            <w:tcBorders>
              <w:top w:val="nil" w:sz="6" w:space="0" w:color="auto"/>
              <w:left w:val="single" w:sz="4" w:space="0" w:color="000000"/>
              <w:bottom w:val="single" w:sz="4" w:space="0" w:color="000000"/>
              <w:right w:val="single" w:sz="4" w:space="0" w:color="000000"/>
            </w:tcBorders>
            <w:shd w:val="clear" w:color="auto" w:fill="D2D2D2"/>
          </w:tcPr>
          <w:p>
            <w:pPr/>
          </w:p>
        </w:tc>
        <w:tc>
          <w:tcPr>
            <w:tcW w:w="3058" w:type="dxa"/>
            <w:vMerge/>
            <w:tcBorders>
              <w:left w:val="single" w:sz="10" w:space="0" w:color="D2D2D2"/>
              <w:bottom w:val="single" w:sz="4" w:space="0" w:color="000000"/>
              <w:right w:val="single" w:sz="4" w:space="0" w:color="000000"/>
            </w:tcBorders>
          </w:tcPr>
          <w:p>
            <w:pPr/>
          </w:p>
        </w:tc>
        <w:tc>
          <w:tcPr>
            <w:tcW w:w="3187" w:type="dxa"/>
            <w:vMerge/>
            <w:tcBorders>
              <w:left w:val="single" w:sz="4" w:space="0" w:color="000000"/>
              <w:bottom w:val="single" w:sz="4" w:space="0" w:color="000000"/>
              <w:right w:val="single" w:sz="4" w:space="0" w:color="000000"/>
            </w:tcBorders>
          </w:tcPr>
          <w:p>
            <w:pPr/>
          </w:p>
        </w:tc>
      </w:tr>
      <w:tr>
        <w:trPr>
          <w:trHeight w:val="403" w:hRule="exact"/>
        </w:trPr>
        <w:tc>
          <w:tcPr>
            <w:tcW w:w="33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pacing w:val="-3"/>
                <w:sz w:val="18"/>
                <w:szCs w:val="18"/>
              </w:rPr>
              <w:t>除上述各项之外的其他营业外收入和支出</w:t>
            </w:r>
          </w:p>
        </w:tc>
        <w:tc>
          <w:tcPr>
            <w:tcW w:w="305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-21,638.08</w:t>
            </w:r>
          </w:p>
        </w:tc>
        <w:tc>
          <w:tcPr>
            <w:tcW w:w="3187"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3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305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6,558,725.56</w:t>
            </w:r>
          </w:p>
        </w:tc>
        <w:tc>
          <w:tcPr>
            <w:tcW w:w="318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84" w:right="0"/>
              <w:jc w:val="left"/>
              <w:rPr>
                <w:rFonts w:ascii="宋体" w:hAnsi="宋体" w:cs="宋体" w:eastAsia="宋体" w:hint="default"/>
                <w:sz w:val="18"/>
                <w:szCs w:val="18"/>
              </w:rPr>
            </w:pPr>
            <w:r>
              <w:rPr>
                <w:rFonts w:ascii="宋体" w:hAnsi="宋体" w:cs="宋体" w:eastAsia="宋体" w:hint="default"/>
                <w:spacing w:val="-3"/>
                <w:sz w:val="18"/>
                <w:szCs w:val="18"/>
              </w:rPr>
              <w:t>少数股东权益影响额</w:t>
            </w:r>
          </w:p>
        </w:tc>
        <w:tc>
          <w:tcPr>
            <w:tcW w:w="305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307,683.98</w:t>
            </w:r>
          </w:p>
        </w:tc>
        <w:tc>
          <w:tcPr>
            <w:tcW w:w="318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8" w:type="dxa"/>
            <w:tcBorders>
              <w:top w:val="single" w:sz="4" w:space="0" w:color="000000"/>
              <w:left w:val="single" w:sz="10" w:space="0" w:color="D2D2D2"/>
              <w:bottom w:val="single" w:sz="4" w:space="0" w:color="000000"/>
              <w:right w:val="single" w:sz="10" w:space="0" w:color="D2D2D2"/>
            </w:tcBorders>
          </w:tcPr>
          <w:p>
            <w:pPr>
              <w:pStyle w:val="TableParagraph"/>
              <w:spacing w:line="240" w:lineRule="auto" w:before="96"/>
              <w:ind w:right="14"/>
              <w:jc w:val="right"/>
              <w:rPr>
                <w:rFonts w:ascii="Times New Roman" w:hAnsi="Times New Roman" w:cs="Times New Roman" w:eastAsia="Times New Roman" w:hint="default"/>
                <w:sz w:val="18"/>
                <w:szCs w:val="18"/>
              </w:rPr>
            </w:pPr>
            <w:r>
              <w:rPr>
                <w:rFonts w:ascii="Times New Roman"/>
                <w:spacing w:val="-1"/>
                <w:sz w:val="18"/>
              </w:rPr>
              <w:t>38,070,076.04</w:t>
            </w:r>
          </w:p>
        </w:tc>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3" w:right="0"/>
              <w:jc w:val="center"/>
              <w:rPr>
                <w:rFonts w:ascii="Times New Roman" w:hAnsi="Times New Roman" w:cs="Times New Roman" w:eastAsia="Times New Roman" w:hint="default"/>
                <w:sz w:val="18"/>
                <w:szCs w:val="18"/>
              </w:rPr>
            </w:pPr>
            <w:r>
              <w:rPr>
                <w:rFonts w:ascii="Times New Roman"/>
                <w:sz w:val="18"/>
              </w:rPr>
              <w:t>--</w:t>
            </w:r>
          </w:p>
        </w:tc>
      </w:tr>
    </w:tbl>
    <w:p>
      <w:pPr>
        <w:spacing w:before="53"/>
        <w:ind w:left="152" w:right="0" w:firstLine="0"/>
        <w:jc w:val="left"/>
        <w:rPr>
          <w:rFonts w:ascii="宋体" w:hAnsi="宋体" w:cs="宋体" w:eastAsia="宋体" w:hint="default"/>
          <w:sz w:val="18"/>
          <w:szCs w:val="18"/>
        </w:rPr>
      </w:pPr>
      <w:r>
        <w:rPr>
          <w:rFonts w:ascii="宋体" w:hAnsi="宋体" w:cs="宋体" w:eastAsia="宋体" w:hint="default"/>
          <w:spacing w:val="-5"/>
          <w:sz w:val="18"/>
          <w:szCs w:val="18"/>
        </w:rPr>
        <w:t>对公司根据《公开发行证券的公司信息披露解释性公告第 </w:t>
      </w:r>
      <w:r>
        <w:rPr>
          <w:rFonts w:ascii="Times New Roman" w:hAnsi="Times New Roman" w:cs="Times New Roman" w:eastAsia="Times New Roman" w:hint="default"/>
          <w:sz w:val="18"/>
          <w:szCs w:val="18"/>
        </w:rPr>
        <w:t>1  </w:t>
      </w:r>
      <w:r>
        <w:rPr>
          <w:rFonts w:ascii="Times New Roman" w:hAnsi="Times New Roman" w:cs="Times New Roman" w:eastAsia="Times New Roman" w:hint="default"/>
          <w:spacing w:val="19"/>
          <w:sz w:val="18"/>
          <w:szCs w:val="18"/>
        </w:rPr>
        <w:t> </w:t>
      </w:r>
      <w:r>
        <w:rPr>
          <w:rFonts w:ascii="宋体" w:hAnsi="宋体" w:cs="宋体" w:eastAsia="宋体" w:hint="default"/>
          <w:spacing w:val="-10"/>
          <w:sz w:val="18"/>
          <w:szCs w:val="18"/>
        </w:rPr>
        <w:t>号</w:t>
      </w:r>
      <w:r>
        <w:rPr>
          <w:rFonts w:ascii="Times New Roman" w:hAnsi="Times New Roman" w:cs="Times New Roman" w:eastAsia="Times New Roman" w:hint="default"/>
          <w:spacing w:val="-10"/>
          <w:sz w:val="18"/>
          <w:szCs w:val="18"/>
        </w:rPr>
        <w:t>——</w:t>
      </w:r>
      <w:r>
        <w:rPr>
          <w:rFonts w:ascii="宋体" w:hAnsi="宋体" w:cs="宋体" w:eastAsia="宋体" w:hint="default"/>
          <w:spacing w:val="-10"/>
          <w:sz w:val="18"/>
          <w:szCs w:val="18"/>
        </w:rPr>
        <w:t>非经常性损益》定义界定的非经常性损益项目，以及把《公</w:t>
      </w:r>
    </w:p>
    <w:p>
      <w:pPr>
        <w:spacing w:before="58"/>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开发行证券的公司信息披露解释性公告第 </w:t>
      </w:r>
      <w:r>
        <w:rPr>
          <w:rFonts w:ascii="Times New Roman" w:hAnsi="Times New Roman" w:cs="Times New Roman" w:eastAsia="Times New Roman" w:hint="default"/>
          <w:sz w:val="18"/>
          <w:szCs w:val="18"/>
        </w:rPr>
        <w:t>1  </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号</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非经常性损益》中列举的非经常性损益项目界定为经常性损益的项目，应</w:t>
      </w:r>
    </w:p>
    <w:p>
      <w:pPr>
        <w:spacing w:after="0"/>
        <w:jc w:val="left"/>
        <w:rPr>
          <w:rFonts w:ascii="宋体" w:hAnsi="宋体" w:cs="宋体" w:eastAsia="宋体" w:hint="default"/>
          <w:sz w:val="18"/>
          <w:szCs w:val="18"/>
        </w:rPr>
        <w:sectPr>
          <w:pgSz w:w="11900" w:h="16840"/>
          <w:pgMar w:header="872" w:footer="984" w:top="1060" w:bottom="1180" w:left="980" w:right="980"/>
        </w:sectPr>
      </w:pPr>
    </w:p>
    <w:p>
      <w:pPr>
        <w:spacing w:line="240" w:lineRule="auto" w:before="6"/>
        <w:rPr>
          <w:rFonts w:ascii="宋体" w:hAnsi="宋体" w:cs="宋体" w:eastAsia="宋体" w:hint="default"/>
          <w:sz w:val="26"/>
          <w:szCs w:val="26"/>
        </w:rPr>
      </w:pPr>
    </w:p>
    <w:p>
      <w:pPr>
        <w:spacing w:before="46"/>
        <w:ind w:left="152" w:right="0" w:firstLine="0"/>
        <w:jc w:val="left"/>
        <w:rPr>
          <w:rFonts w:ascii="宋体" w:hAnsi="宋体" w:cs="宋体" w:eastAsia="宋体" w:hint="default"/>
          <w:sz w:val="18"/>
          <w:szCs w:val="18"/>
        </w:rPr>
      </w:pPr>
      <w:r>
        <w:rPr>
          <w:rFonts w:ascii="宋体" w:hAnsi="宋体" w:cs="宋体" w:eastAsia="宋体" w:hint="default"/>
          <w:sz w:val="18"/>
          <w:szCs w:val="18"/>
        </w:rPr>
        <w:t>说明原因。</w:t>
      </w:r>
    </w:p>
    <w:p>
      <w:pPr>
        <w:spacing w:before="115"/>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7"/>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2</w:t>
      </w:r>
      <w:r>
        <w:rPr/>
        <w:t>、净资产收益率及每股收益</w:t>
      </w:r>
      <w:r>
        <w:rPr>
          <w:b w:val="0"/>
          <w:bCs w:val="0"/>
        </w:rPr>
      </w:r>
    </w:p>
    <w:p>
      <w:pPr>
        <w:spacing w:line="240" w:lineRule="auto" w:before="17"/>
        <w:rPr>
          <w:rFonts w:ascii="Microsoft JhengHei" w:hAnsi="Microsoft JhengHei" w:cs="Microsoft JhengHei" w:eastAsia="Microsoft JhengHei" w:hint="default"/>
          <w:b/>
          <w:bCs/>
          <w:sz w:val="18"/>
          <w:szCs w:val="18"/>
        </w:rPr>
      </w:pPr>
    </w:p>
    <w:tbl>
      <w:tblPr>
        <w:tblW w:w="0" w:type="auto"/>
        <w:jc w:val="left"/>
        <w:tblInd w:w="160" w:type="dxa"/>
        <w:tblLayout w:type="fixed"/>
        <w:tblCellMar>
          <w:top w:w="0" w:type="dxa"/>
          <w:left w:w="0" w:type="dxa"/>
          <w:bottom w:w="0" w:type="dxa"/>
          <w:right w:w="0" w:type="dxa"/>
        </w:tblCellMar>
        <w:tblLook w:val="01E0"/>
      </w:tblPr>
      <w:tblGrid>
        <w:gridCol w:w="2652"/>
        <w:gridCol w:w="3077"/>
        <w:gridCol w:w="1915"/>
        <w:gridCol w:w="1910"/>
      </w:tblGrid>
      <w:tr>
        <w:trPr>
          <w:trHeight w:val="196" w:hRule="exact"/>
        </w:trPr>
        <w:tc>
          <w:tcPr>
            <w:tcW w:w="2652" w:type="dxa"/>
            <w:tcBorders>
              <w:top w:val="single" w:sz="4" w:space="0" w:color="000000"/>
              <w:left w:val="single" w:sz="4" w:space="0" w:color="000000"/>
              <w:bottom w:val="nil" w:sz="6" w:space="0" w:color="auto"/>
              <w:right w:val="single" w:sz="4" w:space="0" w:color="000000"/>
            </w:tcBorders>
            <w:shd w:val="clear" w:color="auto" w:fill="D2D2D2"/>
          </w:tcPr>
          <w:p>
            <w:pPr/>
          </w:p>
        </w:tc>
        <w:tc>
          <w:tcPr>
            <w:tcW w:w="3077" w:type="dxa"/>
            <w:tcBorders>
              <w:top w:val="single" w:sz="4" w:space="0" w:color="000000"/>
              <w:left w:val="single" w:sz="4" w:space="0" w:color="000000"/>
              <w:bottom w:val="nil" w:sz="6" w:space="0" w:color="auto"/>
              <w:right w:val="single" w:sz="4" w:space="0" w:color="000000"/>
            </w:tcBorders>
            <w:shd w:val="clear" w:color="auto" w:fill="D2D2D2"/>
          </w:tcPr>
          <w:p>
            <w:pP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197" w:hRule="exact"/>
        </w:trPr>
        <w:tc>
          <w:tcPr>
            <w:tcW w:w="265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861"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307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628"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192" w:hRule="exact"/>
        </w:trPr>
        <w:tc>
          <w:tcPr>
            <w:tcW w:w="2652" w:type="dxa"/>
            <w:vMerge/>
            <w:tcBorders>
              <w:left w:val="single" w:sz="4" w:space="0" w:color="000000"/>
              <w:bottom w:val="nil" w:sz="6" w:space="0" w:color="auto"/>
              <w:right w:val="single" w:sz="4" w:space="0" w:color="000000"/>
            </w:tcBorders>
            <w:shd w:val="clear" w:color="auto" w:fill="D2D2D2"/>
          </w:tcPr>
          <w:p>
            <w:pPr/>
          </w:p>
        </w:tc>
        <w:tc>
          <w:tcPr>
            <w:tcW w:w="3077" w:type="dxa"/>
            <w:vMerge/>
            <w:tcBorders>
              <w:left w:val="single" w:sz="4" w:space="0" w:color="000000"/>
              <w:bottom w:val="nil" w:sz="6" w:space="0" w:color="auto"/>
              <w:right w:val="single" w:sz="4" w:space="0" w:color="000000"/>
            </w:tcBorders>
            <w:shd w:val="clear" w:color="auto" w:fill="D2D2D2"/>
          </w:tcPr>
          <w:p>
            <w:pP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23" w:right="0"/>
              <w:jc w:val="left"/>
              <w:rPr>
                <w:rFonts w:ascii="宋体" w:hAnsi="宋体" w:cs="宋体" w:eastAsia="宋体" w:hint="default"/>
                <w:sz w:val="18"/>
                <w:szCs w:val="18"/>
              </w:rPr>
            </w:pPr>
            <w:r>
              <w:rPr>
                <w:rFonts w:ascii="宋体" w:hAnsi="宋体" w:cs="宋体" w:eastAsia="宋体" w:hint="default"/>
                <w:spacing w:val="-3"/>
                <w:sz w:val="18"/>
                <w:szCs w:val="18"/>
              </w:rPr>
              <w:t>基本每股收益（元</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股）</w:t>
            </w:r>
          </w:p>
        </w:tc>
        <w:tc>
          <w:tcPr>
            <w:tcW w:w="191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8"/>
              <w:ind w:left="23" w:right="0"/>
              <w:jc w:val="left"/>
              <w:rPr>
                <w:rFonts w:ascii="宋体" w:hAnsi="宋体" w:cs="宋体" w:eastAsia="宋体" w:hint="default"/>
                <w:sz w:val="18"/>
                <w:szCs w:val="18"/>
              </w:rPr>
            </w:pPr>
            <w:r>
              <w:rPr>
                <w:rFonts w:ascii="宋体" w:hAnsi="宋体" w:cs="宋体" w:eastAsia="宋体" w:hint="default"/>
                <w:spacing w:val="-3"/>
                <w:sz w:val="18"/>
                <w:szCs w:val="18"/>
              </w:rPr>
              <w:t>稀释每股收益（元</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股）</w:t>
            </w:r>
          </w:p>
        </w:tc>
      </w:tr>
      <w:tr>
        <w:trPr>
          <w:trHeight w:val="216" w:hRule="exact"/>
        </w:trPr>
        <w:tc>
          <w:tcPr>
            <w:tcW w:w="2652" w:type="dxa"/>
            <w:tcBorders>
              <w:top w:val="nil" w:sz="6" w:space="0" w:color="auto"/>
              <w:left w:val="single" w:sz="4" w:space="0" w:color="000000"/>
              <w:bottom w:val="single" w:sz="4" w:space="0" w:color="000000"/>
              <w:right w:val="single" w:sz="4" w:space="0" w:color="000000"/>
            </w:tcBorders>
            <w:shd w:val="clear" w:color="auto" w:fill="D2D2D2"/>
          </w:tcPr>
          <w:p>
            <w:pPr/>
          </w:p>
        </w:tc>
        <w:tc>
          <w:tcPr>
            <w:tcW w:w="3077"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c>
          <w:tcPr>
            <w:tcW w:w="1910"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2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pacing w:val="-3"/>
                <w:sz w:val="18"/>
                <w:szCs w:val="18"/>
              </w:rPr>
              <w:t>归属于公司普通股股东的净利润</w:t>
            </w:r>
          </w:p>
        </w:tc>
        <w:tc>
          <w:tcPr>
            <w:tcW w:w="307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pacing w:val="-1"/>
                <w:sz w:val="18"/>
              </w:rPr>
              <w:t>1.06%</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0.0308</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7"/>
              <w:jc w:val="right"/>
              <w:rPr>
                <w:rFonts w:ascii="Times New Roman" w:hAnsi="Times New Roman" w:cs="Times New Roman" w:eastAsia="Times New Roman" w:hint="default"/>
                <w:sz w:val="18"/>
                <w:szCs w:val="18"/>
              </w:rPr>
            </w:pPr>
            <w:r>
              <w:rPr>
                <w:rFonts w:ascii="Times New Roman"/>
                <w:spacing w:val="-1"/>
                <w:sz w:val="18"/>
              </w:rPr>
              <w:t>0.0308</w:t>
            </w:r>
          </w:p>
        </w:tc>
      </w:tr>
      <w:tr>
        <w:trPr>
          <w:trHeight w:val="715" w:hRule="exact"/>
        </w:trPr>
        <w:tc>
          <w:tcPr>
            <w:tcW w:w="2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103"/>
              <w:jc w:val="left"/>
              <w:rPr>
                <w:rFonts w:ascii="宋体" w:hAnsi="宋体" w:cs="宋体" w:eastAsia="宋体" w:hint="default"/>
                <w:sz w:val="18"/>
                <w:szCs w:val="18"/>
              </w:rPr>
            </w:pPr>
            <w:r>
              <w:rPr>
                <w:rFonts w:ascii="宋体" w:hAnsi="宋体" w:cs="宋体" w:eastAsia="宋体" w:hint="default"/>
                <w:spacing w:val="-3"/>
                <w:sz w:val="18"/>
                <w:szCs w:val="18"/>
              </w:rPr>
              <w:t>扣除非经常性损益后归属于公司</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pacing w:val="-3"/>
                <w:sz w:val="18"/>
                <w:szCs w:val="18"/>
              </w:rPr>
              <w:t>普通股股东的净利润</w:t>
            </w:r>
          </w:p>
        </w:tc>
        <w:tc>
          <w:tcPr>
            <w:tcW w:w="307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2"/>
                <w:sz w:val="18"/>
              </w:rPr>
              <w:t>-3.33%</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-0.0969</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-0.0969</w:t>
            </w:r>
          </w:p>
        </w:tc>
      </w:tr>
    </w:tbl>
    <w:p>
      <w:pPr>
        <w:spacing w:line="240" w:lineRule="auto" w:before="8"/>
        <w:rPr>
          <w:rFonts w:ascii="Microsoft JhengHei" w:hAnsi="Microsoft JhengHei" w:cs="Microsoft JhengHei" w:eastAsia="Microsoft JhengHei" w:hint="default"/>
          <w:b/>
          <w:bCs/>
          <w:sz w:val="14"/>
          <w:szCs w:val="14"/>
        </w:rPr>
      </w:pPr>
    </w:p>
    <w:p>
      <w:pPr>
        <w:pStyle w:val="Heading4"/>
        <w:spacing w:line="335" w:lineRule="exact"/>
        <w:ind w:right="0"/>
        <w:jc w:val="left"/>
        <w:rPr>
          <w:b w:val="0"/>
          <w:bCs w:val="0"/>
        </w:rPr>
      </w:pPr>
      <w:r>
        <w:rPr>
          <w:rFonts w:ascii="Times New Roman" w:hAnsi="Times New Roman" w:cs="Times New Roman" w:eastAsia="Times New Roman" w:hint="default"/>
        </w:rPr>
        <w:t>3</w:t>
      </w:r>
      <w:r>
        <w:rPr/>
        <w:t>、境内外会计准则下会计数据差异</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）同时按照国际会计准则与按中国会计准则披露的财务报告中净利润和净资产差异情况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）同时按照境外会计准则与按中国会计准则披露的财务报告中净利润和净资产差异情况</w:t>
      </w:r>
      <w:r>
        <w:rPr>
          <w:b w:val="0"/>
          <w:bCs w:val="0"/>
        </w:rPr>
      </w:r>
    </w:p>
    <w:p>
      <w:pPr>
        <w:spacing w:line="240" w:lineRule="auto" w:before="15"/>
        <w:rPr>
          <w:rFonts w:ascii="Microsoft JhengHei" w:hAnsi="Microsoft JhengHei" w:cs="Microsoft JhengHei" w:eastAsia="Microsoft JhengHei" w:hint="default"/>
          <w:b/>
          <w:bCs/>
          <w:sz w:val="19"/>
          <w:szCs w:val="19"/>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适用 </w:t>
      </w:r>
      <w:r>
        <w:rPr>
          <w:rFonts w:ascii="宋体" w:hAnsi="宋体" w:cs="宋体" w:eastAsia="宋体" w:hint="default"/>
          <w:sz w:val="18"/>
          <w:szCs w:val="18"/>
        </w:rPr>
        <w:t>√</w:t>
      </w:r>
      <w:r>
        <w:rPr>
          <w:rFonts w:ascii="宋体" w:hAnsi="宋体" w:cs="宋体" w:eastAsia="宋体" w:hint="default"/>
          <w:spacing w:val="13"/>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26"/>
          <w:szCs w:val="26"/>
        </w:rPr>
      </w:pPr>
    </w:p>
    <w:p>
      <w:pPr>
        <w:pStyle w:val="Heading4"/>
        <w:spacing w:line="312" w:lineRule="exact"/>
        <w:ind w:right="0"/>
        <w:jc w:val="left"/>
        <w:rPr>
          <w:b w:val="0"/>
          <w:bCs w:val="0"/>
        </w:rPr>
      </w:pPr>
      <w:r>
        <w:rPr/>
        <w:t>（</w:t>
      </w:r>
      <w:r>
        <w:rPr>
          <w:rFonts w:ascii="Times New Roman" w:hAnsi="Times New Roman" w:cs="Times New Roman" w:eastAsia="Times New Roman" w:hint="default"/>
        </w:rPr>
        <w:t>3</w:t>
      </w:r>
      <w:r>
        <w:rPr/>
        <w:t>）境内外会计准则下会计数据差异原因说明，对已经境外审计机构审计的数据进行差异调节的，应注</w:t>
      </w:r>
      <w:r>
        <w:rPr>
          <w:spacing w:val="25"/>
        </w:rPr>
        <w:t> </w:t>
      </w:r>
      <w:r>
        <w:rPr>
          <w:spacing w:val="25"/>
        </w:rPr>
      </w:r>
      <w:r>
        <w:rPr/>
        <w:t>明该境外机构的名称</w:t>
      </w:r>
      <w:r>
        <w:rPr>
          <w:b w:val="0"/>
          <w:bCs w:val="0"/>
        </w:rPr>
      </w:r>
    </w:p>
    <w:p>
      <w:pPr>
        <w:spacing w:line="240" w:lineRule="auto" w:before="14"/>
        <w:rPr>
          <w:rFonts w:ascii="Microsoft JhengHei" w:hAnsi="Microsoft JhengHei" w:cs="Microsoft JhengHei" w:eastAsia="Microsoft JhengHei" w:hint="default"/>
          <w:b/>
          <w:bCs/>
          <w:sz w:val="13"/>
          <w:szCs w:val="13"/>
        </w:rPr>
      </w:pPr>
    </w:p>
    <w:p>
      <w:pPr>
        <w:pStyle w:val="Heading4"/>
        <w:spacing w:line="240" w:lineRule="auto"/>
        <w:ind w:right="0"/>
        <w:jc w:val="left"/>
        <w:rPr>
          <w:b w:val="0"/>
          <w:bCs w:val="0"/>
        </w:rPr>
      </w:pPr>
      <w:r>
        <w:rPr>
          <w:rFonts w:ascii="Times New Roman" w:hAnsi="Times New Roman" w:cs="Times New Roman" w:eastAsia="Times New Roman" w:hint="default"/>
        </w:rPr>
        <w:t>4</w:t>
      </w:r>
      <w:r>
        <w:rPr/>
        <w:t>、其他</w:t>
      </w:r>
      <w:r>
        <w:rPr>
          <w:b w:val="0"/>
          <w:bCs w:val="0"/>
        </w:rPr>
      </w:r>
    </w:p>
    <w:p>
      <w:pPr>
        <w:spacing w:line="240" w:lineRule="auto" w:before="15"/>
        <w:rPr>
          <w:rFonts w:ascii="Microsoft JhengHei" w:hAnsi="Microsoft JhengHei" w:cs="Microsoft JhengHei" w:eastAsia="Microsoft JhengHei" w:hint="default"/>
          <w:b/>
          <w:bCs/>
          <w:sz w:val="17"/>
          <w:szCs w:val="17"/>
        </w:rPr>
      </w:pPr>
    </w:p>
    <w:p>
      <w:pPr>
        <w:pStyle w:val="BodyText"/>
        <w:spacing w:line="240" w:lineRule="auto"/>
        <w:ind w:right="0"/>
        <w:jc w:val="left"/>
      </w:pPr>
      <w:r>
        <w:rPr/>
        <w:t>（</w:t>
      </w:r>
      <w:r>
        <w:rPr>
          <w:rFonts w:ascii="Times New Roman" w:hAnsi="Times New Roman" w:cs="Times New Roman" w:eastAsia="Times New Roman" w:hint="default"/>
        </w:rPr>
        <w:t>1</w:t>
      </w:r>
      <w:r>
        <w:rPr/>
        <w:t>）货币资金较期初增加</w:t>
      </w:r>
      <w:r>
        <w:rPr>
          <w:rFonts w:ascii="Times New Roman" w:hAnsi="Times New Roman" w:cs="Times New Roman" w:eastAsia="Times New Roman" w:hint="default"/>
        </w:rPr>
        <w:t>226.52%</w:t>
      </w:r>
      <w:r>
        <w:rPr/>
        <w:t>，主要系本期货款回笼增加及借款增加所致。</w:t>
      </w:r>
    </w:p>
    <w:p>
      <w:pPr>
        <w:pStyle w:val="BodyText"/>
        <w:spacing w:line="240" w:lineRule="auto" w:before="21"/>
        <w:ind w:right="0"/>
        <w:jc w:val="left"/>
      </w:pPr>
      <w:r>
        <w:rPr/>
        <w:t>（</w:t>
      </w:r>
      <w:r>
        <w:rPr>
          <w:rFonts w:ascii="Times New Roman" w:hAnsi="Times New Roman" w:cs="Times New Roman" w:eastAsia="Times New Roman" w:hint="default"/>
        </w:rPr>
        <w:t>2</w:t>
      </w:r>
      <w:r>
        <w:rPr/>
        <w:t>）应收票据较期初增加</w:t>
      </w:r>
      <w:r>
        <w:rPr>
          <w:rFonts w:ascii="Times New Roman" w:hAnsi="Times New Roman" w:cs="Times New Roman" w:eastAsia="Times New Roman" w:hint="default"/>
        </w:rPr>
        <w:t>67.66%</w:t>
      </w:r>
      <w:r>
        <w:rPr/>
        <w:t>，主要系本期票据结算业务增加所致。</w:t>
      </w:r>
    </w:p>
    <w:p>
      <w:pPr>
        <w:pStyle w:val="BodyText"/>
        <w:spacing w:line="240" w:lineRule="auto" w:before="21"/>
        <w:ind w:right="0"/>
        <w:jc w:val="left"/>
      </w:pPr>
      <w:r>
        <w:rPr/>
        <w:t>（</w:t>
      </w:r>
      <w:r>
        <w:rPr>
          <w:rFonts w:ascii="Times New Roman" w:hAnsi="Times New Roman" w:cs="Times New Roman" w:eastAsia="Times New Roman" w:hint="default"/>
        </w:rPr>
        <w:t>3</w:t>
      </w:r>
      <w:r>
        <w:rPr/>
        <w:t>）其他应收款较期初减少</w:t>
      </w:r>
      <w:r>
        <w:rPr>
          <w:rFonts w:ascii="Times New Roman" w:hAnsi="Times New Roman" w:cs="Times New Roman" w:eastAsia="Times New Roman" w:hint="default"/>
        </w:rPr>
        <w:t>37.67%</w:t>
      </w:r>
      <w:r>
        <w:rPr/>
        <w:t>，主要系本期无纸化售彩代销业务暂停，购票保证金逐渐回笼所致。</w:t>
      </w:r>
    </w:p>
    <w:p>
      <w:pPr>
        <w:pStyle w:val="BodyText"/>
        <w:spacing w:line="240" w:lineRule="auto" w:before="21"/>
        <w:ind w:right="0"/>
        <w:jc w:val="left"/>
      </w:pPr>
      <w:r>
        <w:rPr/>
        <w:t>（</w:t>
      </w:r>
      <w:r>
        <w:rPr>
          <w:rFonts w:ascii="Times New Roman" w:hAnsi="Times New Roman" w:cs="Times New Roman" w:eastAsia="Times New Roman" w:hint="default"/>
        </w:rPr>
        <w:t>4</w:t>
      </w:r>
      <w:r>
        <w:rPr/>
        <w:t>）其他流动资产较期初增长</w:t>
      </w:r>
      <w:r>
        <w:rPr>
          <w:rFonts w:ascii="Times New Roman" w:hAnsi="Times New Roman" w:cs="Times New Roman" w:eastAsia="Times New Roman" w:hint="default"/>
        </w:rPr>
        <w:t>31.14%</w:t>
      </w:r>
      <w:r>
        <w:rPr/>
        <w:t>，主要原因系待抵扣增值税进项税金增加所致。</w:t>
      </w:r>
    </w:p>
    <w:p>
      <w:pPr>
        <w:pStyle w:val="BodyText"/>
        <w:spacing w:line="256" w:lineRule="auto" w:before="21"/>
        <w:ind w:right="0"/>
        <w:jc w:val="left"/>
      </w:pPr>
      <w:r>
        <w:rPr>
          <w:spacing w:val="-2"/>
        </w:rPr>
        <w:t>（</w:t>
      </w:r>
      <w:r>
        <w:rPr>
          <w:rFonts w:ascii="Times New Roman" w:hAnsi="Times New Roman" w:cs="Times New Roman" w:eastAsia="Times New Roman" w:hint="default"/>
          <w:spacing w:val="-2"/>
        </w:rPr>
        <w:t>5</w:t>
      </w:r>
      <w:r>
        <w:rPr>
          <w:spacing w:val="-2"/>
        </w:rPr>
        <w:t>）可供出售金融资产较期初增长</w:t>
      </w:r>
      <w:r>
        <w:rPr>
          <w:rFonts w:ascii="Times New Roman" w:hAnsi="Times New Roman" w:cs="Times New Roman" w:eastAsia="Times New Roman" w:hint="default"/>
          <w:spacing w:val="-2"/>
        </w:rPr>
        <w:t>54.50%</w:t>
      </w:r>
      <w:r>
        <w:rPr>
          <w:spacing w:val="-2"/>
        </w:rPr>
        <w:t>，主要原因系对</w:t>
      </w:r>
      <w:r>
        <w:rPr>
          <w:rFonts w:ascii="Times New Roman" w:hAnsi="Times New Roman" w:cs="Times New Roman" w:eastAsia="Times New Roman" w:hint="default"/>
          <w:spacing w:val="-2"/>
        </w:rPr>
        <w:t>“</w:t>
      </w:r>
      <w:r>
        <w:rPr>
          <w:spacing w:val="-2"/>
        </w:rPr>
        <w:t>中证信用增进股份有限公司</w:t>
      </w:r>
      <w:r>
        <w:rPr>
          <w:rFonts w:ascii="Times New Roman" w:hAnsi="Times New Roman" w:cs="Times New Roman" w:eastAsia="Times New Roman" w:hint="default"/>
          <w:spacing w:val="-2"/>
        </w:rPr>
        <w:t>”</w:t>
      </w:r>
      <w:r>
        <w:rPr>
          <w:spacing w:val="-2"/>
        </w:rPr>
        <w:t>进行投资</w:t>
      </w:r>
      <w:r>
        <w:rPr>
          <w:rFonts w:ascii="Times New Roman" w:hAnsi="Times New Roman" w:cs="Times New Roman" w:eastAsia="Times New Roman" w:hint="default"/>
          <w:spacing w:val="-2"/>
        </w:rPr>
        <w:t>1</w:t>
      </w:r>
      <w:r>
        <w:rPr>
          <w:spacing w:val="-2"/>
        </w:rPr>
        <w:t>亿元所</w:t>
      </w:r>
      <w:r>
        <w:rPr>
          <w:spacing w:val="-20"/>
        </w:rPr>
        <w:t> </w:t>
      </w:r>
      <w:r>
        <w:rPr>
          <w:spacing w:val="-20"/>
        </w:rPr>
      </w:r>
      <w:r>
        <w:rPr/>
        <w:t>致。</w:t>
      </w:r>
    </w:p>
    <w:p>
      <w:pPr>
        <w:pStyle w:val="BodyText"/>
        <w:spacing w:line="240" w:lineRule="auto" w:before="22"/>
        <w:ind w:right="0"/>
        <w:jc w:val="left"/>
      </w:pPr>
      <w:r>
        <w:rPr/>
        <w:t>（</w:t>
      </w:r>
      <w:r>
        <w:rPr>
          <w:rFonts w:ascii="Times New Roman" w:hAnsi="Times New Roman" w:cs="Times New Roman" w:eastAsia="Times New Roman" w:hint="default"/>
        </w:rPr>
        <w:t>6</w:t>
      </w:r>
      <w:r>
        <w:rPr/>
        <w:t>）固定资产较期初增长</w:t>
      </w:r>
      <w:r>
        <w:rPr>
          <w:rFonts w:ascii="Times New Roman" w:hAnsi="Times New Roman" w:cs="Times New Roman" w:eastAsia="Times New Roman" w:hint="default"/>
        </w:rPr>
        <w:t>31.48%</w:t>
      </w:r>
      <w:r>
        <w:rPr/>
        <w:t>，主要系收购合并科信盛彩增加的固定资产所致。</w:t>
      </w:r>
    </w:p>
    <w:p>
      <w:pPr>
        <w:pStyle w:val="BodyText"/>
        <w:spacing w:line="256" w:lineRule="auto" w:before="21"/>
        <w:ind w:right="0"/>
        <w:jc w:val="left"/>
      </w:pPr>
      <w:r>
        <w:rPr>
          <w:spacing w:val="-2"/>
        </w:rPr>
        <w:t>（</w:t>
      </w:r>
      <w:r>
        <w:rPr>
          <w:rFonts w:ascii="Times New Roman" w:hAnsi="Times New Roman" w:cs="Times New Roman" w:eastAsia="Times New Roman" w:hint="default"/>
          <w:spacing w:val="-2"/>
        </w:rPr>
        <w:t>7</w:t>
      </w:r>
      <w:r>
        <w:rPr>
          <w:spacing w:val="-2"/>
        </w:rPr>
        <w:t>）在建工程较期初减少</w:t>
      </w:r>
      <w:r>
        <w:rPr>
          <w:rFonts w:ascii="Times New Roman" w:hAnsi="Times New Roman" w:cs="Times New Roman" w:eastAsia="Times New Roman" w:hint="default"/>
          <w:spacing w:val="-2"/>
        </w:rPr>
        <w:t>77.84%</w:t>
      </w:r>
      <w:r>
        <w:rPr>
          <w:spacing w:val="-2"/>
        </w:rPr>
        <w:t>，主要系北京数字化印刷基地建设项目按会计准则规定结转固定资产所</w:t>
      </w:r>
      <w:r>
        <w:rPr>
          <w:spacing w:val="-9"/>
        </w:rPr>
        <w:t> </w:t>
      </w:r>
      <w:r>
        <w:rPr>
          <w:spacing w:val="-9"/>
        </w:rPr>
      </w:r>
      <w:r>
        <w:rPr/>
        <w:t>致。</w:t>
      </w:r>
    </w:p>
    <w:p>
      <w:pPr>
        <w:pStyle w:val="BodyText"/>
        <w:spacing w:line="240" w:lineRule="auto" w:before="22"/>
        <w:ind w:right="0"/>
        <w:jc w:val="left"/>
      </w:pPr>
      <w:r>
        <w:rPr/>
        <w:t>（</w:t>
      </w:r>
      <w:r>
        <w:rPr>
          <w:rFonts w:ascii="Times New Roman" w:hAnsi="Times New Roman" w:cs="Times New Roman" w:eastAsia="Times New Roman" w:hint="default"/>
        </w:rPr>
        <w:t>8</w:t>
      </w:r>
      <w:r>
        <w:rPr/>
        <w:t>）商誉较期初增加</w:t>
      </w:r>
      <w:r>
        <w:rPr>
          <w:rFonts w:ascii="Times New Roman" w:hAnsi="Times New Roman" w:cs="Times New Roman" w:eastAsia="Times New Roman" w:hint="default"/>
        </w:rPr>
        <w:t>320.97%</w:t>
      </w:r>
      <w:r>
        <w:rPr/>
        <w:t>，主要系收购科信盛彩溢价确认商誉所致。</w:t>
      </w:r>
    </w:p>
    <w:p>
      <w:pPr>
        <w:pStyle w:val="BodyText"/>
        <w:spacing w:line="240" w:lineRule="auto" w:before="21"/>
        <w:ind w:right="0"/>
        <w:jc w:val="left"/>
      </w:pPr>
      <w:r>
        <w:rPr/>
        <w:t>（</w:t>
      </w:r>
      <w:r>
        <w:rPr>
          <w:rFonts w:ascii="Times New Roman" w:hAnsi="Times New Roman" w:cs="Times New Roman" w:eastAsia="Times New Roman" w:hint="default"/>
        </w:rPr>
        <w:t>9</w:t>
      </w:r>
      <w:r>
        <w:rPr/>
        <w:t>）长期待摊费用较期初增加</w:t>
      </w:r>
      <w:r>
        <w:rPr>
          <w:rFonts w:ascii="Times New Roman" w:hAnsi="Times New Roman" w:cs="Times New Roman" w:eastAsia="Times New Roman" w:hint="default"/>
        </w:rPr>
        <w:t>875.90%</w:t>
      </w:r>
      <w:r>
        <w:rPr/>
        <w:t>，主要系收购合并科信盛彩经营租入固定资产改良支出所致。</w:t>
      </w:r>
    </w:p>
    <w:p>
      <w:pPr>
        <w:pStyle w:val="BodyText"/>
        <w:spacing w:line="240" w:lineRule="auto" w:before="21"/>
        <w:ind w:right="0"/>
        <w:jc w:val="left"/>
      </w:pPr>
      <w:r>
        <w:rPr/>
        <w:t>（</w:t>
      </w:r>
      <w:r>
        <w:rPr>
          <w:rFonts w:ascii="Times New Roman" w:hAnsi="Times New Roman" w:cs="Times New Roman" w:eastAsia="Times New Roman" w:hint="default"/>
        </w:rPr>
        <w:t>10</w:t>
      </w:r>
      <w:r>
        <w:rPr/>
        <w:t>）递延所得税资产较期初增长</w:t>
      </w:r>
      <w:r>
        <w:rPr>
          <w:rFonts w:ascii="Times New Roman" w:hAnsi="Times New Roman" w:cs="Times New Roman" w:eastAsia="Times New Roman" w:hint="default"/>
        </w:rPr>
        <w:t>76.70%</w:t>
      </w:r>
      <w:r>
        <w:rPr/>
        <w:t>，主要系可弥补亏损确认递延所得税资产增加所致。</w:t>
      </w:r>
    </w:p>
    <w:p>
      <w:pPr>
        <w:pStyle w:val="BodyText"/>
        <w:spacing w:line="240" w:lineRule="auto" w:before="21"/>
        <w:ind w:right="0"/>
        <w:jc w:val="left"/>
      </w:pPr>
      <w:r>
        <w:rPr/>
        <w:t>（</w:t>
      </w:r>
      <w:r>
        <w:rPr>
          <w:rFonts w:ascii="Times New Roman" w:hAnsi="Times New Roman" w:cs="Times New Roman" w:eastAsia="Times New Roman" w:hint="default"/>
        </w:rPr>
        <w:t>11</w:t>
      </w:r>
      <w:r>
        <w:rPr/>
        <w:t>）其他非流动资产较期初增加</w:t>
      </w:r>
      <w:r>
        <w:rPr>
          <w:rFonts w:ascii="Times New Roman" w:hAnsi="Times New Roman" w:cs="Times New Roman" w:eastAsia="Times New Roman" w:hint="default"/>
        </w:rPr>
        <w:t>100.00%</w:t>
      </w:r>
      <w:r>
        <w:rPr/>
        <w:t>，主要系预付设备款重分类所致。</w:t>
      </w:r>
    </w:p>
    <w:p>
      <w:pPr>
        <w:pStyle w:val="BodyText"/>
        <w:spacing w:line="240" w:lineRule="auto" w:before="21"/>
        <w:ind w:right="0"/>
        <w:jc w:val="left"/>
      </w:pPr>
      <w:r>
        <w:rPr/>
        <w:t>（</w:t>
      </w:r>
      <w:r>
        <w:rPr>
          <w:rFonts w:ascii="Times New Roman" w:hAnsi="Times New Roman" w:cs="Times New Roman" w:eastAsia="Times New Roman" w:hint="default"/>
        </w:rPr>
        <w:t>12</w:t>
      </w:r>
      <w:r>
        <w:rPr/>
        <w:t>）短期借款较期初增长</w:t>
      </w:r>
      <w:r>
        <w:rPr>
          <w:rFonts w:ascii="Times New Roman" w:hAnsi="Times New Roman" w:cs="Times New Roman" w:eastAsia="Times New Roman" w:hint="default"/>
        </w:rPr>
        <w:t>97.01%</w:t>
      </w:r>
      <w:r>
        <w:rPr/>
        <w:t>，主要系短期借款增加所致。</w:t>
      </w:r>
    </w:p>
    <w:p>
      <w:pPr>
        <w:pStyle w:val="BodyText"/>
        <w:spacing w:line="240" w:lineRule="auto" w:before="21"/>
        <w:ind w:right="0"/>
        <w:jc w:val="left"/>
      </w:pPr>
      <w:r>
        <w:rPr/>
        <w:t>（</w:t>
      </w:r>
      <w:r>
        <w:rPr>
          <w:rFonts w:ascii="Times New Roman" w:hAnsi="Times New Roman" w:cs="Times New Roman" w:eastAsia="Times New Roman" w:hint="default"/>
        </w:rPr>
        <w:t>13</w:t>
      </w:r>
      <w:r>
        <w:rPr/>
        <w:t>）应付票据较期初增长</w:t>
      </w:r>
      <w:r>
        <w:rPr>
          <w:rFonts w:ascii="Times New Roman" w:hAnsi="Times New Roman" w:cs="Times New Roman" w:eastAsia="Times New Roman" w:hint="default"/>
        </w:rPr>
        <w:t>210.91%</w:t>
      </w:r>
      <w:r>
        <w:rPr/>
        <w:t>，主要系本期货款票据结算业务及国内信用证借款增加所致。</w:t>
      </w:r>
    </w:p>
    <w:p>
      <w:pPr>
        <w:pStyle w:val="BodyText"/>
        <w:spacing w:line="240" w:lineRule="auto" w:before="21"/>
        <w:ind w:right="0"/>
        <w:jc w:val="left"/>
      </w:pPr>
      <w:r>
        <w:rPr/>
        <w:t>（</w:t>
      </w:r>
      <w:r>
        <w:rPr>
          <w:rFonts w:ascii="Times New Roman" w:hAnsi="Times New Roman" w:cs="Times New Roman" w:eastAsia="Times New Roman" w:hint="default"/>
        </w:rPr>
        <w:t>14</w:t>
      </w:r>
      <w:r>
        <w:rPr/>
        <w:t>）应付职工薪酬较期初增加</w:t>
      </w:r>
      <w:r>
        <w:rPr>
          <w:rFonts w:ascii="Times New Roman" w:hAnsi="Times New Roman" w:cs="Times New Roman" w:eastAsia="Times New Roman" w:hint="default"/>
        </w:rPr>
        <w:t>89.29%</w:t>
      </w:r>
      <w:r>
        <w:rPr/>
        <w:t>，主要系收购合并科信盛彩所致。</w:t>
      </w:r>
    </w:p>
    <w:p>
      <w:pPr>
        <w:pStyle w:val="BodyText"/>
        <w:spacing w:line="240" w:lineRule="auto" w:before="21"/>
        <w:ind w:right="0"/>
        <w:jc w:val="left"/>
      </w:pPr>
      <w:r>
        <w:rPr/>
        <w:t>（</w:t>
      </w:r>
      <w:r>
        <w:rPr>
          <w:rFonts w:ascii="Times New Roman" w:hAnsi="Times New Roman" w:cs="Times New Roman" w:eastAsia="Times New Roman" w:hint="default"/>
        </w:rPr>
        <w:t>15</w:t>
      </w:r>
      <w:r>
        <w:rPr/>
        <w:t>）应交税费较期初增加</w:t>
      </w:r>
      <w:r>
        <w:rPr>
          <w:rFonts w:ascii="Times New Roman" w:hAnsi="Times New Roman" w:cs="Times New Roman" w:eastAsia="Times New Roman" w:hint="default"/>
        </w:rPr>
        <w:t>412.76%</w:t>
      </w:r>
      <w:r>
        <w:rPr/>
        <w:t>，主要系收购合并科信盛彩及系本期应缴纳的税金增加所致。</w:t>
      </w:r>
    </w:p>
    <w:p>
      <w:pPr>
        <w:spacing w:after="0" w:line="240" w:lineRule="auto"/>
        <w:jc w:val="left"/>
        <w:sectPr>
          <w:pgSz w:w="11900" w:h="16840"/>
          <w:pgMar w:header="872" w:footer="984" w:top="1060" w:bottom="1180" w:left="980" w:right="980"/>
        </w:sectPr>
      </w:pPr>
    </w:p>
    <w:p>
      <w:pPr>
        <w:spacing w:line="240" w:lineRule="auto" w:before="12"/>
        <w:rPr>
          <w:rFonts w:ascii="宋体" w:hAnsi="宋体" w:cs="宋体" w:eastAsia="宋体" w:hint="default"/>
          <w:sz w:val="24"/>
          <w:szCs w:val="24"/>
        </w:rPr>
      </w:pPr>
    </w:p>
    <w:p>
      <w:pPr>
        <w:pStyle w:val="BodyText"/>
        <w:spacing w:line="240" w:lineRule="auto" w:before="36"/>
        <w:ind w:right="0"/>
        <w:jc w:val="left"/>
      </w:pPr>
      <w:r>
        <w:rPr/>
        <w:t>（</w:t>
      </w:r>
      <w:r>
        <w:rPr>
          <w:rFonts w:ascii="Times New Roman" w:hAnsi="Times New Roman" w:cs="Times New Roman" w:eastAsia="Times New Roman" w:hint="default"/>
        </w:rPr>
        <w:t>16</w:t>
      </w:r>
      <w:r>
        <w:rPr/>
        <w:t>）应付利息较期初增加</w:t>
      </w:r>
      <w:r>
        <w:rPr>
          <w:rFonts w:ascii="Times New Roman" w:hAnsi="Times New Roman" w:cs="Times New Roman" w:eastAsia="Times New Roman" w:hint="default"/>
        </w:rPr>
        <w:t>100.00%</w:t>
      </w:r>
      <w:r>
        <w:rPr/>
        <w:t>，主要系计提未支付借款利息所致。</w:t>
      </w:r>
    </w:p>
    <w:p>
      <w:pPr>
        <w:pStyle w:val="BodyText"/>
        <w:spacing w:line="240" w:lineRule="auto" w:before="21"/>
        <w:ind w:right="0"/>
        <w:jc w:val="left"/>
      </w:pPr>
      <w:r>
        <w:rPr/>
        <w:t>（</w:t>
      </w:r>
      <w:r>
        <w:rPr>
          <w:rFonts w:ascii="Times New Roman" w:hAnsi="Times New Roman" w:cs="Times New Roman" w:eastAsia="Times New Roman" w:hint="default"/>
        </w:rPr>
        <w:t>17</w:t>
      </w:r>
      <w:r>
        <w:rPr/>
        <w:t>）</w:t>
      </w:r>
      <w:r>
        <w:rPr>
          <w:spacing w:val="-24"/>
        </w:rPr>
        <w:t> </w:t>
      </w:r>
      <w:r>
        <w:rPr/>
        <w:t>其他应付款较期初增长</w:t>
      </w:r>
      <w:r>
        <w:rPr>
          <w:rFonts w:ascii="Times New Roman" w:hAnsi="Times New Roman" w:cs="Times New Roman" w:eastAsia="Times New Roman" w:hint="default"/>
        </w:rPr>
        <w:t>319.80%</w:t>
      </w:r>
      <w:r>
        <w:rPr/>
        <w:t>，主要系控股股东向公司提供无息借款</w:t>
      </w:r>
      <w:r>
        <w:rPr>
          <w:rFonts w:ascii="Times New Roman" w:hAnsi="Times New Roman" w:cs="Times New Roman" w:eastAsia="Times New Roman" w:hint="default"/>
        </w:rPr>
        <w:t>1</w:t>
      </w:r>
      <w:r>
        <w:rPr/>
        <w:t>亿元所致。</w:t>
      </w:r>
    </w:p>
    <w:p>
      <w:pPr>
        <w:pStyle w:val="BodyText"/>
        <w:spacing w:line="240" w:lineRule="auto" w:before="21"/>
        <w:ind w:right="0"/>
        <w:jc w:val="left"/>
      </w:pPr>
      <w:r>
        <w:rPr/>
        <w:t>（</w:t>
      </w:r>
      <w:r>
        <w:rPr>
          <w:rFonts w:ascii="Times New Roman" w:hAnsi="Times New Roman" w:cs="Times New Roman" w:eastAsia="Times New Roman" w:hint="default"/>
        </w:rPr>
        <w:t>18</w:t>
      </w:r>
      <w:r>
        <w:rPr/>
        <w:t>）一年内到期的非流动负债较期初增加</w:t>
      </w:r>
      <w:r>
        <w:rPr>
          <w:rFonts w:ascii="Times New Roman" w:hAnsi="Times New Roman" w:cs="Times New Roman" w:eastAsia="Times New Roman" w:hint="default"/>
        </w:rPr>
        <w:t>100.00%</w:t>
      </w:r>
      <w:r>
        <w:rPr/>
        <w:t>，主要系收购合并科信盛彩一年到期的抵押贷款。</w:t>
      </w:r>
    </w:p>
    <w:p>
      <w:pPr>
        <w:pStyle w:val="BodyText"/>
        <w:spacing w:line="240" w:lineRule="auto" w:before="21"/>
        <w:ind w:right="0"/>
        <w:jc w:val="left"/>
      </w:pPr>
      <w:r>
        <w:rPr/>
        <w:t>（</w:t>
      </w:r>
      <w:r>
        <w:rPr>
          <w:rFonts w:ascii="Times New Roman" w:hAnsi="Times New Roman" w:cs="Times New Roman" w:eastAsia="Times New Roman" w:hint="default"/>
        </w:rPr>
        <w:t>19</w:t>
      </w:r>
      <w:r>
        <w:rPr/>
        <w:t>）长期借款较期初增加</w:t>
      </w:r>
      <w:r>
        <w:rPr>
          <w:rFonts w:ascii="Times New Roman" w:hAnsi="Times New Roman" w:cs="Times New Roman" w:eastAsia="Times New Roman" w:hint="default"/>
        </w:rPr>
        <w:t>100.00%</w:t>
      </w:r>
      <w:r>
        <w:rPr/>
        <w:t>，主要系收购合并控股孙公司中科彩的长期抵押借款所致。</w:t>
      </w:r>
    </w:p>
    <w:p>
      <w:pPr>
        <w:pStyle w:val="BodyText"/>
        <w:spacing w:line="240" w:lineRule="auto" w:before="21"/>
        <w:ind w:right="0"/>
        <w:jc w:val="left"/>
      </w:pPr>
      <w:r>
        <w:rPr/>
        <w:t>（</w:t>
      </w:r>
      <w:r>
        <w:rPr>
          <w:rFonts w:ascii="Times New Roman" w:hAnsi="Times New Roman" w:cs="Times New Roman" w:eastAsia="Times New Roman" w:hint="default"/>
        </w:rPr>
        <w:t>20</w:t>
      </w:r>
      <w:r>
        <w:rPr/>
        <w:t>）预计负债较期初增加</w:t>
      </w:r>
      <w:r>
        <w:rPr>
          <w:rFonts w:ascii="Times New Roman" w:hAnsi="Times New Roman" w:cs="Times New Roman" w:eastAsia="Times New Roman" w:hint="default"/>
        </w:rPr>
        <w:t>100.00%</w:t>
      </w:r>
      <w:r>
        <w:rPr/>
        <w:t>，主要系收购合并科信盛彩的退货准备金所致。</w:t>
      </w:r>
    </w:p>
    <w:p>
      <w:pPr>
        <w:pStyle w:val="BodyText"/>
        <w:spacing w:line="240" w:lineRule="auto" w:before="21"/>
        <w:ind w:right="0"/>
        <w:jc w:val="left"/>
      </w:pPr>
      <w:r>
        <w:rPr/>
        <w:t>（</w:t>
      </w:r>
      <w:r>
        <w:rPr>
          <w:rFonts w:ascii="Times New Roman" w:hAnsi="Times New Roman" w:cs="Times New Roman" w:eastAsia="Times New Roman" w:hint="default"/>
        </w:rPr>
        <w:t>21</w:t>
      </w:r>
      <w:r>
        <w:rPr/>
        <w:t>）递延收益较期初增加</w:t>
      </w:r>
      <w:r>
        <w:rPr>
          <w:rFonts w:ascii="Times New Roman" w:hAnsi="Times New Roman" w:cs="Times New Roman" w:eastAsia="Times New Roman" w:hint="default"/>
        </w:rPr>
        <w:t>262.61%</w:t>
      </w:r>
      <w:r>
        <w:rPr/>
        <w:t>，主要系控股子公司无锡双龙收到土地补贴款所致。</w:t>
      </w:r>
    </w:p>
    <w:p>
      <w:pPr>
        <w:pStyle w:val="BodyText"/>
        <w:spacing w:line="256" w:lineRule="auto" w:before="21"/>
        <w:ind w:right="0"/>
        <w:jc w:val="left"/>
      </w:pPr>
      <w:r>
        <w:rPr>
          <w:spacing w:val="-2"/>
        </w:rPr>
        <w:t>（</w:t>
      </w:r>
      <w:r>
        <w:rPr>
          <w:rFonts w:ascii="Times New Roman" w:hAnsi="Times New Roman" w:cs="Times New Roman" w:eastAsia="Times New Roman" w:hint="default"/>
          <w:spacing w:val="-2"/>
        </w:rPr>
        <w:t>22</w:t>
      </w:r>
      <w:r>
        <w:rPr>
          <w:spacing w:val="-2"/>
        </w:rPr>
        <w:t>）递延所得税负债较期初增加</w:t>
      </w:r>
      <w:r>
        <w:rPr>
          <w:rFonts w:ascii="Times New Roman" w:hAnsi="Times New Roman" w:cs="Times New Roman" w:eastAsia="Times New Roman" w:hint="default"/>
          <w:spacing w:val="-2"/>
        </w:rPr>
        <w:t>100.00%</w:t>
      </w:r>
      <w:r>
        <w:rPr>
          <w:spacing w:val="-2"/>
        </w:rPr>
        <w:t>，主要系固定资产折旧年限差异产生的递延所得税负债增加所</w:t>
      </w:r>
      <w:r>
        <w:rPr>
          <w:spacing w:val="-7"/>
        </w:rPr>
        <w:t> </w:t>
      </w:r>
      <w:r>
        <w:rPr>
          <w:spacing w:val="-7"/>
        </w:rPr>
      </w:r>
      <w:r>
        <w:rPr/>
        <w:t>致。</w:t>
      </w:r>
    </w:p>
    <w:p>
      <w:pPr>
        <w:pStyle w:val="BodyText"/>
        <w:spacing w:line="240" w:lineRule="auto" w:before="22"/>
        <w:ind w:right="0"/>
        <w:jc w:val="left"/>
      </w:pPr>
      <w:r>
        <w:rPr/>
        <w:t>（</w:t>
      </w:r>
      <w:r>
        <w:rPr>
          <w:rFonts w:ascii="Times New Roman" w:hAnsi="Times New Roman" w:cs="Times New Roman" w:eastAsia="Times New Roman" w:hint="default"/>
        </w:rPr>
        <w:t>23</w:t>
      </w:r>
      <w:r>
        <w:rPr/>
        <w:t>）少数股东权益增加</w:t>
      </w:r>
      <w:r>
        <w:rPr>
          <w:rFonts w:ascii="Times New Roman" w:hAnsi="Times New Roman" w:cs="Times New Roman" w:eastAsia="Times New Roman" w:hint="default"/>
        </w:rPr>
        <w:t>279.05%</w:t>
      </w:r>
      <w:r>
        <w:rPr/>
        <w:t>，主要系收购合并中科彩的少数股东权益及本期新增数。</w:t>
      </w:r>
    </w:p>
    <w:p>
      <w:pPr>
        <w:pStyle w:val="BodyText"/>
        <w:spacing w:line="240" w:lineRule="auto" w:before="21"/>
        <w:ind w:right="0"/>
        <w:jc w:val="left"/>
      </w:pPr>
      <w:r>
        <w:rPr/>
        <w:t>（</w:t>
      </w:r>
      <w:r>
        <w:rPr>
          <w:rFonts w:ascii="Times New Roman" w:hAnsi="Times New Roman" w:cs="Times New Roman" w:eastAsia="Times New Roman" w:hint="default"/>
        </w:rPr>
        <w:t>24</w:t>
      </w:r>
      <w:r>
        <w:rPr/>
        <w:t>）</w:t>
      </w:r>
      <w:r>
        <w:rPr>
          <w:spacing w:val="-19"/>
        </w:rPr>
        <w:t> </w:t>
      </w:r>
      <w:r>
        <w:rPr/>
        <w:t>财务费用较上年同期增加</w:t>
      </w:r>
      <w:r>
        <w:rPr>
          <w:rFonts w:ascii="Times New Roman" w:hAnsi="Times New Roman" w:cs="Times New Roman" w:eastAsia="Times New Roman" w:hint="default"/>
        </w:rPr>
        <w:t>37.91%</w:t>
      </w:r>
      <w:r>
        <w:rPr/>
        <w:t>，主要原因系本期短期借款增长导致的利息费用增加所致。</w:t>
      </w:r>
    </w:p>
    <w:p>
      <w:pPr>
        <w:pStyle w:val="BodyText"/>
        <w:spacing w:line="240" w:lineRule="auto" w:before="21"/>
        <w:ind w:right="0"/>
        <w:jc w:val="left"/>
      </w:pPr>
      <w:r>
        <w:rPr/>
        <w:t>（</w:t>
      </w:r>
      <w:r>
        <w:rPr>
          <w:rFonts w:ascii="Times New Roman" w:hAnsi="Times New Roman" w:cs="Times New Roman" w:eastAsia="Times New Roman" w:hint="default"/>
        </w:rPr>
        <w:t>25</w:t>
      </w:r>
      <w:r>
        <w:rPr/>
        <w:t>）资产减值损失较上年同期减少</w:t>
      </w:r>
      <w:r>
        <w:rPr>
          <w:rFonts w:ascii="Times New Roman" w:hAnsi="Times New Roman" w:cs="Times New Roman" w:eastAsia="Times New Roman" w:hint="default"/>
        </w:rPr>
        <w:t>58.54%,</w:t>
      </w:r>
      <w:r>
        <w:rPr/>
        <w:t>主要原因系货款回笼坏帐准备计提较上年同期减少所致。</w:t>
      </w:r>
    </w:p>
    <w:p>
      <w:pPr>
        <w:pStyle w:val="BodyText"/>
        <w:spacing w:line="240" w:lineRule="auto" w:before="21"/>
        <w:ind w:right="0"/>
        <w:jc w:val="left"/>
      </w:pPr>
      <w:r>
        <w:rPr/>
        <w:t>（</w:t>
      </w:r>
      <w:r>
        <w:rPr>
          <w:rFonts w:ascii="Times New Roman" w:hAnsi="Times New Roman" w:cs="Times New Roman" w:eastAsia="Times New Roman" w:hint="default"/>
        </w:rPr>
        <w:t>26</w:t>
      </w:r>
      <w:r>
        <w:rPr/>
        <w:t>）营业外支出较上年同期减少</w:t>
      </w:r>
      <w:r>
        <w:rPr>
          <w:rFonts w:ascii="Times New Roman" w:hAnsi="Times New Roman" w:cs="Times New Roman" w:eastAsia="Times New Roman" w:hint="default"/>
        </w:rPr>
        <w:t>79.92%,</w:t>
      </w:r>
      <w:r>
        <w:rPr/>
        <w:t>主要系固定资产处理损失较上年同期减少所致。</w:t>
      </w:r>
    </w:p>
    <w:p>
      <w:pPr>
        <w:pStyle w:val="BodyText"/>
        <w:spacing w:line="240" w:lineRule="auto" w:before="21"/>
        <w:ind w:right="0"/>
        <w:jc w:val="left"/>
      </w:pPr>
      <w:r>
        <w:rPr>
          <w:spacing w:val="-2"/>
        </w:rPr>
        <w:t>（</w:t>
      </w:r>
      <w:r>
        <w:rPr>
          <w:rFonts w:ascii="Times New Roman" w:hAnsi="Times New Roman" w:cs="Times New Roman" w:eastAsia="Times New Roman" w:hint="default"/>
          <w:spacing w:val="-2"/>
        </w:rPr>
        <w:t>27</w:t>
      </w:r>
      <w:r>
        <w:rPr>
          <w:spacing w:val="-2"/>
        </w:rPr>
        <w:t>）所得税费用较上年同期增长</w:t>
      </w:r>
      <w:r>
        <w:rPr>
          <w:rFonts w:ascii="Times New Roman" w:hAnsi="Times New Roman" w:cs="Times New Roman" w:eastAsia="Times New Roman" w:hint="default"/>
          <w:spacing w:val="-2"/>
        </w:rPr>
        <w:t>150.05%</w:t>
      </w:r>
      <w:r>
        <w:rPr>
          <w:spacing w:val="-2"/>
        </w:rPr>
        <w:t>，主要系可弥补亏损确认递延所得税资产较上年同期减少所致。</w:t>
      </w:r>
    </w:p>
    <w:p>
      <w:pPr>
        <w:pStyle w:val="BodyText"/>
        <w:spacing w:line="240" w:lineRule="auto" w:before="21"/>
        <w:ind w:right="0"/>
        <w:jc w:val="left"/>
      </w:pPr>
      <w:r>
        <w:rPr/>
        <w:t>（</w:t>
      </w:r>
      <w:r>
        <w:rPr>
          <w:rFonts w:ascii="Times New Roman" w:hAnsi="Times New Roman" w:cs="Times New Roman" w:eastAsia="Times New Roman" w:hint="default"/>
        </w:rPr>
        <w:t>28</w:t>
      </w:r>
      <w:r>
        <w:rPr/>
        <w:t>）经营活动产生的现金流量净额较上年同期增加</w:t>
      </w:r>
      <w:r>
        <w:rPr>
          <w:rFonts w:ascii="Times New Roman" w:hAnsi="Times New Roman" w:cs="Times New Roman" w:eastAsia="Times New Roman" w:hint="default"/>
        </w:rPr>
        <w:t>383.03%</w:t>
      </w:r>
      <w:r>
        <w:rPr/>
        <w:t>，主要系货款回笼增加所致。</w:t>
      </w:r>
    </w:p>
    <w:p>
      <w:pPr>
        <w:pStyle w:val="BodyText"/>
        <w:spacing w:line="256" w:lineRule="auto" w:before="21"/>
        <w:ind w:right="0"/>
        <w:jc w:val="left"/>
      </w:pPr>
      <w:r>
        <w:rPr>
          <w:spacing w:val="-2"/>
        </w:rPr>
        <w:t>（</w:t>
      </w:r>
      <w:r>
        <w:rPr>
          <w:rFonts w:ascii="Times New Roman" w:hAnsi="Times New Roman" w:cs="Times New Roman" w:eastAsia="Times New Roman" w:hint="default"/>
          <w:spacing w:val="-2"/>
        </w:rPr>
        <w:t>29</w:t>
      </w:r>
      <w:r>
        <w:rPr>
          <w:spacing w:val="-2"/>
        </w:rPr>
        <w:t>）筹资活动产生的现金流量净额较上年同期增长</w:t>
      </w:r>
      <w:r>
        <w:rPr>
          <w:rFonts w:ascii="Times New Roman" w:hAnsi="Times New Roman" w:cs="Times New Roman" w:eastAsia="Times New Roman" w:hint="default"/>
          <w:spacing w:val="-2"/>
        </w:rPr>
        <w:t>315.36%</w:t>
      </w:r>
      <w:r>
        <w:rPr>
          <w:spacing w:val="-2"/>
        </w:rPr>
        <w:t>，主要系控股股东向公司提供无息借款及公</w:t>
      </w:r>
      <w:r>
        <w:rPr>
          <w:spacing w:val="-6"/>
        </w:rPr>
        <w:t> </w:t>
      </w:r>
      <w:r>
        <w:rPr>
          <w:spacing w:val="-6"/>
        </w:rPr>
      </w:r>
      <w:r>
        <w:rPr/>
        <w:t>司向银行借款增加所致。</w:t>
      </w:r>
    </w:p>
    <w:p>
      <w:pPr>
        <w:pStyle w:val="BodyText"/>
        <w:spacing w:line="256" w:lineRule="auto" w:before="22"/>
        <w:ind w:right="0"/>
        <w:jc w:val="left"/>
      </w:pPr>
      <w:r>
        <w:rPr>
          <w:spacing w:val="-3"/>
        </w:rPr>
        <w:t>（</w:t>
      </w:r>
      <w:r>
        <w:rPr>
          <w:rFonts w:ascii="Times New Roman" w:hAnsi="Times New Roman" w:cs="Times New Roman" w:eastAsia="Times New Roman" w:hint="default"/>
          <w:spacing w:val="-3"/>
        </w:rPr>
        <w:t>30</w:t>
      </w:r>
      <w:r>
        <w:rPr>
          <w:spacing w:val="-3"/>
        </w:rPr>
        <w:t>）现金及现金等价物净增加额较上年同期增长</w:t>
      </w:r>
      <w:r>
        <w:rPr>
          <w:rFonts w:ascii="Times New Roman" w:hAnsi="Times New Roman" w:cs="Times New Roman" w:eastAsia="Times New Roman" w:hint="default"/>
          <w:spacing w:val="-3"/>
        </w:rPr>
        <w:t>1,836.98%</w:t>
      </w:r>
      <w:r>
        <w:rPr>
          <w:spacing w:val="-3"/>
        </w:rPr>
        <w:t>，主要系本期货款回笼增加、控股股东向公司</w:t>
      </w:r>
      <w:r>
        <w:rPr>
          <w:spacing w:val="-42"/>
        </w:rPr>
        <w:t> </w:t>
      </w:r>
      <w:r>
        <w:rPr>
          <w:spacing w:val="-42"/>
        </w:rPr>
      </w:r>
      <w:r>
        <w:rPr/>
        <w:t>提供无息借款及公司向银行借款增加综合所致。</w:t>
      </w:r>
    </w:p>
    <w:p>
      <w:pPr>
        <w:spacing w:after="0" w:line="256" w:lineRule="auto"/>
        <w:jc w:val="left"/>
        <w:sectPr>
          <w:pgSz w:w="11900" w:h="16840"/>
          <w:pgMar w:header="872" w:footer="984" w:top="1060" w:bottom="1180" w:left="980" w:right="9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Heading1"/>
        <w:spacing w:line="458" w:lineRule="exact"/>
        <w:ind w:left="3282" w:right="0"/>
        <w:jc w:val="left"/>
        <w:rPr>
          <w:b w:val="0"/>
          <w:bCs w:val="0"/>
        </w:rPr>
      </w:pPr>
      <w:bookmarkStart w:name="_TOC_250000" w:id="11"/>
      <w:r>
        <w:rPr/>
        <w:t>第十一节 </w:t>
      </w:r>
      <w:r>
        <w:rPr>
          <w:spacing w:val="13"/>
        </w:rPr>
        <w:t> </w:t>
      </w:r>
      <w:r>
        <w:rPr/>
        <w:t>备查文件目录</w:t>
      </w:r>
      <w:bookmarkEnd w:id="11"/>
      <w:r>
        <w:rPr>
          <w:b w:val="0"/>
          <w:bCs w:val="0"/>
        </w:rPr>
      </w:r>
    </w:p>
    <w:p>
      <w:pPr>
        <w:spacing w:line="240" w:lineRule="auto" w:before="10"/>
        <w:rPr>
          <w:rFonts w:ascii="Microsoft JhengHei" w:hAnsi="Microsoft JhengHei" w:cs="Microsoft JhengHei" w:eastAsia="Microsoft JhengHei" w:hint="default"/>
          <w:b/>
          <w:bCs/>
          <w:sz w:val="29"/>
          <w:szCs w:val="29"/>
        </w:rPr>
      </w:pPr>
    </w:p>
    <w:p>
      <w:pPr>
        <w:spacing w:line="312" w:lineRule="auto" w:before="0"/>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一、载有公司负责人、主管会计工作负责人及会计机构负责人签名并盖章的财务报表。</w:t>
      </w:r>
      <w:r>
        <w:rPr>
          <w:rFonts w:ascii="宋体" w:hAnsi="宋体" w:cs="宋体" w:eastAsia="宋体" w:hint="default"/>
          <w:spacing w:val="18"/>
          <w:sz w:val="18"/>
          <w:szCs w:val="18"/>
        </w:rPr>
        <w:t> </w:t>
      </w:r>
      <w:r>
        <w:rPr>
          <w:rFonts w:ascii="宋体" w:hAnsi="宋体" w:cs="宋体" w:eastAsia="宋体" w:hint="default"/>
          <w:spacing w:val="18"/>
          <w:sz w:val="18"/>
          <w:szCs w:val="18"/>
        </w:rPr>
      </w:r>
      <w:r>
        <w:rPr>
          <w:rFonts w:ascii="宋体" w:hAnsi="宋体" w:cs="宋体" w:eastAsia="宋体" w:hint="default"/>
          <w:spacing w:val="-3"/>
          <w:sz w:val="18"/>
          <w:szCs w:val="18"/>
        </w:rPr>
        <w:t>二、报告期内在中国证监会指定信息披露载体上公开披露过的所有公司文件的正本及公告的原稿。</w:t>
      </w:r>
      <w:r>
        <w:rPr>
          <w:rFonts w:ascii="宋体" w:hAnsi="宋体" w:cs="宋体" w:eastAsia="宋体" w:hint="default"/>
          <w:spacing w:val="35"/>
          <w:sz w:val="18"/>
          <w:szCs w:val="18"/>
        </w:rPr>
        <w:t> </w:t>
      </w:r>
      <w:r>
        <w:rPr>
          <w:rFonts w:ascii="宋体" w:hAnsi="宋体" w:cs="宋体" w:eastAsia="宋体" w:hint="default"/>
          <w:spacing w:val="35"/>
          <w:sz w:val="18"/>
          <w:szCs w:val="18"/>
        </w:rPr>
      </w:r>
      <w:r>
        <w:rPr>
          <w:rFonts w:ascii="宋体" w:hAnsi="宋体" w:cs="宋体" w:eastAsia="宋体" w:hint="default"/>
          <w:spacing w:val="-3"/>
          <w:sz w:val="18"/>
          <w:szCs w:val="18"/>
        </w:rPr>
        <w:t>三、载有法定代表人签名的公司</w:t>
      </w:r>
      <w:r>
        <w:rPr>
          <w:rFonts w:ascii="Times New Roman" w:hAnsi="Times New Roman" w:cs="Times New Roman" w:eastAsia="Times New Roman" w:hint="default"/>
          <w:spacing w:val="-3"/>
          <w:sz w:val="18"/>
          <w:szCs w:val="18"/>
        </w:rPr>
        <w:t>2015</w:t>
      </w:r>
      <w:r>
        <w:rPr>
          <w:rFonts w:ascii="宋体" w:hAnsi="宋体" w:cs="宋体" w:eastAsia="宋体" w:hint="default"/>
          <w:spacing w:val="-3"/>
          <w:sz w:val="18"/>
          <w:szCs w:val="18"/>
        </w:rPr>
        <w:t>年年度报告文本。</w:t>
      </w:r>
      <w:r>
        <w:rPr>
          <w:rFonts w:ascii="宋体" w:hAnsi="宋体" w:cs="宋体" w:eastAsia="宋体" w:hint="default"/>
          <w:spacing w:val="-11"/>
          <w:sz w:val="18"/>
          <w:szCs w:val="18"/>
        </w:rPr>
        <w:t> </w:t>
      </w:r>
      <w:r>
        <w:rPr>
          <w:rFonts w:ascii="宋体" w:hAnsi="宋体" w:cs="宋体" w:eastAsia="宋体" w:hint="default"/>
          <w:spacing w:val="-11"/>
          <w:sz w:val="18"/>
          <w:szCs w:val="18"/>
        </w:rPr>
      </w:r>
      <w:r>
        <w:rPr>
          <w:rFonts w:ascii="宋体" w:hAnsi="宋体" w:cs="宋体" w:eastAsia="宋体" w:hint="default"/>
          <w:spacing w:val="-3"/>
          <w:sz w:val="18"/>
          <w:szCs w:val="18"/>
        </w:rPr>
        <w:t>四、以上备查文件的备置地点：福建福州金山开发区金达路</w:t>
      </w:r>
      <w:r>
        <w:rPr>
          <w:rFonts w:ascii="Times New Roman" w:hAnsi="Times New Roman" w:cs="Times New Roman" w:eastAsia="Times New Roman" w:hint="default"/>
          <w:spacing w:val="-3"/>
          <w:sz w:val="18"/>
          <w:szCs w:val="18"/>
        </w:rPr>
        <w:t>136</w:t>
      </w:r>
      <w:r>
        <w:rPr>
          <w:rFonts w:ascii="宋体" w:hAnsi="宋体" w:cs="宋体" w:eastAsia="宋体" w:hint="default"/>
          <w:spacing w:val="-3"/>
          <w:sz w:val="18"/>
          <w:szCs w:val="18"/>
        </w:rPr>
        <w:t>号公司证券部。</w:t>
      </w:r>
    </w:p>
    <w:sectPr>
      <w:pgSz w:w="11900" w:h="16840"/>
      <w:pgMar w:header="872" w:footer="984" w:top="1060" w:bottom="1180" w:left="980" w:right="9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Microsoft JhengHei">
    <w:altName w:val="Microsoft JhengHe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3pt;margin-top:795.501526pt;width:6.6pt;height:11.15pt;mso-position-horizontal-relative:page;mso-position-vertical-relative:page;z-index:-1069864" type="#_x0000_t202" filled="false" stroked="false">
          <v:textbox inset="0,0,0,0">
            <w:txbxContent>
              <w:p>
                <w:pPr>
                  <w:spacing w:line="206" w:lineRule="exact" w:before="0"/>
                  <w:ind w:left="20" w:right="0" w:firstLine="0"/>
                  <w:jc w:val="left"/>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440002pt;margin-top:781.821472pt;width:13.15pt;height:11.15pt;mso-position-horizontal-relative:page;mso-position-vertical-relative:page;z-index:-1069840" type="#_x0000_t202" filled="false" stroked="false">
          <v:textbox inset="0,0,0,0">
            <w:txbxContent>
              <w:p>
                <w:pPr>
                  <w:spacing w:line="206" w:lineRule="exact" w:before="0"/>
                  <w:ind w:left="40" w:right="0" w:firstLine="0"/>
                  <w:jc w:val="left"/>
                  <w:rPr>
                    <w:rFonts w:ascii="Times New Roman" w:hAnsi="Times New Roman" w:cs="Times New Roman" w:eastAsia="Times New Roman" w:hint="default"/>
                    <w:sz w:val="18"/>
                    <w:szCs w:val="18"/>
                  </w:rPr>
                </w:pPr>
                <w:r>
                  <w:rPr>
                    <w:rFonts w:ascii="Times New Roman"/>
                    <w:w w:val="101"/>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8.440002pt;margin-top:781.821472pt;width:11.15pt;height:11.15pt;mso-position-horizontal-relative:page;mso-position-vertical-relative:page;z-index:-1069768" type="#_x0000_t202" filled="false" stroked="false">
          <v:textbox inset="0,0,0,0">
            <w:txbxContent>
              <w:p>
                <w:pPr>
                  <w:spacing w:line="206" w:lineRule="exact" w:before="0"/>
                  <w:ind w:left="20" w:right="0" w:firstLine="0"/>
                  <w:jc w:val="left"/>
                  <w:rPr>
                    <w:rFonts w:ascii="Times New Roman" w:hAnsi="Times New Roman" w:cs="Times New Roman" w:eastAsia="Times New Roman" w:hint="default"/>
                    <w:sz w:val="18"/>
                    <w:szCs w:val="18"/>
                  </w:rPr>
                </w:pPr>
                <w:r>
                  <w:rPr>
                    <w:rFonts w:ascii="Times New Roman"/>
                    <w:sz w:val="18"/>
                  </w:rPr>
                  <w:t>29</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98.919998pt;margin-top:765.482605pt;width:52.2pt;height:11.65pt;mso-position-horizontal-relative:page;mso-position-vertical-relative:page;z-index:-1069744" type="#_x0000_t202" filled="false" stroked="false">
          <v:textbox inset="0,0,0,0">
            <w:txbxContent>
              <w:p>
                <w:pPr>
                  <w:spacing w:line="216"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仙</w:t>
                </w:r>
                <w:r>
                  <w:rPr>
                    <w:rFonts w:ascii="Times New Roman" w:hAnsi="Times New Roman" w:cs="Times New Roman" w:eastAsia="Times New Roman" w:hint="default"/>
                    <w:sz w:val="18"/>
                    <w:szCs w:val="18"/>
                  </w:rPr>
                  <w:t>;</w:t>
                </w:r>
                <w:r>
                  <w:rPr>
                    <w:rFonts w:ascii="宋体" w:hAnsi="宋体" w:cs="宋体" w:eastAsia="宋体" w:hint="default"/>
                    <w:sz w:val="18"/>
                    <w:szCs w:val="18"/>
                  </w:rPr>
                  <w:t>尤友岳</w:t>
                </w:r>
                <w:r>
                  <w:rPr>
                    <w:rFonts w:ascii="Times New Roman" w:hAnsi="Times New Roman" w:cs="Times New Roman" w:eastAsia="Times New Roman" w:hint="default"/>
                    <w:sz w:val="18"/>
                    <w:szCs w:val="18"/>
                  </w:rPr>
                  <w:t>;</w:t>
                </w:r>
                <w:r>
                  <w:rPr>
                    <w:rFonts w:ascii="宋体" w:hAnsi="宋体" w:cs="宋体" w:eastAsia="宋体" w:hint="default"/>
                    <w:sz w:val="18"/>
                    <w:szCs w:val="18"/>
                  </w:rPr>
                  <w:t>尤</w:t>
                </w:r>
              </w:p>
            </w:txbxContent>
          </v:textbox>
          <w10:wrap type="none"/>
        </v:shape>
      </w:pict>
    </w:r>
    <w:r>
      <w:rPr/>
      <w:pict>
        <v:shape style="position:absolute;margin-left:311.480011pt;margin-top:765.482605pt;width:51.7pt;height:11.65pt;mso-position-horizontal-relative:page;mso-position-vertical-relative:page;z-index:-1069720" type="#_x0000_t202" filled="false" stroked="false">
          <v:textbox inset="0,0,0,0">
            <w:txbxContent>
              <w:p>
                <w:pPr>
                  <w:spacing w:line="216"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日起连</w:t>
                </w:r>
              </w:p>
            </w:txbxContent>
          </v:textbox>
          <w10:wrap type="none"/>
        </v:shape>
      </w:pict>
    </w:r>
    <w:r>
      <w:rPr/>
      <w:pict>
        <v:shape style="position:absolute;margin-left:424.040009pt;margin-top:765.482605pt;width:51.7pt;height:11.65pt;mso-position-horizontal-relative:page;mso-position-vertical-relative:page;z-index:-1069696" type="#_x0000_t202" filled="false" stroked="false">
          <v:textbox inset="0,0,0,0">
            <w:txbxContent>
              <w:p>
                <w:pPr>
                  <w:spacing w:line="216" w:lineRule="exact" w:before="0"/>
                  <w:ind w:left="2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 </w:t>
                </w:r>
                <w:r>
                  <w:rPr>
                    <w:rFonts w:ascii="宋体" w:hAnsi="宋体" w:cs="宋体" w:eastAsia="宋体" w:hint="default"/>
                    <w:sz w:val="18"/>
                    <w:szCs w:val="18"/>
                  </w:rPr>
                  <w:t>日至</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2015</w:t>
                </w:r>
              </w:p>
            </w:txbxContent>
          </v:textbox>
          <w10:wrap type="none"/>
        </v:shape>
      </w:pict>
    </w:r>
    <w:r>
      <w:rPr/>
      <w:pict>
        <v:shape style="position:absolute;margin-left:367.640015pt;margin-top:765.722595pt;width:22.4pt;height:11.65pt;mso-position-horizontal-relative:page;mso-position-vertical-relative:page;z-index:-1069672" type="#_x0000_t202" filled="false" stroked="false">
          <v:textbox inset="0,0,0,0">
            <w:txbxContent>
              <w:p>
                <w:pPr>
                  <w:spacing w:line="216"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xbxContent>
          </v:textbox>
          <w10:wrap type="none"/>
        </v:shape>
      </w:pict>
    </w:r>
    <w:r>
      <w:rPr/>
      <w:pict>
        <v:shape style="position:absolute;margin-left:527.440002pt;margin-top:781.821472pt;width:13.15pt;height:11.15pt;mso-position-horizontal-relative:page;mso-position-vertical-relative:page;z-index:-1069648" type="#_x0000_t202" filled="false" stroked="false">
          <v:textbox inset="0,0,0,0">
            <w:txbxContent>
              <w:p>
                <w:pPr>
                  <w:spacing w:line="206" w:lineRule="exact" w:before="0"/>
                  <w:ind w:left="40" w:right="0" w:firstLine="0"/>
                  <w:jc w:val="left"/>
                  <w:rPr>
                    <w:rFonts w:ascii="Times New Roman" w:hAnsi="Times New Roman" w:cs="Times New Roman" w:eastAsia="Times New Roman" w:hint="default"/>
                    <w:sz w:val="18"/>
                    <w:szCs w:val="18"/>
                  </w:rPr>
                </w:pPr>
                <w:r>
                  <w:rPr>
                    <w:rFonts w:ascii="Times New Roman"/>
                    <w:w w:val="101"/>
                    <w:sz w:val="18"/>
                  </w:rPr>
                </w:r>
                <w:r>
                  <w:rPr/>
                  <w:fldChar w:fldCharType="begin"/>
                </w:r>
                <w:r>
                  <w:rPr>
                    <w:rFonts w:ascii="Times New Roman"/>
                    <w:sz w:val="18"/>
                  </w:rPr>
                  <w:instrText> PAGE </w:instrText>
                </w:r>
                <w:r>
                  <w:rPr/>
                  <w:fldChar w:fldCharType="separate"/>
                </w:r>
                <w:r>
                  <w:rPr/>
                  <w:t>30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880005pt;margin-top:781.821472pt;width:16.7pt;height:11.15pt;mso-position-horizontal-relative:page;mso-position-vertical-relative:page;z-index:-1069624" type="#_x0000_t202" filled="false" stroked="false">
          <v:textbox inset="0,0,0,0">
            <w:txbxContent>
              <w:p>
                <w:pPr>
                  <w:spacing w:line="206" w:lineRule="exact" w:before="0"/>
                  <w:ind w:left="20" w:right="0" w:firstLine="0"/>
                  <w:jc w:val="left"/>
                  <w:rPr>
                    <w:rFonts w:ascii="Times New Roman" w:hAnsi="Times New Roman" w:cs="Times New Roman" w:eastAsia="Times New Roman" w:hint="default"/>
                    <w:sz w:val="18"/>
                    <w:szCs w:val="18"/>
                  </w:rPr>
                </w:pPr>
                <w:r>
                  <w:rPr>
                    <w:rFonts w:ascii="Times New Roman"/>
                    <w:w w:val="101"/>
                    <w:sz w:val="18"/>
                  </w:rPr>
                </w:r>
                <w:r>
                  <w:rPr/>
                  <w:fldChar w:fldCharType="begin"/>
                </w:r>
                <w:r>
                  <w:rPr>
                    <w:rFonts w:ascii="Times New Roman"/>
                    <w:sz w:val="18"/>
                  </w:rPr>
                  <w:instrText> PAGE </w:instrText>
                </w:r>
                <w:r>
                  <w:rPr/>
                  <w:fldChar w:fldCharType="separate"/>
                </w:r>
                <w:r>
                  <w:rPr/>
                  <w:t>100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2.880005pt;margin-top:781.821472pt;width:17.7pt;height:11.15pt;mso-position-horizontal-relative:page;mso-position-vertical-relative:page;z-index:-1069600" type="#_x0000_t202" filled="false" stroked="false">
          <v:textbox inset="0,0,0,0">
            <w:txbxContent>
              <w:p>
                <w:pPr>
                  <w:spacing w:line="206" w:lineRule="exact" w:before="0"/>
                  <w:ind w:left="40" w:right="0" w:firstLine="0"/>
                  <w:jc w:val="left"/>
                  <w:rPr>
                    <w:rFonts w:ascii="Times New Roman" w:hAnsi="Times New Roman" w:cs="Times New Roman" w:eastAsia="Times New Roman" w:hint="default"/>
                    <w:sz w:val="18"/>
                    <w:szCs w:val="18"/>
                  </w:rPr>
                </w:pPr>
                <w:r>
                  <w:rPr>
                    <w:rFonts w:ascii="Times New Roman"/>
                    <w:w w:val="101"/>
                    <w:sz w:val="18"/>
                  </w:rPr>
                </w:r>
                <w:r>
                  <w:rPr/>
                  <w:fldChar w:fldCharType="begin"/>
                </w:r>
                <w:r>
                  <w:rPr>
                    <w:rFonts w:ascii="Times New Roman"/>
                    <w:sz w:val="18"/>
                  </w:rPr>
                  <w:instrText> PAGE </w:instrText>
                </w:r>
                <w:r>
                  <w:rPr/>
                  <w:fldChar w:fldCharType="separate"/>
                </w:r>
                <w:r>
                  <w:rPr/>
                  <w:t>130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79.880005pt;margin-top:36.122585pt;width:159.7pt;height:11.65pt;mso-position-horizontal-relative:page;mso-position-vertical-relative:page;z-index:-1069888" type="#_x0000_t202" filled="false" stroked="false">
          <v:textbox inset="0,0,0,0">
            <w:txbxContent>
              <w:p>
                <w:pPr>
                  <w:spacing w:line="216"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鸿博股份有限公司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pacing w:val="-3"/>
                    <w:sz w:val="18"/>
                    <w:szCs w:val="18"/>
                  </w:rPr>
                  <w:t>年年度报告全文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group style="position:absolute;margin-left:55.200001pt;margin-top:55.639999pt;width:484.8pt;height:.1pt;mso-position-horizontal-relative:page;mso-position-vertical-relative:page;z-index:-1069816" coordorigin="1104,1113" coordsize="9696,2">
          <v:shape style="position:absolute;left:1104;top:1113;width:9696;height:2" coordorigin="1104,1113" coordsize="9696,0" path="m1104,1113l10800,1113e" filled="false" stroked="true" strokeweight=".72pt" strokecolor="#000000">
            <v:path arrowok="t"/>
          </v:shape>
          <w10:wrap type="none"/>
        </v:group>
      </w:pict>
    </w:r>
    <w:r>
      <w:rPr/>
      <w:pict>
        <v:shape style="position:absolute;margin-left:379.880005pt;margin-top:42.602585pt;width:159.7pt;height:11.65pt;mso-position-horizontal-relative:page;mso-position-vertical-relative:page;z-index:-1069792" type="#_x0000_t202" filled="false" stroked="false">
          <v:textbox inset="0,0,0,0">
            <w:txbxContent>
              <w:p>
                <w:pPr>
                  <w:spacing w:line="216"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鸿博股份有限公司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pacing w:val="-3"/>
                    <w:sz w:val="18"/>
                    <w:szCs w:val="18"/>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24"/>
      <w:ind w:left="152"/>
    </w:pPr>
    <w:rPr>
      <w:rFonts w:ascii="Microsoft JhengHei" w:hAnsi="Microsoft JhengHei" w:eastAsia="Microsoft JhengHei"/>
      <w:b/>
      <w:bCs/>
      <w:sz w:val="21"/>
      <w:szCs w:val="21"/>
    </w:rPr>
  </w:style>
  <w:style w:styleId="BodyText" w:type="paragraph">
    <w:name w:val="Body Text"/>
    <w:basedOn w:val="Normal"/>
    <w:uiPriority w:val="1"/>
    <w:qFormat/>
    <w:pPr>
      <w:ind w:left="152"/>
    </w:pPr>
    <w:rPr>
      <w:rFonts w:ascii="宋体" w:hAnsi="宋体" w:eastAsia="宋体"/>
      <w:sz w:val="21"/>
      <w:szCs w:val="21"/>
    </w:rPr>
  </w:style>
  <w:style w:styleId="Heading1" w:type="paragraph">
    <w:name w:val="Heading 1"/>
    <w:basedOn w:val="Normal"/>
    <w:uiPriority w:val="1"/>
    <w:qFormat/>
    <w:pPr>
      <w:ind w:left="3422"/>
      <w:outlineLvl w:val="1"/>
    </w:pPr>
    <w:rPr>
      <w:rFonts w:ascii="Microsoft JhengHei" w:hAnsi="Microsoft JhengHei" w:eastAsia="Microsoft JhengHei"/>
      <w:b/>
      <w:bCs/>
      <w:sz w:val="32"/>
      <w:szCs w:val="32"/>
    </w:rPr>
  </w:style>
  <w:style w:styleId="Heading2" w:type="paragraph">
    <w:name w:val="Heading 2"/>
    <w:basedOn w:val="Normal"/>
    <w:uiPriority w:val="1"/>
    <w:qFormat/>
    <w:pPr>
      <w:ind w:left="152"/>
      <w:outlineLvl w:val="2"/>
    </w:pPr>
    <w:rPr>
      <w:rFonts w:ascii="Microsoft JhengHei" w:hAnsi="Microsoft JhengHei" w:eastAsia="Microsoft JhengHei"/>
      <w:b/>
      <w:bCs/>
      <w:sz w:val="24"/>
      <w:szCs w:val="24"/>
    </w:rPr>
  </w:style>
  <w:style w:styleId="Heading3" w:type="paragraph">
    <w:name w:val="Heading 3"/>
    <w:basedOn w:val="Normal"/>
    <w:uiPriority w:val="1"/>
    <w:qFormat/>
    <w:pPr>
      <w:spacing w:before="121"/>
      <w:ind w:left="152" w:firstLine="494"/>
      <w:outlineLvl w:val="3"/>
    </w:pPr>
    <w:rPr>
      <w:rFonts w:ascii="宋体" w:hAnsi="宋体" w:eastAsia="宋体"/>
      <w:sz w:val="24"/>
      <w:szCs w:val="24"/>
    </w:rPr>
  </w:style>
  <w:style w:styleId="Heading4" w:type="paragraph">
    <w:name w:val="Heading 4"/>
    <w:basedOn w:val="Normal"/>
    <w:uiPriority w:val="1"/>
    <w:qFormat/>
    <w:pPr>
      <w:ind w:left="152"/>
      <w:outlineLvl w:val="4"/>
    </w:pPr>
    <w:rPr>
      <w:rFonts w:ascii="Microsoft JhengHei" w:hAnsi="Microsoft JhengHei" w:eastAsia="Microsoft JhengHei"/>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footer" Target="footer2.xml"/><Relationship Id="rId9" Type="http://schemas.openxmlformats.org/officeDocument/2006/relationships/hyperlink" Target="http://www.hb-print.com.cn/" TargetMode="External"/><Relationship Id="rId10" Type="http://schemas.openxmlformats.org/officeDocument/2006/relationships/hyperlink" Target="mailto:hongbo-printing@hongbo.net.cn" TargetMode="External"/><Relationship Id="rId11" Type="http://schemas.openxmlformats.org/officeDocument/2006/relationships/hyperlink" Target="http://www.cninfo.com.cn/" TargetMode="External"/><Relationship Id="rId12" Type="http://schemas.openxmlformats.org/officeDocument/2006/relationships/hyperlink" Target="http://w/" TargetMode="Externa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image" Target="media/image2.png"/><Relationship Id="rId19" Type="http://schemas.openxmlformats.org/officeDocument/2006/relationships/image" Target="media/image3.jpeg"/><Relationship Id="rId20" Type="http://schemas.openxmlformats.org/officeDocument/2006/relationships/hyperlink" Target="http://www.cninfo.co/" TargetMode="External"/><Relationship Id="rId2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2020-05-04T12:52:40Z</dcterms:created>
  <dcterms:modified xsi:type="dcterms:W3CDTF">2020-05-04T12:52:40Z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2016-03-29T00:00:00Z</vt:filetime>
  </property>
  <property fmtid="{D5CDD505-2E9C-101B-9397-08002B2CF9AE}" pid="3" name="LastSaved">
    <vt:filetime>2016-03-29T00:00:00Z</vt:filetime>
  </property>
</Properties>
</file>