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615" w:right="1592" w:firstLine="0"/>
        <w:jc w:val="center"/>
        <w:rPr>
          <w:rFonts w:ascii="宋体" w:hAnsi="宋体" w:cs="宋体" w:eastAsia="宋体" w:hint="default"/>
          <w:sz w:val="36"/>
          <w:szCs w:val="36"/>
        </w:rPr>
      </w:pPr>
      <w:r>
        <w:rPr>
          <w:rFonts w:ascii="宋体" w:hAnsi="宋体" w:cs="宋体" w:eastAsia="宋体" w:hint="default"/>
          <w:b/>
          <w:bCs/>
          <w:sz w:val="36"/>
          <w:szCs w:val="36"/>
        </w:rPr>
        <w:t>鸿博股份有限公司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15" w:right="15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p>
      <w:pPr>
        <w:spacing w:line="5103" w:lineRule="exact"/>
        <w:ind w:left="2592"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3017307" cy="32409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017307" cy="3240976"/>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spacing w:before="1"/>
        <w:ind w:left="615" w:right="159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right="1594"/>
        <w:jc w:val="center"/>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1117" w:firstLine="482"/>
        <w:jc w:val="left"/>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14" w:lineRule="exact" w:before="126"/>
        <w:ind w:right="1117" w:firstLine="482"/>
        <w:jc w:val="left"/>
        <w:rPr>
          <w:b w:val="0"/>
          <w:bCs w:val="0"/>
        </w:rPr>
      </w:pPr>
      <w:r>
        <w:rPr>
          <w:spacing w:val="2"/>
        </w:rPr>
        <w:t>公司负责人尤友岳、主管会计工作负责人周美妹及会计机构负责人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张婉</w:t>
      </w:r>
      <w:r>
        <w:rPr>
          <w:spacing w:val="2"/>
          <w:w w:val="99"/>
        </w:rPr>
        <w:t> </w:t>
      </w:r>
      <w:r>
        <w:rPr/>
        <w:t>娟声明：保证年度报告中财务报告的真实、准确、完整。</w:t>
      </w:r>
      <w:r>
        <w:rPr>
          <w:b w:val="0"/>
          <w:bCs w:val="0"/>
        </w:rPr>
      </w:r>
    </w:p>
    <w:p>
      <w:pPr>
        <w:pStyle w:val="Heading2"/>
        <w:spacing w:line="314" w:lineRule="auto" w:before="68"/>
        <w:ind w:left="636" w:right="1117"/>
        <w:jc w:val="left"/>
        <w:rPr>
          <w:b w:val="0"/>
          <w:bCs w:val="0"/>
        </w:rPr>
      </w:pPr>
      <w:r>
        <w:rPr/>
        <w:t>所有董事均已出席了审议本报告的董事会会议。</w:t>
      </w:r>
      <w:r>
        <w:rPr>
          <w:w w:val="99"/>
        </w:rPr>
        <w:t> </w:t>
      </w:r>
      <w:r>
        <w:rPr>
          <w:w w:val="95"/>
        </w:rPr>
        <w:t>本报告中涉及未来计划等前瞻性描述，不构成公司对投资者的实质性承诺，能否实现取</w:t>
      </w:r>
      <w:r>
        <w:rPr>
          <w:b w:val="0"/>
          <w:bCs w:val="0"/>
        </w:rPr>
      </w:r>
    </w:p>
    <w:p>
      <w:pPr>
        <w:pStyle w:val="Heading2"/>
        <w:spacing w:line="239" w:lineRule="exact"/>
        <w:ind w:right="1117"/>
        <w:jc w:val="left"/>
        <w:rPr>
          <w:b w:val="0"/>
          <w:bCs w:val="0"/>
        </w:rPr>
      </w:pPr>
      <w:r>
        <w:rPr/>
        <w:t>决于市场状况、经营管理团队等多种因素，存在不确定性，请投资者注意投资风险。</w:t>
      </w:r>
      <w:r>
        <w:rPr>
          <w:b w:val="0"/>
          <w:bCs w:val="0"/>
        </w:rPr>
      </w:r>
    </w:p>
    <w:p>
      <w:pPr>
        <w:pStyle w:val="Heading2"/>
        <w:spacing w:line="322" w:lineRule="exact" w:before="97"/>
        <w:ind w:left="636" w:right="1117"/>
        <w:jc w:val="left"/>
        <w:rPr>
          <w:b w:val="0"/>
          <w:bCs w:val="0"/>
        </w:rPr>
      </w:pPr>
      <w:r>
        <w:rPr>
          <w:w w:val="99"/>
        </w:rPr>
        <w:t>公司经本次董事会审议通过的利润分配预案为</w:t>
      </w:r>
      <w:r>
        <w:rPr>
          <w:spacing w:val="-118"/>
          <w:w w:val="99"/>
        </w:rPr>
        <w:t>：</w:t>
      </w:r>
      <w:r>
        <w:rPr>
          <w:w w:val="99"/>
        </w:rPr>
        <w:t>以未来实施</w:t>
      </w:r>
      <w:r>
        <w:rPr>
          <w:spacing w:val="-55"/>
        </w:rPr>
        <w:t> </w:t>
      </w:r>
      <w:r>
        <w:rPr>
          <w:rFonts w:ascii="Times New Roman" w:hAnsi="Times New Roman" w:cs="Times New Roman" w:eastAsia="Times New Roman" w:hint="default"/>
        </w:rPr>
        <w:t>2018 </w:t>
      </w:r>
      <w:r>
        <w:rPr>
          <w:w w:val="99"/>
        </w:rPr>
        <w:t>年度利润分配方案的股</w:t>
      </w:r>
      <w:r>
        <w:rPr>
          <w:b w:val="0"/>
          <w:bCs w:val="0"/>
        </w:rPr>
      </w:r>
    </w:p>
    <w:p>
      <w:pPr>
        <w:pStyle w:val="Heading2"/>
        <w:spacing w:line="313" w:lineRule="exact"/>
        <w:ind w:right="1117"/>
        <w:jc w:val="left"/>
        <w:rPr>
          <w:b w:val="0"/>
          <w:bCs w:val="0"/>
        </w:rPr>
      </w:pPr>
      <w:r>
        <w:rPr/>
        <w:t>权登记日的总股本减去公司回购专户股数为基数，向全体股东每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股派发现金红利</w:t>
      </w:r>
      <w:r>
        <w:rPr>
          <w:spacing w:val="-52"/>
        </w:rPr>
        <w:t> </w:t>
      </w:r>
      <w:r>
        <w:rPr>
          <w:rFonts w:ascii="Times New Roman" w:hAnsi="Times New Roman" w:cs="Times New Roman" w:eastAsia="Times New Roman" w:hint="default"/>
        </w:rPr>
        <w:t>0.30</w:t>
      </w:r>
      <w:r>
        <w:rPr>
          <w:rFonts w:ascii="Times New Roman" w:hAnsi="Times New Roman" w:cs="Times New Roman" w:eastAsia="Times New Roman" w:hint="default"/>
          <w:spacing w:val="6"/>
        </w:rPr>
        <w:t> </w:t>
      </w:r>
      <w:r>
        <w:rPr/>
        <w:t>元</w:t>
      </w:r>
      <w:r>
        <w:rPr>
          <w:b w:val="0"/>
          <w:bCs w:val="0"/>
        </w:rPr>
      </w:r>
    </w:p>
    <w:p>
      <w:pPr>
        <w:pStyle w:val="Heading2"/>
        <w:spacing w:line="323" w:lineRule="exact"/>
        <w:ind w:right="1117"/>
        <w:jc w:val="left"/>
        <w:rPr>
          <w:b w:val="0"/>
          <w:bCs w:val="0"/>
        </w:rPr>
      </w:pPr>
      <w:r>
        <w:rPr>
          <w:w w:val="99"/>
        </w:rPr>
        <w:t>（含税</w:t>
      </w:r>
      <w:r>
        <w:rPr>
          <w:spacing w:val="-120"/>
          <w:w w:val="99"/>
        </w:rPr>
        <w:t>）</w:t>
      </w:r>
      <w:r>
        <w:rPr>
          <w:w w:val="99"/>
        </w:rPr>
        <w:t>，送红股</w:t>
      </w:r>
      <w:r>
        <w:rPr>
          <w:spacing w:val="-59"/>
        </w:rPr>
        <w:t> </w:t>
      </w:r>
      <w:r>
        <w:rPr>
          <w:rFonts w:ascii="Times New Roman" w:hAnsi="Times New Roman" w:cs="Times New Roman" w:eastAsia="Times New Roman" w:hint="default"/>
        </w:rPr>
        <w:t>0 </w:t>
      </w:r>
      <w:r>
        <w:rPr>
          <w:w w:val="99"/>
        </w:rPr>
        <w:t>股（含税</w:t>
      </w:r>
      <w:r>
        <w:rPr>
          <w:spacing w:val="-120"/>
          <w:w w:val="99"/>
        </w:rPr>
        <w:t>）</w:t>
      </w:r>
      <w:r>
        <w:rPr>
          <w:w w:val="99"/>
        </w:rPr>
        <w:t>，不以公积金转增股本。</w:t>
      </w:r>
      <w:r>
        <w:rPr>
          <w:b w:val="0"/>
          <w:bCs w:val="0"/>
        </w:rPr>
      </w:r>
    </w:p>
    <w:p>
      <w:pPr>
        <w:spacing w:after="0" w:line="323" w:lineRule="exact"/>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615" w:right="159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75"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53</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65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66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185</w:t>
            </w:r>
          </w:hyperlink>
        </w:p>
        <w:p>
          <w:pPr/>
          <w:r>
            <w:fldChar w:fldCharType="end"/>
          </w:r>
        </w:p>
      </w:sdtContent>
    </w:sdt>
    <w:p>
      <w:pPr>
        <w:spacing w:after="0"/>
        <w:sectPr>
          <w:pgSz w:w="11910" w:h="16840"/>
          <w:pgMar w:header="747" w:footer="979" w:top="1060" w:bottom="1160" w:left="980" w:right="0"/>
        </w:sectPr>
      </w:pPr>
    </w:p>
    <w:p>
      <w:pPr>
        <w:spacing w:before="946"/>
        <w:ind w:left="615" w:right="159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公司或本公司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鸿博昊天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鸿博昊天科技有限公司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昊天国彩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北京昊天国彩印刷有限公司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四川鸿海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四川鸿海印务有限公司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鸿博数网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鸿博（福建）数据网络科技股份有限公司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鸿博致远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福建鸿博致远信息科技有限公司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重庆鸿海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重庆市鸿海印务有限公司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无锡双龙信息纸有限公司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广州彩创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广州彩创网络技术有限公司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港龙贸易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福州港龙贸易有限公司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北京中科彩技术有限公司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北京科信盛彩投资有限公司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玉屏池酒业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四川玉屏池酒业有限公司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双龙物联网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无锡双龙物联网科技有限公司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中证信用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中证信用增进股份有限公司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1018696"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1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鸿博股份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002229</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鸿博股份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HONGBO</w:t>
            </w:r>
            <w:r>
              <w:rPr>
                <w:rFonts w:ascii="Times New Roman"/>
                <w:spacing w:val="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HONGBO</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尤友岳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福建省福州市金山开发区金达路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350002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福建省福州市仓山区南江滨西大道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号鸿博梅岭观海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350002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www.hb-print.com.cn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hongbo-printing@hongbo.net.cn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游清泉</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福建省福州市仓山区南江滨西大道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鸿博梅岭观海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福建省福州市仓山区南江滨西大道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鸿博梅岭观海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0591-88070028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0591-88070028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0591-88074777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0591-88074777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hongbo-printing@hongbo.net.cn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hongbo-printing@hongbo.net.cn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福建省福州市仓山区南江滨西大道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号鸿博梅岭观海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层公司 证券部</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17"/>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91350000705101637F</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117"/>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福建华兴会计师事务所</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福建省福州市湖东路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号中山大厦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座七</w:t>
            </w:r>
            <w:r>
              <w:rPr>
                <w:rFonts w:ascii="Times New Roman" w:hAnsi="Times New Roman" w:cs="Times New Roman" w:eastAsia="Times New Roman" w:hint="default"/>
                <w:sz w:val="18"/>
                <w:szCs w:val="18"/>
              </w:rPr>
              <w:t>-</w:t>
            </w:r>
            <w:r>
              <w:rPr>
                <w:rFonts w:ascii="宋体" w:hAnsi="宋体" w:cs="宋体" w:eastAsia="宋体" w:hint="default"/>
                <w:sz w:val="18"/>
                <w:szCs w:val="18"/>
              </w:rPr>
              <w:t>九楼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郑丽惠、李莉丽</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705,637,172.42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695,022,195.25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846,376,612.63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5,143,116.58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10,760,151.47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12,680,057.52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-7,422,035.40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6,974,677.58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-206.41%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440,421.89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160,805,760.73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67,784,569.86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126,853,299.21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0.0409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0.0409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2,067,181,300.80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2,109,975,370.41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2,433,709,520.34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1,605,849,097.11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1,638,832,464.31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1,647,337,997.07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25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111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17"/>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160,187,919.16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181,335,457.45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152,890,835.13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211,222,960.68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-9,514,289.88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201,694.89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3,968,165.20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10,487,546.37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-9,969,524.49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-614,108.12</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2,397,878.26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763,718.95</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-18,952,871.62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2,768,409.15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35,606,406.54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141,383,816.66</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-727,998.59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100,233.94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-341,915.56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4,389,337.10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3,700,070.30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3,429,733.42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6,911,393.12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35,631.25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9,450,000.00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1,216,507.90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1,519,092.04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1,896,933.07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3,443,187.21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-2,009,162.87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122,084.70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2,665,372.37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927,184.02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2,241,434.87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37,533.64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-2,424.50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75,765.13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12,565,151.98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3,785,473.89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12,239,635.63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17"/>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7"/>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0"/>
        <w:ind w:right="1131" w:firstLine="420"/>
        <w:jc w:val="both"/>
      </w:pPr>
      <w:r>
        <w:rPr>
          <w:spacing w:val="-1"/>
        </w:rPr>
        <w:t>报告期内，公司业务涵盖彩票热敏票与即开票印刷、彩种研发与电子彩票运营、票证产品与高端包装</w:t>
      </w:r>
      <w:r>
        <w:rPr/>
        <w:t> 印刷、</w:t>
      </w:r>
      <w:r>
        <w:rPr>
          <w:rFonts w:ascii="宋体" w:hAnsi="宋体" w:cs="宋体" w:eastAsia="宋体" w:hint="default"/>
        </w:rPr>
        <w:t>RFID</w:t>
      </w:r>
      <w:r>
        <w:rPr/>
        <w:t>智能标签及物联网服务等业务。</w:t>
      </w:r>
    </w:p>
    <w:p>
      <w:pPr>
        <w:pStyle w:val="BodyText"/>
        <w:spacing w:line="273" w:lineRule="auto"/>
        <w:ind w:left="574" w:right="1117"/>
        <w:jc w:val="left"/>
      </w:pPr>
      <w:r>
        <w:rPr/>
        <w:t>（一）公司主要产品及用途 </w:t>
      </w:r>
      <w:r>
        <w:rPr>
          <w:rFonts w:ascii="宋体" w:hAnsi="宋体" w:cs="宋体" w:eastAsia="宋体" w:hint="default"/>
          <w:spacing w:val="-1"/>
        </w:rPr>
        <w:t>1.</w:t>
      </w:r>
      <w:r>
        <w:rPr>
          <w:spacing w:val="-1"/>
        </w:rPr>
        <w:t>热敏票证与即开票业务，产品包括体彩福彩热敏纸票证、体彩即开型彩票，主要用于彩票销售。该</w:t>
      </w:r>
    </w:p>
    <w:p>
      <w:pPr>
        <w:pStyle w:val="BodyText"/>
        <w:spacing w:line="273" w:lineRule="auto"/>
        <w:ind w:left="574" w:right="1117" w:hanging="420"/>
        <w:jc w:val="left"/>
      </w:pPr>
      <w:r>
        <w:rPr/>
        <w:t>业务通过投标获取订单生产，业绩驱动主要受彩票销量的影响。 </w:t>
      </w:r>
      <w:r>
        <w:rPr>
          <w:rFonts w:ascii="宋体" w:hAnsi="宋体" w:cs="宋体" w:eastAsia="宋体" w:hint="default"/>
          <w:spacing w:val="-1"/>
        </w:rPr>
        <w:t>2.</w:t>
      </w:r>
      <w:r>
        <w:rPr>
          <w:spacing w:val="-1"/>
        </w:rPr>
        <w:t>彩种研发与电子彩票运营服务，产品包括各类新型彩票游戏以及通过手机客户端及网络在线销售电</w:t>
      </w:r>
    </w:p>
    <w:p>
      <w:pPr>
        <w:pStyle w:val="BodyText"/>
        <w:spacing w:line="273" w:lineRule="auto"/>
        <w:ind w:right="1131"/>
        <w:jc w:val="both"/>
      </w:pPr>
      <w:r>
        <w:rPr>
          <w:spacing w:val="-1"/>
        </w:rPr>
        <w:t>子彩票。业务模式为相关产品服务通过主管部门审批上线后根据销售量返点收取技术服务费或代销费，业</w:t>
      </w:r>
      <w:r>
        <w:rPr>
          <w:spacing w:val="-81"/>
        </w:rPr>
        <w:t> </w:t>
      </w:r>
      <w:r>
        <w:rPr>
          <w:spacing w:val="-81"/>
        </w:rPr>
      </w:r>
      <w:r>
        <w:rPr>
          <w:spacing w:val="-1"/>
        </w:rPr>
        <w:t>绩驱动主要受新型彩票产品、彩民数量、彩票销量及相关政策影响。由于彩种审批受市场环境、政策法规</w:t>
      </w:r>
      <w:r>
        <w:rPr>
          <w:spacing w:val="-86"/>
        </w:rPr>
        <w:t> </w:t>
      </w:r>
      <w:r>
        <w:rPr>
          <w:spacing w:val="-86"/>
        </w:rPr>
      </w:r>
      <w:r>
        <w:rPr/>
        <w:t>影响较大，公司虽成功开发了多款手机彩票游戏并积极进行市场推广，但目前尚未正式上线。</w:t>
      </w:r>
    </w:p>
    <w:p>
      <w:pPr>
        <w:pStyle w:val="BodyText"/>
        <w:spacing w:line="273" w:lineRule="auto"/>
        <w:ind w:right="1110" w:firstLine="420"/>
        <w:jc w:val="both"/>
      </w:pPr>
      <w:r>
        <w:rPr>
          <w:rFonts w:ascii="宋体" w:hAnsi="宋体" w:cs="宋体" w:eastAsia="宋体" w:hint="default"/>
          <w:spacing w:val="-1"/>
        </w:rPr>
        <w:t>3.</w:t>
      </w:r>
      <w:r>
        <w:rPr>
          <w:spacing w:val="-1"/>
        </w:rPr>
        <w:t>票证产品及高端包装业务，产品主要包括普通税务发票、证书证件、书刊以及高档酒盒等，产品主</w:t>
      </w:r>
      <w:r>
        <w:rPr/>
        <w:t> 要用于税务、金融、保险、文化、酒类包装等领域。该类产品业务业绩驱动受社会经济发展、消费水平、 </w:t>
      </w:r>
      <w:r>
        <w:rPr>
          <w:spacing w:val="-1"/>
        </w:rPr>
        <w:t>税收等因素影响。业务通过投标获取订单生产，报告期内，公司主要产品业务、经营模式均未发生重大变</w:t>
      </w:r>
      <w:r>
        <w:rPr>
          <w:spacing w:val="-86"/>
        </w:rPr>
        <w:t> </w:t>
      </w:r>
      <w:r>
        <w:rPr>
          <w:spacing w:val="-86"/>
        </w:rPr>
      </w:r>
      <w:r>
        <w:rPr/>
        <w:t>化。</w:t>
      </w:r>
    </w:p>
    <w:p>
      <w:pPr>
        <w:pStyle w:val="BodyText"/>
        <w:spacing w:line="273" w:lineRule="auto" w:before="8"/>
        <w:ind w:right="1132" w:firstLine="420"/>
        <w:jc w:val="both"/>
      </w:pPr>
      <w:r>
        <w:rPr>
          <w:rFonts w:ascii="宋体" w:hAnsi="宋体" w:cs="宋体" w:eastAsia="宋体" w:hint="default"/>
          <w:spacing w:val="-1"/>
        </w:rPr>
        <w:t>4.RFID</w:t>
      </w:r>
      <w:r>
        <w:rPr>
          <w:spacing w:val="-1"/>
        </w:rPr>
        <w:t>智能标签及物联网服务，产品服务包括金融</w:t>
      </w:r>
      <w:r>
        <w:rPr>
          <w:rFonts w:ascii="宋体" w:hAnsi="宋体" w:cs="宋体" w:eastAsia="宋体" w:hint="default"/>
          <w:spacing w:val="-1"/>
        </w:rPr>
        <w:t>IC</w:t>
      </w:r>
      <w:r>
        <w:rPr>
          <w:spacing w:val="-1"/>
        </w:rPr>
        <w:t>卡、智能标签、物联网系统开发等，产品主要应</w:t>
      </w:r>
      <w:r>
        <w:rPr/>
        <w:t> </w:t>
      </w:r>
      <w:r>
        <w:rPr>
          <w:spacing w:val="-1"/>
        </w:rPr>
        <w:t>用于金融、物流等领域。业务模式为通过投标获取订单为客户定制化生产。业绩驱动为新技术、新产品的</w:t>
      </w:r>
      <w:r>
        <w:rPr>
          <w:spacing w:val="-86"/>
        </w:rPr>
        <w:t> </w:t>
      </w:r>
      <w:r>
        <w:rPr>
          <w:spacing w:val="-86"/>
        </w:rPr>
      </w:r>
      <w:r>
        <w:rPr/>
        <w:t>应用和开发。</w:t>
      </w:r>
    </w:p>
    <w:p>
      <w:pPr>
        <w:pStyle w:val="BodyText"/>
        <w:spacing w:line="273" w:lineRule="auto"/>
        <w:ind w:left="574" w:right="1117"/>
        <w:jc w:val="left"/>
      </w:pPr>
      <w:r>
        <w:rPr/>
        <w:t>（二）公司所属行业的发展阶段、特点和行业地位 </w:t>
      </w:r>
      <w:r>
        <w:rPr>
          <w:rFonts w:ascii="宋体" w:hAnsi="宋体" w:cs="宋体" w:eastAsia="宋体" w:hint="default"/>
          <w:spacing w:val="-1"/>
        </w:rPr>
        <w:t>1.</w:t>
      </w:r>
      <w:r>
        <w:rPr>
          <w:spacing w:val="-1"/>
        </w:rPr>
        <w:t>彩票行业发展处于成熟阶段，增长较为稳定，且与社会经济发展水平高度相关。公司主营业务为热</w:t>
      </w:r>
    </w:p>
    <w:p>
      <w:pPr>
        <w:pStyle w:val="BodyText"/>
        <w:spacing w:line="273" w:lineRule="auto"/>
        <w:ind w:right="1132"/>
        <w:jc w:val="both"/>
      </w:pPr>
      <w:r>
        <w:rPr>
          <w:spacing w:val="-1"/>
        </w:rPr>
        <w:t>敏票的印刷，并占据较大市场份额，</w:t>
      </w:r>
      <w:r>
        <w:rPr>
          <w:rFonts w:ascii="宋体" w:hAnsi="宋体" w:cs="宋体" w:eastAsia="宋体" w:hint="default"/>
          <w:spacing w:val="-1"/>
        </w:rPr>
        <w:t>2015</w:t>
      </w:r>
      <w:r>
        <w:rPr>
          <w:spacing w:val="-1"/>
        </w:rPr>
        <w:t>年通过收购中科彩进入体彩即开票印刷业务领域。同时，公司积</w:t>
      </w:r>
      <w:r>
        <w:rPr>
          <w:spacing w:val="-84"/>
        </w:rPr>
        <w:t> </w:t>
      </w:r>
      <w:r>
        <w:rPr>
          <w:spacing w:val="-84"/>
        </w:rPr>
      </w:r>
      <w:r>
        <w:rPr/>
        <w:t>极布局彩种研发及电子彩票业务运营，力争打通整个彩票产业链，在彩票行业占有重要地位。</w:t>
      </w:r>
    </w:p>
    <w:p>
      <w:pPr>
        <w:pStyle w:val="BodyText"/>
        <w:spacing w:line="273" w:lineRule="auto"/>
        <w:ind w:right="1023" w:firstLine="420"/>
        <w:jc w:val="left"/>
      </w:pPr>
      <w:r>
        <w:rPr>
          <w:rFonts w:ascii="宋体" w:hAnsi="宋体" w:cs="宋体" w:eastAsia="宋体" w:hint="default"/>
        </w:rPr>
        <w:t>2.</w:t>
      </w:r>
      <w:r>
        <w:rPr/>
        <w:t>印刷行业处于发展的成熟阶段，与国民经济发展景气度相关性强。从细分领域看，商业票据行业发 </w:t>
      </w:r>
      <w:r>
        <w:rPr>
          <w:spacing w:val="-3"/>
        </w:rPr>
        <w:t>展受无纸化影响较大，增长缓慢，公司在商业票据印刷领域经过多年发展，凭借优异的产品、有效的服务、</w:t>
      </w:r>
      <w:r>
        <w:rPr>
          <w:spacing w:val="-96"/>
        </w:rPr>
        <w:t> </w:t>
      </w:r>
      <w:r>
        <w:rPr>
          <w:spacing w:val="-96"/>
        </w:rPr>
      </w:r>
      <w:r>
        <w:rPr/>
        <w:t>良好的信誉，已成为行业龙头企业之一；书刊行业市场集中度最近几年开始逐步提升，公司是北京地区书</w:t>
      </w:r>
      <w:r>
        <w:rPr/>
        <w:t> 刊印刷领域的主要参与者之一；包装印刷市场占印刷工业产值的比重较高，且与国民经济发展高度相关， 同时公司所处的酒盒包装领域迎来市场回暖，公司已成为四川地区主要的酒盒包装企业之一</w:t>
      </w:r>
    </w:p>
    <w:p>
      <w:pPr>
        <w:pStyle w:val="BodyText"/>
        <w:spacing w:line="273" w:lineRule="auto"/>
        <w:ind w:right="1110" w:firstLine="420"/>
        <w:jc w:val="both"/>
      </w:pPr>
      <w:r>
        <w:rPr>
          <w:rFonts w:ascii="宋体" w:hAnsi="宋体" w:cs="宋体" w:eastAsia="宋体" w:hint="default"/>
          <w:spacing w:val="-1"/>
        </w:rPr>
        <w:t>3.RFID</w:t>
      </w:r>
      <w:r>
        <w:rPr>
          <w:spacing w:val="-1"/>
        </w:rPr>
        <w:t>智能标签制作和物联网技术服务是公司新兴业务布局的重要板块，行业处于成长期，技术产品</w:t>
      </w:r>
      <w:r>
        <w:rPr/>
        <w:t> 更新换代较快，成长率高。行业对技术要求高、资金投入大，属于技术密集型行业。公司新进入该行业， 目前正在积极加大研发投入，增加技术储备和产品开发。</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w:t>
            </w: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2.79%</w:t>
            </w:r>
            <w:r>
              <w:rPr>
                <w:rFonts w:ascii="宋体" w:hAnsi="宋体" w:cs="宋体" w:eastAsia="宋体" w:hint="default"/>
                <w:sz w:val="18"/>
                <w:szCs w:val="18"/>
              </w:rPr>
              <w:t>，无重大变化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413.89%</w:t>
            </w:r>
            <w:r>
              <w:rPr>
                <w:rFonts w:ascii="宋体" w:hAnsi="宋体" w:cs="宋体" w:eastAsia="宋体" w:hint="default"/>
                <w:sz w:val="18"/>
                <w:szCs w:val="18"/>
              </w:rPr>
              <w:t>，主要系新增信封邮封机未转固定资产 核算所致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58.40%</w:t>
            </w:r>
            <w:r>
              <w:rPr>
                <w:rFonts w:ascii="宋体" w:hAnsi="宋体" w:cs="宋体" w:eastAsia="宋体" w:hint="default"/>
                <w:sz w:val="18"/>
                <w:szCs w:val="18"/>
              </w:rPr>
              <w:t>，主要系其他应收业绩补偿款与其他应付原股东股利抵销所致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92.79%</w:t>
            </w:r>
            <w:r>
              <w:rPr>
                <w:rFonts w:ascii="宋体" w:hAnsi="宋体" w:cs="宋体" w:eastAsia="宋体" w:hint="default"/>
                <w:sz w:val="18"/>
                <w:szCs w:val="18"/>
              </w:rPr>
              <w:t>，主要系理财产品到期收回所致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9.44%</w:t>
            </w:r>
            <w:r>
              <w:rPr>
                <w:rFonts w:ascii="宋体" w:hAnsi="宋体" w:cs="宋体" w:eastAsia="宋体" w:hint="default"/>
                <w:sz w:val="18"/>
                <w:szCs w:val="18"/>
              </w:rPr>
              <w:t>，主要系持有的四川融圣投资管理股份有限公司股权同比例减持 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8000.62%</w:t>
            </w:r>
            <w:r>
              <w:rPr>
                <w:rFonts w:ascii="宋体" w:hAnsi="宋体" w:cs="宋体" w:eastAsia="宋体" w:hint="default"/>
                <w:sz w:val="18"/>
                <w:szCs w:val="18"/>
              </w:rPr>
              <w:t>，主要系新增支付弗兰德项目的交易保证金所致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1117"/>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4" w:lineRule="exact" w:before="0"/>
        <w:ind w:left="574" w:right="1117"/>
        <w:jc w:val="left"/>
      </w:pPr>
      <w:r>
        <w:rPr/>
        <w:t>报告期内，公司核心竞争力无重大变化。</w:t>
      </w:r>
    </w:p>
    <w:p>
      <w:pPr>
        <w:pStyle w:val="BodyText"/>
        <w:spacing w:line="273" w:lineRule="auto" w:before="37"/>
        <w:ind w:right="1012" w:firstLine="420"/>
        <w:jc w:val="left"/>
      </w:pPr>
      <w:r>
        <w:rPr/>
        <w:t>第一 创新研发方面</w:t>
      </w:r>
      <w:r>
        <w:rPr>
          <w:spacing w:val="14"/>
        </w:rPr>
        <w:t> </w:t>
      </w:r>
      <w:r>
        <w:rPr>
          <w:spacing w:val="-4"/>
        </w:rPr>
        <w:t>随着公司研发投入的持续加大，公司在热敏纸票证、即开票业务、高档商业票据、</w:t>
      </w:r>
      <w:r>
        <w:rPr/>
        <w:t> 高端包装印刷、彩种研发及智能标签等方面的技术实力不断增强，品质控制以及印刷技术得到持续提高， 专利储备与新彩种开发逐步增多，公司新型产品的推出步伐不断加快，为公司综合竞争力的提升做出了重 要贡献。</w:t>
      </w:r>
    </w:p>
    <w:p>
      <w:pPr>
        <w:pStyle w:val="BodyText"/>
        <w:spacing w:line="273" w:lineRule="auto"/>
        <w:ind w:right="1117" w:firstLine="420"/>
        <w:jc w:val="left"/>
      </w:pPr>
      <w:r>
        <w:rPr/>
        <w:t>第二 产品服务</w:t>
      </w:r>
      <w:r>
        <w:rPr>
          <w:spacing w:val="-3"/>
        </w:rPr>
        <w:t> </w:t>
      </w:r>
      <w:r>
        <w:rPr/>
        <w:t>公司积极研发新产品</w:t>
      </w:r>
      <w:r>
        <w:rPr>
          <w:rFonts w:ascii="宋体" w:hAnsi="宋体" w:cs="宋体" w:eastAsia="宋体" w:hint="default"/>
        </w:rPr>
        <w:t>,</w:t>
      </w:r>
      <w:r>
        <w:rPr/>
        <w:t>开展新业务。报告期内，公司新印刷产品、新技术服务不断推 </w:t>
      </w:r>
      <w:r>
        <w:rPr>
          <w:spacing w:val="-1"/>
        </w:rPr>
        <w:t>出，新彩种储备进一步丰富。公司通过收购中科彩开展即开票印刷业务，通过募投项目进入彩票物联网服</w:t>
      </w:r>
      <w:r>
        <w:rPr>
          <w:spacing w:val="-83"/>
        </w:rPr>
        <w:t> </w:t>
      </w:r>
      <w:r>
        <w:rPr>
          <w:spacing w:val="-83"/>
        </w:rPr>
      </w:r>
      <w:r>
        <w:rPr/>
        <w:t>务领域。实现了由单一产品提供商向方案解决以及服务提供商转变。</w:t>
      </w:r>
    </w:p>
    <w:p>
      <w:pPr>
        <w:pStyle w:val="BodyText"/>
        <w:spacing w:line="273" w:lineRule="auto"/>
        <w:ind w:right="1111" w:firstLine="420"/>
        <w:jc w:val="both"/>
      </w:pPr>
      <w:r>
        <w:rPr/>
        <w:t>第三 业务布局</w:t>
      </w:r>
      <w:r>
        <w:rPr>
          <w:spacing w:val="-3"/>
        </w:rPr>
        <w:t> </w:t>
      </w:r>
      <w:r>
        <w:rPr/>
        <w:t>目前，公司建设了福州、无锡、北京、重庆、泸州五大印刷基地，形成了立足福建，</w:t>
      </w:r>
      <w:r>
        <w:rPr/>
        <w:t> </w:t>
      </w:r>
      <w:r>
        <w:rPr>
          <w:spacing w:val="-1"/>
        </w:rPr>
        <w:t>布局全国的战略格局，业务范围涵盖华南、华东、华北、西南。公司具备了以最快的速度、最短的交货周</w:t>
      </w:r>
      <w:r>
        <w:rPr>
          <w:spacing w:val="-83"/>
        </w:rPr>
        <w:t> </w:t>
      </w:r>
      <w:r>
        <w:rPr>
          <w:spacing w:val="-83"/>
        </w:rPr>
      </w:r>
      <w:r>
        <w:rPr/>
        <w:t>期为客户提供最好服务的优势。</w:t>
      </w:r>
    </w:p>
    <w:p>
      <w:pPr>
        <w:pStyle w:val="BodyText"/>
        <w:spacing w:line="273" w:lineRule="auto"/>
        <w:ind w:right="1023" w:firstLine="420"/>
        <w:jc w:val="left"/>
      </w:pPr>
      <w:r>
        <w:rPr/>
        <w:t>第四 客户优势</w:t>
      </w:r>
      <w:r>
        <w:rPr>
          <w:spacing w:val="-18"/>
        </w:rPr>
        <w:t> </w:t>
      </w:r>
      <w:r>
        <w:rPr/>
        <w:t>公司继续保持与众多金融、保险、财税以及高端白酒客户稳定的合作关系。同时积极</w:t>
      </w:r>
      <w:r>
        <w:rPr/>
        <w:t> 深耕彩票行业领域客户，通过电子彩票、彩种研发、彩票平台搭建，切入彩票上游彩种研发和下游销售领 </w:t>
      </w:r>
      <w:r>
        <w:rPr>
          <w:spacing w:val="-3"/>
        </w:rPr>
        <w:t>域。通过为客户提供个性化产品需求、系统解决方案，不断提升公司产品和服务附加值，深化与客户合作，</w:t>
      </w:r>
      <w:r>
        <w:rPr>
          <w:spacing w:val="-95"/>
        </w:rPr>
        <w:t> </w:t>
      </w:r>
      <w:r>
        <w:rPr>
          <w:spacing w:val="-95"/>
        </w:rPr>
      </w:r>
      <w:r>
        <w:rPr/>
        <w:t>进一步打造公司彩票全产业链布局，形成新的利润增长点。</w:t>
      </w:r>
    </w:p>
    <w:p>
      <w:pPr>
        <w:pStyle w:val="BodyText"/>
        <w:spacing w:line="273" w:lineRule="auto"/>
        <w:ind w:right="1132" w:firstLine="420"/>
        <w:jc w:val="both"/>
      </w:pPr>
      <w:r>
        <w:rPr/>
        <w:t>第五 管理优化</w:t>
      </w:r>
      <w:r>
        <w:rPr>
          <w:spacing w:val="-26"/>
        </w:rPr>
        <w:t> </w:t>
      </w:r>
      <w:r>
        <w:rPr/>
        <w:t>报告期内，公司进一步优化管理，一方面整合子公司电子彩票业务，另一方面加大彩</w:t>
      </w:r>
      <w:r>
        <w:rPr/>
        <w:t> </w:t>
      </w:r>
      <w:r>
        <w:rPr>
          <w:spacing w:val="-1"/>
        </w:rPr>
        <w:t>种研发投入，整合彩种研发团队。公司注重培养技术团队，不断提升企业管理层次，提高工作效率，使管</w:t>
      </w:r>
      <w:r>
        <w:rPr>
          <w:spacing w:val="-83"/>
        </w:rPr>
        <w:t> </w:t>
      </w:r>
      <w:r>
        <w:rPr>
          <w:spacing w:val="-83"/>
        </w:rPr>
      </w:r>
      <w:r>
        <w:rPr/>
        <w:t>理更加科学、合理，保证公司健康、稳定、持续发展。</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17"/>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17" w:firstLine="420"/>
        <w:jc w:val="left"/>
      </w:pPr>
      <w:r>
        <w:rPr>
          <w:spacing w:val="-1"/>
        </w:rPr>
        <w:t>报告期内，公司经营管理层在“降本增效、节俭务实”经营方针的指导下，认真贯彻执行董事会制定</w:t>
      </w:r>
      <w:r>
        <w:rPr/>
        <w:t> </w:t>
      </w:r>
      <w:r>
        <w:rPr>
          <w:spacing w:val="-1"/>
        </w:rPr>
        <w:t>的年度经营计划，针对各业务板块，继续坚持“巩固与提升、拓展与升级”的发展之路。报告期内，由于</w:t>
      </w:r>
      <w:r>
        <w:rPr>
          <w:spacing w:val="-83"/>
        </w:rPr>
        <w:t> </w:t>
      </w:r>
      <w:r>
        <w:rPr>
          <w:spacing w:val="-83"/>
        </w:rPr>
      </w:r>
      <w:r>
        <w:rPr/>
        <w:t>市场竞争激烈，原材料和人工成本上涨，公司实现营业收入</w:t>
      </w:r>
      <w:r>
        <w:rPr>
          <w:rFonts w:ascii="宋体" w:hAnsi="宋体" w:cs="宋体" w:eastAsia="宋体" w:hint="default"/>
        </w:rPr>
        <w:t>7.06</w:t>
      </w:r>
      <w:r>
        <w:rPr/>
        <w:t>亿元，与上年同期相比增长</w:t>
      </w:r>
      <w:r>
        <w:rPr>
          <w:rFonts w:ascii="宋体" w:hAnsi="宋体" w:cs="宋体" w:eastAsia="宋体" w:hint="default"/>
        </w:rPr>
        <w:t>1.53%</w:t>
      </w:r>
      <w:r>
        <w:rPr/>
        <w:t>，市场 仍取得稳固发展；实现归属于上市公司股东的净利润</w:t>
      </w:r>
      <w:r>
        <w:rPr>
          <w:rFonts w:ascii="宋体" w:hAnsi="宋体" w:cs="宋体" w:eastAsia="宋体" w:hint="default"/>
        </w:rPr>
        <w:t>514.31</w:t>
      </w:r>
      <w:r>
        <w:rPr/>
        <w:t>万元，与上年同期相比减少</w:t>
      </w:r>
      <w:r>
        <w:rPr>
          <w:rFonts w:ascii="宋体" w:hAnsi="宋体" w:cs="宋体" w:eastAsia="宋体" w:hint="default"/>
        </w:rPr>
        <w:t>52.20%</w:t>
      </w:r>
      <w:r>
        <w:rPr>
          <w:rFonts w:ascii="宋体" w:hAnsi="宋体" w:cs="宋体" w:eastAsia="宋体" w:hint="default"/>
          <w:spacing w:val="-3"/>
        </w:rPr>
        <w:t> </w:t>
      </w:r>
      <w:r>
        <w:rPr/>
        <w:t>。</w:t>
      </w:r>
    </w:p>
    <w:p>
      <w:pPr>
        <w:pStyle w:val="BodyText"/>
        <w:spacing w:line="273" w:lineRule="auto"/>
        <w:ind w:right="1117" w:firstLine="420"/>
        <w:jc w:val="left"/>
      </w:pPr>
      <w:r>
        <w:rPr/>
        <w:t>报告期内，公司各方面业务取得一定的进展。（</w:t>
      </w:r>
      <w:r>
        <w:rPr>
          <w:rFonts w:ascii="宋体" w:hAnsi="宋体" w:cs="宋体" w:eastAsia="宋体" w:hint="default"/>
        </w:rPr>
        <w:t>1</w:t>
      </w:r>
      <w:r>
        <w:rPr/>
        <w:t>）业务方面：公司高档酒盒包装业务和即开票市场 </w:t>
      </w:r>
      <w:r>
        <w:rPr>
          <w:spacing w:val="-1"/>
        </w:rPr>
        <w:t>回暖、智能卡业务收入提升，同时公司通过优化管理，降本增效等措施，降低管理成本，降低了原材料上</w:t>
      </w:r>
      <w:r>
        <w:rPr>
          <w:spacing w:val="-83"/>
        </w:rPr>
        <w:t> </w:t>
      </w:r>
      <w:r>
        <w:rPr>
          <w:spacing w:val="-83"/>
        </w:rPr>
      </w:r>
      <w:r>
        <w:rPr>
          <w:spacing w:val="-1"/>
        </w:rPr>
        <w:t>涨和人工成本上升带来的影响。新业务方面，公司开发的“快乐十分”视频型彩票游戏在重庆福彩上线测</w:t>
      </w:r>
      <w:r>
        <w:rPr>
          <w:spacing w:val="-81"/>
        </w:rPr>
        <w:t> </w:t>
      </w:r>
      <w:r>
        <w:rPr>
          <w:spacing w:val="-81"/>
        </w:rPr>
      </w:r>
      <w:r>
        <w:rPr>
          <w:spacing w:val="-1"/>
        </w:rPr>
        <w:t>试验收合格，并全面布局重庆市福利彩票发行中心各网点，新型彩票游戏正式落地；公司在报告期内投入</w:t>
      </w:r>
      <w:r>
        <w:rPr>
          <w:spacing w:val="-83"/>
        </w:rPr>
        <w:t> </w:t>
      </w:r>
      <w:r>
        <w:rPr>
          <w:spacing w:val="-83"/>
        </w:rPr>
      </w:r>
      <w:r>
        <w:rPr/>
        <w:t>体育彩票安卓终端机研发，产品已正式通过测试，公司已具备硬件提供能力。（</w:t>
      </w:r>
      <w:r>
        <w:rPr>
          <w:rFonts w:ascii="宋体" w:hAnsi="宋体" w:cs="宋体" w:eastAsia="宋体" w:hint="default"/>
        </w:rPr>
        <w:t>2</w:t>
      </w:r>
      <w:r>
        <w:rPr/>
        <w:t>）内部管理方面：公司 继续推动集团采购，</w:t>
      </w:r>
      <w:r>
        <w:rPr>
          <w:rFonts w:ascii="宋体" w:hAnsi="宋体" w:cs="宋体" w:eastAsia="宋体" w:hint="default"/>
        </w:rPr>
        <w:t>2018</w:t>
      </w:r>
      <w:r>
        <w:rPr/>
        <w:t>年度集团采购占全公司采购总额的</w:t>
      </w:r>
      <w:r>
        <w:rPr>
          <w:rFonts w:ascii="宋体" w:hAnsi="宋体" w:cs="宋体" w:eastAsia="宋体" w:hint="default"/>
        </w:rPr>
        <w:t>60%</w:t>
      </w:r>
      <w:r>
        <w:rPr/>
        <w:t>以上，初步实现内部采购集中化管理；信 息化建设方面，公司继续提升集团信息化管理水平，推动业务流程优化和</w:t>
      </w:r>
      <w:r>
        <w:rPr>
          <w:rFonts w:ascii="宋体" w:hAnsi="宋体" w:cs="宋体" w:eastAsia="宋体" w:hint="default"/>
        </w:rPr>
        <w:t>ERP</w:t>
      </w:r>
      <w:r>
        <w:rPr/>
        <w:t>模块细化，内部管理向精细 化不断迈进。（</w:t>
      </w:r>
      <w:r>
        <w:rPr>
          <w:rFonts w:ascii="宋体" w:hAnsi="宋体" w:cs="宋体" w:eastAsia="宋体" w:hint="default"/>
        </w:rPr>
        <w:t>3</w:t>
      </w:r>
      <w:r>
        <w:rPr/>
        <w:t>）社会责任方面：公司</w:t>
      </w:r>
      <w:r>
        <w:rPr>
          <w:rFonts w:ascii="宋体" w:hAnsi="宋体" w:cs="宋体" w:eastAsia="宋体" w:hint="default"/>
        </w:rPr>
        <w:t>2018</w:t>
      </w:r>
      <w:r>
        <w:rPr/>
        <w:t>年度在知识产权申请、国家秘密载体甲级资质、绿色印刷认 证和环保投入方面持续投入，连续数年跻身“中国印刷企业百强”。（</w:t>
      </w:r>
      <w:r>
        <w:rPr>
          <w:rFonts w:ascii="宋体" w:hAnsi="宋体" w:cs="宋体" w:eastAsia="宋体" w:hint="default"/>
        </w:rPr>
        <w:t>4</w:t>
      </w:r>
      <w:r>
        <w:rPr/>
        <w:t>）产业升级方面：在立足于彩票 </w:t>
      </w:r>
      <w:r>
        <w:rPr>
          <w:spacing w:val="-1"/>
        </w:rPr>
        <w:t>全产业链，巩固彩票行业地位的同时，董事会持续推动公司资产结构调整优化，推动新产业的布局，寻求</w:t>
      </w:r>
      <w:r>
        <w:rPr>
          <w:spacing w:val="-86"/>
        </w:rPr>
        <w:t> </w:t>
      </w:r>
      <w:r>
        <w:rPr>
          <w:spacing w:val="-86"/>
        </w:rPr>
      </w:r>
      <w:r>
        <w:rPr/>
        <w:t>新的并购机会，发挥资本平台优势，推动公司多元化发展。</w:t>
      </w:r>
    </w:p>
    <w:p>
      <w:pPr>
        <w:pStyle w:val="BodyText"/>
        <w:spacing w:line="273" w:lineRule="auto"/>
        <w:ind w:right="0" w:firstLine="420"/>
        <w:jc w:val="left"/>
      </w:pPr>
      <w:r>
        <w:rPr>
          <w:rFonts w:ascii="宋体" w:hAnsi="宋体" w:cs="宋体" w:eastAsia="宋体" w:hint="default"/>
          <w:spacing w:val="-1"/>
        </w:rPr>
        <w:t>2019</w:t>
      </w:r>
      <w:r>
        <w:rPr>
          <w:spacing w:val="-1"/>
        </w:rPr>
        <w:t>年，公司将继续坚持既定的发展战略，（</w:t>
      </w:r>
      <w:r>
        <w:rPr>
          <w:rFonts w:ascii="宋体" w:hAnsi="宋体" w:cs="宋体" w:eastAsia="宋体" w:hint="default"/>
          <w:spacing w:val="-1"/>
        </w:rPr>
        <w:t>1</w:t>
      </w:r>
      <w:r>
        <w:rPr>
          <w:spacing w:val="-1"/>
        </w:rPr>
        <w:t>）坚持彩票主业，加强市场开拓，提升内部管理效率，</w:t>
      </w:r>
      <w:r>
        <w:rPr/>
        <w:t> 优化公司业务和产品结构，做好产能整合和集团管控，推动公司升级转型；（</w:t>
      </w:r>
      <w:r>
        <w:rPr>
          <w:rFonts w:ascii="宋体" w:hAnsi="宋体" w:cs="宋体" w:eastAsia="宋体" w:hint="default"/>
        </w:rPr>
        <w:t>2</w:t>
      </w:r>
      <w:r>
        <w:rPr/>
        <w:t>）积极寻求相关协同产业 的发展机会和整合机会，培育新的利润增长点，推动公司业务健康可持续发展。</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117"/>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705,637,172.42</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695,022,195.25</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w:t>
            </w: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620,711,718.95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87.96%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625,285,738.16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89.97%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-0.73%</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84,925,453.47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69,736,457.09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516,497,804.87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520,617,490.84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104,213,914.08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104,668,247.32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84,925,453.47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69,736,457.09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280,188,941.36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289,702,290.32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7,050,998.91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4,208,973.88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168,684,785.17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140,712,680.09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20,709,449.50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19,329,502.55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36,824,839.85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28,001,612.01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168,909,202.99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152,018,759.19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23,041,335.56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60,229,076.57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其他（含出口）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227,619.08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819,300.64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-72.22%</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620,711,718.95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488,419,267.18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84,925,453.47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65,334,664.84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516,497,804.87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397,288,399.37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104,213,914.08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91,130,867.81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84,925,453.47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65,334,664.84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280,188,941.36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216,109,858.26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7,050,998.91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6,250,667.67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168,684,785.17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134,710,739.35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20,709,449.50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18,238,854.81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36,824,839.85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31,607,311.35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168,909,202.99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131,763,999.65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23,041,335.56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14,868,725.02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其他（含出口）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227,619.08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203,775.92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-18.67%</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体彩即开票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2,295,598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2,104,730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815,169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书刊杂志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7,896.42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5,739.68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7,936.59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热敏票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-29.98%</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2"/>
        <w:ind w:left="154" w:right="51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书刊杂志库存量较上年同期减少</w:t>
      </w:r>
      <w:r>
        <w:rPr>
          <w:rFonts w:ascii="Times New Roman" w:hAnsi="Times New Roman" w:cs="Times New Roman" w:eastAsia="Times New Roman" w:hint="default"/>
          <w:sz w:val="18"/>
          <w:szCs w:val="18"/>
        </w:rPr>
        <w:t>63.39%</w:t>
      </w:r>
      <w:r>
        <w:rPr>
          <w:rFonts w:ascii="宋体" w:hAnsi="宋体" w:cs="宋体" w:eastAsia="宋体" w:hint="default"/>
          <w:sz w:val="18"/>
          <w:szCs w:val="18"/>
        </w:rPr>
        <w:t>，是因为期末与客户结算所致。</w:t>
      </w:r>
    </w:p>
    <w:p>
      <w:pPr>
        <w:spacing w:line="240" w:lineRule="auto" w:before="8"/>
        <w:rPr>
          <w:rFonts w:ascii="宋体" w:hAnsi="宋体" w:cs="宋体" w:eastAsia="宋体" w:hint="default"/>
          <w:sz w:val="19"/>
          <w:szCs w:val="19"/>
        </w:rPr>
      </w:pPr>
    </w:p>
    <w:p>
      <w:pPr>
        <w:pStyle w:val="Heading4"/>
        <w:spacing w:line="240" w:lineRule="auto"/>
        <w:ind w:right="1117"/>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488,419,267.18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484,226,373.34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65,334,664.84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43,586,334.15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49.90%</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397,288,399.37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400,296,037.47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91,130,867.81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83,930,335.87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65,334,664.84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43,586,334.15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73" w:lineRule="auto" w:before="75"/>
        <w:ind w:right="1120" w:firstLine="480"/>
        <w:jc w:val="left"/>
      </w:pPr>
      <w:r>
        <w:rPr>
          <w:spacing w:val="-2"/>
        </w:rPr>
        <w:t>本公司报告期内新设子公司南昌彩翼通科技有限公司、海南鸿铂文化有限公司；同时注销深圳青石软</w:t>
      </w:r>
      <w:r>
        <w:rPr/>
        <w:t> 件有限公司、福建鸿博智能信息技术有限公司，导致合并范围发生变动。</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257,374,238.11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123,886,618.68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43,758,835.80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40,086,224.87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28,285,927.40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21,356,631.36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257,374,238.11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36.48%</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114,547,172.04</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246;top:14;width:2;height:353" coordorigin="4246,14" coordsize="2,353">
              <v:shape style="position:absolute;left:4246;top:14;width:2;height:353" coordorigin="4246,14" coordsize="0,353" path="m4246,14l4246,367e" filled="false" stroked="true" strokeweight="1.140pt" strokecolor="#d2d2d2">
                <v:path arrowok="t"/>
              </v:shape>
            </v:group>
            <v:group style="position:absolute;left:32;top:14;width:4202;height:353" coordorigin="32,14" coordsize="4202,353">
              <v:shape style="position:absolute;left:32;top:14;width:4202;height:353" coordorigin="32,14" coordsize="4202,353" path="m32,367l4234,367,4234,14,32,14,32,367xe" filled="true" fillcolor="#d2d2d2" stroked="false">
                <v:path arrowok="t"/>
                <v:fill type="solid"/>
              </v:shape>
            </v:group>
            <v:group style="position:absolute;left:10;top:10;width:4249;height:2" coordorigin="10,10" coordsize="4249,2">
              <v:shape style="position:absolute;left:10;top:10;width:4249;height:2" coordorigin="10,10" coordsize="4249,0" path="m10,10l4258,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8,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7998pt" strokecolor="#000000">
                <v:path arrowok="t"/>
              </v:shape>
            </v:group>
            <v:group style="position:absolute;left:4268;top:372;width:5301;height:2" coordorigin="4268,372" coordsize="5301,2">
              <v:shape style="position:absolute;left:4268;top:372;width:5301;height:2" coordorigin="4268,372" coordsize="5301,0" path="m426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32;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spacing w:before="47"/>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58,413,139.27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15,955,560.88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15,595,434.69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12,789,100.48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11,793,936.72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114,547,172.04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51,322,044.69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57,511,721.85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73,355,270.67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69,946,779.20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-5,994,254.46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4,079,042.07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-246.95%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主要系结构性存款的利息收入列财 务费用核算所致</w:t>
            </w:r>
          </w:p>
        </w:tc>
      </w:tr>
      <w:tr>
        <w:trPr>
          <w:trHeight w:val="393"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24,226,568.61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24,195,288.11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6,607,274.30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10,654,193.54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主要原因系上期对商誉计提减值准 备所致</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9,547,024.37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21,046,343.61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主要原因系可供出售金融资产持有 期间取得的投资收益较上年同期减 少所致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-722,718.94</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100,233.94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-821.03%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主要原因系处置固定资产亏损较上 期同期增加所致</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31" w:firstLine="420"/>
        <w:jc w:val="both"/>
      </w:pPr>
      <w:r>
        <w:rPr>
          <w:rFonts w:ascii="宋体" w:hAnsi="宋体" w:cs="宋体" w:eastAsia="宋体" w:hint="default"/>
          <w:spacing w:val="-1"/>
        </w:rPr>
        <w:t>2018</w:t>
      </w:r>
      <w:r>
        <w:rPr>
          <w:spacing w:val="-1"/>
        </w:rPr>
        <w:t>年公司主要围绕新产品开发、提升工艺产能、拓展技术领域及产业战略技术布局等方面开展了一</w:t>
      </w:r>
      <w:r>
        <w:rPr/>
        <w:t> </w:t>
      </w:r>
      <w:r>
        <w:rPr>
          <w:spacing w:val="-1"/>
        </w:rPr>
        <w:t>系列的技术研发项目。公司加大研发投入，加速产品升级，为企业可持续发展增添活力。全年研发投入约</w:t>
      </w:r>
      <w:r>
        <w:rPr>
          <w:spacing w:val="-86"/>
        </w:rPr>
        <w:t> </w:t>
      </w:r>
      <w:r>
        <w:rPr>
          <w:spacing w:val="-86"/>
        </w:rPr>
      </w:r>
      <w:r>
        <w:rPr>
          <w:rFonts w:ascii="宋体" w:hAnsi="宋体" w:cs="宋体" w:eastAsia="宋体" w:hint="default"/>
        </w:rPr>
        <w:t>2423</w:t>
      </w:r>
      <w:r>
        <w:rPr/>
        <w:t>万元，共申请</w:t>
      </w:r>
      <w:r>
        <w:rPr>
          <w:rFonts w:ascii="宋体" w:hAnsi="宋体" w:cs="宋体" w:eastAsia="宋体" w:hint="default"/>
        </w:rPr>
        <w:t>6</w:t>
      </w:r>
      <w:r>
        <w:rPr/>
        <w:t>项发明专利，</w:t>
      </w:r>
      <w:r>
        <w:rPr>
          <w:rFonts w:ascii="宋体" w:hAnsi="宋体" w:cs="宋体" w:eastAsia="宋体" w:hint="default"/>
        </w:rPr>
        <w:t>3</w:t>
      </w:r>
      <w:r>
        <w:rPr/>
        <w:t>项软件著作权，并授权</w:t>
      </w:r>
      <w:r>
        <w:rPr>
          <w:rFonts w:ascii="宋体" w:hAnsi="宋体" w:cs="宋体" w:eastAsia="宋体" w:hint="default"/>
        </w:rPr>
        <w:t>3</w:t>
      </w:r>
      <w:r>
        <w:rPr/>
        <w:t>项发明专利，</w:t>
      </w:r>
      <w:r>
        <w:rPr>
          <w:rFonts w:ascii="宋体" w:hAnsi="宋体" w:cs="宋体" w:eastAsia="宋体" w:hint="default"/>
        </w:rPr>
        <w:t>5</w:t>
      </w:r>
      <w:r>
        <w:rPr/>
        <w:t>项商标。</w:t>
      </w:r>
    </w:p>
    <w:p>
      <w:pPr>
        <w:pStyle w:val="BodyText"/>
        <w:spacing w:line="273" w:lineRule="auto" w:before="8"/>
        <w:ind w:right="1132" w:firstLine="420"/>
        <w:jc w:val="both"/>
      </w:pPr>
      <w:r>
        <w:rPr>
          <w:spacing w:val="-1"/>
        </w:rPr>
        <w:t>截止目前，公司共有有效专利数如下：公司共拥有有效发明专利</w:t>
      </w:r>
      <w:r>
        <w:rPr>
          <w:rFonts w:ascii="宋体" w:hAnsi="宋体" w:cs="宋体" w:eastAsia="宋体" w:hint="default"/>
          <w:spacing w:val="-1"/>
        </w:rPr>
        <w:t>21</w:t>
      </w:r>
      <w:r>
        <w:rPr>
          <w:spacing w:val="-1"/>
        </w:rPr>
        <w:t>项，实用新型专利</w:t>
      </w:r>
      <w:r>
        <w:rPr>
          <w:rFonts w:ascii="宋体" w:hAnsi="宋体" w:cs="宋体" w:eastAsia="宋体" w:hint="default"/>
          <w:spacing w:val="-1"/>
        </w:rPr>
        <w:t>53</w:t>
      </w:r>
      <w:r>
        <w:rPr>
          <w:spacing w:val="-1"/>
        </w:rPr>
        <w:t>项，软件著作</w:t>
      </w:r>
      <w:r>
        <w:rPr/>
        <w:t> 权</w:t>
      </w:r>
      <w:r>
        <w:rPr>
          <w:rFonts w:ascii="宋体" w:hAnsi="宋体" w:cs="宋体" w:eastAsia="宋体" w:hint="default"/>
        </w:rPr>
        <w:t>69</w:t>
      </w:r>
      <w:r>
        <w:rPr/>
        <w:t>项，商标</w:t>
      </w:r>
      <w:r>
        <w:rPr>
          <w:rFonts w:ascii="宋体" w:hAnsi="宋体" w:cs="宋体" w:eastAsia="宋体" w:hint="default"/>
        </w:rPr>
        <w:t>65</w:t>
      </w:r>
      <w:r>
        <w:rPr/>
        <w:t>项，作品登记</w:t>
      </w:r>
      <w:r>
        <w:rPr>
          <w:rFonts w:ascii="宋体" w:hAnsi="宋体" w:cs="宋体" w:eastAsia="宋体" w:hint="default"/>
        </w:rPr>
        <w:t>9</w:t>
      </w:r>
      <w:r>
        <w:rPr/>
        <w:t>项。另有正在申请的发明专利</w:t>
      </w:r>
      <w:r>
        <w:rPr>
          <w:rFonts w:ascii="宋体" w:hAnsi="宋体" w:cs="宋体" w:eastAsia="宋体" w:hint="default"/>
        </w:rPr>
        <w:t>11</w:t>
      </w:r>
      <w:r>
        <w:rPr/>
        <w:t>项。</w:t>
      </w:r>
    </w:p>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24,226,568.61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24,195,288.11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886,673,630.61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883,319,030.09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725,867,869.88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815,534,460.23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160,805,760.73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67,784,569.86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1,208,347,736.86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177,326,326.37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1,251,851,122.20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148,126,188.14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745.12%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-43,503,385.34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29,200,138.23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-248.98%</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154,622,681.00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235,462,071.36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455,612,994.51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-44,462,071.36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-300,990,313.51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72,857,400.40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-204,018,398.55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7"/>
        <w:ind w:left="154"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、经营活动产生的现金流量净额较上年同期增加</w:t>
      </w:r>
      <w:r>
        <w:rPr>
          <w:rFonts w:ascii="Times New Roman" w:hAnsi="Times New Roman" w:cs="Times New Roman" w:eastAsia="Times New Roman" w:hint="default"/>
          <w:sz w:val="18"/>
          <w:szCs w:val="18"/>
        </w:rPr>
        <w:t>137.23%</w:t>
      </w:r>
      <w:r>
        <w:rPr>
          <w:rFonts w:ascii="宋体" w:hAnsi="宋体" w:cs="宋体" w:eastAsia="宋体" w:hint="default"/>
          <w:sz w:val="18"/>
          <w:szCs w:val="18"/>
        </w:rPr>
        <w:t>，主要系收到的税费返还及其他与经营活动有关的现金较上年同 期增加所致。</w:t>
      </w:r>
    </w:p>
    <w:p>
      <w:pPr>
        <w:spacing w:before="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、投资活动流入小计较上年同期增加</w:t>
      </w:r>
      <w:r>
        <w:rPr>
          <w:rFonts w:ascii="Times New Roman" w:hAnsi="Times New Roman" w:cs="Times New Roman" w:eastAsia="Times New Roman" w:hint="default"/>
          <w:sz w:val="18"/>
          <w:szCs w:val="18"/>
        </w:rPr>
        <w:t>581.43%</w:t>
      </w:r>
      <w:r>
        <w:rPr>
          <w:rFonts w:ascii="宋体" w:hAnsi="宋体" w:cs="宋体" w:eastAsia="宋体" w:hint="default"/>
          <w:sz w:val="18"/>
          <w:szCs w:val="18"/>
        </w:rPr>
        <w:t>，主要系收回理财收到的现金较上年同期增加所致。</w:t>
      </w:r>
    </w:p>
    <w:p>
      <w:pPr>
        <w:spacing w:before="63"/>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、投资活动现金流出净额较上年同期增加</w:t>
      </w:r>
      <w:r>
        <w:rPr>
          <w:rFonts w:ascii="Times New Roman" w:hAnsi="Times New Roman" w:cs="Times New Roman" w:eastAsia="Times New Roman" w:hint="default"/>
          <w:sz w:val="18"/>
          <w:szCs w:val="18"/>
        </w:rPr>
        <w:t>745.12%</w:t>
      </w:r>
      <w:r>
        <w:rPr>
          <w:rFonts w:ascii="宋体" w:hAnsi="宋体" w:cs="宋体" w:eastAsia="宋体" w:hint="default"/>
          <w:sz w:val="18"/>
          <w:szCs w:val="18"/>
        </w:rPr>
        <w:t>，主要系购买理财支付的现金较上年同期增加所致。</w:t>
      </w:r>
    </w:p>
    <w:p>
      <w:pPr>
        <w:spacing w:before="63"/>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、投资活动产生的现金流量净额较上年同期减少</w:t>
      </w:r>
      <w:r>
        <w:rPr>
          <w:rFonts w:ascii="Times New Roman" w:hAnsi="Times New Roman" w:cs="Times New Roman" w:eastAsia="Times New Roman" w:hint="default"/>
          <w:sz w:val="18"/>
          <w:szCs w:val="18"/>
        </w:rPr>
        <w:t>248.98%</w:t>
      </w:r>
      <w:r>
        <w:rPr>
          <w:rFonts w:ascii="宋体" w:hAnsi="宋体" w:cs="宋体" w:eastAsia="宋体" w:hint="default"/>
          <w:sz w:val="18"/>
          <w:szCs w:val="18"/>
        </w:rPr>
        <w:t>，主要系购买理财支付的现金较上年同期增加所致。</w:t>
      </w:r>
    </w:p>
    <w:p>
      <w:pPr>
        <w:spacing w:before="63"/>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、筹资活动现金流出小计较上年同期减少</w:t>
      </w:r>
      <w:r>
        <w:rPr>
          <w:rFonts w:ascii="Times New Roman" w:hAnsi="Times New Roman" w:cs="Times New Roman" w:eastAsia="Times New Roman" w:hint="default"/>
          <w:sz w:val="18"/>
          <w:szCs w:val="18"/>
        </w:rPr>
        <w:t>48.32%</w:t>
      </w:r>
      <w:r>
        <w:rPr>
          <w:rFonts w:ascii="宋体" w:hAnsi="宋体" w:cs="宋体" w:eastAsia="宋体" w:hint="default"/>
          <w:sz w:val="18"/>
          <w:szCs w:val="18"/>
        </w:rPr>
        <w:t>，主要系偿还债务支付的现金较上年同期减少所致。</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、筹资活动产生的现金流量净额较上年同期增加</w:t>
      </w:r>
      <w:r>
        <w:rPr>
          <w:rFonts w:ascii="Times New Roman" w:hAnsi="Times New Roman" w:cs="Times New Roman" w:eastAsia="Times New Roman" w:hint="default"/>
          <w:sz w:val="18"/>
          <w:szCs w:val="18"/>
        </w:rPr>
        <w:t>85.23%</w:t>
      </w:r>
      <w:r>
        <w:rPr>
          <w:rFonts w:ascii="宋体" w:hAnsi="宋体" w:cs="宋体" w:eastAsia="宋体" w:hint="default"/>
          <w:sz w:val="18"/>
          <w:szCs w:val="18"/>
        </w:rPr>
        <w:t>，主要系偿还债务支付的现金较上年同期减少所致。</w:t>
      </w:r>
    </w:p>
    <w:p>
      <w:pPr>
        <w:spacing w:line="300" w:lineRule="auto" w:before="63"/>
        <w:ind w:left="154"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、现金及现金等价物净增加额增加</w:t>
      </w:r>
      <w:r>
        <w:rPr>
          <w:rFonts w:ascii="Times New Roman" w:hAnsi="Times New Roman" w:cs="Times New Roman" w:eastAsia="Times New Roman" w:hint="default"/>
          <w:sz w:val="18"/>
          <w:szCs w:val="18"/>
        </w:rPr>
        <w:t>135.71%</w:t>
      </w:r>
      <w:r>
        <w:rPr>
          <w:rFonts w:ascii="宋体" w:hAnsi="宋体" w:cs="宋体" w:eastAsia="宋体" w:hint="default"/>
          <w:sz w:val="18"/>
          <w:szCs w:val="18"/>
        </w:rPr>
        <w:t>，主要系经营活动产生的现金流量净额、筹资活动产生的现金流量净额较上年 同期增加所致。</w:t>
      </w:r>
    </w:p>
    <w:p>
      <w:pPr>
        <w:spacing w:before="72"/>
        <w:ind w:left="154" w:right="1117"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9,547,024.37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52.54%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both"/>
              <w:rPr>
                <w:rFonts w:ascii="宋体" w:hAnsi="宋体" w:cs="宋体" w:eastAsia="宋体" w:hint="default"/>
                <w:sz w:val="18"/>
                <w:szCs w:val="18"/>
              </w:rPr>
            </w:pPr>
            <w:r>
              <w:rPr>
                <w:rFonts w:ascii="宋体" w:hAnsi="宋体" w:cs="宋体" w:eastAsia="宋体" w:hint="default"/>
                <w:sz w:val="18"/>
                <w:szCs w:val="18"/>
              </w:rPr>
              <w:t>可供出售金融资产持有期间 取得的投资收益及理财产品 利息收入</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6,607,274.30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36.36%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主要系应收款项、存货计提 减值准备所致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26" w:right="0"/>
              <w:jc w:val="left"/>
              <w:rPr>
                <w:rFonts w:ascii="Times New Roman" w:hAnsi="Times New Roman" w:cs="Times New Roman" w:eastAsia="Times New Roman" w:hint="default"/>
                <w:sz w:val="18"/>
                <w:szCs w:val="18"/>
              </w:rPr>
            </w:pPr>
            <w:r>
              <w:rPr>
                <w:rFonts w:ascii="Times New Roman"/>
                <w:sz w:val="18"/>
              </w:rPr>
              <w:t>4,276,793.94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6" w:right="0"/>
              <w:jc w:val="left"/>
              <w:rPr>
                <w:rFonts w:ascii="Times New Roman" w:hAnsi="Times New Roman" w:cs="Times New Roman" w:eastAsia="Times New Roman" w:hint="default"/>
                <w:sz w:val="18"/>
                <w:szCs w:val="18"/>
              </w:rPr>
            </w:pPr>
            <w:r>
              <w:rPr>
                <w:rFonts w:ascii="Times New Roman"/>
                <w:sz w:val="18"/>
              </w:rPr>
              <w:t>23.54%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center"/>
              <w:rPr>
                <w:rFonts w:ascii="宋体" w:hAnsi="宋体" w:cs="宋体" w:eastAsia="宋体" w:hint="default"/>
                <w:sz w:val="18"/>
                <w:szCs w:val="18"/>
              </w:rPr>
            </w:pPr>
            <w:r>
              <w:rPr>
                <w:rFonts w:ascii="宋体" w:hAnsi="宋体" w:cs="宋体" w:eastAsia="宋体" w:hint="default"/>
                <w:sz w:val="18"/>
                <w:szCs w:val="18"/>
              </w:rPr>
              <w:t>主要系无需支付的款项所致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621,090.38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主要原因系捐赠及其他支出 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2"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117"/>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824,332,578.7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39.88%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743,756,996.47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35.25%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4.63%</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82,814,154.64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92,497,527.83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143,476,446.1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6.94%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179,270,073.41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-1.56%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596,705,806.2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28.87%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617,393,779.00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29.26%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-0.39%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948,275.86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184,528.30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7.50%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3.23%</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15,269,936.37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20,358,935.05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71"/>
        <w:gridCol w:w="1164"/>
        <w:gridCol w:w="1063"/>
        <w:gridCol w:w="1196"/>
        <w:gridCol w:w="1063"/>
        <w:gridCol w:w="798"/>
        <w:gridCol w:w="2918"/>
      </w:tblGrid>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33,958,523.01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81,634,059.25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3.87%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-2.23%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590" w:lineRule="atLeast" w:before="38"/>
        <w:ind w:left="574" w:right="1117" w:hanging="420"/>
        <w:jc w:val="left"/>
        <w:rPr>
          <w:rFonts w:ascii="宋体" w:hAnsi="宋体" w:cs="宋体" w:eastAsia="宋体" w:hint="default"/>
          <w:sz w:val="21"/>
          <w:szCs w:val="21"/>
        </w:rPr>
      </w:pPr>
      <w:bookmarkStart w:name="3、截至报告期末的资产权利受限情况" w:id="44"/>
      <w:bookmarkEnd w:id="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pacing w:val="-1"/>
          <w:sz w:val="21"/>
          <w:szCs w:val="21"/>
        </w:rPr>
        <w:t>期末其他货币资金包括：存出投资款</w:t>
      </w:r>
      <w:r>
        <w:rPr>
          <w:rFonts w:ascii="宋体" w:hAnsi="宋体" w:cs="宋体" w:eastAsia="宋体" w:hint="default"/>
          <w:spacing w:val="-1"/>
          <w:sz w:val="21"/>
          <w:szCs w:val="21"/>
        </w:rPr>
        <w:t>1,143,341.44</w:t>
      </w:r>
      <w:r>
        <w:rPr>
          <w:rFonts w:ascii="宋体" w:hAnsi="宋体" w:cs="宋体" w:eastAsia="宋体" w:hint="default"/>
          <w:spacing w:val="-1"/>
          <w:sz w:val="21"/>
          <w:szCs w:val="21"/>
        </w:rPr>
        <w:t>元、保证金</w:t>
      </w:r>
      <w:r>
        <w:rPr>
          <w:rFonts w:ascii="宋体" w:hAnsi="宋体" w:cs="宋体" w:eastAsia="宋体" w:hint="default"/>
          <w:spacing w:val="-1"/>
          <w:sz w:val="21"/>
          <w:szCs w:val="21"/>
        </w:rPr>
        <w:t>1,000,000.00</w:t>
      </w:r>
      <w:r>
        <w:rPr>
          <w:rFonts w:ascii="宋体" w:hAnsi="宋体" w:cs="宋体" w:eastAsia="宋体" w:hint="default"/>
          <w:spacing w:val="-1"/>
          <w:sz w:val="21"/>
          <w:szCs w:val="21"/>
        </w:rPr>
        <w:t>元。除其他货币资金受限</w:t>
      </w:r>
    </w:p>
    <w:p>
      <w:pPr>
        <w:pStyle w:val="BodyText"/>
        <w:spacing w:line="240" w:lineRule="auto" w:before="37"/>
        <w:ind w:right="1117"/>
        <w:jc w:val="left"/>
      </w:pPr>
      <w:r>
        <w:rPr/>
        <w:t>外，银行存款中有保证金</w:t>
      </w:r>
      <w:r>
        <w:rPr>
          <w:rFonts w:ascii="宋体" w:hAnsi="宋体" w:cs="宋体" w:eastAsia="宋体" w:hint="default"/>
        </w:rPr>
        <w:t>9,349,025.32</w:t>
      </w:r>
      <w:r>
        <w:rPr/>
        <w:t>元、定期存款</w:t>
      </w:r>
      <w:r>
        <w:rPr>
          <w:rFonts w:ascii="宋体" w:hAnsi="宋体" w:cs="宋体" w:eastAsia="宋体" w:hint="default"/>
        </w:rPr>
        <w:t>3,000,000.00</w:t>
      </w:r>
      <w:r>
        <w:rPr/>
        <w:t>元系受限资金。</w:t>
      </w:r>
    </w:p>
    <w:p>
      <w:pPr>
        <w:spacing w:line="240" w:lineRule="auto" w:before="1"/>
        <w:rPr>
          <w:rFonts w:ascii="宋体" w:hAnsi="宋体" w:cs="宋体" w:eastAsia="宋体" w:hint="default"/>
          <w:sz w:val="24"/>
          <w:szCs w:val="24"/>
        </w:rPr>
      </w:pPr>
    </w:p>
    <w:p>
      <w:pPr>
        <w:pStyle w:val="Heading2"/>
        <w:spacing w:line="240" w:lineRule="auto"/>
        <w:ind w:right="1117"/>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465.00%</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29,373.32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50,158.72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 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29,373.32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50,158.72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日，本公司募集资金累计直接投入募投项目</w:t>
            </w:r>
            <w:r>
              <w:rPr>
                <w:rFonts w:ascii="宋体" w:hAnsi="宋体" w:cs="宋体" w:eastAsia="宋体" w:hint="default"/>
                <w:spacing w:val="-50"/>
                <w:sz w:val="18"/>
                <w:szCs w:val="18"/>
              </w:rPr>
              <w:t> </w:t>
            </w:r>
            <w:r>
              <w:rPr>
                <w:rFonts w:ascii="宋体" w:hAnsi="宋体" w:cs="宋体" w:eastAsia="宋体" w:hint="default"/>
                <w:sz w:val="18"/>
                <w:szCs w:val="18"/>
              </w:rPr>
              <w:t>293,733,160.72</w:t>
            </w:r>
            <w:r>
              <w:rPr>
                <w:rFonts w:ascii="宋体" w:hAnsi="宋体" w:cs="宋体" w:eastAsia="宋体" w:hint="default"/>
                <w:spacing w:val="-50"/>
                <w:sz w:val="18"/>
                <w:szCs w:val="18"/>
              </w:rPr>
              <w:t> </w:t>
            </w:r>
            <w:r>
              <w:rPr>
                <w:rFonts w:ascii="宋体" w:hAnsi="宋体" w:cs="宋体" w:eastAsia="宋体" w:hint="default"/>
                <w:sz w:val="18"/>
                <w:szCs w:val="18"/>
              </w:rPr>
              <w:t>元，其中投入收购无锡双龙信息纸 有限公司 </w:t>
            </w:r>
            <w:r>
              <w:rPr>
                <w:rFonts w:ascii="宋体" w:hAnsi="宋体" w:cs="宋体" w:eastAsia="宋体" w:hint="default"/>
                <w:sz w:val="18"/>
                <w:szCs w:val="18"/>
              </w:rPr>
              <w:t>40%</w:t>
            </w:r>
            <w:r>
              <w:rPr>
                <w:rFonts w:ascii="宋体" w:hAnsi="宋体" w:cs="宋体" w:eastAsia="宋体" w:hint="default"/>
                <w:sz w:val="18"/>
                <w:szCs w:val="18"/>
              </w:rPr>
              <w:t>股权并增资用于“彩票物联网智能化管理及应用项目” 76,440,793.15</w:t>
            </w:r>
            <w:r>
              <w:rPr>
                <w:rFonts w:ascii="宋体" w:hAnsi="宋体" w:cs="宋体" w:eastAsia="宋体" w:hint="default"/>
                <w:spacing w:val="-46"/>
                <w:sz w:val="18"/>
                <w:szCs w:val="18"/>
              </w:rPr>
              <w:t> </w:t>
            </w:r>
            <w:r>
              <w:rPr>
                <w:rFonts w:ascii="宋体" w:hAnsi="宋体" w:cs="宋体" w:eastAsia="宋体" w:hint="default"/>
                <w:sz w:val="18"/>
                <w:szCs w:val="18"/>
              </w:rPr>
              <w:t>元，投入电子彩票研发中心项目</w:t>
            </w:r>
            <w:r>
              <w:rPr>
                <w:rFonts w:ascii="宋体" w:hAnsi="宋体" w:cs="宋体" w:eastAsia="宋体" w:hint="default"/>
                <w:sz w:val="18"/>
                <w:szCs w:val="18"/>
              </w:rPr>
              <w:t> </w:t>
            </w:r>
            <w:r>
              <w:rPr>
                <w:rFonts w:ascii="宋体" w:hAnsi="宋体" w:cs="宋体" w:eastAsia="宋体" w:hint="default"/>
                <w:sz w:val="18"/>
                <w:szCs w:val="18"/>
              </w:rPr>
              <w:t>2,876,951.64</w:t>
            </w:r>
            <w:r>
              <w:rPr>
                <w:rFonts w:ascii="宋体" w:hAnsi="宋体" w:cs="宋体" w:eastAsia="宋体" w:hint="default"/>
                <w:spacing w:val="-46"/>
                <w:sz w:val="18"/>
                <w:szCs w:val="18"/>
              </w:rPr>
              <w:t> </w:t>
            </w:r>
            <w:r>
              <w:rPr>
                <w:rFonts w:ascii="宋体" w:hAnsi="宋体" w:cs="宋体" w:eastAsia="宋体" w:hint="default"/>
                <w:sz w:val="18"/>
                <w:szCs w:val="18"/>
              </w:rPr>
              <w:t>元，投入补充流动资金项目</w:t>
            </w:r>
            <w:r>
              <w:rPr>
                <w:rFonts w:ascii="宋体" w:hAnsi="宋体" w:cs="宋体" w:eastAsia="宋体" w:hint="default"/>
                <w:spacing w:val="-46"/>
                <w:sz w:val="18"/>
                <w:szCs w:val="18"/>
              </w:rPr>
              <w:t> </w:t>
            </w:r>
            <w:r>
              <w:rPr>
                <w:rFonts w:ascii="宋体" w:hAnsi="宋体" w:cs="宋体" w:eastAsia="宋体" w:hint="default"/>
                <w:sz w:val="18"/>
                <w:szCs w:val="18"/>
              </w:rPr>
              <w:t>214,415,415.93</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0"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收购无锡双龙信息纸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股权并 增资用于</w:t>
            </w:r>
            <w:r>
              <w:rPr>
                <w:rFonts w:ascii="Times New Roman" w:hAnsi="Times New Roman" w:cs="Times New Roman" w:eastAsia="Times New Roman" w:hint="default"/>
                <w:sz w:val="18"/>
                <w:szCs w:val="18"/>
              </w:rPr>
              <w:t>"</w:t>
            </w:r>
            <w:r>
              <w:rPr>
                <w:rFonts w:ascii="宋体" w:hAnsi="宋体" w:cs="宋体" w:eastAsia="宋体" w:hint="default"/>
                <w:sz w:val="18"/>
                <w:szCs w:val="18"/>
              </w:rPr>
              <w:t>彩票物联网 智能化管理及应用项 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2"/>
              <w:jc w:val="left"/>
              <w:rPr>
                <w:rFonts w:ascii="宋体" w:hAnsi="宋体" w:cs="宋体" w:eastAsia="宋体" w:hint="default"/>
                <w:sz w:val="18"/>
                <w:szCs w:val="18"/>
              </w:rPr>
            </w:pPr>
            <w:r>
              <w:rPr>
                <w:rFonts w:ascii="宋体" w:hAnsi="宋体" w:cs="宋体" w:eastAsia="宋体" w:hint="default"/>
                <w:sz w:val="18"/>
                <w:szCs w:val="18"/>
              </w:rPr>
              <w:t>电子彩票研发中心项 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21,290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1,027.95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29,373.32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29,373.32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10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2"/>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、彩票物联网智能化管理及应用项目正在建设，资金后续会陆续投入；</w:t>
            </w:r>
          </w:p>
          <w:p>
            <w:pPr>
              <w:pStyle w:val="TableParagraph"/>
              <w:spacing w:line="240" w:lineRule="auto" w:before="103"/>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、电子彩票研发中心项目正在建设，资金后续会陆续投入；</w:t>
            </w:r>
          </w:p>
          <w:p>
            <w:pPr>
              <w:pStyle w:val="TableParagraph"/>
              <w:spacing w:line="240" w:lineRule="auto" w:before="102"/>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、补充流动资金项目资金已全部投入。</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电子彩票研发中心项目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实施地点变更为鸿博彩票（海南）有限公司住所地海南 省海口市，实施主体由公司本部变更为鸿博彩票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尚未使用的募集资金存在募集资金专户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117"/>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1117"/>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重庆市鸿海 印务有限公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包装装潢印 刷品、防伪 票证、其他 印刷品印制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259,412,951.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186,835,017.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159,191,210.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541,233.08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-208,324.26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无锡双龙信 息纸有限公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包装装潢印 刷品印刷； 其他印刷品 印刷。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139,798,460.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109,960,839.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87,469,744.8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2,679,243.48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2,203,439.60</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鸿博昊天科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出版物印 刷、包装装 潢品印刷、 其他印刷品 印刷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388,060,955.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252,540,188.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136,487,643.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-2,460,329.4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-2,608,844.8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北京科信盛 彩投资有限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项目投资； 投资管理； 投资咨询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227,042,547.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187,447,150.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124,628,168.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21,858,722.4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19,173,820.6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南昌彩翼通科技有限公司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福建鸿博智能信息技术有限公司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海南鸿铂文化有限公司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深圳青石软件有限公司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1117"/>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4" w:right="7182"/>
        <w:jc w:val="left"/>
      </w:pPr>
      <w:r>
        <w:rPr/>
        <w:t>（一）行业竞争格局和发展趋势： </w:t>
      </w:r>
      <w:r>
        <w:rPr>
          <w:rFonts w:ascii="宋体" w:hAnsi="宋体" w:cs="宋体" w:eastAsia="宋体" w:hint="default"/>
        </w:rPr>
        <w:t>1</w:t>
      </w:r>
      <w:r>
        <w:rPr/>
        <w:t>、行业竞争格局</w:t>
      </w:r>
    </w:p>
    <w:p>
      <w:pPr>
        <w:pStyle w:val="BodyText"/>
        <w:spacing w:line="273" w:lineRule="auto"/>
        <w:ind w:right="1117" w:firstLine="420"/>
        <w:jc w:val="left"/>
      </w:pPr>
      <w:r>
        <w:rPr/>
        <w:t>（</w:t>
      </w:r>
      <w:r>
        <w:rPr>
          <w:rFonts w:ascii="宋体" w:hAnsi="宋体" w:cs="宋体" w:eastAsia="宋体" w:hint="default"/>
        </w:rPr>
        <w:t>1</w:t>
      </w:r>
      <w:r>
        <w:rPr/>
        <w:t>）彩票行业属于国家严格监管行业，产业链主要包括彩种研发、彩票印刷、终端设备、彩票销售 </w:t>
      </w:r>
      <w:r>
        <w:rPr>
          <w:spacing w:val="-1"/>
        </w:rPr>
        <w:t>等环节，除彩票实体店销售外各环节的参与者相对集中，多数需要第三方检测机构认证和相关监管部门的</w:t>
      </w:r>
      <w:r>
        <w:rPr>
          <w:spacing w:val="-81"/>
        </w:rPr>
        <w:t> </w:t>
      </w:r>
      <w:r>
        <w:rPr>
          <w:spacing w:val="-81"/>
        </w:rPr>
      </w:r>
      <w:r>
        <w:rPr/>
        <w:t>许可，进入门槛比较高，各个环节均有几家大型企业主导市场，属于非充分竞争行业。</w:t>
      </w:r>
    </w:p>
    <w:p>
      <w:pPr>
        <w:pStyle w:val="BodyText"/>
        <w:spacing w:line="273" w:lineRule="auto"/>
        <w:ind w:right="0" w:firstLine="420"/>
        <w:jc w:val="left"/>
      </w:pPr>
      <w:r>
        <w:rPr>
          <w:spacing w:val="-1"/>
        </w:rPr>
        <w:t>（</w:t>
      </w:r>
      <w:r>
        <w:rPr>
          <w:rFonts w:ascii="宋体" w:hAnsi="宋体" w:cs="宋体" w:eastAsia="宋体" w:hint="default"/>
          <w:spacing w:val="-1"/>
        </w:rPr>
        <w:t>2</w:t>
      </w:r>
      <w:r>
        <w:rPr>
          <w:spacing w:val="-1"/>
        </w:rPr>
        <w:t>）票据票证印刷行业发展已充分市场化，企业类型以中小企业居多，产品结构单一，技术水平低，</w:t>
      </w:r>
      <w:r>
        <w:rPr/>
        <w:t> 企业之间主要靠价格赢得市场。书刊印制及包装印刷属于充分竞争市场，市场集中度低。随着国家供给侧 改革的推进和环保执法的深入开展，行业面临产能结构优化，业务转型升级，大型企业仍存在整合机会。</w:t>
      </w:r>
    </w:p>
    <w:p>
      <w:pPr>
        <w:pStyle w:val="BodyText"/>
        <w:spacing w:line="240" w:lineRule="auto"/>
        <w:ind w:left="574" w:right="1117"/>
        <w:jc w:val="left"/>
      </w:pPr>
      <w:r>
        <w:rPr>
          <w:rFonts w:ascii="宋体" w:hAnsi="宋体" w:cs="宋体" w:eastAsia="宋体" w:hint="default"/>
        </w:rPr>
        <w:t>2</w:t>
      </w:r>
      <w:r>
        <w:rPr/>
        <w:t>、发展趋势</w:t>
      </w:r>
    </w:p>
    <w:p>
      <w:pPr>
        <w:pStyle w:val="BodyText"/>
        <w:spacing w:line="240" w:lineRule="auto" w:before="37"/>
        <w:ind w:left="574" w:right="1117"/>
        <w:jc w:val="left"/>
      </w:pPr>
      <w:r>
        <w:rPr/>
        <w:t>（</w:t>
      </w:r>
      <w:r>
        <w:rPr>
          <w:rFonts w:ascii="宋体" w:hAnsi="宋体" w:cs="宋体" w:eastAsia="宋体" w:hint="default"/>
        </w:rPr>
        <w:t>1</w:t>
      </w:r>
      <w:r>
        <w:rPr/>
        <w:t>）彩票行业：监管趋严，注重“责任”</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随着彩票销量的增长，彩票行业的监管将越来越重要、越来越严格。主管机构继续保持对擅自利用互</w:t>
      </w:r>
      <w:r>
        <w:rPr/>
        <w:t> </w:t>
      </w:r>
      <w:r>
        <w:rPr>
          <w:spacing w:val="-1"/>
        </w:rPr>
        <w:t>联网彩票销售行为的严查高压态势。同时，“责任彩票”将越来越受到国家主管机构的重视。相关法律法</w:t>
      </w:r>
      <w:r>
        <w:rPr>
          <w:spacing w:val="-82"/>
        </w:rPr>
        <w:t> </w:t>
      </w:r>
      <w:r>
        <w:rPr>
          <w:spacing w:val="-82"/>
        </w:rPr>
      </w:r>
      <w:r>
        <w:rPr>
          <w:spacing w:val="-1"/>
        </w:rPr>
        <w:t>规的出台将进一步规范彩票行业相关方的责任，推动彩票行业合规运营、科学监管，从而促进彩票行业健</w:t>
      </w:r>
      <w:r>
        <w:rPr>
          <w:spacing w:val="-83"/>
        </w:rPr>
        <w:t> </w:t>
      </w:r>
      <w:r>
        <w:rPr>
          <w:spacing w:val="-83"/>
        </w:rPr>
      </w:r>
      <w:r>
        <w:rPr/>
        <w:t>康发展。</w:t>
      </w:r>
    </w:p>
    <w:p>
      <w:pPr>
        <w:pStyle w:val="BodyText"/>
        <w:spacing w:line="273" w:lineRule="auto" w:before="8"/>
        <w:ind w:left="574" w:right="1117"/>
        <w:jc w:val="left"/>
      </w:pPr>
      <w:r>
        <w:rPr/>
        <w:t>（</w:t>
      </w:r>
      <w:r>
        <w:rPr>
          <w:rFonts w:ascii="宋体" w:hAnsi="宋体" w:cs="宋体" w:eastAsia="宋体" w:hint="default"/>
        </w:rPr>
        <w:t>2</w:t>
      </w:r>
      <w:r>
        <w:rPr/>
        <w:t>）印刷行业：环保要求提高，经营成本上升，企业整合加快 </w:t>
      </w:r>
      <w:r>
        <w:rPr>
          <w:spacing w:val="-1"/>
        </w:rPr>
        <w:t>整体来看，整个印刷产业工业总产值在缓慢增长。印刷企业生产线自动化、智能化程度不断提高，以</w:t>
      </w:r>
    </w:p>
    <w:p>
      <w:pPr>
        <w:pStyle w:val="BodyText"/>
        <w:spacing w:line="273" w:lineRule="auto"/>
        <w:ind w:right="1130"/>
        <w:jc w:val="both"/>
      </w:pPr>
      <w:r>
        <w:rPr>
          <w:spacing w:val="-1"/>
        </w:rPr>
        <w:t>节约不断上升的人力成本。绿色印刷将越来越受到政府重视，部分地区已经开始强制实施，甚至出台措施</w:t>
      </w:r>
      <w:r>
        <w:rPr>
          <w:spacing w:val="-82"/>
        </w:rPr>
        <w:t> </w:t>
      </w:r>
      <w:r>
        <w:rPr>
          <w:spacing w:val="-82"/>
        </w:rPr>
      </w:r>
      <w:r>
        <w:rPr>
          <w:spacing w:val="-1"/>
        </w:rPr>
        <w:t>限制印刷产业的发展。由于经营成本的上升、环保要求和产品技术要求的提高，大部分中小印刷企业面临</w:t>
      </w:r>
      <w:r>
        <w:rPr>
          <w:spacing w:val="-83"/>
        </w:rPr>
        <w:t> </w:t>
      </w:r>
      <w:r>
        <w:rPr>
          <w:spacing w:val="-83"/>
        </w:rPr>
      </w:r>
      <w:r>
        <w:rPr>
          <w:spacing w:val="-1"/>
        </w:rPr>
        <w:t>被市场淘汰的局面，大型印刷企业为避免恶性竞争将通过股权重组、企业整合实现强强联合，企业整合进</w:t>
      </w:r>
      <w:r>
        <w:rPr>
          <w:spacing w:val="-83"/>
        </w:rPr>
        <w:t> </w:t>
      </w:r>
      <w:r>
        <w:rPr>
          <w:spacing w:val="-83"/>
        </w:rPr>
      </w:r>
      <w:r>
        <w:rPr/>
        <w:t>程加快。</w:t>
      </w:r>
    </w:p>
    <w:p>
      <w:pPr>
        <w:pStyle w:val="BodyText"/>
        <w:spacing w:line="273" w:lineRule="auto"/>
        <w:ind w:right="1131" w:firstLine="420"/>
        <w:jc w:val="both"/>
      </w:pPr>
      <w:r>
        <w:rPr>
          <w:spacing w:val="-1"/>
        </w:rPr>
        <w:t>细分行业来看，随着互联网金融、信息数据化的发展，商业票据票据印刷行业面临市场萎缩、产品结</w:t>
      </w:r>
      <w:r>
        <w:rPr/>
        <w:t> </w:t>
      </w:r>
      <w:r>
        <w:rPr>
          <w:spacing w:val="-1"/>
        </w:rPr>
        <w:t>构调整、产业转型升级。拥有高档防伪技术、符合国家税制改革而来的票证改革要求的大型票据企业将有</w:t>
      </w:r>
      <w:r>
        <w:rPr>
          <w:spacing w:val="-83"/>
        </w:rPr>
        <w:t> </w:t>
      </w:r>
      <w:r>
        <w:rPr>
          <w:spacing w:val="-83"/>
        </w:rPr>
      </w:r>
      <w:r>
        <w:rPr>
          <w:spacing w:val="-1"/>
        </w:rPr>
        <w:t>更大的发展空间。书刊杂志印刷成本上涨、绿色环保以及转型升级的压力，行业薄利甚至微利将持续较长</w:t>
      </w:r>
      <w:r>
        <w:rPr>
          <w:spacing w:val="-83"/>
        </w:rPr>
        <w:t> </w:t>
      </w:r>
      <w:r>
        <w:rPr>
          <w:spacing w:val="-83"/>
        </w:rPr>
      </w:r>
      <w:r>
        <w:rPr>
          <w:spacing w:val="-1"/>
        </w:rPr>
        <w:t>时间。行业内企业优胜劣汰将进一步加剧，符合环保政策、拥有先进印刷技术以及优秀管理的企业将迎来</w:t>
      </w:r>
      <w:r>
        <w:rPr>
          <w:spacing w:val="-83"/>
        </w:rPr>
        <w:t> </w:t>
      </w:r>
      <w:r>
        <w:rPr>
          <w:spacing w:val="-83"/>
        </w:rPr>
      </w:r>
      <w:r>
        <w:rPr/>
        <w:t>整合和发展的机遇。</w:t>
      </w:r>
    </w:p>
    <w:p>
      <w:pPr>
        <w:pStyle w:val="BodyText"/>
        <w:spacing w:line="273" w:lineRule="auto"/>
        <w:ind w:left="784" w:right="8443" w:hanging="211"/>
        <w:jc w:val="left"/>
      </w:pPr>
      <w:r>
        <w:rPr/>
        <w:t>（二）公司发展战略 </w:t>
      </w:r>
      <w:r>
        <w:rPr>
          <w:rFonts w:ascii="宋体" w:hAnsi="宋体" w:cs="宋体" w:eastAsia="宋体" w:hint="default"/>
        </w:rPr>
        <w:t>1</w:t>
      </w:r>
      <w:r>
        <w:rPr/>
        <w:t>、总体发展战略</w:t>
      </w:r>
    </w:p>
    <w:p>
      <w:pPr>
        <w:pStyle w:val="BodyText"/>
        <w:spacing w:line="273" w:lineRule="auto"/>
        <w:ind w:right="1023" w:firstLine="420"/>
        <w:jc w:val="left"/>
      </w:pPr>
      <w:r>
        <w:rPr/>
        <w:t>从单一的票据印刷企业发展成为集高端包装、数字印刷、彩票服务等为一体的综合性企业；从彩票印 </w:t>
      </w:r>
      <w:r>
        <w:rPr>
          <w:spacing w:val="-3"/>
        </w:rPr>
        <w:t>刷发展为集彩种研发、网络终端销售、技术平台构建为一体的彩票运营与服务商；以技术创新、管理创新、</w:t>
      </w:r>
      <w:r>
        <w:rPr>
          <w:spacing w:val="-95"/>
        </w:rPr>
        <w:t> </w:t>
      </w:r>
      <w:r>
        <w:rPr>
          <w:spacing w:val="-95"/>
        </w:rPr>
      </w:r>
      <w:r>
        <w:rPr/>
        <w:t>经营模式创新来提升企业核心竞争力，创建可持续发展、有社会责任的现代化综合型企业集团。</w:t>
      </w:r>
    </w:p>
    <w:p>
      <w:pPr>
        <w:pStyle w:val="BodyText"/>
        <w:spacing w:line="240" w:lineRule="auto"/>
        <w:ind w:left="615" w:right="8396"/>
        <w:jc w:val="center"/>
      </w:pPr>
      <w:r>
        <w:rPr>
          <w:rFonts w:ascii="宋体" w:hAnsi="宋体" w:cs="宋体" w:eastAsia="宋体" w:hint="default"/>
        </w:rPr>
        <w:t>2</w:t>
      </w:r>
      <w:r>
        <w:rPr/>
        <w:t>、业务发展战略</w:t>
      </w:r>
    </w:p>
    <w:p>
      <w:pPr>
        <w:pStyle w:val="BodyText"/>
        <w:spacing w:line="273" w:lineRule="auto" w:before="37"/>
        <w:ind w:right="1117" w:firstLine="420"/>
        <w:jc w:val="left"/>
      </w:pPr>
      <w:r>
        <w:rPr/>
        <w:t>（</w:t>
      </w:r>
      <w:r>
        <w:rPr>
          <w:rFonts w:ascii="宋体" w:hAnsi="宋体" w:cs="宋体" w:eastAsia="宋体" w:hint="default"/>
        </w:rPr>
        <w:t>1</w:t>
      </w:r>
      <w:r>
        <w:rPr/>
        <w:t>）以彩票印制为基础，持续投入彩种研发，做好技术储备工作，重视无纸化彩票的个性化服务推 </w:t>
      </w:r>
      <w:r>
        <w:rPr>
          <w:spacing w:val="-1"/>
        </w:rPr>
        <w:t>广和系统平台建设；通过产业链延伸和市场开拓，提供彩票游戏开发、彩票印刷和物流配送、彩票社会化</w:t>
      </w:r>
      <w:r>
        <w:rPr>
          <w:spacing w:val="-86"/>
        </w:rPr>
        <w:t> </w:t>
      </w:r>
      <w:r>
        <w:rPr>
          <w:spacing w:val="-86"/>
        </w:rPr>
      </w:r>
      <w:r>
        <w:rPr/>
        <w:t>运营等为一体的全方位彩票服务业务，将公司打造成全产业链的综合彩票服务商。</w:t>
      </w:r>
    </w:p>
    <w:p>
      <w:pPr>
        <w:pStyle w:val="BodyText"/>
        <w:spacing w:line="240" w:lineRule="auto"/>
        <w:ind w:left="574" w:right="1117"/>
        <w:jc w:val="left"/>
      </w:pPr>
      <w:r>
        <w:rPr/>
        <w:t>（</w:t>
      </w:r>
      <w:r>
        <w:rPr>
          <w:rFonts w:ascii="宋体" w:hAnsi="宋体" w:cs="宋体" w:eastAsia="宋体" w:hint="default"/>
        </w:rPr>
        <w:t>2</w:t>
      </w:r>
      <w:r>
        <w:rPr/>
        <w:t>）稳定目前核心业务，优化产品结构，积极推广智能包装和智能票证应用。</w:t>
      </w:r>
    </w:p>
    <w:p>
      <w:pPr>
        <w:pStyle w:val="BodyText"/>
        <w:spacing w:line="273" w:lineRule="auto" w:before="37"/>
        <w:ind w:right="0" w:firstLine="420"/>
        <w:jc w:val="left"/>
      </w:pPr>
      <w:r>
        <w:rPr>
          <w:spacing w:val="-1"/>
        </w:rPr>
        <w:t>（</w:t>
      </w:r>
      <w:r>
        <w:rPr>
          <w:rFonts w:ascii="宋体" w:hAnsi="宋体" w:cs="宋体" w:eastAsia="宋体" w:hint="default"/>
          <w:spacing w:val="-1"/>
        </w:rPr>
        <w:t>3</w:t>
      </w:r>
      <w:r>
        <w:rPr>
          <w:spacing w:val="-1"/>
        </w:rPr>
        <w:t>）根据公司长远发展规划，通过产业整合、并购等方式切入新兴产业，实现数个产业的协同发展，</w:t>
      </w:r>
      <w:r>
        <w:rPr/>
        <w:t> 为公司实现跨越式发展提供动力。</w:t>
      </w:r>
    </w:p>
    <w:p>
      <w:pPr>
        <w:pStyle w:val="BodyText"/>
        <w:spacing w:line="273" w:lineRule="auto"/>
        <w:ind w:right="1197" w:firstLine="420"/>
        <w:jc w:val="left"/>
      </w:pPr>
      <w:r>
        <w:rPr/>
        <w:t>（</w:t>
      </w:r>
      <w:r>
        <w:rPr>
          <w:rFonts w:ascii="宋体" w:hAnsi="宋体" w:cs="宋体" w:eastAsia="宋体" w:hint="default"/>
        </w:rPr>
        <w:t>4</w:t>
      </w:r>
      <w:r>
        <w:rPr/>
        <w:t>）进一步优化资产结构，充分运用资本市场平台优势，不断创新和加大研发投入，对公司传统业 务进行转型升级，创建有社会责任的企业集团。</w:t>
      </w:r>
    </w:p>
    <w:p>
      <w:pPr>
        <w:pStyle w:val="BodyText"/>
        <w:spacing w:line="273" w:lineRule="auto"/>
        <w:ind w:left="574" w:right="1197"/>
        <w:jc w:val="left"/>
      </w:pPr>
      <w:r>
        <w:rPr/>
        <w:t>（三）经营计划： </w:t>
      </w:r>
      <w:r>
        <w:rPr>
          <w:rFonts w:ascii="宋体" w:hAnsi="宋体" w:cs="宋体" w:eastAsia="宋体" w:hint="default"/>
        </w:rPr>
        <w:t>1</w:t>
      </w:r>
      <w:r>
        <w:rPr/>
        <w:t>、进一步加强票证业务整合力度。</w:t>
      </w:r>
      <w:r>
        <w:rPr>
          <w:rFonts w:ascii="宋体" w:hAnsi="宋体" w:cs="宋体" w:eastAsia="宋体" w:hint="default"/>
        </w:rPr>
        <w:t>2019</w:t>
      </w:r>
      <w:r>
        <w:rPr/>
        <w:t>年重点针对已经整合的销售团队和生产基地产能，着力推进</w:t>
      </w:r>
    </w:p>
    <w:p>
      <w:pPr>
        <w:pStyle w:val="BodyText"/>
        <w:spacing w:line="273" w:lineRule="auto"/>
        <w:ind w:right="1133"/>
        <w:jc w:val="both"/>
      </w:pPr>
      <w:r>
        <w:rPr>
          <w:spacing w:val="-1"/>
        </w:rPr>
        <w:t>市场开拓，优化公司业务和产品结构，提高集中采购比例，提升营销效率和内部管理效率，做好产能整合</w:t>
      </w:r>
      <w:r>
        <w:rPr>
          <w:spacing w:val="-86"/>
        </w:rPr>
        <w:t> </w:t>
      </w:r>
      <w:r>
        <w:rPr>
          <w:spacing w:val="-86"/>
        </w:rPr>
      </w:r>
      <w:r>
        <w:rPr/>
        <w:t>和集团管控，通过管理提升主业经营效益。</w:t>
      </w:r>
    </w:p>
    <w:p>
      <w:pPr>
        <w:pStyle w:val="BodyText"/>
        <w:spacing w:line="273" w:lineRule="auto"/>
        <w:ind w:right="1197" w:firstLine="420"/>
        <w:jc w:val="left"/>
      </w:pPr>
      <w:r>
        <w:rPr>
          <w:rFonts w:ascii="宋体" w:hAnsi="宋体" w:cs="宋体" w:eastAsia="宋体" w:hint="default"/>
        </w:rPr>
        <w:t>2</w:t>
      </w:r>
      <w:r>
        <w:rPr/>
        <w:t>、继续加强新兴产业支持力度。彩票新业务方面重点推进视频彩项目、社会化运营等，在产业链中 挖掘利润；同时，在原有业务基础上，寻找匹配的新业务、新市场，做大包装印刷业务。</w:t>
      </w:r>
    </w:p>
    <w:p>
      <w:pPr>
        <w:pStyle w:val="BodyText"/>
        <w:spacing w:line="273" w:lineRule="auto"/>
        <w:ind w:right="1197" w:firstLine="420"/>
        <w:jc w:val="left"/>
      </w:pPr>
      <w:r>
        <w:rPr>
          <w:rFonts w:ascii="宋体" w:hAnsi="宋体" w:cs="宋体" w:eastAsia="宋体" w:hint="default"/>
        </w:rPr>
        <w:t>3</w:t>
      </w:r>
      <w:r>
        <w:rPr/>
        <w:t>、提升资产运营效率。对公司资产通过对外出租、资产合作运营等方式，提高资产运营效率，重点 推动本部资产和鸿博昊天资产盘活。</w:t>
      </w:r>
    </w:p>
    <w:p>
      <w:pPr>
        <w:pStyle w:val="BodyText"/>
        <w:spacing w:line="273" w:lineRule="auto"/>
        <w:ind w:left="574" w:right="1117"/>
        <w:jc w:val="left"/>
      </w:pPr>
      <w:r>
        <w:rPr/>
        <w:t>（四）资金安排 </w:t>
      </w:r>
      <w:r>
        <w:rPr>
          <w:spacing w:val="-1"/>
        </w:rPr>
        <w:t>公司自有资金充裕，资产负债率低，金融机构授信充足，公司将充分利用自有资金和募集资金，落实</w:t>
      </w:r>
    </w:p>
    <w:p>
      <w:pPr>
        <w:pStyle w:val="BodyText"/>
        <w:spacing w:line="240" w:lineRule="auto"/>
        <w:ind w:right="0"/>
        <w:jc w:val="both"/>
      </w:pPr>
      <w:r>
        <w:rPr/>
        <w:t>年度经营计划。</w:t>
      </w:r>
    </w:p>
    <w:p>
      <w:pPr>
        <w:pStyle w:val="BodyText"/>
        <w:spacing w:line="273" w:lineRule="auto" w:before="37"/>
        <w:ind w:left="574" w:right="6762"/>
        <w:jc w:val="left"/>
      </w:pPr>
      <w:r>
        <w:rPr/>
        <w:t>（五）公司可能面临的风险和应对措施 </w:t>
      </w:r>
      <w:r>
        <w:rPr>
          <w:rFonts w:ascii="宋体" w:hAnsi="宋体" w:cs="宋体" w:eastAsia="宋体" w:hint="default"/>
        </w:rPr>
        <w:t>1</w:t>
      </w:r>
      <w:r>
        <w:rPr/>
        <w:t>、可能面对的风险：</w:t>
      </w:r>
    </w:p>
    <w:p>
      <w:pPr>
        <w:pStyle w:val="BodyText"/>
        <w:spacing w:line="273" w:lineRule="auto"/>
        <w:ind w:right="0" w:firstLine="420"/>
        <w:jc w:val="left"/>
      </w:pPr>
      <w:r>
        <w:rPr>
          <w:spacing w:val="-1"/>
        </w:rPr>
        <w:t>（</w:t>
      </w:r>
      <w:r>
        <w:rPr>
          <w:rFonts w:ascii="宋体" w:hAnsi="宋体" w:cs="宋体" w:eastAsia="宋体" w:hint="default"/>
          <w:spacing w:val="-1"/>
        </w:rPr>
        <w:t>1</w:t>
      </w:r>
      <w:r>
        <w:rPr>
          <w:spacing w:val="-1"/>
        </w:rPr>
        <w:t>）产能结构性过剩。普通出版物印刷在电子化和网络化冲击下，面临结构性产能过剩、增速放缓、</w:t>
      </w:r>
      <w:r>
        <w:rPr/>
        <w:t> 价格竞争激烈等市场环境，对公司经营管理层的市场开拓能力有新的挑战。</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97" w:firstLine="420"/>
        <w:jc w:val="left"/>
      </w:pPr>
      <w:r>
        <w:rPr/>
        <w:t>（</w:t>
      </w:r>
      <w:r>
        <w:rPr>
          <w:rFonts w:ascii="宋体" w:hAnsi="宋体" w:cs="宋体" w:eastAsia="宋体" w:hint="default"/>
        </w:rPr>
        <w:t>2</w:t>
      </w:r>
      <w:r>
        <w:rPr/>
        <w:t>）经营成本上升。随着环保压力的增大，纸张、油墨等原材料价格和人力成本的上升，市场竞争 的加剧，企业毛利率逐步下降。</w:t>
      </w:r>
    </w:p>
    <w:p>
      <w:pPr>
        <w:pStyle w:val="BodyText"/>
        <w:spacing w:line="273" w:lineRule="auto"/>
        <w:ind w:right="1197" w:firstLine="420"/>
        <w:jc w:val="left"/>
      </w:pPr>
      <w:r>
        <w:rPr/>
        <w:t>（</w:t>
      </w:r>
      <w:r>
        <w:rPr>
          <w:rFonts w:ascii="宋体" w:hAnsi="宋体" w:cs="宋体" w:eastAsia="宋体" w:hint="default"/>
        </w:rPr>
        <w:t>3</w:t>
      </w:r>
      <w:r>
        <w:rPr/>
        <w:t>）电子彩票业务的政策性风险。目前，国家对电子彩票的互联网代购代销政策仍然不明朗，电话 售彩也处于暂停审批阶段。</w:t>
      </w:r>
    </w:p>
    <w:p>
      <w:pPr>
        <w:pStyle w:val="BodyText"/>
        <w:spacing w:line="240" w:lineRule="auto" w:before="8"/>
        <w:ind w:left="574" w:right="1117"/>
        <w:jc w:val="left"/>
      </w:pPr>
      <w:r>
        <w:rPr>
          <w:rFonts w:ascii="宋体" w:hAnsi="宋体" w:cs="宋体" w:eastAsia="宋体" w:hint="default"/>
        </w:rPr>
        <w:t>2</w:t>
      </w:r>
      <w:r>
        <w:rPr/>
        <w:t>、应对措施：</w:t>
      </w:r>
    </w:p>
    <w:p>
      <w:pPr>
        <w:pStyle w:val="BodyText"/>
        <w:spacing w:line="273" w:lineRule="auto" w:before="37"/>
        <w:ind w:right="1197" w:firstLine="420"/>
        <w:jc w:val="left"/>
      </w:pPr>
      <w:r>
        <w:rPr/>
        <w:t>（</w:t>
      </w:r>
      <w:r>
        <w:rPr>
          <w:rFonts w:ascii="宋体" w:hAnsi="宋体" w:cs="宋体" w:eastAsia="宋体" w:hint="default"/>
        </w:rPr>
        <w:t>1</w:t>
      </w:r>
      <w:r>
        <w:rPr/>
        <w:t>）面对产能结构性过剩，公司通过调整产品结构和业务结构，运用新产品新技术引导客户需求， 实现业务的转型升级。同时，重新整合营销队伍，加强销售人员培训，提升管理销售能力。</w:t>
      </w:r>
    </w:p>
    <w:p>
      <w:pPr>
        <w:pStyle w:val="BodyText"/>
        <w:spacing w:line="273" w:lineRule="auto"/>
        <w:ind w:right="1197" w:firstLine="420"/>
        <w:jc w:val="left"/>
      </w:pPr>
      <w:r>
        <w:rPr/>
        <w:t>（</w:t>
      </w:r>
      <w:r>
        <w:rPr>
          <w:rFonts w:ascii="宋体" w:hAnsi="宋体" w:cs="宋体" w:eastAsia="宋体" w:hint="default"/>
        </w:rPr>
        <w:t>2</w:t>
      </w:r>
      <w:r>
        <w:rPr/>
        <w:t>）面对经营成本上升，公司将进一步降本增效，强化集中采购管理，改造工艺流程，提高生产自 动化程度，同时优化人员结构，加强员工培训，提升员工专业技能，提升生产效率。</w:t>
      </w:r>
    </w:p>
    <w:p>
      <w:pPr>
        <w:pStyle w:val="BodyText"/>
        <w:spacing w:line="273" w:lineRule="auto"/>
        <w:ind w:right="1197" w:firstLine="420"/>
        <w:jc w:val="left"/>
      </w:pPr>
      <w:r>
        <w:rPr/>
        <w:t>（</w:t>
      </w:r>
      <w:r>
        <w:rPr>
          <w:rFonts w:ascii="宋体" w:hAnsi="宋体" w:cs="宋体" w:eastAsia="宋体" w:hint="default"/>
        </w:rPr>
        <w:t>3</w:t>
      </w:r>
      <w:r>
        <w:rPr/>
        <w:t>）通过企业信息化建设，进一步推动公司总部、各事业部及分子公司职能及业务的优化整合，实 现信息共享、资源整合、业务协同，进一步降低公司运营成本和管理成本。</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1117"/>
        <w:jc w:val="left"/>
        <w:rPr>
          <w:b w:val="0"/>
          <w:bCs w:val="0"/>
        </w:rPr>
      </w:pPr>
      <w:bookmarkStart w:name="十一、 2019年投资者关系管理计划" w:id="62"/>
      <w:bookmarkEnd w:id="62"/>
      <w:r>
        <w:rPr>
          <w:b w:val="0"/>
          <w:bCs w:val="0"/>
        </w:rPr>
      </w:r>
      <w:r>
        <w:rPr/>
        <w:t>十一、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年投资者关系管理计划</w:t>
      </w:r>
      <w:r>
        <w:rPr>
          <w:b w:val="0"/>
          <w:bCs w:val="0"/>
        </w:rPr>
      </w:r>
    </w:p>
    <w:p>
      <w:pPr>
        <w:spacing w:line="240" w:lineRule="auto" w:before="2"/>
        <w:rPr>
          <w:rFonts w:ascii="宋体" w:hAnsi="宋体" w:cs="宋体" w:eastAsia="宋体" w:hint="default"/>
          <w:b/>
          <w:bCs/>
          <w:sz w:val="23"/>
          <w:szCs w:val="23"/>
        </w:rPr>
      </w:pPr>
    </w:p>
    <w:p>
      <w:pPr>
        <w:pStyle w:val="BodyText"/>
        <w:spacing w:line="273" w:lineRule="auto" w:before="0"/>
        <w:ind w:right="1197" w:firstLine="420"/>
        <w:jc w:val="left"/>
      </w:pPr>
      <w:r>
        <w:rPr/>
        <w:t>为进一步提升公司投资者关系管理工作的质量和水平</w:t>
      </w:r>
      <w:r>
        <w:rPr>
          <w:rFonts w:ascii="宋体" w:hAnsi="宋体" w:cs="宋体" w:eastAsia="宋体" w:hint="default"/>
        </w:rPr>
        <w:t>,</w:t>
      </w:r>
      <w:r>
        <w:rPr/>
        <w:t>加强公司与投资者之间的信息沟通</w:t>
      </w:r>
      <w:r>
        <w:rPr>
          <w:rFonts w:ascii="宋体" w:hAnsi="宋体" w:cs="宋体" w:eastAsia="宋体" w:hint="default"/>
        </w:rPr>
        <w:t>,</w:t>
      </w:r>
      <w:r>
        <w:rPr/>
        <w:t>公司根据 相关法律法规及《投资者关系管理制度》的规定，并结合公司实际情况</w:t>
      </w:r>
      <w:r>
        <w:rPr>
          <w:rFonts w:ascii="宋体" w:hAnsi="宋体" w:cs="宋体" w:eastAsia="宋体" w:hint="default"/>
        </w:rPr>
        <w:t>,</w:t>
      </w:r>
      <w:r>
        <w:rPr/>
        <w:t>制定了</w:t>
      </w:r>
      <w:r>
        <w:rPr>
          <w:rFonts w:ascii="宋体" w:hAnsi="宋体" w:cs="宋体" w:eastAsia="宋体" w:hint="default"/>
        </w:rPr>
        <w:t>2019</w:t>
      </w:r>
      <w:r>
        <w:rPr/>
        <w:t>年度投资者关系管理 工作计划。</w:t>
      </w:r>
    </w:p>
    <w:p>
      <w:pPr>
        <w:pStyle w:val="BodyText"/>
        <w:spacing w:line="240" w:lineRule="auto"/>
        <w:ind w:left="574" w:right="1117"/>
        <w:jc w:val="left"/>
      </w:pPr>
      <w:r>
        <w:rPr/>
        <w:t>（一）投资者关系管理的原则</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1197"/>
        <w:jc w:val="left"/>
      </w:pPr>
      <w:r>
        <w:rPr/>
        <w:t>公司投资者关系管理应遵循以下原则： </w:t>
      </w:r>
      <w:r>
        <w:rPr>
          <w:rFonts w:ascii="宋体" w:hAnsi="宋体" w:cs="宋体" w:eastAsia="宋体" w:hint="default"/>
        </w:rPr>
        <w:t>1</w:t>
      </w:r>
      <w:r>
        <w:rPr/>
        <w:t>、充分披露信息原则。除根据相关法律法规要求履行信息披露义务外，公司可主动披露投资者关心</w:t>
      </w:r>
    </w:p>
    <w:p>
      <w:pPr>
        <w:pStyle w:val="BodyText"/>
        <w:spacing w:line="273" w:lineRule="auto"/>
        <w:ind w:left="574" w:right="1197" w:hanging="420"/>
        <w:jc w:val="left"/>
      </w:pPr>
      <w:r>
        <w:rPr/>
        <w:t>的其他相关信息。 </w:t>
      </w:r>
      <w:r>
        <w:rPr>
          <w:rFonts w:ascii="宋体" w:hAnsi="宋体" w:cs="宋体" w:eastAsia="宋体" w:hint="default"/>
        </w:rPr>
        <w:t>2</w:t>
      </w:r>
      <w:r>
        <w:rPr/>
        <w:t>、合规披露信息原则。公司应遵守国家法律、法规及证券监管部门、证券交易所对上市公司信息披</w:t>
      </w:r>
    </w:p>
    <w:p>
      <w:pPr>
        <w:pStyle w:val="BodyText"/>
        <w:spacing w:line="273" w:lineRule="auto" w:before="8"/>
        <w:ind w:right="1117"/>
        <w:jc w:val="left"/>
      </w:pPr>
      <w:r>
        <w:rPr>
          <w:spacing w:val="-1"/>
        </w:rPr>
        <w:t>露的规定，保证信息披露真实、准确、完整、及时。在开展投资者关系工作时应注意未公开重大信息的保</w:t>
      </w:r>
      <w:r>
        <w:rPr>
          <w:spacing w:val="-83"/>
        </w:rPr>
        <w:t> </w:t>
      </w:r>
      <w:r>
        <w:rPr>
          <w:spacing w:val="-83"/>
        </w:rPr>
      </w:r>
      <w:r>
        <w:rPr/>
        <w:t>密，一旦出现泄密的情形，公司应当按有关规定及时予以披露。</w:t>
      </w:r>
    </w:p>
    <w:p>
      <w:pPr>
        <w:pStyle w:val="BodyText"/>
        <w:spacing w:line="240" w:lineRule="auto"/>
        <w:ind w:left="574" w:right="1117"/>
        <w:jc w:val="left"/>
      </w:pPr>
      <w:r>
        <w:rPr>
          <w:rFonts w:ascii="宋体" w:hAnsi="宋体" w:cs="宋体" w:eastAsia="宋体" w:hint="default"/>
        </w:rPr>
        <w:t>3</w:t>
      </w:r>
      <w:r>
        <w:rPr/>
        <w:t>、诚实守信原则。公司的投资者关系工作应客观、真实和准确，避免过度宣传和误导。</w:t>
      </w:r>
    </w:p>
    <w:p>
      <w:pPr>
        <w:pStyle w:val="BodyText"/>
        <w:spacing w:line="240" w:lineRule="auto" w:before="37"/>
        <w:ind w:left="574" w:right="1117"/>
        <w:jc w:val="left"/>
      </w:pPr>
      <w:r>
        <w:rPr>
          <w:rFonts w:ascii="宋体" w:hAnsi="宋体" w:cs="宋体" w:eastAsia="宋体" w:hint="default"/>
        </w:rPr>
        <w:t>4</w:t>
      </w:r>
      <w:r>
        <w:rPr/>
        <w:t>、高效低耗原则。选择投资者关系工作方式时，公司应充分考虑提高沟通效率，降低沟通成本。</w:t>
      </w:r>
    </w:p>
    <w:p>
      <w:pPr>
        <w:pStyle w:val="BodyText"/>
        <w:spacing w:line="273" w:lineRule="auto" w:before="37"/>
        <w:ind w:right="1197" w:firstLine="420"/>
        <w:jc w:val="left"/>
      </w:pPr>
      <w:r>
        <w:rPr>
          <w:rFonts w:ascii="宋体" w:hAnsi="宋体" w:cs="宋体" w:eastAsia="宋体" w:hint="default"/>
        </w:rPr>
        <w:t>5</w:t>
      </w:r>
      <w:r>
        <w:rPr/>
        <w:t>、互动沟通原则。公司应主动听取投资者的意见、建议，实现公司与投资者之间的双向沟通，形成 良性互动。</w:t>
      </w:r>
    </w:p>
    <w:p>
      <w:pPr>
        <w:pStyle w:val="BodyText"/>
        <w:spacing w:line="273" w:lineRule="auto"/>
        <w:ind w:left="574" w:right="1197"/>
        <w:jc w:val="left"/>
      </w:pPr>
      <w:r>
        <w:rPr/>
        <w:t>（二）投资者关系管理的目标 </w:t>
      </w:r>
      <w:r>
        <w:rPr>
          <w:rFonts w:ascii="宋体" w:hAnsi="宋体" w:cs="宋体" w:eastAsia="宋体" w:hint="default"/>
        </w:rPr>
        <w:t>1</w:t>
      </w:r>
      <w:r>
        <w:rPr/>
        <w:t>、建立形成与投资者双向沟通渠道和有效机制，促进公司与投资者之间的良性关系，增进投资者对</w:t>
      </w:r>
    </w:p>
    <w:p>
      <w:pPr>
        <w:pStyle w:val="BodyText"/>
        <w:spacing w:line="273" w:lineRule="auto"/>
        <w:ind w:left="574" w:right="5607" w:hanging="420"/>
        <w:jc w:val="left"/>
      </w:pPr>
      <w:r>
        <w:rPr/>
        <w:t>公司的进一步了解和熟悉，并获得认同与支持。 </w:t>
      </w:r>
      <w:r>
        <w:rPr>
          <w:rFonts w:ascii="宋体" w:hAnsi="宋体" w:cs="宋体" w:eastAsia="宋体" w:hint="default"/>
        </w:rPr>
        <w:t>2</w:t>
      </w:r>
      <w:r>
        <w:rPr/>
        <w:t>、建立稳定和优质的投资者基础，获得市场认可。</w:t>
      </w:r>
    </w:p>
    <w:p>
      <w:pPr>
        <w:pStyle w:val="BodyText"/>
        <w:spacing w:line="240" w:lineRule="auto"/>
        <w:ind w:left="574" w:right="1117"/>
        <w:jc w:val="left"/>
      </w:pPr>
      <w:r>
        <w:rPr>
          <w:rFonts w:ascii="宋体" w:hAnsi="宋体" w:cs="宋体" w:eastAsia="宋体" w:hint="default"/>
        </w:rPr>
        <w:t>3</w:t>
      </w:r>
      <w:r>
        <w:rPr/>
        <w:t>、形成服务投资者、尊重投资者的投资服务理念。</w:t>
      </w:r>
    </w:p>
    <w:p>
      <w:pPr>
        <w:pStyle w:val="BodyText"/>
        <w:spacing w:line="240" w:lineRule="auto" w:before="37"/>
        <w:ind w:left="574" w:right="1117"/>
        <w:jc w:val="left"/>
      </w:pPr>
      <w:r>
        <w:rPr>
          <w:rFonts w:ascii="宋体" w:hAnsi="宋体" w:cs="宋体" w:eastAsia="宋体" w:hint="default"/>
        </w:rPr>
        <w:t>4</w:t>
      </w:r>
      <w:r>
        <w:rPr/>
        <w:t>、促进公司整体利益最大化和股东财富增长并举的投资理念。</w:t>
      </w:r>
    </w:p>
    <w:p>
      <w:pPr>
        <w:pStyle w:val="BodyText"/>
        <w:spacing w:line="240" w:lineRule="auto" w:before="37"/>
        <w:ind w:left="574" w:right="1117"/>
        <w:jc w:val="left"/>
      </w:pPr>
      <w:r>
        <w:rPr>
          <w:rFonts w:ascii="宋体" w:hAnsi="宋体" w:cs="宋体" w:eastAsia="宋体" w:hint="default"/>
        </w:rPr>
        <w:t>5</w:t>
      </w:r>
      <w:r>
        <w:rPr/>
        <w:t>、通过充分的信息披露，增加公司信息披露透明度，不断完善公司治理。</w:t>
      </w:r>
    </w:p>
    <w:p>
      <w:pPr>
        <w:pStyle w:val="BodyText"/>
        <w:spacing w:line="273" w:lineRule="auto" w:before="37"/>
        <w:ind w:left="574" w:right="1117"/>
        <w:jc w:val="left"/>
      </w:pPr>
      <w:r>
        <w:rPr/>
        <w:t>（三）投资者关系管理的组织机构 </w:t>
      </w:r>
      <w:r>
        <w:rPr>
          <w:spacing w:val="-1"/>
        </w:rPr>
        <w:t>公司证券部为公司的投资者关系管理职能部门，具体负责公司投资者关系管理事务。公司董事会秘书</w:t>
      </w:r>
    </w:p>
    <w:p>
      <w:pPr>
        <w:pStyle w:val="BodyText"/>
        <w:spacing w:line="273" w:lineRule="auto"/>
        <w:ind w:right="1092"/>
        <w:jc w:val="left"/>
      </w:pPr>
      <w:r>
        <w:rPr/>
        <w:t>作为公司投资者关系管理负责人，全面负责公司投资者关系管理工作，在全面深入了解公司运作和管理、 经营状况、发展战略等情况下，负责策划、安排和组织各类投资者关系管理活动。</w:t>
      </w:r>
    </w:p>
    <w:p>
      <w:pPr>
        <w:pStyle w:val="BodyText"/>
        <w:spacing w:line="273" w:lineRule="auto"/>
        <w:ind w:left="574" w:right="1197"/>
        <w:jc w:val="left"/>
      </w:pPr>
      <w:r>
        <w:rPr/>
        <w:t>（四）投资者关系管理工作的具体内容 </w:t>
      </w:r>
      <w:r>
        <w:rPr>
          <w:rFonts w:ascii="宋体" w:hAnsi="宋体" w:cs="宋体" w:eastAsia="宋体" w:hint="default"/>
        </w:rPr>
        <w:t>2019</w:t>
      </w:r>
      <w:r>
        <w:rPr/>
        <w:t>年度，公司将根据有关要求，进一步做好投资者关系管理工作，具体包括以下几方面： 信息披露与沟通方面 </w:t>
      </w:r>
      <w:r>
        <w:rPr>
          <w:rFonts w:ascii="宋体" w:hAnsi="宋体" w:cs="宋体" w:eastAsia="宋体" w:hint="default"/>
        </w:rPr>
        <w:t>1</w:t>
      </w:r>
      <w:r>
        <w:rPr/>
        <w:t>、做好公司各次股东大会的组织筹备工作，积极开展网络投票，保障股东特别是中小股东依法行使</w:t>
      </w:r>
    </w:p>
    <w:p>
      <w:pPr>
        <w:pStyle w:val="BodyText"/>
        <w:spacing w:line="240" w:lineRule="auto"/>
        <w:ind w:right="1117"/>
        <w:jc w:val="left"/>
      </w:pPr>
      <w:r>
        <w:rPr/>
        <w:t>权力。</w:t>
      </w:r>
    </w:p>
    <w:p>
      <w:pPr>
        <w:pStyle w:val="BodyText"/>
        <w:spacing w:line="240" w:lineRule="auto" w:before="37"/>
        <w:ind w:left="574" w:right="0"/>
        <w:jc w:val="left"/>
      </w:pPr>
      <w:r>
        <w:rPr>
          <w:rFonts w:ascii="宋体" w:hAnsi="宋体" w:cs="宋体" w:eastAsia="宋体" w:hint="default"/>
          <w:spacing w:val="-3"/>
        </w:rPr>
        <w:t>2</w:t>
      </w:r>
      <w:r>
        <w:rPr>
          <w:spacing w:val="-3"/>
        </w:rPr>
        <w:t>、严格按照信息披露格式要求，及时披露各类信息</w:t>
      </w:r>
      <w:r>
        <w:rPr>
          <w:rFonts w:ascii="宋体" w:hAnsi="宋体" w:cs="宋体" w:eastAsia="宋体" w:hint="default"/>
          <w:spacing w:val="-3"/>
        </w:rPr>
        <w:t>,</w:t>
      </w:r>
      <w:r>
        <w:rPr>
          <w:spacing w:val="-3"/>
        </w:rPr>
        <w:t>确保股东及投资者及时掌握公司的临时动态信息。</w:t>
      </w:r>
    </w:p>
    <w:p>
      <w:pPr>
        <w:pStyle w:val="BodyText"/>
        <w:spacing w:line="273" w:lineRule="auto" w:before="37"/>
        <w:ind w:right="1117" w:firstLine="420"/>
        <w:jc w:val="left"/>
      </w:pPr>
      <w:r>
        <w:rPr>
          <w:rFonts w:ascii="宋体" w:hAnsi="宋体" w:cs="宋体" w:eastAsia="宋体" w:hint="default"/>
        </w:rPr>
        <w:t>3</w:t>
      </w:r>
      <w:r>
        <w:rPr/>
        <w:t>、积极组织公司董事、监事、高级管理人员及保荐代表人参加公司网上业绩说明会、投资者开放日 </w:t>
      </w:r>
      <w:r>
        <w:rPr>
          <w:spacing w:val="-1"/>
        </w:rPr>
        <w:t>活动（如有）及中小投资者走进上市公司活动（如有），在遵循信息披露相关原则的基础上全面、细致地</w:t>
      </w:r>
      <w:r>
        <w:rPr>
          <w:spacing w:val="-83"/>
        </w:rPr>
        <w:t> </w:t>
      </w:r>
      <w:r>
        <w:rPr>
          <w:spacing w:val="-83"/>
        </w:rPr>
      </w:r>
      <w:r>
        <w:rPr/>
        <w:t>回答投资者提出的问题。</w:t>
      </w:r>
    </w:p>
    <w:p>
      <w:pPr>
        <w:pStyle w:val="BodyText"/>
        <w:spacing w:line="273" w:lineRule="auto"/>
        <w:ind w:right="1117" w:firstLine="420"/>
        <w:jc w:val="left"/>
      </w:pPr>
      <w:r>
        <w:rPr>
          <w:rFonts w:ascii="宋体" w:hAnsi="宋体" w:cs="宋体" w:eastAsia="宋体" w:hint="default"/>
          <w:spacing w:val="-1"/>
        </w:rPr>
        <w:t>4</w:t>
      </w:r>
      <w:r>
        <w:rPr>
          <w:spacing w:val="-1"/>
        </w:rPr>
        <w:t>、保持公司投资者接待专线（</w:t>
      </w:r>
      <w:r>
        <w:rPr>
          <w:rFonts w:ascii="宋体" w:hAnsi="宋体" w:cs="宋体" w:eastAsia="宋体" w:hint="default"/>
          <w:spacing w:val="-1"/>
        </w:rPr>
        <w:t>0591-88070028</w:t>
      </w:r>
      <w:r>
        <w:rPr>
          <w:spacing w:val="-1"/>
        </w:rPr>
        <w:t>）畅通，认真对待投资者的来电。做好股东与投资者的</w:t>
      </w:r>
      <w:r>
        <w:rPr/>
        <w:t> 来访、接待工作，以热情、认真、负责的态度</w:t>
      </w:r>
      <w:r>
        <w:rPr>
          <w:rFonts w:ascii="宋体" w:hAnsi="宋体" w:cs="宋体" w:eastAsia="宋体" w:hint="default"/>
        </w:rPr>
        <w:t>,</w:t>
      </w:r>
      <w:r>
        <w:rPr/>
        <w:t>耐心、细致地回答股东与投资者提出的问题；做好股东和 投资者的来信、来函回复工作</w:t>
      </w:r>
      <w:r>
        <w:rPr>
          <w:rFonts w:ascii="宋体" w:hAnsi="宋体" w:cs="宋体" w:eastAsia="宋体" w:hint="default"/>
        </w:rPr>
        <w:t>,</w:t>
      </w:r>
      <w:r>
        <w:rPr/>
        <w:t>及时回复股东和投资者的质询</w:t>
      </w:r>
      <w:r>
        <w:rPr>
          <w:rFonts w:ascii="宋体" w:hAnsi="宋体" w:cs="宋体" w:eastAsia="宋体" w:hint="default"/>
        </w:rPr>
        <w:t>,</w:t>
      </w:r>
      <w:r>
        <w:rPr/>
        <w:t>解答各种疑难问题。</w:t>
      </w:r>
    </w:p>
    <w:p>
      <w:pPr>
        <w:pStyle w:val="BodyText"/>
        <w:spacing w:line="273" w:lineRule="auto"/>
        <w:ind w:left="574" w:right="1197"/>
        <w:jc w:val="left"/>
      </w:pPr>
      <w:r>
        <w:rPr/>
        <w:t>公司舆情管理方面 </w:t>
      </w:r>
      <w:r>
        <w:rPr>
          <w:rFonts w:ascii="宋体" w:hAnsi="宋体" w:cs="宋体" w:eastAsia="宋体" w:hint="default"/>
        </w:rPr>
        <w:t>5</w:t>
      </w:r>
      <w:r>
        <w:rPr/>
        <w:t>、持续关注公司股票交易情况</w:t>
      </w:r>
      <w:r>
        <w:rPr>
          <w:rFonts w:ascii="宋体" w:hAnsi="宋体" w:cs="宋体" w:eastAsia="宋体" w:hint="default"/>
        </w:rPr>
        <w:t>,</w:t>
      </w:r>
      <w:r>
        <w:rPr/>
        <w:t>当公司股票交易价格、成交量出现异常波动时</w:t>
      </w:r>
      <w:r>
        <w:rPr>
          <w:rFonts w:ascii="宋体" w:hAnsi="宋体" w:cs="宋体" w:eastAsia="宋体" w:hint="default"/>
        </w:rPr>
        <w:t>,</w:t>
      </w:r>
      <w:r>
        <w:rPr/>
        <w:t>公司立即自查是否存</w:t>
      </w:r>
    </w:p>
    <w:p>
      <w:pPr>
        <w:pStyle w:val="BodyText"/>
        <w:spacing w:line="273" w:lineRule="auto"/>
        <w:ind w:left="574" w:right="1197" w:hanging="420"/>
        <w:jc w:val="left"/>
        <w:rPr>
          <w:rFonts w:ascii="宋体" w:hAnsi="宋体" w:cs="宋体" w:eastAsia="宋体" w:hint="default"/>
        </w:rPr>
      </w:pPr>
      <w:r>
        <w:rPr/>
        <w:t>在应披露而未披露的重大信息</w:t>
      </w:r>
      <w:r>
        <w:rPr>
          <w:rFonts w:ascii="宋体" w:hAnsi="宋体" w:cs="宋体" w:eastAsia="宋体" w:hint="default"/>
        </w:rPr>
        <w:t>,</w:t>
      </w:r>
      <w:r>
        <w:rPr/>
        <w:t>做好相关方面的沟通协调工作</w:t>
      </w:r>
      <w:r>
        <w:rPr>
          <w:rFonts w:ascii="宋体" w:hAnsi="宋体" w:cs="宋体" w:eastAsia="宋体" w:hint="default"/>
        </w:rPr>
        <w:t>,</w:t>
      </w:r>
      <w:r>
        <w:rPr/>
        <w:t>及时披露公司股票异常波动公告。 </w:t>
      </w:r>
      <w:r>
        <w:rPr>
          <w:rFonts w:ascii="宋体" w:hAnsi="宋体" w:cs="宋体" w:eastAsia="宋体" w:hint="default"/>
        </w:rPr>
        <w:t>6</w:t>
      </w:r>
      <w:r>
        <w:rPr/>
        <w:t>、密切关注深圳证券交易所互动平台，及时了解投资者的提问和舆情监控信息</w:t>
      </w:r>
      <w:r>
        <w:rPr>
          <w:rFonts w:ascii="宋体" w:hAnsi="宋体" w:cs="宋体" w:eastAsia="宋体" w:hint="default"/>
        </w:rPr>
        <w:t>,</w:t>
      </w:r>
      <w:r>
        <w:rPr/>
        <w:t>回复投资者的提问</w:t>
      </w:r>
      <w:r>
        <w:rPr>
          <w:rFonts w:ascii="宋体" w:hAnsi="宋体" w:cs="宋体" w:eastAsia="宋体" w:hint="default"/>
        </w:rPr>
        <w:t>,</w:t>
      </w:r>
    </w:p>
    <w:p>
      <w:pPr>
        <w:pStyle w:val="BodyText"/>
        <w:spacing w:line="273" w:lineRule="auto"/>
        <w:ind w:left="574" w:right="1197" w:hanging="420"/>
        <w:jc w:val="left"/>
      </w:pPr>
      <w:r>
        <w:rPr/>
        <w:t>对舆情信息进行核对、说明或澄清。对公司网站及时进行更新，避免对投资者产生误导。 </w:t>
      </w:r>
      <w:r>
        <w:rPr>
          <w:rFonts w:ascii="宋体" w:hAnsi="宋体" w:cs="宋体" w:eastAsia="宋体" w:hint="default"/>
        </w:rPr>
        <w:t>7</w:t>
      </w:r>
      <w:r>
        <w:rPr/>
        <w:t>、持续关注媒体报道，及时澄清不实信息，持续关注新闻媒体及互联网上有关公司的各类信息及传</w:t>
      </w:r>
    </w:p>
    <w:p>
      <w:pPr>
        <w:pStyle w:val="BodyText"/>
        <w:spacing w:line="273" w:lineRule="auto"/>
        <w:ind w:right="1117"/>
        <w:jc w:val="left"/>
      </w:pPr>
      <w:r>
        <w:rPr>
          <w:spacing w:val="-1"/>
        </w:rPr>
        <w:t>闻</w:t>
      </w:r>
      <w:r>
        <w:rPr>
          <w:rFonts w:ascii="宋体" w:hAnsi="宋体" w:cs="宋体" w:eastAsia="宋体" w:hint="default"/>
          <w:spacing w:val="-1"/>
        </w:rPr>
        <w:t>,</w:t>
      </w:r>
      <w:r>
        <w:rPr>
          <w:spacing w:val="-1"/>
        </w:rPr>
        <w:t>及时进行求证和核实，对公司股票交易价格可能产生较大影响或影响投资者决策的信息</w:t>
      </w:r>
      <w:r>
        <w:rPr>
          <w:rFonts w:ascii="宋体" w:hAnsi="宋体" w:cs="宋体" w:eastAsia="宋体" w:hint="default"/>
          <w:spacing w:val="-1"/>
        </w:rPr>
        <w:t>,</w:t>
      </w:r>
      <w:r>
        <w:rPr>
          <w:spacing w:val="-1"/>
        </w:rPr>
        <w:t>及时向深圳证</w:t>
      </w:r>
      <w:r>
        <w:rPr>
          <w:spacing w:val="-83"/>
        </w:rPr>
        <w:t> </w:t>
      </w:r>
      <w:r>
        <w:rPr>
          <w:spacing w:val="-83"/>
        </w:rPr>
      </w:r>
      <w:r>
        <w:rPr/>
        <w:t>券交易所报告。</w:t>
      </w:r>
    </w:p>
    <w:p>
      <w:pPr>
        <w:pStyle w:val="BodyText"/>
        <w:spacing w:line="273" w:lineRule="auto"/>
        <w:ind w:left="574" w:right="1197"/>
        <w:jc w:val="left"/>
      </w:pPr>
      <w:r>
        <w:rPr/>
        <w:t>其他相关工作 </w:t>
      </w:r>
      <w:r>
        <w:rPr>
          <w:rFonts w:ascii="宋体" w:hAnsi="宋体" w:cs="宋体" w:eastAsia="宋体" w:hint="default"/>
        </w:rPr>
        <w:t>8</w:t>
      </w:r>
      <w:r>
        <w:rPr/>
        <w:t>、做好投资者关系管理培训工作，积极参加中国证监会、深圳证券交易所和福建省证监局等部门机</w:t>
      </w:r>
    </w:p>
    <w:p>
      <w:pPr>
        <w:pStyle w:val="BodyText"/>
        <w:spacing w:line="240" w:lineRule="auto"/>
        <w:ind w:right="1117"/>
        <w:jc w:val="left"/>
      </w:pPr>
      <w:r>
        <w:rPr/>
        <w:t>构举办的相关业务培训，提升内部管理人员素质和专业水平，更好的为投资者提供服务。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97" w:firstLine="420"/>
        <w:jc w:val="left"/>
      </w:pPr>
      <w:r>
        <w:rPr>
          <w:rFonts w:ascii="宋体" w:hAnsi="宋体" w:cs="宋体" w:eastAsia="宋体" w:hint="default"/>
        </w:rPr>
        <w:t>9</w:t>
      </w:r>
      <w:r>
        <w:rPr/>
        <w:t>、积极探索、借鉴其他有利于投资者关系管理工作开展的方式、方法及途径，不断提高公司投资者 关系管理水平。</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93"/>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7"/>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6"/>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31" w:firstLine="420"/>
        <w:jc w:val="left"/>
      </w:pPr>
      <w:r>
        <w:rPr>
          <w:spacing w:val="-1"/>
        </w:rPr>
        <w:t>报告期内，公司认真贯彻落实中国证券监督管理委员会《关于进一步落实上市公司现金分红有关事项</w:t>
      </w:r>
      <w:r>
        <w:rPr/>
        <w:t> 的通知》和福建证监局闽证监公司字</w:t>
      </w:r>
      <w:r>
        <w:rPr>
          <w:rFonts w:ascii="宋体" w:hAnsi="宋体" w:cs="宋体" w:eastAsia="宋体" w:hint="default"/>
        </w:rPr>
        <w:t>[2012]28</w:t>
      </w:r>
      <w:r>
        <w:rPr/>
        <w:t>号文件精神，修订了《公司未来三年（</w:t>
      </w:r>
      <w:r>
        <w:rPr>
          <w:rFonts w:ascii="宋体" w:hAnsi="宋体" w:cs="宋体" w:eastAsia="宋体" w:hint="default"/>
        </w:rPr>
        <w:t>2018-2020</w:t>
      </w:r>
      <w:r>
        <w:rPr/>
        <w:t>年）股东 回报规划》。</w:t>
      </w:r>
    </w:p>
    <w:p>
      <w:pPr>
        <w:pStyle w:val="BodyText"/>
        <w:spacing w:line="273" w:lineRule="auto"/>
        <w:ind w:right="1023" w:firstLine="420"/>
        <w:jc w:val="left"/>
      </w:pPr>
      <w:r>
        <w:rPr>
          <w:rFonts w:ascii="宋体" w:hAnsi="宋体" w:cs="宋体" w:eastAsia="宋体" w:hint="default"/>
        </w:rPr>
        <w:t>1</w:t>
      </w:r>
      <w:r>
        <w:rPr/>
        <w:t>、公司可以采取现金方式、股票方式或者现金与股票相结合的方式分配股利。公司董事会可以根据 </w:t>
      </w:r>
      <w:r>
        <w:rPr>
          <w:spacing w:val="-3"/>
        </w:rPr>
        <w:t>公司的资金需求状况，在有条件的情况下提议公司进行中期现金分配。公司以现金为对价，采用要约方式、</w:t>
      </w:r>
      <w:r>
        <w:rPr>
          <w:spacing w:val="-90"/>
        </w:rPr>
        <w:t> </w:t>
      </w:r>
      <w:r>
        <w:rPr>
          <w:spacing w:val="-90"/>
        </w:rPr>
      </w:r>
      <w:r>
        <w:rPr/>
        <w:t>集中竞价方式回购股份的，视同公司现金分红，纳入现金分红的相关比例计算。</w:t>
      </w:r>
    </w:p>
    <w:p>
      <w:pPr>
        <w:pStyle w:val="BodyText"/>
        <w:spacing w:line="273" w:lineRule="auto"/>
        <w:ind w:right="1133" w:firstLine="526"/>
        <w:jc w:val="both"/>
      </w:pPr>
      <w:r>
        <w:rPr>
          <w:rFonts w:ascii="宋体" w:hAnsi="宋体" w:cs="宋体" w:eastAsia="宋体" w:hint="default"/>
          <w:spacing w:val="-1"/>
        </w:rPr>
        <w:t>2</w:t>
      </w:r>
      <w:r>
        <w:rPr>
          <w:spacing w:val="-1"/>
        </w:rPr>
        <w:t>、股票股利分配条件：公司业绩快速增长时，董事会认为公司股票价格与股本规模不匹配时，可以</w:t>
      </w:r>
      <w:r>
        <w:rPr/>
        <w:t> 实施股票股利分配。股票股利分配可以单独实施，也可以结合现金分红同时实施。</w:t>
      </w:r>
    </w:p>
    <w:p>
      <w:pPr>
        <w:pStyle w:val="BodyText"/>
        <w:spacing w:line="273" w:lineRule="auto"/>
        <w:ind w:right="1131" w:firstLine="526"/>
        <w:jc w:val="both"/>
      </w:pPr>
      <w:r>
        <w:rPr>
          <w:rFonts w:ascii="宋体" w:hAnsi="宋体" w:cs="宋体" w:eastAsia="宋体" w:hint="default"/>
          <w:spacing w:val="-1"/>
        </w:rPr>
        <w:t>3</w:t>
      </w:r>
      <w:r>
        <w:rPr>
          <w:spacing w:val="-1"/>
        </w:rPr>
        <w:t>、现金分红政策：公司董事会应当综合考虑所处行业特点、发展阶段、自身经营模式、盈利水平以</w:t>
      </w:r>
      <w:r>
        <w:rPr/>
        <w:t> </w:t>
      </w:r>
      <w:r>
        <w:rPr>
          <w:spacing w:val="-1"/>
        </w:rPr>
        <w:t>及是否有重大资金支出安排等因素，区分下列情形，并按照公司章程规定的程序，提出差异化的现金分红</w:t>
      </w:r>
      <w:r>
        <w:rPr>
          <w:spacing w:val="-83"/>
        </w:rPr>
        <w:t> </w:t>
      </w:r>
      <w:r>
        <w:rPr>
          <w:spacing w:val="-83"/>
        </w:rPr>
      </w:r>
      <w:r>
        <w:rPr/>
        <w:t>政策：</w:t>
      </w:r>
    </w:p>
    <w:p>
      <w:pPr>
        <w:pStyle w:val="BodyText"/>
        <w:spacing w:line="273" w:lineRule="auto"/>
        <w:ind w:right="1197" w:firstLine="420"/>
        <w:jc w:val="left"/>
      </w:pPr>
      <w:r>
        <w:rPr/>
        <w:t>（</w:t>
      </w:r>
      <w:r>
        <w:rPr>
          <w:rFonts w:ascii="宋体" w:hAnsi="宋体" w:cs="宋体" w:eastAsia="宋体" w:hint="default"/>
        </w:rPr>
        <w:t>1</w:t>
      </w:r>
      <w:r>
        <w:rPr/>
        <w:t>）公司发展阶段属成熟期且无重大资金支出安排的，进行利润分配时，现金分红在本次利润分配 中所占比例最低应达到</w:t>
      </w:r>
      <w:r>
        <w:rPr>
          <w:rFonts w:ascii="宋体" w:hAnsi="宋体" w:cs="宋体" w:eastAsia="宋体" w:hint="default"/>
        </w:rPr>
        <w:t>80%</w:t>
      </w:r>
      <w:r>
        <w:rPr/>
        <w:t>；</w:t>
      </w:r>
    </w:p>
    <w:p>
      <w:pPr>
        <w:pStyle w:val="BodyText"/>
        <w:spacing w:line="273" w:lineRule="auto" w:before="8"/>
        <w:ind w:right="1197" w:firstLine="420"/>
        <w:jc w:val="left"/>
      </w:pPr>
      <w:r>
        <w:rPr/>
        <w:t>（</w:t>
      </w:r>
      <w:r>
        <w:rPr>
          <w:rFonts w:ascii="宋体" w:hAnsi="宋体" w:cs="宋体" w:eastAsia="宋体" w:hint="default"/>
        </w:rPr>
        <w:t>2</w:t>
      </w:r>
      <w:r>
        <w:rPr/>
        <w:t>）公司发展阶段属成熟期且有重大资金支出安排的，进行利润分配时，现金分红在本次利润分配 中所占比例最低应达到</w:t>
      </w:r>
      <w:r>
        <w:rPr>
          <w:rFonts w:ascii="宋体" w:hAnsi="宋体" w:cs="宋体" w:eastAsia="宋体" w:hint="default"/>
        </w:rPr>
        <w:t>40%</w:t>
      </w:r>
      <w:r>
        <w:rPr/>
        <w:t>；</w:t>
      </w:r>
    </w:p>
    <w:p>
      <w:pPr>
        <w:pStyle w:val="BodyText"/>
        <w:spacing w:line="273" w:lineRule="auto"/>
        <w:ind w:right="0" w:firstLine="420"/>
        <w:jc w:val="left"/>
      </w:pPr>
      <w:r>
        <w:rPr/>
        <w:t>（</w:t>
      </w:r>
      <w:r>
        <w:rPr>
          <w:rFonts w:ascii="宋体" w:hAnsi="宋体" w:cs="宋体" w:eastAsia="宋体" w:hint="default"/>
        </w:rPr>
        <w:t>3</w:t>
      </w:r>
      <w:r>
        <w:rPr/>
        <w:t>）公司发展阶段属成长期且有重大资金支出安排的，进行利润分配时，现金分红在本次利润分配 </w:t>
      </w:r>
      <w:r>
        <w:rPr>
          <w:spacing w:val="-1"/>
        </w:rPr>
        <w:t>中所占比例最低应达到</w:t>
      </w:r>
      <w:r>
        <w:rPr>
          <w:rFonts w:ascii="宋体" w:hAnsi="宋体" w:cs="宋体" w:eastAsia="宋体" w:hint="default"/>
          <w:spacing w:val="-1"/>
        </w:rPr>
        <w:t>20%</w:t>
      </w:r>
      <w:r>
        <w:rPr>
          <w:spacing w:val="-1"/>
        </w:rPr>
        <w:t>；如公司发展阶段不易区分但有重大资金支出安排的，可以按照前项规定处理。</w:t>
      </w:r>
    </w:p>
    <w:p>
      <w:pPr>
        <w:pStyle w:val="BodyText"/>
        <w:spacing w:line="273" w:lineRule="auto"/>
        <w:ind w:right="1117" w:firstLine="420"/>
        <w:jc w:val="left"/>
      </w:pPr>
      <w:r>
        <w:rPr>
          <w:rFonts w:ascii="宋体" w:hAnsi="宋体" w:cs="宋体" w:eastAsia="宋体" w:hint="default"/>
        </w:rPr>
        <w:t>4</w:t>
      </w:r>
      <w:r>
        <w:rPr/>
        <w:t>、现金分红条件：在年度盈利的情况下，若满足了公司正常生产经营的资金需求且足额预留法定公 </w:t>
      </w:r>
      <w:r>
        <w:rPr>
          <w:spacing w:val="-1"/>
        </w:rPr>
        <w:t>积金、盈余公积金后，如无重大投资计划或重大现金支出计划等事项，公司应采取现金方式分配股利，以</w:t>
      </w:r>
      <w:r>
        <w:rPr>
          <w:spacing w:val="-84"/>
        </w:rPr>
        <w:t> </w:t>
      </w:r>
      <w:r>
        <w:rPr>
          <w:spacing w:val="-84"/>
        </w:rPr>
      </w:r>
      <w:r>
        <w:rPr/>
        <w:t>现金方式分配的利润比例由董事会根据公司盈利水平和经营发展计划提出，报股东大会批准。</w:t>
      </w:r>
    </w:p>
    <w:p>
      <w:pPr>
        <w:pStyle w:val="BodyText"/>
        <w:spacing w:line="273" w:lineRule="auto"/>
        <w:ind w:right="1117" w:firstLine="420"/>
        <w:jc w:val="left"/>
      </w:pPr>
      <w:r>
        <w:rPr>
          <w:rFonts w:ascii="宋体" w:hAnsi="宋体" w:cs="宋体" w:eastAsia="宋体" w:hint="default"/>
          <w:spacing w:val="-1"/>
        </w:rPr>
        <w:t>5</w:t>
      </w:r>
      <w:r>
        <w:rPr>
          <w:spacing w:val="-1"/>
        </w:rPr>
        <w:t>、公司在未分配利润为正的情况下，公司</w:t>
      </w:r>
      <w:r>
        <w:rPr>
          <w:rFonts w:ascii="宋体" w:hAnsi="宋体" w:cs="宋体" w:eastAsia="宋体" w:hint="default"/>
          <w:spacing w:val="-1"/>
        </w:rPr>
        <w:t>2018-2020</w:t>
      </w:r>
      <w:r>
        <w:rPr>
          <w:spacing w:val="-1"/>
        </w:rPr>
        <w:t>年以现金方式累计分配的利润不少于最近三年实</w:t>
      </w:r>
      <w:r>
        <w:rPr/>
        <w:t> 现的年均可分配利润的百分之三十。</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77"/>
        <w:ind w:left="574" w:right="1117"/>
        <w:jc w:val="left"/>
        <w:rPr>
          <w:rFonts w:ascii="宋体" w:hAnsi="宋体" w:cs="宋体" w:eastAsia="宋体" w:hint="default"/>
        </w:rPr>
      </w:pPr>
      <w:r>
        <w:rPr>
          <w:spacing w:val="-5"/>
        </w:rPr>
        <w:t>（</w:t>
      </w:r>
      <w:r>
        <w:rPr>
          <w:rFonts w:ascii="宋体" w:hAnsi="宋体" w:cs="宋体" w:eastAsia="宋体" w:hint="default"/>
          <w:spacing w:val="-5"/>
        </w:rPr>
        <w:t>1</w:t>
      </w:r>
      <w:r>
        <w:rPr>
          <w:spacing w:val="-5"/>
        </w:rPr>
        <w:t>）</w:t>
      </w:r>
      <w:r>
        <w:rPr>
          <w:rFonts w:ascii="宋体" w:hAnsi="宋体" w:cs="宋体" w:eastAsia="宋体" w:hint="default"/>
          <w:spacing w:val="-5"/>
        </w:rPr>
        <w:t>2016</w:t>
      </w:r>
      <w:r>
        <w:rPr>
          <w:spacing w:val="-5"/>
        </w:rPr>
        <w:t>年度利润分配预案为：以总股本</w:t>
      </w:r>
      <w:r>
        <w:rPr>
          <w:rFonts w:ascii="宋体" w:hAnsi="宋体" w:cs="宋体" w:eastAsia="宋体" w:hint="default"/>
          <w:spacing w:val="-5"/>
        </w:rPr>
        <w:t>335,168,142</w:t>
      </w:r>
      <w:r>
        <w:rPr>
          <w:spacing w:val="-5"/>
        </w:rPr>
        <w:t>股为基数，向全体股东每</w:t>
      </w:r>
      <w:r>
        <w:rPr>
          <w:rFonts w:ascii="宋体" w:hAnsi="宋体" w:cs="宋体" w:eastAsia="宋体" w:hint="default"/>
          <w:spacing w:val="-5"/>
        </w:rPr>
        <w:t>10</w:t>
      </w:r>
      <w:r>
        <w:rPr>
          <w:spacing w:val="-5"/>
        </w:rPr>
        <w:t>股派发现金红利</w:t>
      </w:r>
      <w:r>
        <w:rPr>
          <w:rFonts w:ascii="宋体" w:hAnsi="宋体" w:cs="宋体" w:eastAsia="宋体" w:hint="default"/>
          <w:spacing w:val="-5"/>
        </w:rPr>
        <w:t>0.15</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97"/>
        <w:jc w:val="left"/>
      </w:pPr>
      <w:r>
        <w:rPr/>
        <w:t>元（含税），共计派发现金红利</w:t>
      </w:r>
      <w:r>
        <w:rPr>
          <w:rFonts w:ascii="宋体" w:hAnsi="宋体" w:cs="宋体" w:eastAsia="宋体" w:hint="default"/>
        </w:rPr>
        <w:t>5,027,522.13</w:t>
      </w:r>
      <w:r>
        <w:rPr/>
        <w:t>元（含税），以资本公积金转增股本，每</w:t>
      </w:r>
      <w:r>
        <w:rPr>
          <w:rFonts w:ascii="宋体" w:hAnsi="宋体" w:cs="宋体" w:eastAsia="宋体" w:hint="default"/>
        </w:rPr>
        <w:t>10</w:t>
      </w:r>
      <w:r>
        <w:rPr/>
        <w:t>股转增</w:t>
      </w:r>
      <w:r>
        <w:rPr>
          <w:rFonts w:ascii="宋体" w:hAnsi="宋体" w:cs="宋体" w:eastAsia="宋体" w:hint="default"/>
        </w:rPr>
        <w:t>5</w:t>
      </w:r>
      <w:r>
        <w:rPr/>
        <w:t>股，不 以未分配利润送股。</w:t>
      </w:r>
    </w:p>
    <w:p>
      <w:pPr>
        <w:pStyle w:val="BodyText"/>
        <w:spacing w:line="273" w:lineRule="auto"/>
        <w:ind w:right="1215" w:firstLine="420"/>
        <w:jc w:val="both"/>
      </w:pPr>
      <w:r>
        <w:rPr/>
        <w:t>（</w:t>
      </w:r>
      <w:r>
        <w:rPr>
          <w:rFonts w:ascii="宋体" w:hAnsi="宋体" w:cs="宋体" w:eastAsia="宋体" w:hint="default"/>
        </w:rPr>
        <w:t>2</w:t>
      </w:r>
      <w:r>
        <w:rPr/>
        <w:t>）</w:t>
      </w:r>
      <w:r>
        <w:rPr>
          <w:rFonts w:ascii="宋体" w:hAnsi="宋体" w:cs="宋体" w:eastAsia="宋体" w:hint="default"/>
        </w:rPr>
        <w:t>2017</w:t>
      </w:r>
      <w:r>
        <w:rPr/>
        <w:t>年度利润分配预案为：以实施利润分配方案时股权登记日的总股本为基数，向全体股东每 </w:t>
      </w:r>
      <w:r>
        <w:rPr>
          <w:rFonts w:ascii="宋体" w:hAnsi="宋体" w:cs="宋体" w:eastAsia="宋体" w:hint="default"/>
        </w:rPr>
        <w:t>10</w:t>
      </w:r>
      <w:r>
        <w:rPr/>
        <w:t>股派发现金红利</w:t>
      </w:r>
      <w:r>
        <w:rPr>
          <w:rFonts w:ascii="宋体" w:hAnsi="宋体" w:cs="宋体" w:eastAsia="宋体" w:hint="default"/>
        </w:rPr>
        <w:t>0.6</w:t>
      </w:r>
      <w:r>
        <w:rPr/>
        <w:t>元（含税），因股权激励事项回购但未注销的股份不参与利润分配，不以资本公积 金转增股本，不以未分配利润送股。</w:t>
      </w:r>
    </w:p>
    <w:p>
      <w:pPr>
        <w:pStyle w:val="BodyText"/>
        <w:spacing w:line="273" w:lineRule="auto"/>
        <w:ind w:right="1117" w:firstLine="420"/>
        <w:jc w:val="left"/>
      </w:pPr>
      <w:r>
        <w:rPr/>
        <w:t>（</w:t>
      </w:r>
      <w:r>
        <w:rPr>
          <w:rFonts w:ascii="宋体" w:hAnsi="宋体" w:cs="宋体" w:eastAsia="宋体" w:hint="default"/>
        </w:rPr>
        <w:t>3</w:t>
      </w:r>
      <w:r>
        <w:rPr/>
        <w:t>）</w:t>
      </w:r>
      <w:r>
        <w:rPr>
          <w:rFonts w:ascii="宋体" w:hAnsi="宋体" w:cs="宋体" w:eastAsia="宋体" w:hint="default"/>
        </w:rPr>
        <w:t>2018</w:t>
      </w:r>
      <w:r>
        <w:rPr/>
        <w:t>年度利润分配预案为：以未来实施</w:t>
      </w:r>
      <w:r>
        <w:rPr>
          <w:rFonts w:ascii="宋体" w:hAnsi="宋体" w:cs="宋体" w:eastAsia="宋体" w:hint="default"/>
        </w:rPr>
        <w:t>2018</w:t>
      </w:r>
      <w:r>
        <w:rPr/>
        <w:t>年度利润分配方案的股权登记日的总股本减去公司 </w:t>
      </w:r>
      <w:r>
        <w:rPr>
          <w:spacing w:val="-1"/>
        </w:rPr>
        <w:t>回购专户股数为基数，向全体股东每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0.3</w:t>
      </w:r>
      <w:r>
        <w:rPr>
          <w:spacing w:val="-1"/>
        </w:rPr>
        <w:t>元（含税），共计派发现金红利</w:t>
      </w:r>
      <w:r>
        <w:rPr>
          <w:rFonts w:ascii="宋体" w:hAnsi="宋体" w:cs="宋体" w:eastAsia="宋体" w:hint="default"/>
          <w:spacing w:val="-1"/>
        </w:rPr>
        <w:t>14,950,327.89</w:t>
      </w:r>
      <w:r>
        <w:rPr>
          <w:rFonts w:ascii="宋体" w:hAnsi="宋体" w:cs="宋体" w:eastAsia="宋体" w:hint="default"/>
          <w:spacing w:val="-78"/>
        </w:rPr>
        <w:t> </w:t>
      </w:r>
      <w:r>
        <w:rPr>
          <w:rFonts w:ascii="宋体" w:hAnsi="宋体" w:cs="宋体" w:eastAsia="宋体" w:hint="default"/>
          <w:spacing w:val="-78"/>
        </w:rPr>
      </w:r>
      <w:r>
        <w:rPr/>
        <w:t>元（含税），不以资本公积金转增股本，不以未分配利润送股。</w:t>
      </w:r>
    </w:p>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1" w:hanging="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14,950,327.89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5,143,116.58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290.69%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8,856,831.00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172.24%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23,807,158.89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462.89%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30,165,132.78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10,760,151.47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280.34%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30,165,132.78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280.34%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5,027,522.13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12,680,057.52</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39.65%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5,027,522.13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39.65%</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二、本报告期利润分配及资本公积金转增股本预案情况" w:id="66"/>
      <w:bookmarkEnd w:id="66"/>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3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69"/>
              <w:jc w:val="left"/>
              <w:rPr>
                <w:rFonts w:ascii="宋体" w:hAnsi="宋体" w:cs="宋体" w:eastAsia="宋体" w:hint="default"/>
                <w:sz w:val="18"/>
                <w:szCs w:val="18"/>
              </w:rPr>
            </w:pPr>
            <w:r>
              <w:rPr>
                <w:rFonts w:ascii="宋体" w:hAnsi="宋体" w:cs="宋体" w:eastAsia="宋体" w:hint="default"/>
                <w:sz w:val="18"/>
                <w:szCs w:val="18"/>
              </w:rPr>
              <w:t>以未来实施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年度利润分配方案的股权登记日的总股本减去公司回购 专户股数为基数</w:t>
            </w:r>
          </w:p>
        </w:tc>
      </w:tr>
      <w:tr>
        <w:trPr>
          <w:trHeight w:val="391" w:hRule="exact"/>
        </w:trPr>
        <w:tc>
          <w:tcPr>
            <w:tcW w:w="3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vMerge/>
            <w:tcBorders>
              <w:left w:val="single" w:sz="9" w:space="0" w:color="D2D2D2"/>
              <w:right w:val="single" w:sz="4" w:space="0" w:color="000000"/>
            </w:tcBorders>
          </w:tcPr>
          <w:p>
            <w:pPr/>
          </w:p>
        </w:tc>
      </w:tr>
      <w:tr>
        <w:trPr>
          <w:trHeight w:val="161" w:hRule="exact"/>
        </w:trPr>
        <w:tc>
          <w:tcPr>
            <w:tcW w:w="3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14,950,327.89</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8,856,831.00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23,807,158.89</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180,942,865.85</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以未来实施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年度利润分配方案的股权登记日的总股本减去公司回购专户股数为基数，向全体股东每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股派发现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14,950,327.89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，不以资本公积金转增股本，不以未分配利润送股。</w:t>
            </w:r>
          </w:p>
        </w:tc>
      </w:tr>
    </w:tbl>
    <w:p>
      <w:pPr>
        <w:spacing w:line="240" w:lineRule="auto" w:before="2"/>
        <w:rPr>
          <w:rFonts w:ascii="宋体" w:hAnsi="宋体" w:cs="宋体" w:eastAsia="宋体" w:hint="default"/>
          <w:sz w:val="18"/>
          <w:szCs w:val="18"/>
        </w:rPr>
      </w:pPr>
    </w:p>
    <w:p>
      <w:pPr>
        <w:pStyle w:val="Heading2"/>
        <w:spacing w:line="240" w:lineRule="auto" w:before="26"/>
        <w:ind w:right="1117"/>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1117"/>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83"/>
        <w:gridCol w:w="850"/>
        <w:gridCol w:w="992"/>
        <w:gridCol w:w="3969"/>
        <w:gridCol w:w="994"/>
        <w:gridCol w:w="850"/>
        <w:gridCol w:w="920"/>
      </w:tblGrid>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767"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6" w:right="44"/>
              <w:jc w:val="left"/>
              <w:rPr>
                <w:rFonts w:ascii="宋体" w:hAnsi="宋体" w:cs="宋体" w:eastAsia="宋体" w:hint="default"/>
                <w:sz w:val="18"/>
                <w:szCs w:val="18"/>
              </w:rPr>
            </w:pPr>
            <w:r>
              <w:rPr>
                <w:rFonts w:ascii="宋体" w:hAnsi="宋体" w:cs="宋体" w:eastAsia="宋体" w:hint="default"/>
                <w:sz w:val="18"/>
                <w:szCs w:val="18"/>
              </w:rPr>
              <w:t>尤丽娟</w:t>
            </w:r>
            <w:r>
              <w:rPr>
                <w:rFonts w:ascii="Times New Roman" w:hAnsi="Times New Roman" w:cs="Times New Roman" w:eastAsia="Times New Roman" w:hint="default"/>
                <w:sz w:val="18"/>
                <w:szCs w:val="18"/>
              </w:rPr>
              <w:t>;</w:t>
            </w:r>
            <w:r>
              <w:rPr>
                <w:rFonts w:ascii="宋体" w:hAnsi="宋体" w:cs="宋体" w:eastAsia="宋体" w:hint="default"/>
                <w:sz w:val="18"/>
                <w:szCs w:val="18"/>
              </w:rPr>
              <w:t>尤 玉仙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岳</w:t>
            </w:r>
            <w:r>
              <w:rPr>
                <w:rFonts w:ascii="Times New Roman" w:hAnsi="Times New Roman" w:cs="Times New Roman" w:eastAsia="Times New Roman" w:hint="default"/>
                <w:sz w:val="18"/>
                <w:szCs w:val="18"/>
              </w:rPr>
              <w:t>;</w:t>
            </w:r>
            <w:r>
              <w:rPr>
                <w:rFonts w:ascii="宋体" w:hAnsi="宋体" w:cs="宋体" w:eastAsia="宋体" w:hint="default"/>
                <w:sz w:val="18"/>
                <w:szCs w:val="18"/>
              </w:rPr>
              <w:t>尤雪 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鸾</w:t>
            </w:r>
            <w:r>
              <w:rPr>
                <w:rFonts w:ascii="Times New Roman" w:hAnsi="Times New Roman" w:cs="Times New Roman" w:eastAsia="Times New Roman" w:hint="default"/>
                <w:sz w:val="18"/>
                <w:szCs w:val="18"/>
              </w:rPr>
              <w:t>;</w:t>
            </w:r>
            <w:r>
              <w:rPr>
                <w:rFonts w:ascii="宋体" w:hAnsi="宋体" w:cs="宋体" w:eastAsia="宋体" w:hint="default"/>
                <w:sz w:val="18"/>
                <w:szCs w:val="18"/>
              </w:rPr>
              <w:t>章棉 桃</w:t>
            </w:r>
            <w:r>
              <w:rPr>
                <w:rFonts w:ascii="Times New Roman" w:hAnsi="Times New Roman" w:cs="Times New Roman" w:eastAsia="Times New Roman" w:hint="default"/>
                <w:sz w:val="18"/>
                <w:szCs w:val="18"/>
              </w:rPr>
              <w:t>;</w:t>
            </w:r>
            <w:r>
              <w:rPr>
                <w:rFonts w:ascii="宋体" w:hAnsi="宋体" w:cs="宋体" w:eastAsia="宋体" w:hint="default"/>
                <w:sz w:val="18"/>
                <w:szCs w:val="18"/>
              </w:rPr>
              <w:t>苏凤娇</w:t>
            </w:r>
          </w:p>
        </w:tc>
        <w:tc>
          <w:tcPr>
            <w:tcW w:w="992" w:type="dxa"/>
            <w:vMerge w:val="restart"/>
            <w:tcBorders>
              <w:top w:val="single" w:sz="4" w:space="0" w:color="000000"/>
              <w:left w:val="single" w:sz="4" w:space="0" w:color="000000"/>
              <w:right w:val="single" w:sz="4" w:space="0" w:color="000000"/>
            </w:tcBorders>
          </w:tcPr>
          <w:p>
            <w:pPr/>
          </w:p>
        </w:tc>
        <w:tc>
          <w:tcPr>
            <w:tcW w:w="3969"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3"/>
                <w:sz w:val="18"/>
                <w:szCs w:val="18"/>
              </w:rPr>
              <w:t>在本人及本人三代以内的直系、旁系亲属拥有贵公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司实际控制权期间，本人及本人投资控股的公司、 企业将不在中国境内外以任何形式从事与贵公司 </w:t>
            </w:r>
            <w:r>
              <w:rPr>
                <w:rFonts w:ascii="宋体" w:hAnsi="宋体" w:cs="宋体" w:eastAsia="宋体" w:hint="default"/>
                <w:spacing w:val="-3"/>
                <w:sz w:val="18"/>
                <w:szCs w:val="18"/>
              </w:rPr>
              <w:t>主营业务或者主要产品相同或者相似的公司、企业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或者其他经济组织；若贵公司将来开拓新的业务领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域，贵公司享有优先权，本人及本人投资控股的公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司、企业将不再发展同类业务。</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08" w:hRule="exact"/>
        </w:trPr>
        <w:tc>
          <w:tcPr>
            <w:tcW w:w="9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0"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508"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6" w:right="44"/>
              <w:jc w:val="left"/>
              <w:rPr>
                <w:rFonts w:ascii="宋体" w:hAnsi="宋体" w:cs="宋体" w:eastAsia="宋体" w:hint="default"/>
                <w:sz w:val="18"/>
                <w:szCs w:val="18"/>
              </w:rPr>
            </w:pPr>
            <w:r>
              <w:rPr>
                <w:rFonts w:ascii="宋体" w:hAnsi="宋体" w:cs="宋体" w:eastAsia="宋体" w:hint="default"/>
                <w:sz w:val="18"/>
                <w:szCs w:val="18"/>
              </w:rPr>
              <w:t>尤丽娟</w:t>
            </w:r>
            <w:r>
              <w:rPr>
                <w:rFonts w:ascii="Times New Roman" w:hAnsi="Times New Roman" w:cs="Times New Roman" w:eastAsia="Times New Roman" w:hint="default"/>
                <w:sz w:val="18"/>
                <w:szCs w:val="18"/>
              </w:rPr>
              <w:t>;</w:t>
            </w:r>
            <w:r>
              <w:rPr>
                <w:rFonts w:ascii="宋体" w:hAnsi="宋体" w:cs="宋体" w:eastAsia="宋体" w:hint="default"/>
                <w:sz w:val="18"/>
                <w:szCs w:val="18"/>
              </w:rPr>
              <w:t>尤 玉仙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岳</w:t>
            </w:r>
            <w:r>
              <w:rPr>
                <w:rFonts w:ascii="Times New Roman" w:hAnsi="Times New Roman" w:cs="Times New Roman" w:eastAsia="Times New Roman" w:hint="default"/>
                <w:sz w:val="18"/>
                <w:szCs w:val="18"/>
              </w:rPr>
              <w:t>;</w:t>
            </w:r>
            <w:r>
              <w:rPr>
                <w:rFonts w:ascii="宋体" w:hAnsi="宋体" w:cs="宋体" w:eastAsia="宋体" w:hint="default"/>
                <w:sz w:val="18"/>
                <w:szCs w:val="18"/>
              </w:rPr>
              <w:t>尤雪 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鸾</w:t>
            </w:r>
            <w:r>
              <w:rPr>
                <w:rFonts w:ascii="Times New Roman" w:hAnsi="Times New Roman" w:cs="Times New Roman" w:eastAsia="Times New Roman" w:hint="default"/>
                <w:sz w:val="18"/>
                <w:szCs w:val="18"/>
              </w:rPr>
              <w:t>;</w:t>
            </w:r>
            <w:r>
              <w:rPr>
                <w:rFonts w:ascii="宋体" w:hAnsi="宋体" w:cs="宋体" w:eastAsia="宋体" w:hint="default"/>
                <w:sz w:val="18"/>
                <w:szCs w:val="18"/>
              </w:rPr>
              <w:t>章棉 桃</w:t>
            </w:r>
            <w:r>
              <w:rPr>
                <w:rFonts w:ascii="Times New Roman" w:hAnsi="Times New Roman" w:cs="Times New Roman" w:eastAsia="Times New Roman" w:hint="default"/>
                <w:sz w:val="18"/>
                <w:szCs w:val="18"/>
              </w:rPr>
              <w:t>;</w:t>
            </w:r>
            <w:r>
              <w:rPr>
                <w:rFonts w:ascii="宋体" w:hAnsi="宋体" w:cs="宋体" w:eastAsia="宋体" w:hint="default"/>
                <w:sz w:val="18"/>
                <w:szCs w:val="18"/>
              </w:rPr>
              <w:t>苏凤娇</w:t>
            </w:r>
          </w:p>
        </w:tc>
        <w:tc>
          <w:tcPr>
            <w:tcW w:w="992" w:type="dxa"/>
            <w:vMerge w:val="restart"/>
            <w:tcBorders>
              <w:top w:val="single" w:sz="4" w:space="0" w:color="000000"/>
              <w:left w:val="single" w:sz="4" w:space="0" w:color="000000"/>
              <w:right w:val="single" w:sz="4" w:space="0" w:color="000000"/>
            </w:tcBorders>
          </w:tcPr>
          <w:p>
            <w:pPr/>
          </w:p>
        </w:tc>
        <w:tc>
          <w:tcPr>
            <w:tcW w:w="3969"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本人将避免与贵公司进行关联交易；如因贵公司生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产经营需要而无法避免关联交易时，本人将严格执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行相关回避制度，依法诚信地履行股东的义务，不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会利用关联人的地位，就上述关联交易采取任何行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动以促使贵公司股东大会、董事会作出侵犯贵公司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及其他股东合法权益的决议；贵公司与本人之间的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关联交易将遵循公正、公平的原则进行。</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766"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714"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0" w:right="95"/>
              <w:jc w:val="left"/>
              <w:rPr>
                <w:rFonts w:ascii="宋体" w:hAnsi="宋体" w:cs="宋体" w:eastAsia="宋体" w:hint="default"/>
                <w:sz w:val="18"/>
                <w:szCs w:val="18"/>
              </w:rPr>
            </w:pPr>
            <w:r>
              <w:rPr>
                <w:rFonts w:ascii="宋体" w:hAnsi="宋体" w:cs="宋体" w:eastAsia="宋体" w:hint="default"/>
                <w:sz w:val="18"/>
                <w:szCs w:val="18"/>
              </w:rPr>
              <w:t>公司全体 董事</w:t>
            </w: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公司发行股票并上市后 涉及关联交易事项时，全 体董事将严格执行相关回避制度及信息披露制度。</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957"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ind w:left="11" w:right="59"/>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6" w:right="95"/>
              <w:jc w:val="both"/>
              <w:rPr>
                <w:rFonts w:ascii="宋体" w:hAnsi="宋体" w:cs="宋体" w:eastAsia="宋体" w:hint="default"/>
                <w:sz w:val="18"/>
                <w:szCs w:val="18"/>
              </w:rPr>
            </w:pPr>
            <w:r>
              <w:rPr>
                <w:rFonts w:ascii="宋体" w:hAnsi="宋体" w:cs="宋体" w:eastAsia="宋体" w:hint="default"/>
                <w:sz w:val="18"/>
                <w:szCs w:val="18"/>
              </w:rPr>
              <w:t>公司全体 董事、监 事、高级 管理人员</w:t>
            </w:r>
          </w:p>
        </w:tc>
        <w:tc>
          <w:tcPr>
            <w:tcW w:w="992" w:type="dxa"/>
            <w:vMerge w:val="restart"/>
            <w:tcBorders>
              <w:top w:val="single" w:sz="4" w:space="0" w:color="000000"/>
              <w:left w:val="single" w:sz="4" w:space="0" w:color="000000"/>
              <w:right w:val="single" w:sz="4" w:space="0" w:color="000000"/>
            </w:tcBorders>
          </w:tcPr>
          <w:p>
            <w:pPr/>
          </w:p>
        </w:tc>
        <w:tc>
          <w:tcPr>
            <w:tcW w:w="3969" w:type="dxa"/>
            <w:vMerge w:val="restart"/>
            <w:tcBorders>
              <w:top w:val="single" w:sz="4" w:space="0" w:color="000000"/>
              <w:left w:val="single" w:sz="4" w:space="0" w:color="000000"/>
              <w:right w:val="single" w:sz="9" w:space="0" w:color="FFFFFF"/>
            </w:tcBorders>
          </w:tcPr>
          <w:p>
            <w:pPr>
              <w:pStyle w:val="TableParagraph"/>
              <w:spacing w:line="309"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、承诺不得无偿或以不公平条件向其他单位或者 个人输送利益，也不采用其他方式损害公司利益；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、接受对本人的职务消费行为进行约束；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不动用公司资产从事与履行职责无关的投资、消费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、承诺由董事会或薪酬委员会制订的薪酬</w:t>
            </w:r>
          </w:p>
        </w:tc>
        <w:tc>
          <w:tcPr>
            <w:tcW w:w="994"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54"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9" w:space="0" w:color="FFFFFF"/>
            </w:tcBorders>
          </w:tcPr>
          <w:p>
            <w:pPr/>
          </w:p>
        </w:tc>
        <w:tc>
          <w:tcPr>
            <w:tcW w:w="994" w:type="dxa"/>
            <w:vMerge/>
            <w:tcBorders>
              <w:left w:val="single" w:sz="9" w:space="0" w:color="FFFFFF"/>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850"/>
        <w:gridCol w:w="992"/>
        <w:gridCol w:w="3969"/>
        <w:gridCol w:w="994"/>
        <w:gridCol w:w="850"/>
        <w:gridCol w:w="920"/>
      </w:tblGrid>
      <w:tr>
        <w:trPr>
          <w:trHeight w:val="1923"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制度与公司填补回报措施的执行情况相挂钩；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3"/>
                <w:sz w:val="18"/>
                <w:szCs w:val="18"/>
              </w:rPr>
              <w:t>如公司未来实施股权激励，本人承诺未来股权激励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方案的行权条件将与公司填补回报措施的执行情 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、若违反上述承诺并给公司或者投资 </w:t>
            </w:r>
            <w:r>
              <w:rPr>
                <w:rFonts w:ascii="宋体" w:hAnsi="宋体" w:cs="宋体" w:eastAsia="宋体" w:hint="default"/>
                <w:spacing w:val="-3"/>
                <w:sz w:val="18"/>
                <w:szCs w:val="18"/>
              </w:rPr>
              <w:t>者造成损失的，本人愿意依法承担对公司或者投资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者的补偿责任及监管机构的相应处罚。</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4"/>
              <w:ind w:left="23" w:right="44"/>
              <w:jc w:val="left"/>
              <w:rPr>
                <w:rFonts w:ascii="宋体" w:hAnsi="宋体" w:cs="宋体" w:eastAsia="宋体" w:hint="default"/>
                <w:sz w:val="18"/>
                <w:szCs w:val="18"/>
              </w:rPr>
            </w:pPr>
            <w:r>
              <w:rPr>
                <w:rFonts w:ascii="宋体" w:hAnsi="宋体" w:cs="宋体" w:eastAsia="宋体" w:hint="default"/>
                <w:sz w:val="18"/>
                <w:szCs w:val="18"/>
              </w:rPr>
              <w:t>尤丽娟</w:t>
            </w:r>
            <w:r>
              <w:rPr>
                <w:rFonts w:ascii="Times New Roman" w:hAnsi="Times New Roman" w:cs="Times New Roman" w:eastAsia="Times New Roman" w:hint="default"/>
                <w:sz w:val="18"/>
                <w:szCs w:val="18"/>
              </w:rPr>
              <w:t>;</w:t>
            </w:r>
            <w:r>
              <w:rPr>
                <w:rFonts w:ascii="宋体" w:hAnsi="宋体" w:cs="宋体" w:eastAsia="宋体" w:hint="default"/>
                <w:sz w:val="18"/>
                <w:szCs w:val="18"/>
              </w:rPr>
              <w:t>尤 玉仙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岳</w:t>
            </w:r>
            <w:r>
              <w:rPr>
                <w:rFonts w:ascii="Times New Roman" w:hAnsi="Times New Roman" w:cs="Times New Roman" w:eastAsia="Times New Roman" w:hint="default"/>
                <w:sz w:val="18"/>
                <w:szCs w:val="18"/>
              </w:rPr>
              <w:t>;</w:t>
            </w:r>
            <w:r>
              <w:rPr>
                <w:rFonts w:ascii="宋体" w:hAnsi="宋体" w:cs="宋体" w:eastAsia="宋体" w:hint="default"/>
                <w:sz w:val="18"/>
                <w:szCs w:val="18"/>
              </w:rPr>
              <w:t>尤雪 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鸾</w:t>
            </w:r>
            <w:r>
              <w:rPr>
                <w:rFonts w:ascii="Times New Roman" w:hAnsi="Times New Roman" w:cs="Times New Roman" w:eastAsia="Times New Roman" w:hint="default"/>
                <w:sz w:val="18"/>
                <w:szCs w:val="18"/>
              </w:rPr>
              <w:t>;</w:t>
            </w:r>
            <w:r>
              <w:rPr>
                <w:rFonts w:ascii="宋体" w:hAnsi="宋体" w:cs="宋体" w:eastAsia="宋体" w:hint="default"/>
                <w:sz w:val="18"/>
                <w:szCs w:val="18"/>
              </w:rPr>
              <w:t>章棉桃</w:t>
            </w: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3"/>
                <w:sz w:val="18"/>
                <w:szCs w:val="18"/>
              </w:rPr>
              <w:t>在本人及本人三代以内的直系、旁系亲属拥有贵公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司实际控制权期间，本人及本人投资控股的公司、 企业将不在中国境内外以任何形式从事与贵公司 主营业务或者主要产品相竞争或者构成竞争威胁 </w:t>
            </w:r>
            <w:r>
              <w:rPr>
                <w:rFonts w:ascii="宋体" w:hAnsi="宋体" w:cs="宋体" w:eastAsia="宋体" w:hint="default"/>
                <w:spacing w:val="-3"/>
                <w:sz w:val="18"/>
                <w:szCs w:val="18"/>
              </w:rPr>
              <w:t>的业务活动，包括在中国境内外投资、收购、兼并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或受托经营管理与贵公司主营业务或者主要产品 </w:t>
            </w:r>
            <w:r>
              <w:rPr>
                <w:rFonts w:ascii="宋体" w:hAnsi="宋体" w:cs="宋体" w:eastAsia="宋体" w:hint="default"/>
                <w:spacing w:val="-3"/>
                <w:sz w:val="18"/>
                <w:szCs w:val="18"/>
              </w:rPr>
              <w:t>相同或者相似的公司、企业或者其他经济组织；若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贵公司将来开拓新的业务领域，贵公司享有优先 </w:t>
            </w:r>
            <w:r>
              <w:rPr>
                <w:rFonts w:ascii="宋体" w:hAnsi="宋体" w:cs="宋体" w:eastAsia="宋体" w:hint="default"/>
                <w:spacing w:val="-3"/>
                <w:sz w:val="18"/>
                <w:szCs w:val="18"/>
              </w:rPr>
              <w:t>权，本人及本人投资控股的公司、企业将不再发展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同类业务。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38"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pacing w:val="-3"/>
                <w:sz w:val="18"/>
                <w:szCs w:val="18"/>
              </w:rPr>
              <w:t>在本次对鸿博股份股票进行认购的报批、实施过程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中以及本次认购完成后，将根据有关规定，及时、 </w:t>
            </w:r>
            <w:r>
              <w:rPr>
                <w:rFonts w:ascii="宋体" w:hAnsi="宋体" w:cs="宋体" w:eastAsia="宋体" w:hint="default"/>
                <w:spacing w:val="-3"/>
                <w:sz w:val="18"/>
                <w:szCs w:val="18"/>
              </w:rPr>
              <w:t>真实、准确、完整地披露需要本公司履行的法定信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息披露义务。</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65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尤丽娟</w:t>
            </w:r>
            <w:r>
              <w:rPr>
                <w:rFonts w:ascii="Times New Roman" w:hAnsi="Times New Roman" w:cs="Times New Roman" w:eastAsia="Times New Roman" w:hint="default"/>
                <w:sz w:val="18"/>
                <w:szCs w:val="18"/>
              </w:rPr>
              <w:t>;</w:t>
            </w:r>
            <w:r>
              <w:rPr>
                <w:rFonts w:ascii="宋体" w:hAnsi="宋体" w:cs="宋体" w:eastAsia="宋体" w:hint="default"/>
                <w:sz w:val="18"/>
                <w:szCs w:val="18"/>
              </w:rPr>
              <w:t>尤 玉仙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岳</w:t>
            </w:r>
            <w:r>
              <w:rPr>
                <w:rFonts w:ascii="Times New Roman" w:hAnsi="Times New Roman" w:cs="Times New Roman" w:eastAsia="Times New Roman" w:hint="default"/>
                <w:sz w:val="18"/>
                <w:szCs w:val="18"/>
              </w:rPr>
              <w:t>;</w:t>
            </w:r>
            <w:r>
              <w:rPr>
                <w:rFonts w:ascii="宋体" w:hAnsi="宋体" w:cs="宋体" w:eastAsia="宋体" w:hint="default"/>
                <w:sz w:val="18"/>
                <w:szCs w:val="18"/>
              </w:rPr>
              <w:t>尤雪 仙</w:t>
            </w:r>
            <w:r>
              <w:rPr>
                <w:rFonts w:ascii="Times New Roman" w:hAnsi="Times New Roman" w:cs="Times New Roman" w:eastAsia="Times New Roman" w:hint="default"/>
                <w:sz w:val="18"/>
                <w:szCs w:val="18"/>
              </w:rPr>
              <w:t>;</w:t>
            </w:r>
            <w:r>
              <w:rPr>
                <w:rFonts w:ascii="宋体" w:hAnsi="宋体" w:cs="宋体" w:eastAsia="宋体" w:hint="default"/>
                <w:sz w:val="18"/>
                <w:szCs w:val="18"/>
              </w:rPr>
              <w:t>尤友 鸾</w:t>
            </w:r>
            <w:r>
              <w:rPr>
                <w:rFonts w:ascii="Times New Roman" w:hAnsi="Times New Roman" w:cs="Times New Roman" w:eastAsia="Times New Roman" w:hint="default"/>
                <w:sz w:val="18"/>
                <w:szCs w:val="18"/>
              </w:rPr>
              <w:t>;</w:t>
            </w:r>
            <w:r>
              <w:rPr>
                <w:rFonts w:ascii="宋体" w:hAnsi="宋体" w:cs="宋体" w:eastAsia="宋体" w:hint="default"/>
                <w:sz w:val="18"/>
                <w:szCs w:val="18"/>
              </w:rPr>
              <w:t>章棉桃</w:t>
            </w:r>
          </w:p>
        </w:tc>
        <w:tc>
          <w:tcPr>
            <w:tcW w:w="992" w:type="dxa"/>
            <w:tcBorders>
              <w:top w:val="single" w:sz="4" w:space="0" w:color="000000"/>
              <w:left w:val="single" w:sz="4" w:space="0" w:color="000000"/>
              <w:bottom w:val="single" w:sz="4" w:space="0" w:color="000000"/>
              <w:right w:val="single" w:sz="4" w:space="0" w:color="000000"/>
            </w:tcBorders>
          </w:tcPr>
          <w:p>
            <w:pP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4"/>
                <w:sz w:val="18"/>
                <w:szCs w:val="18"/>
              </w:rPr>
              <w:t>日起，连续六个月内减持股份的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比例低于公司总股本的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4"/>
        <w:spacing w:line="259" w:lineRule="auto" w:before="35"/>
        <w:ind w:right="1117"/>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40" w:lineRule="auto" w:before="51"/>
        <w:ind w:left="634" w:right="1117"/>
        <w:jc w:val="left"/>
      </w:pPr>
      <w:r>
        <w:rPr>
          <w:rFonts w:ascii="宋体" w:hAnsi="宋体" w:cs="宋体" w:eastAsia="宋体" w:hint="default"/>
        </w:rPr>
        <w:t>1. </w:t>
      </w:r>
      <w:r>
        <w:rPr/>
        <w:t>重要会计政策变更</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5212"/>
        <w:gridCol w:w="708"/>
        <w:gridCol w:w="3122"/>
      </w:tblGrid>
      <w:tr>
        <w:trPr>
          <w:trHeight w:val="660"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9"/>
              <w:jc w:val="left"/>
              <w:rPr>
                <w:rFonts w:ascii="宋体" w:hAnsi="宋体" w:cs="宋体" w:eastAsia="宋体" w:hint="default"/>
                <w:sz w:val="18"/>
                <w:szCs w:val="18"/>
              </w:rPr>
            </w:pPr>
            <w:r>
              <w:rPr>
                <w:rFonts w:ascii="宋体" w:hAnsi="宋体" w:cs="宋体" w:eastAsia="宋体" w:hint="default"/>
                <w:sz w:val="18"/>
                <w:szCs w:val="18"/>
              </w:rPr>
              <w:t>审批程 序</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91"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财政部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月发布《关于修订印发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年度一般企业财务 </w:t>
            </w:r>
            <w:r>
              <w:rPr>
                <w:rFonts w:ascii="宋体" w:hAnsi="宋体" w:cs="宋体" w:eastAsia="宋体" w:hint="default"/>
                <w:spacing w:val="-1"/>
                <w:sz w:val="18"/>
                <w:szCs w:val="18"/>
              </w:rPr>
              <w:t>报表格式的通知》（财会〔</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号），对企业财务报表格式进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行相应调整，将原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行项目归并至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宋体" w:hAnsi="宋体" w:cs="宋体" w:eastAsia="宋体" w:hint="default"/>
                <w:spacing w:val="-65"/>
                <w:sz w:val="18"/>
                <w:szCs w:val="18"/>
              </w:rPr>
              <w:t> </w:t>
            </w:r>
            <w:r>
              <w:rPr>
                <w:rFonts w:ascii="宋体" w:hAnsi="宋体" w:cs="宋体" w:eastAsia="宋体" w:hint="default"/>
                <w:spacing w:val="-2"/>
                <w:sz w:val="18"/>
                <w:szCs w:val="18"/>
              </w:rPr>
              <w:t>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行项目</w:t>
            </w:r>
            <w:r>
              <w:rPr>
                <w:rFonts w:ascii="宋体" w:hAnsi="宋体" w:cs="宋体" w:eastAsia="宋体" w:hint="default"/>
                <w:spacing w:val="-75"/>
                <w:sz w:val="18"/>
                <w:szCs w:val="18"/>
              </w:rPr>
              <w:t> </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 </w:t>
            </w:r>
            <w:r>
              <w:rPr>
                <w:rFonts w:ascii="宋体" w:hAnsi="宋体" w:cs="宋体" w:eastAsia="宋体" w:hint="default"/>
                <w:spacing w:val="-2"/>
                <w:sz w:val="18"/>
                <w:szCs w:val="18"/>
              </w:rPr>
              <w:t>并至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工程物资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行项目归并至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w:t>
            </w:r>
            <w:r>
              <w:rPr>
                <w:rFonts w:ascii="宋体" w:hAnsi="宋体" w:cs="宋体" w:eastAsia="宋体" w:hint="default"/>
                <w:spacing w:val="-76"/>
                <w:sz w:val="18"/>
                <w:szCs w:val="18"/>
              </w:rPr>
              <w:t> </w:t>
            </w:r>
            <w:r>
              <w:rPr>
                <w:rFonts w:ascii="宋体" w:hAnsi="宋体" w:cs="宋体" w:eastAsia="宋体" w:hint="default"/>
                <w:sz w:val="18"/>
                <w:szCs w:val="18"/>
              </w:rPr>
              <w:t>工程</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 </w:t>
            </w:r>
            <w:r>
              <w:rPr>
                <w:rFonts w:ascii="宋体" w:hAnsi="宋体" w:cs="宋体" w:eastAsia="宋体" w:hint="default"/>
                <w:spacing w:val="-2"/>
                <w:sz w:val="18"/>
                <w:szCs w:val="18"/>
              </w:rPr>
              <w:t>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行项目归并</w:t>
            </w:r>
            <w:r>
              <w:rPr>
                <w:rFonts w:ascii="宋体" w:hAnsi="宋体" w:cs="宋体" w:eastAsia="宋体" w:hint="default"/>
                <w:spacing w:val="-76"/>
                <w:sz w:val="18"/>
                <w:szCs w:val="18"/>
              </w:rPr>
              <w:t> </w:t>
            </w:r>
            <w:r>
              <w:rPr>
                <w:rFonts w:ascii="宋体" w:hAnsi="宋体" w:cs="宋体" w:eastAsia="宋体" w:hint="default"/>
                <w:sz w:val="18"/>
                <w:szCs w:val="18"/>
              </w:rPr>
              <w:t>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；利润表中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管理费用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项目分拆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管理费用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w:t>
            </w:r>
            <w:r>
              <w:rPr>
                <w:rFonts w:ascii="宋体" w:hAnsi="宋体" w:cs="宋体" w:eastAsia="宋体" w:hint="default"/>
                <w:spacing w:val="-75"/>
                <w:sz w:val="18"/>
                <w:szCs w:val="18"/>
              </w:rPr>
              <w:t> </w:t>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明细项目列报；利润表中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项目下增加</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 </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利息收入</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明细项目列报；所有者权益变动表新增</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设定受益计划变</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9"/>
              <w:jc w:val="both"/>
              <w:rPr>
                <w:rFonts w:ascii="宋体" w:hAnsi="宋体" w:cs="宋体" w:eastAsia="宋体" w:hint="default"/>
                <w:sz w:val="18"/>
                <w:szCs w:val="18"/>
              </w:rPr>
            </w:pPr>
            <w:r>
              <w:rPr>
                <w:rFonts w:ascii="宋体" w:hAnsi="宋体" w:cs="宋体" w:eastAsia="宋体" w:hint="default"/>
                <w:sz w:val="18"/>
                <w:szCs w:val="18"/>
              </w:rPr>
              <w:t>公司第 四届第 十次董 事会审 议通过</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日发布</w:t>
            </w:r>
            <w:r>
              <w:rPr>
                <w:rFonts w:ascii="宋体" w:hAnsi="宋体" w:cs="宋体" w:eastAsia="宋体" w:hint="default"/>
                <w:spacing w:val="-48"/>
                <w:sz w:val="18"/>
                <w:szCs w:val="18"/>
              </w:rPr>
              <w:t> </w:t>
            </w:r>
            <w:r>
              <w:rPr>
                <w:rFonts w:ascii="宋体" w:hAnsi="宋体" w:cs="宋体" w:eastAsia="宋体" w:hint="default"/>
                <w:sz w:val="18"/>
                <w:szCs w:val="18"/>
              </w:rPr>
              <w:t>《关</w:t>
            </w:r>
            <w:r>
              <w:rPr>
                <w:rFonts w:ascii="宋体" w:hAnsi="宋体" w:cs="宋体" w:eastAsia="宋体" w:hint="default"/>
                <w:sz w:val="18"/>
                <w:szCs w:val="18"/>
              </w:rPr>
              <w:t> 于修订印发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w:t>
            </w:r>
            <w:r>
              <w:rPr>
                <w:rFonts w:ascii="宋体" w:hAnsi="宋体" w:cs="宋体" w:eastAsia="宋体" w:hint="default"/>
                <w:spacing w:val="-55"/>
                <w:sz w:val="18"/>
                <w:szCs w:val="18"/>
              </w:rPr>
              <w:t> </w:t>
            </w:r>
            <w:r>
              <w:rPr>
                <w:rFonts w:ascii="宋体" w:hAnsi="宋体" w:cs="宋体" w:eastAsia="宋体" w:hint="default"/>
                <w:sz w:val="18"/>
                <w:szCs w:val="18"/>
              </w:rPr>
              <w:t>务报</w:t>
            </w:r>
            <w:r>
              <w:rPr>
                <w:rFonts w:ascii="宋体" w:hAnsi="宋体" w:cs="宋体" w:eastAsia="宋体" w:hint="default"/>
                <w:sz w:val="18"/>
                <w:szCs w:val="18"/>
              </w:rPr>
              <w:t> 表格式的通知》（财会〔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1117"/>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1117"/>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20" w:firstLine="480"/>
        <w:jc w:val="left"/>
      </w:pPr>
      <w:r>
        <w:rPr>
          <w:spacing w:val="-2"/>
        </w:rPr>
        <w:t>本公司报告期内新设子公司南昌彩翼通科技有限公司、海南鸿铂文化有限公司；同时注销深圳青石软</w:t>
      </w:r>
      <w:r>
        <w:rPr/>
        <w:t> 件有限公司、福建鸿博智能信息技术有限公司，导致合并范围发生变动。</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福建华兴会计师事务所</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郑丽惠、李莉丽</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before="116"/>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6"/>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1117"/>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1117"/>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1117"/>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017" w:firstLine="420"/>
        <w:jc w:val="left"/>
        <w:rPr>
          <w:rFonts w:ascii="宋体" w:hAnsi="宋体" w:cs="宋体" w:eastAsia="宋体" w:hint="default"/>
        </w:rPr>
      </w:pPr>
      <w:r>
        <w:rPr>
          <w:rFonts w:ascii="宋体" w:hAnsi="宋体" w:cs="宋体" w:eastAsia="宋体" w:hint="default"/>
        </w:rPr>
        <w:t>1</w:t>
      </w:r>
      <w:r>
        <w:rPr/>
        <w:t>、员工持股计划事项。经公司第三届董事会第九次会议及</w:t>
      </w:r>
      <w:r>
        <w:rPr>
          <w:rFonts w:ascii="宋体" w:hAnsi="宋体" w:cs="宋体" w:eastAsia="宋体" w:hint="default"/>
        </w:rPr>
        <w:t>2015</w:t>
      </w:r>
      <w:r>
        <w:rPr/>
        <w:t>年第三次临时股东大会审议通过，公 司开展总额为</w:t>
      </w:r>
      <w:r>
        <w:rPr>
          <w:rFonts w:ascii="宋体" w:hAnsi="宋体" w:cs="宋体" w:eastAsia="宋体" w:hint="default"/>
        </w:rPr>
        <w:t>2000</w:t>
      </w:r>
      <w:r>
        <w:rPr/>
        <w:t>万元的员工持股计划。截至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日，公司第一期员工持股计划通过深圳证券交 易所二级市场已买入公司股票 </w:t>
      </w:r>
      <w:r>
        <w:rPr>
          <w:rFonts w:ascii="宋体" w:hAnsi="宋体" w:cs="宋体" w:eastAsia="宋体" w:hint="default"/>
        </w:rPr>
        <w:t>1,003,319 </w:t>
      </w:r>
      <w:r>
        <w:rPr>
          <w:spacing w:val="-6"/>
        </w:rPr>
        <w:t>股，占公司已发行总股本的</w:t>
      </w:r>
      <w:r>
        <w:rPr>
          <w:spacing w:val="17"/>
        </w:rPr>
        <w:t> </w:t>
      </w:r>
      <w:r>
        <w:rPr>
          <w:rFonts w:ascii="宋体" w:hAnsi="宋体" w:cs="宋体" w:eastAsia="宋体" w:hint="default"/>
          <w:spacing w:val="-4"/>
        </w:rPr>
        <w:t>0.3%</w:t>
      </w:r>
      <w:r>
        <w:rPr>
          <w:spacing w:val="-4"/>
        </w:rPr>
        <w:t>（经公司</w:t>
      </w:r>
      <w:r>
        <w:rPr>
          <w:rFonts w:ascii="宋体" w:hAnsi="宋体" w:cs="宋体" w:eastAsia="宋体" w:hint="default"/>
          <w:spacing w:val="-4"/>
        </w:rPr>
        <w:t>2016</w:t>
      </w:r>
      <w:r>
        <w:rPr>
          <w:spacing w:val="-4"/>
        </w:rPr>
        <w:t>年年度权益分派，</w:t>
      </w:r>
      <w:r>
        <w:rPr/>
        <w:t> 以资本公积金向全体股东每</w:t>
      </w:r>
      <w:r>
        <w:rPr>
          <w:rFonts w:ascii="宋体" w:hAnsi="宋体" w:cs="宋体" w:eastAsia="宋体" w:hint="default"/>
        </w:rPr>
        <w:t>10</w:t>
      </w:r>
      <w:r>
        <w:rPr/>
        <w:t>股转增</w:t>
      </w:r>
      <w:r>
        <w:rPr>
          <w:rFonts w:ascii="宋体" w:hAnsi="宋体" w:cs="宋体" w:eastAsia="宋体" w:hint="default"/>
        </w:rPr>
        <w:t>5</w:t>
      </w:r>
      <w:r>
        <w:rPr/>
        <w:t>股，该笔股份相应增加为</w:t>
      </w:r>
      <w:r>
        <w:rPr>
          <w:rFonts w:ascii="宋体" w:hAnsi="宋体" w:cs="宋体" w:eastAsia="宋体" w:hint="default"/>
        </w:rPr>
        <w:t>1,504,978 </w:t>
      </w:r>
      <w:r>
        <w:rPr>
          <w:spacing w:val="-13"/>
        </w:rPr>
        <w:t>股），购买金额</w:t>
      </w:r>
      <w:r>
        <w:rPr>
          <w:spacing w:val="-42"/>
        </w:rPr>
        <w:t> </w:t>
      </w:r>
      <w:r>
        <w:rPr>
          <w:rFonts w:ascii="宋体" w:hAnsi="宋体" w:cs="宋体" w:eastAsia="宋体" w:hint="default"/>
        </w:rPr>
        <w:t>19,593,471.96</w:t>
      </w:r>
    </w:p>
    <w:p>
      <w:pPr>
        <w:pStyle w:val="BodyText"/>
        <w:spacing w:line="273" w:lineRule="auto"/>
        <w:ind w:right="1203"/>
        <w:jc w:val="left"/>
      </w:pPr>
      <w:r>
        <w:rPr/>
        <w:t>元，成交均价为 </w:t>
      </w:r>
      <w:r>
        <w:rPr>
          <w:rFonts w:ascii="宋体" w:hAnsi="宋体" w:cs="宋体" w:eastAsia="宋体" w:hint="default"/>
        </w:rPr>
        <w:t>19.53</w:t>
      </w:r>
      <w:r>
        <w:rPr>
          <w:rFonts w:ascii="宋体" w:hAnsi="宋体" w:cs="宋体" w:eastAsia="宋体" w:hint="default"/>
          <w:spacing w:val="-6"/>
        </w:rPr>
        <w:t> </w:t>
      </w:r>
      <w:r>
        <w:rPr/>
        <w:t>元</w:t>
      </w:r>
      <w:r>
        <w:rPr>
          <w:rFonts w:ascii="宋体" w:hAnsi="宋体" w:cs="宋体" w:eastAsia="宋体" w:hint="default"/>
        </w:rPr>
        <w:t>/</w:t>
      </w:r>
      <w:r>
        <w:rPr/>
        <w:t>股。截至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29</w:t>
      </w:r>
      <w:r>
        <w:rPr/>
        <w:t>日，公司第一期员工持股计划所持有的公司股票已全部 出售完毕。详细情况请查阅巨潮资讯网（</w:t>
      </w:r>
      <w:hyperlink r:id="rId11">
        <w:r>
          <w:rPr>
            <w:rFonts w:ascii="宋体" w:hAnsi="宋体" w:cs="宋体" w:eastAsia="宋体" w:hint="default"/>
          </w:rPr>
          <w:t>http://www.cninfo.com.cn</w:t>
        </w:r>
      </w:hyperlink>
      <w:r>
        <w:rPr/>
        <w:t>）。</w:t>
      </w:r>
    </w:p>
    <w:p>
      <w:pPr>
        <w:pStyle w:val="BodyText"/>
        <w:spacing w:line="273" w:lineRule="auto"/>
        <w:ind w:right="1117" w:firstLine="420"/>
        <w:jc w:val="left"/>
      </w:pPr>
      <w:r>
        <w:rPr>
          <w:rFonts w:ascii="宋体" w:hAnsi="宋体" w:cs="宋体" w:eastAsia="宋体" w:hint="default"/>
        </w:rPr>
        <w:t>2</w:t>
      </w:r>
      <w:r>
        <w:rPr/>
        <w:t>、股权激励计划事项。经公司第四届董事会</w:t>
      </w:r>
      <w:r>
        <w:rPr>
          <w:rFonts w:ascii="宋体" w:hAnsi="宋体" w:cs="宋体" w:eastAsia="宋体" w:hint="default"/>
        </w:rPr>
        <w:t>2016</w:t>
      </w:r>
      <w:r>
        <w:rPr/>
        <w:t>年第三次临时会议及公司</w:t>
      </w:r>
      <w:r>
        <w:rPr>
          <w:rFonts w:ascii="宋体" w:hAnsi="宋体" w:cs="宋体" w:eastAsia="宋体" w:hint="default"/>
        </w:rPr>
        <w:t>2016</w:t>
      </w:r>
      <w:r>
        <w:rPr/>
        <w:t>年第五次临时股东大 </w:t>
      </w:r>
      <w:r>
        <w:rPr>
          <w:spacing w:val="-1"/>
        </w:rPr>
        <w:t>会审议通过《关于鸿博股份有限公司</w:t>
      </w:r>
      <w:r>
        <w:rPr>
          <w:rFonts w:ascii="宋体" w:hAnsi="宋体" w:cs="宋体" w:eastAsia="宋体" w:hint="default"/>
          <w:spacing w:val="-1"/>
        </w:rPr>
        <w:t>&lt;2016</w:t>
      </w:r>
      <w:r>
        <w:rPr>
          <w:spacing w:val="-1"/>
        </w:rPr>
        <w:t>年限制性股票激励计划（草案）</w:t>
      </w:r>
      <w:r>
        <w:rPr>
          <w:rFonts w:ascii="宋体" w:hAnsi="宋体" w:cs="宋体" w:eastAsia="宋体" w:hint="default"/>
          <w:spacing w:val="-1"/>
        </w:rPr>
        <w:t>&gt;</w:t>
      </w:r>
      <w:r>
        <w:rPr>
          <w:spacing w:val="-1"/>
        </w:rPr>
        <w:t>及摘要的议案》、《关于提请</w:t>
      </w:r>
      <w:r>
        <w:rPr>
          <w:spacing w:val="-84"/>
        </w:rPr>
        <w:t> </w:t>
      </w:r>
      <w:r>
        <w:rPr>
          <w:spacing w:val="-84"/>
        </w:rPr>
      </w:r>
      <w:r>
        <w:rPr>
          <w:spacing w:val="-1"/>
        </w:rPr>
        <w:t>股东大会授权董事会办理公司</w:t>
      </w:r>
      <w:r>
        <w:rPr>
          <w:rFonts w:ascii="宋体" w:hAnsi="宋体" w:cs="宋体" w:eastAsia="宋体" w:hint="default"/>
          <w:spacing w:val="-1"/>
        </w:rPr>
        <w:t>2016</w:t>
      </w:r>
      <w:r>
        <w:rPr>
          <w:spacing w:val="-1"/>
        </w:rPr>
        <w:t>年限制性股票激励计划相关事宜的议案》等相关议案，根据股东大会授</w:t>
      </w:r>
      <w:r>
        <w:rPr>
          <w:spacing w:val="-79"/>
        </w:rPr>
        <w:t> </w:t>
      </w:r>
      <w:r>
        <w:rPr>
          <w:spacing w:val="-79"/>
        </w:rPr>
      </w:r>
      <w:r>
        <w:rPr/>
        <w:t>权，公司于 </w:t>
      </w:r>
      <w:r>
        <w:rPr>
          <w:rFonts w:ascii="宋体" w:hAnsi="宋体" w:cs="宋体" w:eastAsia="宋体" w:hint="default"/>
        </w:rPr>
        <w:t>2017 </w:t>
      </w:r>
      <w:r>
        <w:rPr/>
        <w:t>年</w:t>
      </w:r>
      <w:r>
        <w:rPr>
          <w:rFonts w:ascii="宋体" w:hAnsi="宋体" w:cs="宋体" w:eastAsia="宋体" w:hint="default"/>
        </w:rPr>
        <w:t>1 </w:t>
      </w:r>
      <w:r>
        <w:rPr/>
        <w:t>月 </w:t>
      </w:r>
      <w:r>
        <w:rPr>
          <w:rFonts w:ascii="宋体" w:hAnsi="宋体" w:cs="宋体" w:eastAsia="宋体" w:hint="default"/>
        </w:rPr>
        <w:t>6 </w:t>
      </w:r>
      <w:r>
        <w:rPr/>
        <w:t>日召开第四届董事会 </w:t>
      </w:r>
      <w:r>
        <w:rPr>
          <w:rFonts w:ascii="宋体" w:hAnsi="宋体" w:cs="宋体" w:eastAsia="宋体" w:hint="default"/>
        </w:rPr>
        <w:t>2017</w:t>
      </w:r>
      <w:r>
        <w:rPr>
          <w:rFonts w:ascii="宋体" w:hAnsi="宋体" w:cs="宋体" w:eastAsia="宋体" w:hint="default"/>
          <w:spacing w:val="-7"/>
        </w:rPr>
        <w:t> </w:t>
      </w:r>
      <w:r>
        <w:rPr/>
        <w:t>年第一次临时会议审议通过《关于向激励对象授 </w:t>
      </w:r>
      <w:r>
        <w:rPr>
          <w:spacing w:val="-3"/>
        </w:rPr>
        <w:t>予限制性股票的议案》。董事会确定</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6</w:t>
      </w:r>
      <w:r>
        <w:rPr>
          <w:spacing w:val="-3"/>
        </w:rPr>
        <w:t>日为授予日，同意向</w:t>
      </w:r>
      <w:r>
        <w:rPr>
          <w:rFonts w:ascii="宋体" w:hAnsi="宋体" w:cs="宋体" w:eastAsia="宋体" w:hint="default"/>
          <w:spacing w:val="-3"/>
        </w:rPr>
        <w:t>46</w:t>
      </w:r>
      <w:r>
        <w:rPr>
          <w:spacing w:val="-3"/>
        </w:rPr>
        <w:t>名激励对象授予限制性股票共计</w:t>
      </w:r>
      <w:r>
        <w:rPr>
          <w:rFonts w:ascii="宋体" w:hAnsi="宋体" w:cs="宋体" w:eastAsia="宋体" w:hint="default"/>
          <w:spacing w:val="-3"/>
        </w:rPr>
        <w:t>200</w:t>
      </w:r>
      <w:r>
        <w:rPr>
          <w:rFonts w:ascii="宋体" w:hAnsi="宋体" w:cs="宋体" w:eastAsia="宋体" w:hint="default"/>
          <w:spacing w:val="-83"/>
        </w:rPr>
        <w:t> </w:t>
      </w:r>
      <w:r>
        <w:rPr>
          <w:spacing w:val="-1"/>
        </w:rPr>
        <w:t>万股。经公司第四届董事会</w:t>
      </w:r>
      <w:r>
        <w:rPr>
          <w:rFonts w:ascii="宋体" w:hAnsi="宋体" w:cs="宋体" w:eastAsia="宋体" w:hint="default"/>
          <w:spacing w:val="-1"/>
        </w:rPr>
        <w:t>2018</w:t>
      </w:r>
      <w:r>
        <w:rPr>
          <w:spacing w:val="-1"/>
        </w:rPr>
        <w:t>年第五次临时会议审议通过了《关于终止</w:t>
      </w:r>
      <w:r>
        <w:rPr>
          <w:rFonts w:ascii="宋体" w:hAnsi="宋体" w:cs="宋体" w:eastAsia="宋体" w:hint="default"/>
          <w:spacing w:val="-1"/>
        </w:rPr>
        <w:t>2016</w:t>
      </w:r>
      <w:r>
        <w:rPr>
          <w:spacing w:val="-1"/>
        </w:rPr>
        <w:t>年限制性股票激励计划暨回</w:t>
      </w:r>
      <w:r>
        <w:rPr>
          <w:spacing w:val="-79"/>
        </w:rPr>
        <w:t> </w:t>
      </w:r>
      <w:r>
        <w:rPr>
          <w:spacing w:val="-79"/>
        </w:rPr>
      </w:r>
      <w:r>
        <w:rPr>
          <w:spacing w:val="-1"/>
        </w:rPr>
        <w:t>购注销已获授但尚未解除限售的限制性股票的议案》，截至本报告披露日，本次股权激励计划的所有限制</w:t>
      </w:r>
      <w:r>
        <w:rPr>
          <w:spacing w:val="-83"/>
        </w:rPr>
        <w:t> </w:t>
      </w:r>
      <w:r>
        <w:rPr>
          <w:spacing w:val="-83"/>
        </w:rPr>
      </w:r>
      <w:r>
        <w:rPr/>
        <w:t>性股票已完成回购注销手续，详细情况请查阅巨潮资讯网（</w:t>
      </w:r>
      <w:hyperlink r:id="rId11">
        <w:r>
          <w:rPr>
            <w:rFonts w:ascii="宋体" w:hAnsi="宋体" w:cs="宋体" w:eastAsia="宋体" w:hint="default"/>
          </w:rPr>
          <w:t>http://www.cninfo.com.cn</w:t>
        </w:r>
      </w:hyperlink>
      <w:r>
        <w:rPr/>
        <w:t>）。</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7"/>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1117"/>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1117"/>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1117"/>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3"/>
        <w:rPr>
          <w:rFonts w:ascii="宋体" w:hAnsi="宋体" w:cs="宋体" w:eastAsia="宋体" w:hint="default"/>
          <w:sz w:val="20"/>
          <w:szCs w:val="20"/>
        </w:rPr>
      </w:pPr>
    </w:p>
    <w:p>
      <w:pPr>
        <w:pStyle w:val="Heading4"/>
        <w:spacing w:line="240" w:lineRule="auto"/>
        <w:ind w:right="1117"/>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92" w:lineRule="auto" w:before="0"/>
        <w:ind w:right="1117"/>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rFonts w:ascii="宋体" w:hAnsi="宋体" w:cs="宋体" w:eastAsia="宋体" w:hint="default"/>
        </w:rPr>
        <w:t>1</w:t>
      </w:r>
      <w:r>
        <w:rPr/>
        <w:t>、公司第四届董事会</w:t>
      </w:r>
      <w:r>
        <w:rPr>
          <w:rFonts w:ascii="宋体" w:hAnsi="宋体" w:cs="宋体" w:eastAsia="宋体" w:hint="default"/>
        </w:rPr>
        <w:t>2018</w:t>
      </w:r>
      <w:r>
        <w:rPr/>
        <w:t>年第一次临时会议审议通过了《鸿博股份有限公司关于购买房产暨关联交易的 </w:t>
      </w:r>
      <w:r>
        <w:rPr>
          <w:spacing w:val="-1"/>
        </w:rPr>
        <w:t>议案》，同意公司购买福建鸿博房地产开发有限公司（以下简称“鸿博房地产”）所拥有的位于福州市仓</w:t>
      </w:r>
    </w:p>
    <w:p>
      <w:pPr>
        <w:pStyle w:val="BodyText"/>
        <w:spacing w:line="273" w:lineRule="auto" w:before="0"/>
        <w:ind w:right="1109"/>
        <w:jc w:val="left"/>
      </w:pPr>
      <w:r>
        <w:rPr/>
        <w:t>山区南江滨西大道南侧江城锦绣商务住宅项目（鸿博•梅岭观海）</w:t>
      </w:r>
      <w:r>
        <w:rPr>
          <w:rFonts w:ascii="宋体" w:hAnsi="宋体" w:cs="宋体" w:eastAsia="宋体" w:hint="default"/>
        </w:rPr>
        <w:t>B#</w:t>
      </w:r>
      <w:r>
        <w:rPr/>
        <w:t>楼</w:t>
      </w:r>
      <w:r>
        <w:rPr>
          <w:rFonts w:ascii="宋体" w:hAnsi="宋体" w:cs="宋体" w:eastAsia="宋体" w:hint="default"/>
        </w:rPr>
        <w:t>20</w:t>
      </w:r>
      <w:r>
        <w:rPr/>
        <w:t>层及</w:t>
      </w:r>
      <w:r>
        <w:rPr>
          <w:rFonts w:ascii="宋体" w:hAnsi="宋体" w:cs="宋体" w:eastAsia="宋体" w:hint="default"/>
        </w:rPr>
        <w:t>21</w:t>
      </w:r>
      <w:r>
        <w:rPr/>
        <w:t>层的办公地产，建筑面积 合计</w:t>
      </w:r>
      <w:r>
        <w:rPr>
          <w:rFonts w:ascii="宋体" w:hAnsi="宋体" w:cs="宋体" w:eastAsia="宋体" w:hint="default"/>
        </w:rPr>
        <w:t>1,069.98</w:t>
      </w:r>
      <w:r>
        <w:rPr/>
        <w:t>平方米，房产交易单价为</w:t>
      </w:r>
      <w:r>
        <w:rPr>
          <w:rFonts w:ascii="宋体" w:hAnsi="宋体" w:cs="宋体" w:eastAsia="宋体" w:hint="default"/>
        </w:rPr>
        <w:t>26,000.00</w:t>
      </w:r>
      <w:r>
        <w:rPr>
          <w:rFonts w:ascii="宋体" w:hAnsi="宋体" w:cs="宋体" w:eastAsia="宋体" w:hint="default"/>
          <w:spacing w:val="-4"/>
        </w:rPr>
        <w:t> </w:t>
      </w:r>
      <w:r>
        <w:rPr/>
        <w:t>元</w:t>
      </w:r>
      <w:r>
        <w:rPr>
          <w:rFonts w:ascii="宋体" w:hAnsi="宋体" w:cs="宋体" w:eastAsia="宋体" w:hint="default"/>
        </w:rPr>
        <w:t>/</w:t>
      </w:r>
      <w:r>
        <w:rPr/>
        <w:t>平方米，房产交易总价为</w:t>
      </w:r>
      <w:r>
        <w:rPr>
          <w:rFonts w:ascii="宋体" w:hAnsi="宋体" w:cs="宋体" w:eastAsia="宋体" w:hint="default"/>
        </w:rPr>
        <w:t>2,781.95</w:t>
      </w:r>
      <w:r>
        <w:rPr/>
        <w:t>万元，报告期支 付房产总价</w:t>
      </w:r>
      <w:r>
        <w:rPr>
          <w:rFonts w:ascii="宋体" w:hAnsi="宋体" w:cs="宋体" w:eastAsia="宋体" w:hint="default"/>
        </w:rPr>
        <w:t>27,819,480.00</w:t>
      </w:r>
      <w:r>
        <w:rPr/>
        <w:t>元。鸿博房地产为公司控股股东、实际控制人之一尤玉仙通过鸿博集团有限公 司间接控股的公司，本次交易构成关联交易，交易详情请查阅巨潮资讯网（</w:t>
      </w:r>
      <w:hyperlink r:id="rId11">
        <w:r>
          <w:rPr>
            <w:rFonts w:ascii="宋体" w:hAnsi="宋体" w:cs="宋体" w:eastAsia="宋体" w:hint="default"/>
          </w:rPr>
          <w:t>http://www.cninfo.com.cn</w:t>
        </w:r>
      </w:hyperlink>
      <w:r>
        <w:rPr/>
        <w:t>） 公司公告《关于购买房产暨关联交易的公告》（公告编号：</w:t>
      </w:r>
      <w:r>
        <w:rPr>
          <w:rFonts w:ascii="宋体" w:hAnsi="宋体" w:cs="宋体" w:eastAsia="宋体" w:hint="default"/>
        </w:rPr>
        <w:t>2018-007</w:t>
      </w:r>
      <w:r>
        <w:rPr/>
        <w:t>）。 </w:t>
      </w:r>
      <w:r>
        <w:rPr>
          <w:rFonts w:ascii="宋体" w:hAnsi="宋体" w:cs="宋体" w:eastAsia="宋体" w:hint="default"/>
        </w:rPr>
        <w:t>2</w:t>
      </w:r>
      <w:r>
        <w:rPr/>
        <w:t>、为拓展公司业务板块，实现与公司现有彩票游戏研发业务的协同性，公司第四届董事会第七次会议审 议通过了《关于向</w:t>
      </w:r>
      <w:r>
        <w:rPr>
          <w:spacing w:val="-21"/>
        </w:rPr>
        <w:t> </w:t>
      </w:r>
      <w:r>
        <w:rPr>
          <w:rFonts w:ascii="宋体" w:hAnsi="宋体" w:cs="宋体" w:eastAsia="宋体" w:hint="default"/>
        </w:rPr>
        <w:t>BLUESTONESOFT,INC.</w:t>
      </w:r>
      <w:r>
        <w:rPr/>
        <w:t>增资暨关联交易的议案》，同意公司以自有资金向</w:t>
      </w:r>
      <w:r>
        <w:rPr>
          <w:rFonts w:ascii="宋体" w:hAnsi="宋体" w:cs="宋体" w:eastAsia="宋体" w:hint="default"/>
        </w:rPr>
        <w:t>BLUESTONE</w:t>
      </w:r>
      <w:r>
        <w:rPr/>
        <w:t>增资</w:t>
      </w:r>
      <w:r>
        <w:rPr>
          <w:spacing w:val="1"/>
        </w:rPr>
        <w:t> </w:t>
      </w:r>
      <w:r>
        <w:rPr>
          <w:rFonts w:ascii="宋体" w:hAnsi="宋体" w:cs="宋体" w:eastAsia="宋体" w:hint="default"/>
        </w:rPr>
        <w:t>1000</w:t>
      </w:r>
      <w:r>
        <w:rPr/>
        <w:t>万元人民币，增资完成后，公司将持有 </w:t>
      </w:r>
      <w:r>
        <w:rPr>
          <w:rFonts w:ascii="宋体" w:hAnsi="宋体" w:cs="宋体" w:eastAsia="宋体" w:hint="default"/>
        </w:rPr>
        <w:t>BLUESTONE </w:t>
      </w:r>
      <w:r>
        <w:rPr/>
        <w:t>总股本的</w:t>
      </w:r>
      <w:r>
        <w:rPr>
          <w:spacing w:val="-6"/>
        </w:rPr>
        <w:t> </w:t>
      </w:r>
      <w:r>
        <w:rPr>
          <w:rFonts w:ascii="宋体" w:hAnsi="宋体" w:cs="宋体" w:eastAsia="宋体" w:hint="default"/>
        </w:rPr>
        <w:t>10.07%</w:t>
      </w:r>
      <w:r>
        <w:rPr/>
        <w:t>。交易详情请查阅巨潮资讯网</w:t>
      </w:r>
    </w:p>
    <w:p>
      <w:pPr>
        <w:pStyle w:val="BodyText"/>
        <w:spacing w:line="273" w:lineRule="auto"/>
        <w:ind w:right="1216"/>
        <w:jc w:val="left"/>
      </w:pPr>
      <w:r>
        <w:rPr/>
        <w:t>（</w:t>
      </w:r>
      <w:hyperlink r:id="rId11">
        <w:r>
          <w:rPr>
            <w:rFonts w:ascii="宋体" w:hAnsi="宋体" w:cs="宋体" w:eastAsia="宋体" w:hint="default"/>
          </w:rPr>
          <w:t>http://www.cninfo.com.cn</w:t>
        </w:r>
      </w:hyperlink>
      <w:r>
        <w:rPr/>
        <w:t>）公司公告《关于向</w:t>
      </w:r>
      <w:r>
        <w:rPr>
          <w:rFonts w:ascii="宋体" w:hAnsi="宋体" w:cs="宋体" w:eastAsia="宋体" w:hint="default"/>
        </w:rPr>
        <w:t>BLUESTONE</w:t>
      </w:r>
      <w:r>
        <w:rPr>
          <w:rFonts w:ascii="宋体" w:hAnsi="宋体" w:cs="宋体" w:eastAsia="宋体" w:hint="default"/>
          <w:spacing w:val="-4"/>
        </w:rPr>
        <w:t> </w:t>
      </w:r>
      <w:r>
        <w:rPr>
          <w:rFonts w:ascii="宋体" w:hAnsi="宋体" w:cs="宋体" w:eastAsia="宋体" w:hint="default"/>
        </w:rPr>
        <w:t>SOFT,INC.</w:t>
      </w:r>
      <w:r>
        <w:rPr/>
        <w:t>增资暨关联交易的公告》（公告 编号：</w:t>
      </w:r>
      <w:r>
        <w:rPr>
          <w:rFonts w:ascii="宋体" w:hAnsi="宋体" w:cs="宋体" w:eastAsia="宋体" w:hint="default"/>
        </w:rPr>
        <w:t>2018-023</w:t>
      </w:r>
      <w:r>
        <w:rPr/>
        <w:t>）。</w:t>
      </w:r>
    </w:p>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关于购买房产暨关联交易的公告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BLUESTONE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SOFT,INC.</w:t>
            </w:r>
            <w:r>
              <w:rPr>
                <w:rFonts w:ascii="宋体" w:hAnsi="宋体" w:cs="宋体" w:eastAsia="宋体" w:hint="default"/>
                <w:sz w:val="18"/>
                <w:szCs w:val="18"/>
              </w:rPr>
              <w:t>增资暨关联 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7"/>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1117"/>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1117"/>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1117"/>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1117"/>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无锡双龙信息纸有限 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重庆市鸿海印务有限 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902"/>
        <w:gridCol w:w="920"/>
        <w:gridCol w:w="1317"/>
        <w:gridCol w:w="1028"/>
        <w:gridCol w:w="1060"/>
        <w:gridCol w:w="1063"/>
        <w:gridCol w:w="775"/>
        <w:gridCol w:w="790"/>
      </w:tblGrid>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1"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920" w:type="dxa"/>
            <w:vMerge/>
            <w:tcBorders>
              <w:left w:val="single" w:sz="4" w:space="0" w:color="000000"/>
              <w:bottom w:val="nil" w:sz="6" w:space="0" w:color="auto"/>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2"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28"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02" w:type="dxa"/>
            <w:vMerge/>
            <w:tcBorders>
              <w:left w:val="single" w:sz="4" w:space="0" w:color="000000"/>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
        </w:tc>
        <w:tc>
          <w:tcPr>
            <w:tcW w:w="1028"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02"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9"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 w:right="2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1117"/>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6"/>
        <w:ind w:left="154" w:right="5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2） 委托理财具体情况" w:id="98"/>
      <w:bookmarkEnd w:id="98"/>
      <w:r>
        <w:rPr>
          <w:b w:val="0"/>
          <w:bCs w:val="0"/>
        </w:rPr>
      </w:r>
      <w:r>
        <w:rPr/>
        <w:t>（</w:t>
      </w:r>
      <w:r>
        <w:rPr>
          <w:rFonts w:ascii="Times New Roman" w:hAnsi="Times New Roman" w:cs="Times New Roman" w:eastAsia="Times New Roman" w:hint="default"/>
        </w:rPr>
        <w:t>2</w:t>
      </w:r>
      <w:r>
        <w:rPr/>
        <w:t>）</w:t>
      </w:r>
      <w:r>
        <w:rPr>
          <w:spacing w:val="-4"/>
        </w:rPr>
        <w:t> </w:t>
      </w:r>
      <w:r>
        <w:rPr/>
        <w:t>委托理财具体情况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94" w:hRule="exact"/>
        </w:trPr>
        <w:tc>
          <w:tcPr>
            <w:tcW w:w="5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7" w:right="-46" w:firstLine="415"/>
              <w:jc w:val="left"/>
              <w:rPr>
                <w:rFonts w:ascii="宋体" w:hAnsi="宋体" w:cs="宋体" w:eastAsia="宋体" w:hint="default"/>
                <w:sz w:val="18"/>
                <w:szCs w:val="18"/>
              </w:rPr>
            </w:pPr>
            <w:r>
              <w:rPr>
                <w:rFonts w:ascii="宋体" w:hAnsi="宋体" w:cs="宋体" w:eastAsia="宋体" w:hint="default"/>
                <w:sz w:val="18"/>
                <w:szCs w:val="18"/>
              </w:rPr>
              <w:t>受 托机构</w:t>
            </w:r>
          </w:p>
        </w:tc>
        <w:tc>
          <w:tcPr>
            <w:tcW w:w="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16" w:right="17"/>
              <w:jc w:val="left"/>
              <w:rPr>
                <w:rFonts w:ascii="宋体" w:hAnsi="宋体" w:cs="宋体" w:eastAsia="宋体" w:hint="default"/>
                <w:sz w:val="18"/>
                <w:szCs w:val="18"/>
              </w:rPr>
            </w:pPr>
            <w:r>
              <w:rPr>
                <w:rFonts w:ascii="宋体" w:hAnsi="宋体" w:cs="宋体" w:eastAsia="宋体" w:hint="default"/>
                <w:sz w:val="18"/>
                <w:szCs w:val="18"/>
              </w:rPr>
              <w:t>受托机 构（或</w:t>
            </w:r>
          </w:p>
        </w:tc>
        <w:tc>
          <w:tcPr>
            <w:tcW w:w="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5" w:right="0"/>
              <w:jc w:val="left"/>
              <w:rPr>
                <w:rFonts w:ascii="宋体" w:hAnsi="宋体" w:cs="宋体" w:eastAsia="宋体" w:hint="default"/>
                <w:sz w:val="18"/>
                <w:szCs w:val="18"/>
              </w:rPr>
            </w:pPr>
            <w:r>
              <w:rPr>
                <w:rFonts w:ascii="宋体" w:hAnsi="宋体" w:cs="宋体" w:eastAsia="宋体" w:hint="default"/>
                <w:sz w:val="18"/>
                <w:szCs w:val="18"/>
              </w:rPr>
              <w:t>产品类</w:t>
            </w:r>
          </w:p>
        </w:tc>
        <w:tc>
          <w:tcPr>
            <w:tcW w:w="5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终止日</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资金投</w:t>
            </w: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报酬确</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3" w:right="1"/>
              <w:jc w:val="left"/>
              <w:rPr>
                <w:rFonts w:ascii="宋体" w:hAnsi="宋体" w:cs="宋体" w:eastAsia="宋体" w:hint="default"/>
                <w:sz w:val="18"/>
                <w:szCs w:val="18"/>
              </w:rPr>
            </w:pPr>
            <w:r>
              <w:rPr>
                <w:rFonts w:ascii="宋体" w:hAnsi="宋体" w:cs="宋体" w:eastAsia="宋体" w:hint="default"/>
                <w:sz w:val="18"/>
                <w:szCs w:val="18"/>
              </w:rPr>
              <w:t>参考年 化收益</w:t>
            </w: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2" w:right="1"/>
              <w:jc w:val="left"/>
              <w:rPr>
                <w:rFonts w:ascii="宋体" w:hAnsi="宋体" w:cs="宋体" w:eastAsia="宋体" w:hint="default"/>
                <w:sz w:val="18"/>
                <w:szCs w:val="18"/>
              </w:rPr>
            </w:pPr>
            <w:r>
              <w:rPr>
                <w:rFonts w:ascii="宋体" w:hAnsi="宋体" w:cs="宋体" w:eastAsia="宋体" w:hint="default"/>
                <w:sz w:val="18"/>
                <w:szCs w:val="18"/>
              </w:rPr>
              <w:t>预期收 益（如</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2" w:right="2"/>
              <w:jc w:val="left"/>
              <w:rPr>
                <w:rFonts w:ascii="宋体" w:hAnsi="宋体" w:cs="宋体" w:eastAsia="宋体" w:hint="default"/>
                <w:sz w:val="18"/>
                <w:szCs w:val="18"/>
              </w:rPr>
            </w:pPr>
            <w:r>
              <w:rPr>
                <w:rFonts w:ascii="宋体" w:hAnsi="宋体" w:cs="宋体" w:eastAsia="宋体" w:hint="default"/>
                <w:sz w:val="18"/>
                <w:szCs w:val="18"/>
              </w:rPr>
              <w:t>报告期 实际损</w:t>
            </w:r>
          </w:p>
        </w:tc>
        <w:tc>
          <w:tcPr>
            <w:tcW w:w="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2" w:right="3"/>
              <w:jc w:val="left"/>
              <w:rPr>
                <w:rFonts w:ascii="宋体" w:hAnsi="宋体" w:cs="宋体" w:eastAsia="宋体" w:hint="default"/>
                <w:sz w:val="18"/>
                <w:szCs w:val="18"/>
              </w:rPr>
            </w:pPr>
            <w:r>
              <w:rPr>
                <w:rFonts w:ascii="宋体" w:hAnsi="宋体" w:cs="宋体" w:eastAsia="宋体" w:hint="default"/>
                <w:sz w:val="18"/>
                <w:szCs w:val="18"/>
              </w:rPr>
              <w:t>报告期 损益实</w:t>
            </w:r>
          </w:p>
        </w:tc>
        <w:tc>
          <w:tcPr>
            <w:tcW w:w="5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87" w:right="85"/>
              <w:jc w:val="left"/>
              <w:rPr>
                <w:rFonts w:ascii="宋体" w:hAnsi="宋体" w:cs="宋体" w:eastAsia="宋体" w:hint="default"/>
                <w:sz w:val="18"/>
                <w:szCs w:val="18"/>
              </w:rPr>
            </w:pPr>
            <w:r>
              <w:rPr>
                <w:rFonts w:ascii="宋体" w:hAnsi="宋体" w:cs="宋体" w:eastAsia="宋体" w:hint="default"/>
                <w:sz w:val="18"/>
                <w:szCs w:val="18"/>
              </w:rPr>
              <w:t>计提 减值</w:t>
            </w:r>
          </w:p>
        </w:tc>
        <w:tc>
          <w:tcPr>
            <w:tcW w:w="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85" w:right="85"/>
              <w:jc w:val="left"/>
              <w:rPr>
                <w:rFonts w:ascii="宋体" w:hAnsi="宋体" w:cs="宋体" w:eastAsia="宋体" w:hint="default"/>
                <w:sz w:val="18"/>
                <w:szCs w:val="18"/>
              </w:rPr>
            </w:pPr>
            <w:r>
              <w:rPr>
                <w:rFonts w:ascii="宋体" w:hAnsi="宋体" w:cs="宋体" w:eastAsia="宋体" w:hint="default"/>
                <w:sz w:val="18"/>
                <w:szCs w:val="18"/>
              </w:rPr>
              <w:t>是否 经过</w:t>
            </w:r>
          </w:p>
        </w:tc>
        <w:tc>
          <w:tcPr>
            <w:tcW w:w="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85" w:right="84"/>
              <w:jc w:val="left"/>
              <w:rPr>
                <w:rFonts w:ascii="宋体" w:hAnsi="宋体" w:cs="宋体" w:eastAsia="宋体" w:hint="default"/>
                <w:sz w:val="18"/>
                <w:szCs w:val="18"/>
              </w:rPr>
            </w:pPr>
            <w:r>
              <w:rPr>
                <w:rFonts w:ascii="宋体" w:hAnsi="宋体" w:cs="宋体" w:eastAsia="宋体" w:hint="default"/>
                <w:sz w:val="18"/>
                <w:szCs w:val="18"/>
              </w:rPr>
              <w:t>未来 是否</w:t>
            </w:r>
          </w:p>
        </w:tc>
        <w:tc>
          <w:tcPr>
            <w:tcW w:w="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6"/>
              <w:ind w:left="82" w:right="79"/>
              <w:jc w:val="left"/>
              <w:rPr>
                <w:rFonts w:ascii="宋体" w:hAnsi="宋体" w:cs="宋体" w:eastAsia="宋体" w:hint="default"/>
                <w:sz w:val="18"/>
                <w:szCs w:val="18"/>
              </w:rPr>
            </w:pPr>
            <w:r>
              <w:rPr>
                <w:rFonts w:ascii="宋体" w:hAnsi="宋体" w:cs="宋体" w:eastAsia="宋体" w:hint="default"/>
                <w:sz w:val="18"/>
                <w:szCs w:val="18"/>
              </w:rPr>
              <w:t>事项 概述</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29" w:hRule="exact"/>
        </w:trPr>
        <w:tc>
          <w:tcPr>
            <w:tcW w:w="5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97" w:right="0"/>
              <w:jc w:val="both"/>
              <w:rPr>
                <w:rFonts w:ascii="宋体" w:hAnsi="宋体" w:cs="宋体" w:eastAsia="宋体" w:hint="default"/>
                <w:sz w:val="18"/>
                <w:szCs w:val="18"/>
              </w:rPr>
            </w:pPr>
            <w:r>
              <w:rPr>
                <w:rFonts w:ascii="宋体" w:hAnsi="宋体" w:cs="宋体" w:eastAsia="宋体" w:hint="default"/>
                <w:sz w:val="18"/>
                <w:szCs w:val="18"/>
              </w:rPr>
              <w:t>名称</w:t>
            </w:r>
          </w:p>
          <w:p>
            <w:pPr>
              <w:pStyle w:val="TableParagraph"/>
              <w:spacing w:line="319" w:lineRule="auto" w:before="76"/>
              <w:ind w:left="7" w:right="9"/>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6"/>
              <w:ind w:left="16" w:right="17"/>
              <w:jc w:val="center"/>
              <w:rPr>
                <w:rFonts w:ascii="宋体" w:hAnsi="宋体" w:cs="宋体" w:eastAsia="宋体" w:hint="default"/>
                <w:sz w:val="18"/>
                <w:szCs w:val="18"/>
              </w:rPr>
            </w:pPr>
            <w:r>
              <w:rPr>
                <w:rFonts w:ascii="宋体" w:hAnsi="宋体" w:cs="宋体" w:eastAsia="宋体" w:hint="default"/>
                <w:sz w:val="18"/>
                <w:szCs w:val="18"/>
              </w:rPr>
              <w:t>受托 人）类 型</w:t>
            </w:r>
          </w:p>
        </w:tc>
        <w:tc>
          <w:tcPr>
            <w:tcW w:w="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型</w:t>
            </w:r>
          </w:p>
        </w:tc>
        <w:tc>
          <w:tcPr>
            <w:tcW w:w="57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源</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8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82" w:right="0"/>
              <w:jc w:val="left"/>
              <w:rPr>
                <w:rFonts w:ascii="宋体" w:hAnsi="宋体" w:cs="宋体" w:eastAsia="宋体" w:hint="default"/>
                <w:sz w:val="18"/>
                <w:szCs w:val="18"/>
              </w:rPr>
            </w:pPr>
            <w:r>
              <w:rPr>
                <w:rFonts w:ascii="宋体" w:hAnsi="宋体" w:cs="宋体" w:eastAsia="宋体" w:hint="default"/>
                <w:sz w:val="18"/>
                <w:szCs w:val="18"/>
              </w:rPr>
              <w:t>向</w:t>
            </w: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定方式</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有</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益金额</w:t>
            </w:r>
          </w:p>
        </w:tc>
        <w:tc>
          <w:tcPr>
            <w:tcW w:w="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6"/>
              <w:ind w:left="92" w:right="3" w:hanging="90"/>
              <w:jc w:val="left"/>
              <w:rPr>
                <w:rFonts w:ascii="宋体" w:hAnsi="宋体" w:cs="宋体" w:eastAsia="宋体" w:hint="default"/>
                <w:sz w:val="18"/>
                <w:szCs w:val="18"/>
              </w:rPr>
            </w:pPr>
            <w:r>
              <w:rPr>
                <w:rFonts w:ascii="宋体" w:hAnsi="宋体" w:cs="宋体" w:eastAsia="宋体" w:hint="default"/>
                <w:sz w:val="18"/>
                <w:szCs w:val="18"/>
              </w:rPr>
              <w:t>际收回 情况</w:t>
            </w:r>
          </w:p>
        </w:tc>
        <w:tc>
          <w:tcPr>
            <w:tcW w:w="5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87" w:right="85"/>
              <w:jc w:val="left"/>
              <w:rPr>
                <w:rFonts w:ascii="宋体" w:hAnsi="宋体" w:cs="宋体" w:eastAsia="宋体" w:hint="default"/>
                <w:sz w:val="18"/>
                <w:szCs w:val="18"/>
              </w:rPr>
            </w:pPr>
            <w:r>
              <w:rPr>
                <w:rFonts w:ascii="宋体" w:hAnsi="宋体" w:cs="宋体" w:eastAsia="宋体" w:hint="default"/>
                <w:sz w:val="18"/>
                <w:szCs w:val="18"/>
              </w:rPr>
              <w:t>准备 金额</w:t>
            </w:r>
          </w:p>
          <w:p>
            <w:pPr>
              <w:pStyle w:val="TableParagraph"/>
              <w:spacing w:line="319" w:lineRule="auto" w:before="19"/>
              <w:ind w:left="87" w:right="85"/>
              <w:jc w:val="left"/>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6"/>
              <w:ind w:left="85" w:right="85"/>
              <w:jc w:val="left"/>
              <w:rPr>
                <w:rFonts w:ascii="宋体" w:hAnsi="宋体" w:cs="宋体" w:eastAsia="宋体" w:hint="default"/>
                <w:sz w:val="18"/>
                <w:szCs w:val="18"/>
              </w:rPr>
            </w:pPr>
            <w:r>
              <w:rPr>
                <w:rFonts w:ascii="宋体" w:hAnsi="宋体" w:cs="宋体" w:eastAsia="宋体" w:hint="default"/>
                <w:sz w:val="18"/>
                <w:szCs w:val="18"/>
              </w:rPr>
              <w:t>法定 程序</w:t>
            </w:r>
          </w:p>
        </w:tc>
        <w:tc>
          <w:tcPr>
            <w:tcW w:w="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6"/>
              <w:ind w:left="85" w:right="84"/>
              <w:jc w:val="both"/>
              <w:rPr>
                <w:rFonts w:ascii="宋体" w:hAnsi="宋体" w:cs="宋体" w:eastAsia="宋体" w:hint="default"/>
                <w:sz w:val="18"/>
                <w:szCs w:val="18"/>
              </w:rPr>
            </w:pPr>
            <w:r>
              <w:rPr>
                <w:rFonts w:ascii="宋体" w:hAnsi="宋体" w:cs="宋体" w:eastAsia="宋体" w:hint="default"/>
                <w:sz w:val="18"/>
                <w:szCs w:val="18"/>
              </w:rPr>
              <w:t>还有 委托 理财 计划</w:t>
            </w:r>
          </w:p>
        </w:tc>
        <w:tc>
          <w:tcPr>
            <w:tcW w:w="5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6"/>
              <w:ind w:left="3" w:right="0"/>
              <w:jc w:val="center"/>
              <w:rPr>
                <w:rFonts w:ascii="宋体" w:hAnsi="宋体" w:cs="宋体" w:eastAsia="宋体" w:hint="default"/>
                <w:sz w:val="18"/>
                <w:szCs w:val="18"/>
              </w:rPr>
            </w:pPr>
            <w:r>
              <w:rPr>
                <w:rFonts w:ascii="宋体" w:hAnsi="宋体" w:cs="宋体" w:eastAsia="宋体" w:hint="default"/>
                <w:sz w:val="18"/>
                <w:szCs w:val="18"/>
              </w:rPr>
              <w:t>及相 关查 询索 </w:t>
            </w:r>
            <w:r>
              <w:rPr>
                <w:rFonts w:ascii="宋体" w:hAnsi="宋体" w:cs="宋体" w:eastAsia="宋体" w:hint="default"/>
                <w:spacing w:val="-8"/>
                <w:sz w:val="18"/>
                <w:szCs w:val="18"/>
              </w:rPr>
              <w:t>引（如</w:t>
            </w:r>
            <w:r>
              <w:rPr>
                <w:rFonts w:ascii="宋体" w:hAnsi="宋体" w:cs="宋体" w:eastAsia="宋体" w:hint="default"/>
                <w:sz w:val="18"/>
                <w:szCs w:val="18"/>
              </w:rPr>
              <w:t> 有）</w:t>
            </w:r>
          </w:p>
        </w:tc>
      </w:tr>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招商银 行股份 有限公 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7"/>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10300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3.19%</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31.51</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工商银 行股份 有限公 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21100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64.74</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招商银 行股份 有限公 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10300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1.15%-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3.16%</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39.24</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98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工商银 行股份 有限工 商福州 城东支 行</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21100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64.75</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福建华 通银行 股份有 限公司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108.16</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2"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2"/>
              <w:jc w:val="both"/>
              <w:rPr>
                <w:rFonts w:ascii="宋体" w:hAnsi="宋体" w:cs="宋体" w:eastAsia="宋体" w:hint="default"/>
                <w:sz w:val="18"/>
                <w:szCs w:val="18"/>
              </w:rPr>
            </w:pPr>
            <w:r>
              <w:rPr>
                <w:rFonts w:ascii="宋体" w:hAnsi="宋体" w:cs="宋体" w:eastAsia="宋体" w:hint="default"/>
                <w:sz w:val="18"/>
                <w:szCs w:val="18"/>
              </w:rPr>
              <w:t>工商银 行股份 有限公 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23100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202.39</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051"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招行福 州古田 支行</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7"/>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10,300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86.15</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4"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福建华 通银行 股份有 限公司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4.2%</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92.05</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051"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招行福 州古田 支行</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11,000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3.95%</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102.38</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工商银 行股份 有限公 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23500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 w:right="0"/>
              <w:jc w:val="center"/>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199.33</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福建华 通银行 股份有 限公司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10500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2.7%-4</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.2%</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111.33</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050"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2"/>
              <w:jc w:val="both"/>
              <w:rPr>
                <w:rFonts w:ascii="宋体" w:hAnsi="宋体" w:cs="宋体" w:eastAsia="宋体" w:hint="default"/>
                <w:sz w:val="18"/>
                <w:szCs w:val="18"/>
              </w:rPr>
            </w:pPr>
            <w:r>
              <w:rPr>
                <w:rFonts w:ascii="宋体" w:hAnsi="宋体" w:cs="宋体" w:eastAsia="宋体" w:hint="default"/>
                <w:sz w:val="18"/>
                <w:szCs w:val="18"/>
              </w:rPr>
              <w:t>招行福 州古田 支行</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11000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 w:right="0"/>
              <w:jc w:val="left"/>
              <w:rPr>
                <w:rFonts w:ascii="Times New Roman" w:hAnsi="Times New Roman" w:cs="Times New Roman" w:eastAsia="Times New Roman" w:hint="default"/>
                <w:sz w:val="18"/>
                <w:szCs w:val="18"/>
              </w:rPr>
            </w:pPr>
            <w:r>
              <w:rPr>
                <w:rFonts w:ascii="Times New Roman"/>
                <w:sz w:val="18"/>
              </w:rPr>
              <w:t>1.35%-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97.36</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工商银 行股份 有限公 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23500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3.4%</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201.39</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1363"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2"/>
              <w:jc w:val="both"/>
              <w:rPr>
                <w:rFonts w:ascii="宋体" w:hAnsi="宋体" w:cs="宋体" w:eastAsia="宋体" w:hint="default"/>
                <w:sz w:val="18"/>
                <w:szCs w:val="18"/>
              </w:rPr>
            </w:pPr>
            <w:r>
              <w:rPr>
                <w:rFonts w:ascii="宋体" w:hAnsi="宋体" w:cs="宋体" w:eastAsia="宋体" w:hint="default"/>
                <w:sz w:val="18"/>
                <w:szCs w:val="18"/>
              </w:rPr>
              <w:t>福建华 通银行 股份有 限公司</w:t>
            </w:r>
          </w:p>
        </w:tc>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10500</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债券、 存款</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浮动收 益</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8" w:right="0"/>
              <w:jc w:val="center"/>
              <w:rPr>
                <w:rFonts w:ascii="Times New Roman" w:hAnsi="Times New Roman" w:cs="Times New Roman" w:eastAsia="Times New Roman" w:hint="default"/>
                <w:sz w:val="18"/>
                <w:szCs w:val="18"/>
              </w:rPr>
            </w:pPr>
            <w:r>
              <w:rPr>
                <w:rFonts w:ascii="Times New Roman"/>
                <w:sz w:val="18"/>
              </w:rPr>
              <w:t>4.5%</w:t>
            </w:r>
          </w:p>
        </w:tc>
        <w:tc>
          <w:tcPr>
            <w:tcW w:w="560" w:type="dxa"/>
            <w:tcBorders>
              <w:top w:val="single" w:sz="6" w:space="0" w:color="000000"/>
              <w:left w:val="single" w:sz="6" w:space="0" w:color="000000"/>
              <w:bottom w:val="single" w:sz="6" w:space="0" w:color="000000"/>
              <w:right w:val="single" w:sz="6" w:space="0" w:color="000000"/>
            </w:tcBorders>
          </w:tcPr>
          <w:p>
            <w:pP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119.1</w:t>
            </w:r>
          </w:p>
        </w:tc>
        <w:tc>
          <w:tcPr>
            <w:tcW w:w="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已收回</w:t>
            </w:r>
          </w:p>
        </w:tc>
        <w:tc>
          <w:tcPr>
            <w:tcW w:w="550" w:type="dxa"/>
            <w:tcBorders>
              <w:top w:val="single" w:sz="6" w:space="0" w:color="000000"/>
              <w:left w:val="single" w:sz="6" w:space="0" w:color="000000"/>
              <w:bottom w:val="single" w:sz="6" w:space="0" w:color="000000"/>
              <w:right w:val="single" w:sz="6" w:space="0" w:color="000000"/>
            </w:tcBorders>
          </w:tcPr>
          <w:p>
            <w:pP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3" w:right="4"/>
              <w:jc w:val="both"/>
              <w:rPr>
                <w:rFonts w:ascii="Times New Roman" w:hAnsi="Times New Roman" w:cs="Times New Roman" w:eastAsia="Times New Roman" w:hint="default"/>
                <w:sz w:val="18"/>
                <w:szCs w:val="18"/>
              </w:rPr>
            </w:pPr>
            <w:r>
              <w:rPr>
                <w:rFonts w:ascii="Times New Roman"/>
                <w:sz w:val="18"/>
              </w:rPr>
              <w:t>www.c</w:t>
            </w:r>
            <w:r>
              <w:rPr>
                <w:rFonts w:ascii="Times New Roman"/>
                <w:w w:val="99"/>
                <w:sz w:val="18"/>
              </w:rPr>
              <w:t> </w:t>
            </w:r>
            <w:r>
              <w:rPr>
                <w:rFonts w:ascii="Times New Roman"/>
                <w:sz w:val="18"/>
              </w:rPr>
              <w:t>ninfo.c</w:t>
            </w:r>
            <w:r>
              <w:rPr>
                <w:rFonts w:ascii="Times New Roman"/>
                <w:w w:val="99"/>
                <w:sz w:val="18"/>
              </w:rPr>
              <w:t> </w:t>
            </w:r>
            <w:r>
              <w:rPr>
                <w:rFonts w:ascii="Times New Roman"/>
                <w:sz w:val="18"/>
              </w:rPr>
              <w:t>om.cn</w:t>
            </w:r>
          </w:p>
        </w:tc>
      </w:tr>
      <w:tr>
        <w:trPr>
          <w:trHeight w:val="740" w:hRule="exact"/>
        </w:trPr>
        <w:tc>
          <w:tcPr>
            <w:tcW w:w="5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0" w:type="dxa"/>
            <w:tcBorders>
              <w:top w:val="single" w:sz="6" w:space="0" w:color="000000"/>
              <w:left w:val="single" w:sz="6" w:space="0" w:color="000000"/>
              <w:bottom w:val="single" w:sz="6" w:space="0" w:color="000000"/>
              <w:right w:val="single" w:sz="6" w:space="0" w:color="000000"/>
            </w:tcBorders>
          </w:tcPr>
          <w:p>
            <w:pPr/>
          </w:p>
        </w:tc>
        <w:tc>
          <w:tcPr>
            <w:tcW w:w="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5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6" w:space="0" w:color="000000"/>
              <w:left w:val="single" w:sz="6" w:space="0" w:color="000000"/>
              <w:bottom w:val="single" w:sz="6" w:space="0" w:color="000000"/>
              <w:right w:val="single" w:sz="6" w:space="0" w:color="000000"/>
            </w:tcBorders>
          </w:tcPr>
          <w:p>
            <w:pPr/>
          </w:p>
        </w:tc>
        <w:tc>
          <w:tcPr>
            <w:tcW w:w="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1519.8</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w:t>
            </w:r>
          </w:p>
        </w:tc>
        <w:tc>
          <w:tcPr>
            <w:tcW w:w="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6" w:space="0" w:color="000000"/>
              <w:left w:val="single" w:sz="6" w:space="0" w:color="000000"/>
              <w:bottom w:val="single" w:sz="6" w:space="0" w:color="000000"/>
              <w:right w:val="single" w:sz="6" w:space="0" w:color="000000"/>
            </w:tcBorders>
          </w:tcPr>
          <w:p>
            <w:pPr/>
          </w:p>
        </w:tc>
        <w:tc>
          <w:tcPr>
            <w:tcW w:w="53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3）委托贷款情况" w:id="99"/>
      <w:bookmarkEnd w:id="99"/>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1117"/>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spacing w:line="506" w:lineRule="auto" w:before="0"/>
        <w:ind w:left="154" w:right="6972" w:firstLine="0"/>
        <w:jc w:val="left"/>
        <w:rPr>
          <w:rFonts w:ascii="宋体" w:hAnsi="宋体" w:cs="宋体" w:eastAsia="宋体" w:hint="default"/>
          <w:sz w:val="18"/>
          <w:szCs w:val="18"/>
        </w:rPr>
      </w:pPr>
      <w:bookmarkStart w:name="十八、社会责任情况" w:id="101"/>
      <w:bookmarkEnd w:id="101"/>
      <w:r>
        <w:rPr/>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bookmarkStart w:name="1、履行社会责任情况" w:id="102"/>
      <w:bookmarkEnd w:id="10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详情请查看鸿博股份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年度社会责任报告全文</w:t>
      </w:r>
    </w:p>
    <w:p>
      <w:pPr>
        <w:spacing w:after="0" w:line="50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17"/>
        <w:jc w:val="left"/>
        <w:rPr>
          <w:b w:val="0"/>
          <w:bCs w:val="0"/>
        </w:rPr>
      </w:pPr>
      <w:bookmarkStart w:name="2、履行精准扶贫社会责任情况" w:id="103"/>
      <w:bookmarkEnd w:id="10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精准扶贫规划" w:id="104"/>
      <w:bookmarkEnd w:id="104"/>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2）年度精准扶贫概要" w:id="105"/>
      <w:bookmarkEnd w:id="105"/>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3）精准扶贫成效" w:id="106"/>
      <w:bookmarkEnd w:id="106"/>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5"/>
        <w:ind w:right="1117"/>
        <w:jc w:val="left"/>
        <w:rPr>
          <w:b w:val="0"/>
          <w:bCs w:val="0"/>
        </w:rPr>
      </w:pPr>
      <w:bookmarkStart w:name="（4）后续精准扶贫计划" w:id="107"/>
      <w:bookmarkEnd w:id="107"/>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3、环境保护相关的情况" w:id="108"/>
      <w:bookmarkEnd w:id="10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4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4" w:right="24"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排放方式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北京中科彩 技术有限公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生产车间东 侧处理废气 处理设施平 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2" w:lineRule="auto"/>
              <w:ind w:left="22" w:right="104"/>
              <w:jc w:val="left"/>
              <w:rPr>
                <w:rFonts w:ascii="Times New Roman" w:hAnsi="Times New Roman" w:cs="Times New Roman" w:eastAsia="Times New Roman" w:hint="default"/>
                <w:sz w:val="18"/>
                <w:szCs w:val="18"/>
              </w:rPr>
            </w:pPr>
            <w:r>
              <w:rPr>
                <w:rFonts w:ascii="Times New Roman"/>
                <w:sz w:val="18"/>
              </w:rPr>
              <w:t>0.011mg/m 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0.5mg/m3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未规定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3.073kg</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未超标</w:t>
            </w:r>
          </w:p>
        </w:tc>
      </w:tr>
      <w:tr>
        <w:trPr>
          <w:trHeight w:val="134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北京中科彩 技术有限公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甲苯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生产车间东 侧处理废气 处理设施平 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2" w:lineRule="auto"/>
              <w:ind w:left="22" w:right="97"/>
              <w:jc w:val="left"/>
              <w:rPr>
                <w:rFonts w:ascii="Times New Roman" w:hAnsi="Times New Roman" w:cs="Times New Roman" w:eastAsia="Times New Roman" w:hint="default"/>
                <w:sz w:val="18"/>
                <w:szCs w:val="18"/>
              </w:rPr>
            </w:pPr>
            <w:r>
              <w:rPr>
                <w:rFonts w:ascii="Times New Roman"/>
                <w:sz w:val="18"/>
              </w:rPr>
              <w:t>0.043mg/m 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10mg/m3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未规定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11.705kg</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未超标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66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北京中科彩 技术有限公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二甲苯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有组织排放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生产车间东 侧处理废气 处理设施平 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97"/>
              <w:jc w:val="left"/>
              <w:rPr>
                <w:rFonts w:ascii="Times New Roman" w:hAnsi="Times New Roman" w:cs="Times New Roman" w:eastAsia="Times New Roman" w:hint="default"/>
                <w:sz w:val="18"/>
                <w:szCs w:val="18"/>
              </w:rPr>
            </w:pPr>
            <w:r>
              <w:rPr>
                <w:rFonts w:ascii="Times New Roman"/>
                <w:sz w:val="18"/>
              </w:rPr>
              <w:t>0.036mg/m 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30mg/m3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未规定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9.921kg</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未超标</w:t>
            </w:r>
          </w:p>
        </w:tc>
      </w:tr>
    </w:tbl>
    <w:p>
      <w:pPr>
        <w:spacing w:before="51"/>
        <w:ind w:left="674" w:right="0" w:firstLine="0"/>
        <w:jc w:val="left"/>
        <w:rPr>
          <w:rFonts w:ascii="宋体" w:hAnsi="宋体" w:cs="宋体" w:eastAsia="宋体" w:hint="default"/>
          <w:sz w:val="18"/>
          <w:szCs w:val="18"/>
        </w:rPr>
      </w:pPr>
      <w:r>
        <w:rPr>
          <w:rFonts w:ascii="宋体" w:hAnsi="宋体" w:cs="宋体" w:eastAsia="宋体" w:hint="default"/>
          <w:sz w:val="18"/>
          <w:szCs w:val="18"/>
        </w:rPr>
        <w:t>防治污染设施的建设和运行情况</w:t>
      </w:r>
    </w:p>
    <w:p>
      <w:pPr>
        <w:spacing w:line="240" w:lineRule="auto" w:before="1"/>
        <w:rPr>
          <w:rFonts w:ascii="宋体" w:hAnsi="宋体" w:cs="宋体" w:eastAsia="宋体" w:hint="default"/>
          <w:sz w:val="13"/>
          <w:szCs w:val="13"/>
        </w:rPr>
      </w:pPr>
    </w:p>
    <w:p>
      <w:pPr>
        <w:pStyle w:val="BodyText"/>
        <w:spacing w:line="273" w:lineRule="auto" w:before="0"/>
        <w:ind w:left="674" w:right="1130" w:firstLine="420"/>
        <w:jc w:val="both"/>
      </w:pPr>
      <w:r>
        <w:rPr/>
        <w:t>北京中科彩技术有限公司在用废气处理设备共 </w:t>
      </w:r>
      <w:r>
        <w:rPr>
          <w:rFonts w:ascii="宋体" w:hAnsi="宋体" w:cs="宋体" w:eastAsia="宋体" w:hint="default"/>
        </w:rPr>
        <w:t>4 </w:t>
      </w:r>
      <w:r>
        <w:rPr/>
        <w:t>套，其中 </w:t>
      </w:r>
      <w:r>
        <w:rPr>
          <w:rFonts w:ascii="宋体" w:hAnsi="宋体" w:cs="宋体" w:eastAsia="宋体" w:hint="default"/>
        </w:rPr>
        <w:t>HYXF-2800 </w:t>
      </w:r>
      <w:r>
        <w:rPr/>
        <w:t>型、 </w:t>
      </w:r>
      <w:r>
        <w:rPr>
          <w:rFonts w:ascii="宋体" w:hAnsi="宋体" w:cs="宋体" w:eastAsia="宋体" w:hint="default"/>
        </w:rPr>
        <w:t>HYXF-2000</w:t>
      </w:r>
      <w:r>
        <w:rPr>
          <w:rFonts w:ascii="宋体" w:hAnsi="宋体" w:cs="宋体" w:eastAsia="宋体" w:hint="default"/>
          <w:spacing w:val="71"/>
        </w:rPr>
        <w:t> </w:t>
      </w:r>
      <w:r>
        <w:rPr/>
        <w:t>型活性炭吸 附设备各 </w:t>
      </w:r>
      <w:r>
        <w:rPr>
          <w:rFonts w:ascii="宋体" w:hAnsi="宋体" w:cs="宋体" w:eastAsia="宋体" w:hint="default"/>
        </w:rPr>
        <w:t>2 </w:t>
      </w:r>
      <w:r>
        <w:rPr/>
        <w:t>套，分别设置在两条柔版印刷线东西两侧排气口，内置共 </w:t>
      </w:r>
      <w:r>
        <w:rPr>
          <w:rFonts w:ascii="宋体" w:hAnsi="宋体" w:cs="宋体" w:eastAsia="宋体" w:hint="default"/>
        </w:rPr>
        <w:t>7.5m3</w:t>
      </w:r>
      <w:r>
        <w:rPr>
          <w:rFonts w:ascii="宋体" w:hAnsi="宋体" w:cs="宋体" w:eastAsia="宋体" w:hint="default"/>
          <w:spacing w:val="-27"/>
        </w:rPr>
        <w:t> </w:t>
      </w:r>
      <w:r>
        <w:rPr/>
        <w:t>蜂窝活性炭，印刷线生产废 气在设备内经活性炭吸附处理后通 过 </w:t>
      </w:r>
      <w:r>
        <w:rPr>
          <w:rFonts w:ascii="宋体" w:hAnsi="宋体" w:cs="宋体" w:eastAsia="宋体" w:hint="default"/>
        </w:rPr>
        <w:t>15</w:t>
      </w:r>
      <w:r>
        <w:rPr>
          <w:rFonts w:ascii="宋体" w:hAnsi="宋体" w:cs="宋体" w:eastAsia="宋体" w:hint="default"/>
          <w:spacing w:val="-27"/>
        </w:rPr>
        <w:t> </w:t>
      </w:r>
      <w:r>
        <w:rPr/>
        <w:t>米高排气筒排放。废气有组织排放监测点</w:t>
      </w:r>
      <w:r>
        <w:rPr>
          <w:rFonts w:ascii="宋体" w:hAnsi="宋体" w:cs="宋体" w:eastAsia="宋体" w:hint="default"/>
        </w:rPr>
        <w:t>2</w:t>
      </w:r>
      <w:r>
        <w:rPr/>
        <w:t>个（</w:t>
      </w:r>
      <w:r>
        <w:rPr>
          <w:rFonts w:ascii="宋体" w:hAnsi="宋体" w:cs="宋体" w:eastAsia="宋体" w:hint="default"/>
        </w:rPr>
        <w:t>T1</w:t>
      </w:r>
      <w:r>
        <w:rPr/>
        <w:t>、</w:t>
      </w:r>
      <w:r>
        <w:rPr>
          <w:rFonts w:ascii="宋体" w:hAnsi="宋体" w:cs="宋体" w:eastAsia="宋体" w:hint="default"/>
        </w:rPr>
        <w:t>T4</w:t>
      </w:r>
      <w:r>
        <w:rPr/>
        <w:t>），印刷 </w:t>
      </w:r>
      <w:r>
        <w:rPr>
          <w:spacing w:val="-1"/>
        </w:rPr>
        <w:t>生产场所无组织排放监测点</w:t>
      </w:r>
      <w:r>
        <w:rPr>
          <w:rFonts w:ascii="宋体" w:hAnsi="宋体" w:cs="宋体" w:eastAsia="宋体" w:hint="default"/>
          <w:spacing w:val="-1"/>
        </w:rPr>
        <w:t>3</w:t>
      </w:r>
      <w:r>
        <w:rPr>
          <w:spacing w:val="-1"/>
        </w:rPr>
        <w:t>个（</w:t>
      </w:r>
      <w:r>
        <w:rPr>
          <w:rFonts w:ascii="宋体" w:hAnsi="宋体" w:cs="宋体" w:eastAsia="宋体" w:hint="default"/>
          <w:spacing w:val="-1"/>
        </w:rPr>
        <w:t>W1</w:t>
      </w:r>
      <w:r>
        <w:rPr>
          <w:spacing w:val="-1"/>
        </w:rPr>
        <w:t>、</w:t>
      </w:r>
      <w:r>
        <w:rPr>
          <w:rFonts w:ascii="宋体" w:hAnsi="宋体" w:cs="宋体" w:eastAsia="宋体" w:hint="default"/>
          <w:spacing w:val="-1"/>
        </w:rPr>
        <w:t>W2</w:t>
      </w:r>
      <w:r>
        <w:rPr>
          <w:spacing w:val="-1"/>
        </w:rPr>
        <w:t>、</w:t>
      </w:r>
      <w:r>
        <w:rPr>
          <w:rFonts w:ascii="宋体" w:hAnsi="宋体" w:cs="宋体" w:eastAsia="宋体" w:hint="default"/>
          <w:spacing w:val="-1"/>
        </w:rPr>
        <w:t>W3</w:t>
      </w:r>
      <w:r>
        <w:rPr>
          <w:spacing w:val="-1"/>
        </w:rPr>
        <w:t>），厂界无组织排放监测点</w:t>
      </w:r>
      <w:r>
        <w:rPr>
          <w:rFonts w:ascii="宋体" w:hAnsi="宋体" w:cs="宋体" w:eastAsia="宋体" w:hint="default"/>
          <w:spacing w:val="-1"/>
        </w:rPr>
        <w:t>4</w:t>
      </w:r>
      <w:r>
        <w:rPr>
          <w:spacing w:val="-1"/>
        </w:rPr>
        <w:t>个（</w:t>
      </w:r>
      <w:r>
        <w:rPr>
          <w:rFonts w:ascii="宋体" w:hAnsi="宋体" w:cs="宋体" w:eastAsia="宋体" w:hint="default"/>
          <w:spacing w:val="-1"/>
        </w:rPr>
        <w:t>W4</w:t>
      </w:r>
      <w:r>
        <w:rPr>
          <w:spacing w:val="-1"/>
        </w:rPr>
        <w:t>、</w:t>
      </w:r>
      <w:r>
        <w:rPr>
          <w:rFonts w:ascii="宋体" w:hAnsi="宋体" w:cs="宋体" w:eastAsia="宋体" w:hint="default"/>
          <w:spacing w:val="-1"/>
        </w:rPr>
        <w:t>W5</w:t>
      </w:r>
      <w:r>
        <w:rPr>
          <w:spacing w:val="-1"/>
        </w:rPr>
        <w:t>、</w:t>
      </w:r>
      <w:r>
        <w:rPr>
          <w:rFonts w:ascii="宋体" w:hAnsi="宋体" w:cs="宋体" w:eastAsia="宋体" w:hint="default"/>
          <w:spacing w:val="-1"/>
        </w:rPr>
        <w:t>W6</w:t>
      </w:r>
      <w:r>
        <w:rPr>
          <w:spacing w:val="-1"/>
        </w:rPr>
        <w:t>、</w:t>
      </w:r>
      <w:r>
        <w:rPr>
          <w:rFonts w:ascii="宋体" w:hAnsi="宋体" w:cs="宋体" w:eastAsia="宋体" w:hint="default"/>
          <w:spacing w:val="-1"/>
        </w:rPr>
        <w:t>W7</w:t>
      </w:r>
      <w:r>
        <w:rPr>
          <w:spacing w:val="-1"/>
        </w:rPr>
        <w:t>），废水监</w:t>
      </w:r>
      <w:r>
        <w:rPr>
          <w:spacing w:val="-89"/>
        </w:rPr>
        <w:t> </w:t>
      </w:r>
      <w:r>
        <w:rPr>
          <w:spacing w:val="-89"/>
        </w:rPr>
      </w:r>
      <w:r>
        <w:rPr/>
        <w:t>测点</w:t>
      </w:r>
      <w:r>
        <w:rPr>
          <w:rFonts w:ascii="宋体" w:hAnsi="宋体" w:cs="宋体" w:eastAsia="宋体" w:hint="default"/>
        </w:rPr>
        <w:t>1</w:t>
      </w:r>
      <w:r>
        <w:rPr/>
        <w:t>个（</w:t>
      </w:r>
      <w:r>
        <w:rPr>
          <w:rFonts w:ascii="宋体" w:hAnsi="宋体" w:cs="宋体" w:eastAsia="宋体" w:hint="default"/>
        </w:rPr>
        <w:t>S</w:t>
      </w:r>
      <w:r>
        <w:rPr/>
        <w:t>），厂界噪声监测点</w:t>
      </w:r>
      <w:r>
        <w:rPr>
          <w:rFonts w:ascii="宋体" w:hAnsi="宋体" w:cs="宋体" w:eastAsia="宋体" w:hint="default"/>
        </w:rPr>
        <w:t>4</w:t>
      </w:r>
      <w:r>
        <w:rPr/>
        <w:t>个（</w:t>
      </w:r>
      <w:r>
        <w:rPr>
          <w:rFonts w:ascii="宋体" w:hAnsi="宋体" w:cs="宋体" w:eastAsia="宋体" w:hint="default"/>
        </w:rPr>
        <w:t>J1</w:t>
      </w:r>
      <w:r>
        <w:rPr/>
        <w:t>、</w:t>
      </w:r>
      <w:r>
        <w:rPr>
          <w:rFonts w:ascii="宋体" w:hAnsi="宋体" w:cs="宋体" w:eastAsia="宋体" w:hint="default"/>
        </w:rPr>
        <w:t>J2</w:t>
      </w:r>
      <w:r>
        <w:rPr/>
        <w:t>、</w:t>
      </w:r>
      <w:r>
        <w:rPr>
          <w:rFonts w:ascii="宋体" w:hAnsi="宋体" w:cs="宋体" w:eastAsia="宋体" w:hint="default"/>
        </w:rPr>
        <w:t>J3</w:t>
      </w:r>
      <w:r>
        <w:rPr/>
        <w:t>、</w:t>
      </w:r>
      <w:r>
        <w:rPr>
          <w:rFonts w:ascii="宋体" w:hAnsi="宋体" w:cs="宋体" w:eastAsia="宋体" w:hint="default"/>
        </w:rPr>
        <w:t>J4</w:t>
      </w:r>
      <w:r>
        <w:rPr/>
        <w:t>）。所有检测点位的经纬度如下：</w:t>
      </w:r>
    </w:p>
    <w:tbl>
      <w:tblPr>
        <w:tblW w:w="0" w:type="auto"/>
        <w:jc w:val="left"/>
        <w:tblInd w:w="101" w:type="dxa"/>
        <w:tblLayout w:type="fixed"/>
        <w:tblCellMar>
          <w:top w:w="0" w:type="dxa"/>
          <w:left w:w="0" w:type="dxa"/>
          <w:bottom w:w="0" w:type="dxa"/>
          <w:right w:w="0" w:type="dxa"/>
        </w:tblCellMar>
        <w:tblLook w:val="01E0"/>
      </w:tblPr>
      <w:tblGrid>
        <w:gridCol w:w="1752"/>
        <w:gridCol w:w="826"/>
        <w:gridCol w:w="1824"/>
        <w:gridCol w:w="1819"/>
        <w:gridCol w:w="1330"/>
        <w:gridCol w:w="1491"/>
        <w:gridCol w:w="1727"/>
      </w:tblGrid>
      <w:tr>
        <w:trPr>
          <w:trHeight w:val="347"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监测点位置</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编码</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经纬度</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污染源</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污染物排放去向</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处理工艺</w:t>
            </w:r>
            <w:r>
              <w:rPr>
                <w:rFonts w:ascii="宋体" w:hAnsi="宋体" w:cs="宋体" w:eastAsia="宋体" w:hint="default"/>
                <w:sz w:val="18"/>
                <w:szCs w:val="18"/>
              </w:rPr>
              <w:t>/</w:t>
            </w:r>
            <w:r>
              <w:rPr>
                <w:rFonts w:ascii="宋体" w:hAnsi="宋体" w:cs="宋体" w:eastAsia="宋体" w:hint="default"/>
                <w:sz w:val="18"/>
                <w:szCs w:val="18"/>
              </w:rPr>
              <w:t>设施</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市政污水总排口</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S</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11011966460042-0WS-0</w:t>
            </w:r>
          </w:p>
          <w:p>
            <w:pPr>
              <w:pStyle w:val="TableParagraph"/>
              <w:spacing w:line="240" w:lineRule="auto" w:before="76"/>
              <w:ind w:right="1"/>
              <w:jc w:val="center"/>
              <w:rPr>
                <w:rFonts w:ascii="宋体" w:hAnsi="宋体" w:cs="宋体" w:eastAsia="宋体" w:hint="default"/>
                <w:sz w:val="18"/>
                <w:szCs w:val="18"/>
              </w:rPr>
            </w:pPr>
            <w:r>
              <w:rPr>
                <w:rFonts w:ascii="宋体"/>
                <w:sz w:val="18"/>
              </w:rPr>
              <w:t>001</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E116°29′47.56″ N39°43′37.18″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办公生活</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市政污水管网</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A/O</w:t>
            </w:r>
            <w:r>
              <w:rPr>
                <w:rFonts w:ascii="宋体" w:hAnsi="宋体" w:cs="宋体" w:eastAsia="宋体" w:hint="default"/>
                <w:sz w:val="18"/>
                <w:szCs w:val="18"/>
              </w:rPr>
              <w:t>延时曝气</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排气筒</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T1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11011966460042-0FQ-0</w:t>
            </w:r>
          </w:p>
          <w:p>
            <w:pPr>
              <w:pStyle w:val="TableParagraph"/>
              <w:spacing w:line="240" w:lineRule="auto" w:before="76"/>
              <w:ind w:right="1"/>
              <w:jc w:val="center"/>
              <w:rPr>
                <w:rFonts w:ascii="宋体" w:hAnsi="宋体" w:cs="宋体" w:eastAsia="宋体" w:hint="default"/>
                <w:sz w:val="18"/>
                <w:szCs w:val="18"/>
              </w:rPr>
            </w:pPr>
            <w:r>
              <w:rPr>
                <w:rFonts w:ascii="宋体"/>
                <w:sz w:val="18"/>
              </w:rPr>
              <w:t>002</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E116°29′48.28″ N39°43′41.09″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vMerge w:val="restart"/>
            <w:tcBorders>
              <w:top w:val="single" w:sz="6" w:space="0" w:color="000000"/>
              <w:left w:val="single" w:sz="6" w:space="0" w:color="000000"/>
              <w:right w:val="single" w:sz="6" w:space="0" w:color="000000"/>
            </w:tcBorders>
          </w:tcPr>
          <w:p>
            <w:pPr>
              <w:pStyle w:val="TableParagraph"/>
              <w:spacing w:line="316" w:lineRule="auto" w:before="21"/>
              <w:ind w:left="91" w:right="89"/>
              <w:jc w:val="center"/>
              <w:rPr>
                <w:rFonts w:ascii="宋体" w:hAnsi="宋体" w:cs="宋体" w:eastAsia="宋体" w:hint="default"/>
                <w:sz w:val="18"/>
                <w:szCs w:val="18"/>
              </w:rPr>
            </w:pPr>
            <w:r>
              <w:rPr>
                <w:rFonts w:ascii="宋体" w:hAnsi="宋体" w:cs="宋体" w:eastAsia="宋体" w:hint="default"/>
                <w:sz w:val="18"/>
                <w:szCs w:val="18"/>
              </w:rPr>
              <w:t>HYXF-2800</w:t>
            </w:r>
            <w:r>
              <w:rPr>
                <w:rFonts w:ascii="宋体" w:hAnsi="宋体" w:cs="宋体" w:eastAsia="宋体" w:hint="default"/>
                <w:sz w:val="18"/>
                <w:szCs w:val="18"/>
              </w:rPr>
              <w:t>活性炭吸 附</w:t>
            </w:r>
            <w:r>
              <w:rPr>
                <w:rFonts w:ascii="宋体" w:hAnsi="宋体" w:cs="宋体" w:eastAsia="宋体" w:hint="default"/>
                <w:sz w:val="18"/>
                <w:szCs w:val="18"/>
              </w:rPr>
              <w:t>HC-5-300</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催化燃烧</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排气筒</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T4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11011966460042-0FQ-0</w:t>
            </w:r>
          </w:p>
          <w:p>
            <w:pPr>
              <w:pStyle w:val="TableParagraph"/>
              <w:spacing w:line="240" w:lineRule="auto" w:before="76"/>
              <w:ind w:right="1"/>
              <w:jc w:val="center"/>
              <w:rPr>
                <w:rFonts w:ascii="宋体" w:hAnsi="宋体" w:cs="宋体" w:eastAsia="宋体" w:hint="default"/>
                <w:sz w:val="18"/>
                <w:szCs w:val="18"/>
              </w:rPr>
            </w:pPr>
            <w:r>
              <w:rPr>
                <w:rFonts w:ascii="宋体"/>
                <w:sz w:val="18"/>
              </w:rPr>
              <w:t>005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E116°29′48.64″ N39°43′40.71″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vMerge/>
            <w:tcBorders>
              <w:left w:val="single" w:sz="6" w:space="0" w:color="000000"/>
              <w:bottom w:val="single" w:sz="6" w:space="0" w:color="000000"/>
              <w:right w:val="single" w:sz="6" w:space="0" w:color="000000"/>
            </w:tcBorders>
          </w:tcPr>
          <w:p>
            <w:pP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生产场所西门</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11011966460042-0WZZ-</w:t>
            </w:r>
          </w:p>
          <w:p>
            <w:pPr>
              <w:pStyle w:val="TableParagraph"/>
              <w:spacing w:line="240" w:lineRule="auto" w:before="76"/>
              <w:ind w:right="0"/>
              <w:jc w:val="center"/>
              <w:rPr>
                <w:rFonts w:ascii="宋体" w:hAnsi="宋体" w:cs="宋体" w:eastAsia="宋体" w:hint="default"/>
                <w:sz w:val="18"/>
                <w:szCs w:val="18"/>
              </w:rPr>
            </w:pPr>
            <w:r>
              <w:rPr>
                <w:rFonts w:ascii="宋体"/>
                <w:sz w:val="18"/>
              </w:rPr>
              <w:t>0006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E116°29′46.06″ N39°43′38.59″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生产场所北窗</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11011966460042-0WZZ-</w:t>
            </w:r>
          </w:p>
          <w:p>
            <w:pPr>
              <w:pStyle w:val="TableParagraph"/>
              <w:spacing w:line="240" w:lineRule="auto" w:before="76"/>
              <w:ind w:right="0"/>
              <w:jc w:val="center"/>
              <w:rPr>
                <w:rFonts w:ascii="宋体" w:hAnsi="宋体" w:cs="宋体" w:eastAsia="宋体" w:hint="default"/>
                <w:sz w:val="18"/>
                <w:szCs w:val="18"/>
              </w:rPr>
            </w:pPr>
            <w:r>
              <w:rPr>
                <w:rFonts w:ascii="宋体"/>
                <w:sz w:val="18"/>
              </w:rPr>
              <w:t>0007</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E116°29′45.24″ N39°43′40.22″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生产场所东门</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W3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11011966460042-0WZZ-</w:t>
            </w:r>
          </w:p>
          <w:p>
            <w:pPr>
              <w:pStyle w:val="TableParagraph"/>
              <w:spacing w:line="240" w:lineRule="auto" w:before="76"/>
              <w:ind w:right="0"/>
              <w:jc w:val="center"/>
              <w:rPr>
                <w:rFonts w:ascii="宋体" w:hAnsi="宋体" w:cs="宋体" w:eastAsia="宋体" w:hint="default"/>
                <w:sz w:val="18"/>
                <w:szCs w:val="18"/>
              </w:rPr>
            </w:pPr>
            <w:r>
              <w:rPr>
                <w:rFonts w:ascii="宋体"/>
                <w:sz w:val="18"/>
              </w:rPr>
              <w:t>0008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E116°29′48.55″ N39°43′40.89″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11011966460042-0WZZ-</w:t>
            </w:r>
          </w:p>
          <w:p>
            <w:pPr>
              <w:pStyle w:val="TableParagraph"/>
              <w:spacing w:line="240" w:lineRule="auto" w:before="76"/>
              <w:ind w:right="0"/>
              <w:jc w:val="center"/>
              <w:rPr>
                <w:rFonts w:ascii="宋体" w:hAnsi="宋体" w:cs="宋体" w:eastAsia="宋体" w:hint="default"/>
                <w:sz w:val="18"/>
                <w:szCs w:val="18"/>
              </w:rPr>
            </w:pPr>
            <w:r>
              <w:rPr>
                <w:rFonts w:ascii="宋体"/>
                <w:sz w:val="18"/>
              </w:rPr>
              <w:t>0009</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11011966460042-0WZZ-</w:t>
            </w:r>
          </w:p>
          <w:p>
            <w:pPr>
              <w:pStyle w:val="TableParagraph"/>
              <w:spacing w:line="240" w:lineRule="auto" w:before="76"/>
              <w:ind w:right="0"/>
              <w:jc w:val="center"/>
              <w:rPr>
                <w:rFonts w:ascii="宋体" w:hAnsi="宋体" w:cs="宋体" w:eastAsia="宋体" w:hint="default"/>
                <w:sz w:val="18"/>
                <w:szCs w:val="18"/>
              </w:rPr>
            </w:pPr>
            <w:r>
              <w:rPr>
                <w:rFonts w:ascii="宋体"/>
                <w:sz w:val="18"/>
              </w:rPr>
              <w:t>0010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W6</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11011966460042-0WZZ-</w:t>
            </w:r>
          </w:p>
          <w:p>
            <w:pPr>
              <w:pStyle w:val="TableParagraph"/>
              <w:spacing w:line="240" w:lineRule="auto" w:before="76"/>
              <w:ind w:right="0"/>
              <w:jc w:val="center"/>
              <w:rPr>
                <w:rFonts w:ascii="宋体" w:hAnsi="宋体" w:cs="宋体" w:eastAsia="宋体" w:hint="default"/>
                <w:sz w:val="18"/>
                <w:szCs w:val="18"/>
              </w:rPr>
            </w:pPr>
            <w:r>
              <w:rPr>
                <w:rFonts w:ascii="宋体"/>
                <w:sz w:val="18"/>
              </w:rPr>
              <w:t>0011</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11011966460042-0WZZ-</w:t>
            </w:r>
          </w:p>
          <w:p>
            <w:pPr>
              <w:pStyle w:val="TableParagraph"/>
              <w:spacing w:line="240" w:lineRule="auto" w:before="76"/>
              <w:ind w:right="0"/>
              <w:jc w:val="center"/>
              <w:rPr>
                <w:rFonts w:ascii="宋体" w:hAnsi="宋体" w:cs="宋体" w:eastAsia="宋体" w:hint="default"/>
                <w:sz w:val="18"/>
                <w:szCs w:val="18"/>
              </w:rPr>
            </w:pPr>
            <w:r>
              <w:rPr>
                <w:rFonts w:ascii="宋体"/>
                <w:sz w:val="18"/>
              </w:rPr>
              <w:t>0012</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西厂界</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J1</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11011966460042-0ZS-0</w:t>
            </w:r>
          </w:p>
          <w:p>
            <w:pPr>
              <w:pStyle w:val="TableParagraph"/>
              <w:spacing w:line="240" w:lineRule="auto" w:before="76"/>
              <w:ind w:right="1"/>
              <w:jc w:val="center"/>
              <w:rPr>
                <w:rFonts w:ascii="宋体" w:hAnsi="宋体" w:cs="宋体" w:eastAsia="宋体" w:hint="default"/>
                <w:sz w:val="18"/>
                <w:szCs w:val="18"/>
              </w:rPr>
            </w:pPr>
            <w:r>
              <w:rPr>
                <w:rFonts w:ascii="宋体"/>
                <w:sz w:val="18"/>
              </w:rPr>
              <w:t>013</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E116°29′45.32″ N39°43′38.26″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生产及辅助设施</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南厂界</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J2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11011966460042-0ZS-0</w:t>
            </w:r>
          </w:p>
          <w:p>
            <w:pPr>
              <w:pStyle w:val="TableParagraph"/>
              <w:spacing w:line="240" w:lineRule="auto" w:before="76"/>
              <w:ind w:right="1"/>
              <w:jc w:val="center"/>
              <w:rPr>
                <w:rFonts w:ascii="宋体" w:hAnsi="宋体" w:cs="宋体" w:eastAsia="宋体" w:hint="default"/>
                <w:sz w:val="18"/>
                <w:szCs w:val="18"/>
              </w:rPr>
            </w:pPr>
            <w:r>
              <w:rPr>
                <w:rFonts w:ascii="宋体"/>
                <w:sz w:val="18"/>
              </w:rPr>
              <w:t>014</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82" w:right="137" w:hanging="46"/>
              <w:jc w:val="left"/>
              <w:rPr>
                <w:rFonts w:ascii="宋体" w:hAnsi="宋体" w:cs="宋体" w:eastAsia="宋体" w:hint="default"/>
                <w:sz w:val="18"/>
                <w:szCs w:val="18"/>
              </w:rPr>
            </w:pPr>
            <w:r>
              <w:rPr>
                <w:rFonts w:ascii="宋体" w:hAnsi="宋体" w:cs="宋体" w:eastAsia="宋体" w:hint="default"/>
                <w:sz w:val="18"/>
                <w:szCs w:val="18"/>
              </w:rPr>
              <w:t>E116°29′50.42″ N39°43′38.41″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生产及辅助设施</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东厂界</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J3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11011966460042-0ZS-0</w:t>
            </w:r>
          </w:p>
          <w:p>
            <w:pPr>
              <w:pStyle w:val="TableParagraph"/>
              <w:spacing w:line="240" w:lineRule="auto" w:before="76"/>
              <w:ind w:right="1"/>
              <w:jc w:val="center"/>
              <w:rPr>
                <w:rFonts w:ascii="宋体" w:hAnsi="宋体" w:cs="宋体" w:eastAsia="宋体" w:hint="default"/>
                <w:sz w:val="18"/>
                <w:szCs w:val="18"/>
              </w:rPr>
            </w:pPr>
            <w:r>
              <w:rPr>
                <w:rFonts w:ascii="宋体"/>
                <w:sz w:val="18"/>
              </w:rPr>
              <w:t>015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E116°29′53.63″ N39°43′41.74″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生产及辅助设施</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r>
      <w:tr>
        <w:trPr>
          <w:trHeight w:val="6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北厂界</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J4</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11011966460042-0ZS-0</w:t>
            </w:r>
          </w:p>
          <w:p>
            <w:pPr>
              <w:pStyle w:val="TableParagraph"/>
              <w:spacing w:line="240" w:lineRule="auto" w:before="77"/>
              <w:ind w:right="1"/>
              <w:jc w:val="center"/>
              <w:rPr>
                <w:rFonts w:ascii="宋体" w:hAnsi="宋体" w:cs="宋体" w:eastAsia="宋体" w:hint="default"/>
                <w:sz w:val="18"/>
                <w:szCs w:val="18"/>
              </w:rPr>
            </w:pPr>
            <w:r>
              <w:rPr>
                <w:rFonts w:ascii="宋体"/>
                <w:sz w:val="18"/>
              </w:rPr>
              <w:t>016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182" w:right="137" w:hanging="46"/>
              <w:jc w:val="left"/>
              <w:rPr>
                <w:rFonts w:ascii="宋体" w:hAnsi="宋体" w:cs="宋体" w:eastAsia="宋体" w:hint="default"/>
                <w:sz w:val="18"/>
                <w:szCs w:val="18"/>
              </w:rPr>
            </w:pPr>
            <w:r>
              <w:rPr>
                <w:rFonts w:ascii="宋体" w:hAnsi="宋体" w:cs="宋体" w:eastAsia="宋体" w:hint="default"/>
                <w:sz w:val="18"/>
                <w:szCs w:val="18"/>
              </w:rPr>
              <w:t>E116°29′48.21″ N39°43′41.85″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生产及辅助设施</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r>
      <w:tr>
        <w:trPr>
          <w:trHeight w:val="348" w:hRule="exact"/>
        </w:trPr>
        <w:tc>
          <w:tcPr>
            <w:tcW w:w="1076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废气厂界无组织排放监测点位置</w:t>
            </w:r>
            <w:r>
              <w:rPr>
                <w:rFonts w:ascii="宋体" w:hAnsi="宋体" w:cs="宋体" w:eastAsia="宋体" w:hint="default"/>
                <w:sz w:val="18"/>
                <w:szCs w:val="18"/>
              </w:rPr>
              <w:t>W4-W7</w:t>
            </w:r>
            <w:r>
              <w:rPr>
                <w:rFonts w:ascii="宋体" w:hAnsi="宋体" w:cs="宋体" w:eastAsia="宋体" w:hint="default"/>
                <w:sz w:val="18"/>
                <w:szCs w:val="18"/>
              </w:rPr>
              <w:t>根据监测时现场风向确定。</w:t>
            </w:r>
          </w:p>
        </w:tc>
      </w:tr>
    </w:tbl>
    <w:p>
      <w:pPr>
        <w:spacing w:line="240" w:lineRule="auto" w:before="10"/>
        <w:rPr>
          <w:rFonts w:ascii="宋体" w:hAnsi="宋体" w:cs="宋体" w:eastAsia="宋体" w:hint="default"/>
          <w:sz w:val="21"/>
          <w:szCs w:val="21"/>
        </w:rPr>
      </w:pPr>
    </w:p>
    <w:p>
      <w:pPr>
        <w:pStyle w:val="BodyText"/>
        <w:spacing w:line="240" w:lineRule="auto" w:before="35"/>
        <w:ind w:left="1094" w:right="0"/>
        <w:jc w:val="left"/>
      </w:pPr>
      <w:r>
        <w:rPr/>
        <w:t>各设备于 </w:t>
      </w:r>
      <w:r>
        <w:rPr>
          <w:rFonts w:ascii="宋体" w:hAnsi="宋体" w:cs="宋体" w:eastAsia="宋体" w:hint="default"/>
        </w:rPr>
        <w:t>2016 </w:t>
      </w:r>
      <w:r>
        <w:rPr/>
        <w:t>年 </w:t>
      </w:r>
      <w:r>
        <w:rPr>
          <w:rFonts w:ascii="宋体" w:hAnsi="宋体" w:cs="宋体" w:eastAsia="宋体" w:hint="default"/>
        </w:rPr>
        <w:t>4 </w:t>
      </w:r>
      <w:r>
        <w:rPr/>
        <w:t>月 </w:t>
      </w:r>
      <w:r>
        <w:rPr>
          <w:rFonts w:ascii="宋体" w:hAnsi="宋体" w:cs="宋体" w:eastAsia="宋体" w:hint="default"/>
        </w:rPr>
        <w:t>8 </w:t>
      </w:r>
      <w:r>
        <w:rPr/>
        <w:t>日通过北京经济技术开发区环境</w:t>
      </w:r>
      <w:r>
        <w:rPr>
          <w:spacing w:val="-5"/>
        </w:rPr>
        <w:t> </w:t>
      </w:r>
      <w:r>
        <w:rPr/>
        <w:t>保护局建设项目环境保护“三同时”竣</w:t>
      </w:r>
    </w:p>
    <w:p>
      <w:pPr>
        <w:spacing w:after="0" w:line="240" w:lineRule="auto"/>
        <w:jc w:val="left"/>
        <w:sectPr>
          <w:pgSz w:w="11910" w:h="16840"/>
          <w:pgMar w:header="747" w:footer="979" w:top="1060" w:bottom="1160" w:left="460" w:right="0"/>
        </w:sectPr>
      </w:pPr>
    </w:p>
    <w:p>
      <w:pPr>
        <w:spacing w:line="240" w:lineRule="auto" w:before="9"/>
        <w:rPr>
          <w:rFonts w:ascii="宋体" w:hAnsi="宋体" w:cs="宋体" w:eastAsia="宋体" w:hint="default"/>
          <w:sz w:val="24"/>
          <w:szCs w:val="24"/>
        </w:rPr>
      </w:pPr>
    </w:p>
    <w:p>
      <w:pPr>
        <w:pStyle w:val="BodyText"/>
        <w:spacing w:line="240" w:lineRule="auto" w:before="35"/>
        <w:ind w:right="1117"/>
        <w:jc w:val="left"/>
      </w:pPr>
      <w:r>
        <w:rPr/>
        <w:t>工验收，按照设计使用规范稳定运行至今。</w:t>
      </w:r>
    </w:p>
    <w:p>
      <w:pPr>
        <w:pStyle w:val="BodyText"/>
        <w:spacing w:line="273" w:lineRule="auto" w:before="157"/>
        <w:ind w:right="1128" w:firstLine="420"/>
        <w:jc w:val="both"/>
      </w:pPr>
      <w:r>
        <w:rPr>
          <w:spacing w:val="-3"/>
        </w:rPr>
        <w:t>经周期性检测，处理后排放的废气符合北京市《大气污染物综合排放标准》</w:t>
      </w:r>
      <w:r>
        <w:rPr>
          <w:spacing w:val="-51"/>
        </w:rPr>
        <w:t> </w:t>
      </w:r>
      <w:r>
        <w:rPr>
          <w:spacing w:val="-5"/>
        </w:rPr>
        <w:t>（</w:t>
      </w:r>
      <w:r>
        <w:rPr>
          <w:rFonts w:ascii="宋体" w:hAnsi="宋体" w:cs="宋体" w:eastAsia="宋体" w:hint="default"/>
          <w:spacing w:val="-5"/>
        </w:rPr>
        <w:t>DB11/501-2013</w:t>
      </w:r>
      <w:r>
        <w:rPr>
          <w:spacing w:val="-5"/>
        </w:rPr>
        <w:t>）及《印</w:t>
      </w:r>
      <w:r>
        <w:rPr/>
        <w:t> 刷业挥发性有机物排放标准》（</w:t>
      </w:r>
      <w:r>
        <w:rPr>
          <w:rFonts w:ascii="宋体" w:hAnsi="宋体" w:cs="宋体" w:eastAsia="宋体" w:hint="default"/>
        </w:rPr>
        <w:t>DB11/ 1201-2015</w:t>
      </w:r>
      <w:r>
        <w:rPr/>
        <w:t>）中</w:t>
      </w:r>
      <w:r>
        <w:rPr>
          <w:spacing w:val="-3"/>
        </w:rPr>
        <w:t> </w:t>
      </w:r>
      <w:r>
        <w:rPr/>
        <w:t>Ⅱ时段标准有关污染物的排放浓度要求。</w:t>
      </w:r>
    </w:p>
    <w:p>
      <w:pPr>
        <w:spacing w:before="73"/>
        <w:ind w:left="154" w:right="1117" w:firstLine="0"/>
        <w:jc w:val="left"/>
        <w:rPr>
          <w:rFonts w:ascii="宋体" w:hAnsi="宋体" w:cs="宋体" w:eastAsia="宋体" w:hint="default"/>
          <w:sz w:val="18"/>
          <w:szCs w:val="18"/>
        </w:rPr>
      </w:pPr>
      <w:r>
        <w:rPr>
          <w:rFonts w:ascii="宋体" w:hAnsi="宋体" w:cs="宋体" w:eastAsia="宋体" w:hint="default"/>
          <w:sz w:val="18"/>
          <w:szCs w:val="18"/>
        </w:rPr>
        <w:t>建设项目环境影响评价及其他环境保护行政许可情况</w:t>
      </w:r>
    </w:p>
    <w:p>
      <w:pPr>
        <w:pStyle w:val="BodyText"/>
        <w:spacing w:line="273" w:lineRule="auto" w:before="91"/>
        <w:ind w:right="1012" w:firstLine="420"/>
        <w:jc w:val="left"/>
      </w:pPr>
      <w:r>
        <w:rPr/>
        <w:t>北京中科彩技术有限公司拥有 </w:t>
      </w:r>
      <w:r>
        <w:rPr>
          <w:rFonts w:ascii="宋体" w:hAnsi="宋体" w:cs="宋体" w:eastAsia="宋体" w:hint="default"/>
        </w:rPr>
        <w:t>1 </w:t>
      </w:r>
      <w:r>
        <w:rPr/>
        <w:t>条环保型柔性版水性墨印刷生产线， </w:t>
      </w:r>
      <w:r>
        <w:rPr>
          <w:rFonts w:ascii="宋体" w:hAnsi="宋体" w:cs="宋体" w:eastAsia="宋体" w:hint="default"/>
        </w:rPr>
        <w:t>2016 </w:t>
      </w:r>
      <w:r>
        <w:rPr/>
        <w:t>年 </w:t>
      </w:r>
      <w:r>
        <w:rPr>
          <w:rFonts w:ascii="宋体" w:hAnsi="宋体" w:cs="宋体" w:eastAsia="宋体" w:hint="default"/>
        </w:rPr>
        <w:t>4 </w:t>
      </w:r>
      <w:r>
        <w:rPr/>
        <w:t>月 </w:t>
      </w:r>
      <w:r>
        <w:rPr>
          <w:rFonts w:ascii="宋体" w:hAnsi="宋体" w:cs="宋体" w:eastAsia="宋体" w:hint="default"/>
        </w:rPr>
        <w:t>8</w:t>
      </w:r>
      <w:r>
        <w:rPr>
          <w:rFonts w:ascii="宋体" w:hAnsi="宋体" w:cs="宋体" w:eastAsia="宋体" w:hint="default"/>
          <w:spacing w:val="-4"/>
        </w:rPr>
        <w:t> </w:t>
      </w:r>
      <w:r>
        <w:rPr/>
        <w:t>日通过环保 验收投入运行，年产高档防伪印刷品 </w:t>
      </w:r>
      <w:r>
        <w:rPr>
          <w:rFonts w:ascii="宋体" w:hAnsi="宋体" w:cs="宋体" w:eastAsia="宋体" w:hint="default"/>
        </w:rPr>
        <w:t>6200 </w:t>
      </w:r>
      <w:r>
        <w:rPr/>
        <w:t>万</w:t>
      </w:r>
      <w:r>
        <w:rPr>
          <w:spacing w:val="-25"/>
        </w:rPr>
        <w:t> </w:t>
      </w:r>
      <w:r>
        <w:rPr>
          <w:rFonts w:ascii="宋体" w:hAnsi="宋体" w:cs="宋体" w:eastAsia="宋体" w:hint="default"/>
        </w:rPr>
        <w:t>m2</w:t>
      </w:r>
      <w:r>
        <w:rPr/>
        <w:t>。生产过程排放一定量的可挥发性有机物等大气污染物， 办公生活用水排放氨氮等水污染物。现有活性炭吸附催化燃烧设施 </w:t>
      </w:r>
      <w:r>
        <w:rPr>
          <w:rFonts w:ascii="宋体" w:hAnsi="宋体" w:cs="宋体" w:eastAsia="宋体" w:hint="default"/>
        </w:rPr>
        <w:t>1 </w:t>
      </w:r>
      <w:r>
        <w:rPr/>
        <w:t>套，污水处理设施 </w:t>
      </w:r>
      <w:r>
        <w:rPr>
          <w:rFonts w:ascii="宋体" w:hAnsi="宋体" w:cs="宋体" w:eastAsia="宋体" w:hint="default"/>
        </w:rPr>
        <w:t>1</w:t>
      </w:r>
      <w:r>
        <w:rPr>
          <w:rFonts w:ascii="宋体" w:hAnsi="宋体" w:cs="宋体" w:eastAsia="宋体" w:hint="default"/>
          <w:spacing w:val="-22"/>
        </w:rPr>
        <w:t> </w:t>
      </w:r>
      <w:r>
        <w:rPr/>
        <w:t>套，均正常在 用。</w:t>
      </w:r>
    </w:p>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突发环境事件应急预案</w:t>
      </w:r>
    </w:p>
    <w:p>
      <w:pPr>
        <w:pStyle w:val="BodyText"/>
        <w:spacing w:line="273" w:lineRule="auto" w:before="89"/>
        <w:ind w:right="1131" w:firstLine="420"/>
        <w:jc w:val="both"/>
      </w:pPr>
      <w:r>
        <w:rPr>
          <w:spacing w:val="-1"/>
        </w:rPr>
        <w:t>北京中科彩技术有限公司自行监测方式为手工监测方式，为委托社会化监测机构开展监测，承担委托</w:t>
      </w:r>
      <w:r>
        <w:rPr/>
        <w:t> 监测的单位为北京联合智业检验检测有限公司。</w:t>
      </w:r>
    </w:p>
    <w:p>
      <w:pPr>
        <w:pStyle w:val="BodyText"/>
        <w:spacing w:line="273" w:lineRule="auto"/>
        <w:ind w:left="574" w:right="1117"/>
        <w:jc w:val="left"/>
      </w:pPr>
      <w:r>
        <w:rPr>
          <w:rFonts w:ascii="宋体" w:hAnsi="宋体" w:cs="宋体" w:eastAsia="宋体" w:hint="default"/>
        </w:rPr>
        <w:t>1</w:t>
      </w:r>
      <w:r>
        <w:rPr/>
        <w:t>、环境风险管理制度 </w:t>
      </w:r>
      <w:r>
        <w:rPr>
          <w:spacing w:val="-1"/>
        </w:rPr>
        <w:t>北京中科彩技术有限公司建立了安全生产责任制和各项安全生产管理规章制度、安全规程、操作规程</w:t>
      </w:r>
    </w:p>
    <w:p>
      <w:pPr>
        <w:pStyle w:val="BodyText"/>
        <w:spacing w:line="273" w:lineRule="auto"/>
        <w:ind w:right="1117"/>
        <w:jc w:val="left"/>
      </w:pPr>
      <w:r>
        <w:rPr>
          <w:spacing w:val="-1"/>
        </w:rPr>
        <w:t>和事故应急救援预案并严格按要求执行。公司有全套环境管理制度，日常安排专人负责环保管理制度执行</w:t>
      </w:r>
      <w:r>
        <w:rPr>
          <w:spacing w:val="-81"/>
        </w:rPr>
        <w:t> </w:t>
      </w:r>
      <w:r>
        <w:rPr>
          <w:spacing w:val="-81"/>
        </w:rPr>
      </w:r>
      <w:r>
        <w:rPr/>
        <w:t>情况的检查，并编制了车间管理制度，迄今，未发现重大违反环保制度的情况。</w:t>
      </w:r>
    </w:p>
    <w:p>
      <w:pPr>
        <w:pStyle w:val="BodyText"/>
        <w:spacing w:line="273" w:lineRule="auto"/>
        <w:ind w:right="1131" w:firstLine="420"/>
        <w:jc w:val="both"/>
      </w:pPr>
      <w:r>
        <w:rPr>
          <w:spacing w:val="-1"/>
        </w:rPr>
        <w:t>我公司内部定时对各风险源进行日常监控和日常安全管理评估，重点是印刷间、化学品库、油墨间及</w:t>
      </w:r>
      <w:r>
        <w:rPr/>
        <w:t> </w:t>
      </w:r>
      <w:r>
        <w:rPr>
          <w:spacing w:val="-1"/>
        </w:rPr>
        <w:t>危废暂存区等风险系数较大的区域。各部门负责各自分管范围的工作和生产作业现场安全检查。各部门积</w:t>
      </w:r>
      <w:r>
        <w:rPr>
          <w:spacing w:val="-81"/>
        </w:rPr>
        <w:t> </w:t>
      </w:r>
      <w:r>
        <w:rPr>
          <w:spacing w:val="-81"/>
        </w:rPr>
      </w:r>
      <w:r>
        <w:rPr/>
        <w:t>极配合上级部门安排的各专项安全检查。</w:t>
      </w:r>
    </w:p>
    <w:p>
      <w:pPr>
        <w:pStyle w:val="BodyText"/>
        <w:spacing w:line="273" w:lineRule="auto"/>
        <w:ind w:left="574" w:right="1302"/>
        <w:jc w:val="left"/>
      </w:pPr>
      <w:r>
        <w:rPr>
          <w:rFonts w:ascii="宋体" w:hAnsi="宋体" w:cs="宋体" w:eastAsia="宋体" w:hint="default"/>
        </w:rPr>
        <w:t>2</w:t>
      </w:r>
      <w:r>
        <w:rPr/>
        <w:t>、事件分级 按照北京中科彩技术有限公司实际环境风险物质意外事故发生后导致的人员伤亡情况及环境污染程</w:t>
      </w:r>
    </w:p>
    <w:p>
      <w:pPr>
        <w:pStyle w:val="BodyText"/>
        <w:spacing w:line="273" w:lineRule="auto"/>
        <w:ind w:left="574" w:right="1117" w:hanging="420"/>
        <w:jc w:val="left"/>
      </w:pPr>
      <w:r>
        <w:rPr/>
        <w:t>度，公司突发事件分级如下： </w:t>
      </w:r>
      <w:r>
        <w:rPr>
          <w:spacing w:val="-1"/>
        </w:rPr>
        <w:t>一级：危险化学品或危险废物环境风险物质大量泄漏，或发生火灾，火势较大，我公司内部已无法控</w:t>
      </w:r>
    </w:p>
    <w:p>
      <w:pPr>
        <w:pStyle w:val="BodyText"/>
        <w:spacing w:line="240" w:lineRule="auto"/>
        <w:ind w:right="1117"/>
        <w:jc w:val="left"/>
      </w:pPr>
      <w:r>
        <w:rPr/>
        <w:t>制的事件。</w:t>
      </w:r>
    </w:p>
    <w:p>
      <w:pPr>
        <w:pStyle w:val="BodyText"/>
        <w:spacing w:line="273" w:lineRule="auto" w:before="37"/>
        <w:ind w:right="1133" w:firstLine="420"/>
        <w:jc w:val="both"/>
      </w:pPr>
      <w:r>
        <w:rPr>
          <w:spacing w:val="-1"/>
        </w:rPr>
        <w:t>二级：危险化学品或危险废物等环境风险物质出现少量泄漏，或发生火情，但未造成大面积污染，且</w:t>
      </w:r>
      <w:r>
        <w:rPr/>
        <w:t> 短时间内我公司内部即可处理的事件。</w:t>
      </w:r>
    </w:p>
    <w:p>
      <w:pPr>
        <w:pStyle w:val="BodyText"/>
        <w:spacing w:line="273" w:lineRule="auto"/>
        <w:ind w:left="574" w:right="0"/>
        <w:jc w:val="left"/>
      </w:pPr>
      <w:r>
        <w:rPr>
          <w:rFonts w:ascii="宋体" w:hAnsi="宋体" w:cs="宋体" w:eastAsia="宋体" w:hint="default"/>
        </w:rPr>
        <w:t>3</w:t>
      </w:r>
      <w:r>
        <w:rPr/>
        <w:t>、预警发布与解除 </w:t>
      </w:r>
      <w:r>
        <w:rPr>
          <w:spacing w:val="-8"/>
        </w:rPr>
        <w:t>一级预警：如为一级事件，管理或检查人员立即发出警报并报告应急救援指挥机构（夜间报直管领导），</w:t>
      </w:r>
    </w:p>
    <w:p>
      <w:pPr>
        <w:pStyle w:val="BodyText"/>
        <w:spacing w:line="273" w:lineRule="auto"/>
        <w:ind w:left="574" w:right="1117" w:hanging="420"/>
        <w:jc w:val="left"/>
      </w:pPr>
      <w:r>
        <w:rPr/>
        <w:t>同时视实际情况实施现场处置指施，立即组织现场作业人员疏散等。 </w:t>
      </w:r>
      <w:r>
        <w:rPr>
          <w:spacing w:val="-1"/>
        </w:rPr>
        <w:t>二级预警：如为二级事件，管理或检查人员立即启动现场处置措施，发出警报并报告应急教援指挥机</w:t>
      </w:r>
    </w:p>
    <w:p>
      <w:pPr>
        <w:pStyle w:val="BodyText"/>
        <w:spacing w:line="273" w:lineRule="auto"/>
        <w:ind w:right="1117"/>
        <w:jc w:val="left"/>
      </w:pPr>
      <w:r>
        <w:rPr>
          <w:spacing w:val="-1"/>
        </w:rPr>
        <w:t>构（夜间报直管领导），为二级预警。当引起预警的条件消除和各类隐患排除后，由应急救援指挥部宣布</w:t>
      </w:r>
      <w:r>
        <w:rPr>
          <w:spacing w:val="-83"/>
        </w:rPr>
        <w:t> </w:t>
      </w:r>
      <w:r>
        <w:rPr>
          <w:spacing w:val="-83"/>
        </w:rPr>
      </w:r>
      <w:r>
        <w:rPr/>
        <w:t>解除预警。</w:t>
      </w:r>
    </w:p>
    <w:p>
      <w:pPr>
        <w:pStyle w:val="BodyText"/>
        <w:spacing w:line="240" w:lineRule="auto"/>
        <w:ind w:left="574" w:right="1117"/>
        <w:jc w:val="left"/>
      </w:pPr>
      <w:r>
        <w:rPr>
          <w:rFonts w:ascii="宋体" w:hAnsi="宋体" w:cs="宋体" w:eastAsia="宋体" w:hint="default"/>
        </w:rPr>
        <w:t>4</w:t>
      </w:r>
      <w:r>
        <w:rPr/>
        <w:t>、处置措施</w:t>
      </w:r>
    </w:p>
    <w:p>
      <w:pPr>
        <w:pStyle w:val="BodyText"/>
        <w:spacing w:line="273" w:lineRule="auto" w:before="37"/>
        <w:ind w:left="574" w:right="7393"/>
        <w:jc w:val="left"/>
      </w:pPr>
      <w:r>
        <w:rPr>
          <w:rFonts w:ascii="宋体" w:hAnsi="宋体" w:cs="宋体" w:eastAsia="宋体" w:hint="default"/>
        </w:rPr>
        <w:t>4.1</w:t>
      </w:r>
      <w:r>
        <w:rPr>
          <w:rFonts w:ascii="宋体" w:hAnsi="宋体" w:cs="宋体" w:eastAsia="宋体" w:hint="default"/>
          <w:spacing w:val="-1"/>
        </w:rPr>
        <w:t> </w:t>
      </w:r>
      <w:r>
        <w:rPr/>
        <w:t>一级事件处置程序机器措施 指挥调度程序：</w:t>
      </w:r>
    </w:p>
    <w:p>
      <w:pPr>
        <w:pStyle w:val="BodyText"/>
        <w:spacing w:line="273" w:lineRule="auto"/>
        <w:ind w:right="1131" w:firstLine="420"/>
        <w:jc w:val="both"/>
      </w:pPr>
      <w:r>
        <w:rPr>
          <w:spacing w:val="-1"/>
        </w:rPr>
        <w:t>当发生的环境污染事故级别为一级时，必须在第一时间内向北京市经济技术开发区应急救援指挥中心</w:t>
      </w:r>
      <w:r>
        <w:rPr/>
        <w:t> </w:t>
      </w:r>
      <w:r>
        <w:rPr>
          <w:spacing w:val="-1"/>
        </w:rPr>
        <w:t>报警，并立即按突发环境事故应急预案进行处置。北京市经济技术开发区应急救援指挥中心接警后，视情</w:t>
      </w:r>
      <w:r>
        <w:rPr>
          <w:spacing w:val="-83"/>
        </w:rPr>
        <w:t> </w:t>
      </w:r>
      <w:r>
        <w:rPr>
          <w:spacing w:val="-83"/>
        </w:rPr>
      </w:r>
      <w:r>
        <w:rPr/>
        <w:t>况协调北京市经济技术开发区环保局等方面的应急人员赶赴现场。</w:t>
      </w:r>
    </w:p>
    <w:p>
      <w:pPr>
        <w:pStyle w:val="BodyText"/>
        <w:spacing w:line="273" w:lineRule="auto"/>
        <w:ind w:left="574" w:right="1117"/>
        <w:jc w:val="left"/>
      </w:pPr>
      <w:r>
        <w:rPr/>
        <w:t>处置流程： </w:t>
      </w:r>
      <w:r>
        <w:rPr>
          <w:spacing w:val="-1"/>
        </w:rPr>
        <w:t>当发生的环境污染事故级别为一级时，由我公司应急指挥部组织应急力量予以先期处置并立即报告政</w:t>
      </w:r>
    </w:p>
    <w:p>
      <w:pPr>
        <w:pStyle w:val="BodyText"/>
        <w:spacing w:line="240" w:lineRule="auto" w:before="8"/>
        <w:ind w:right="1117"/>
        <w:jc w:val="left"/>
      </w:pPr>
      <w:r>
        <w:rPr/>
        <w:t>府相关单位：</w:t>
      </w:r>
    </w:p>
    <w:p>
      <w:pPr>
        <w:pStyle w:val="BodyText"/>
        <w:spacing w:line="273" w:lineRule="auto" w:before="37"/>
        <w:ind w:right="1215" w:firstLine="420"/>
        <w:jc w:val="both"/>
      </w:pPr>
      <w:r>
        <w:rPr>
          <w:rFonts w:ascii="宋体" w:hAnsi="宋体" w:cs="宋体" w:eastAsia="宋体" w:hint="default"/>
        </w:rPr>
        <w:t>1</w:t>
      </w:r>
      <w:r>
        <w:rPr/>
        <w:t>）立即启动应急预案，各应急小组按照职责实施组织人员进行疏散、拉警戒线、封锁事故区域，无 关人员及车辆禁止进入等应急措施，如发生火灾则禁止使用电梯，并及时联系告知周边企业。</w:t>
      </w:r>
    </w:p>
    <w:p>
      <w:pPr>
        <w:pStyle w:val="BodyText"/>
        <w:spacing w:line="240" w:lineRule="auto"/>
        <w:ind w:left="574" w:right="1117"/>
        <w:jc w:val="left"/>
      </w:pPr>
      <w:r>
        <w:rPr>
          <w:rFonts w:ascii="宋体" w:hAnsi="宋体" w:cs="宋体" w:eastAsia="宋体" w:hint="default"/>
        </w:rPr>
        <w:t>2</w:t>
      </w:r>
      <w:r>
        <w:rPr/>
        <w:t>）立即切断事故区域电源或火源，印刷间、化学品库、油墨间及危废暂存区等环境风险源处出现大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0"/>
        <w:jc w:val="both"/>
      </w:pPr>
      <w:r>
        <w:rPr>
          <w:spacing w:val="-1"/>
        </w:rPr>
        <w:t>量液体泄漏，立即采用围堤堵截覆盖、收容等方法，将大量泄漏物围堵在公司车间内部，如果有流出车间</w:t>
      </w:r>
      <w:r>
        <w:rPr>
          <w:spacing w:val="-86"/>
        </w:rPr>
        <w:t> </w:t>
      </w:r>
      <w:r>
        <w:rPr>
          <w:spacing w:val="-86"/>
        </w:rPr>
      </w:r>
      <w:r>
        <w:rPr>
          <w:spacing w:val="-1"/>
        </w:rPr>
        <w:t>的可能时，则需封堵厂区雨水排口，在厂区设置围堰，将泄漏物国堵在厂区内部；如果发生火灾且火势难</w:t>
      </w:r>
      <w:r>
        <w:rPr>
          <w:spacing w:val="-86"/>
        </w:rPr>
        <w:t> </w:t>
      </w:r>
      <w:r>
        <w:rPr>
          <w:spacing w:val="-86"/>
        </w:rPr>
      </w:r>
      <w:r>
        <w:rPr/>
        <w:t>以控制时，我公司应急救援队伍则立即调集所需物资和装备，组织救援力量等待政府应急教援力量到来；</w:t>
      </w:r>
    </w:p>
    <w:p>
      <w:pPr>
        <w:pStyle w:val="BodyText"/>
        <w:spacing w:line="273" w:lineRule="auto"/>
        <w:ind w:right="1117" w:firstLine="420"/>
        <w:jc w:val="left"/>
      </w:pPr>
      <w:r>
        <w:rPr>
          <w:rFonts w:ascii="宋体" w:hAnsi="宋体" w:cs="宋体" w:eastAsia="宋体" w:hint="default"/>
        </w:rPr>
        <w:t>3</w:t>
      </w:r>
      <w:r>
        <w:rPr/>
        <w:t>）事故受伤者就地隔离治疗，密切观察接触者，必要时请医院医生协助救治，由应急综合办公室负 </w:t>
      </w:r>
      <w:r>
        <w:rPr>
          <w:spacing w:val="-1"/>
        </w:rPr>
        <w:t>责联系。应急救援指挥中心视情况派出应急力量到达现场后，应急组织协助应急救援力量进行应急监测以</w:t>
      </w:r>
      <w:r>
        <w:rPr>
          <w:spacing w:val="-81"/>
        </w:rPr>
        <w:t> </w:t>
      </w:r>
      <w:r>
        <w:rPr>
          <w:spacing w:val="-81"/>
        </w:rPr>
      </w:r>
      <w:r>
        <w:rPr/>
        <w:t>及事故处置。</w:t>
      </w:r>
    </w:p>
    <w:p>
      <w:pPr>
        <w:pStyle w:val="BodyText"/>
        <w:spacing w:line="273" w:lineRule="auto"/>
        <w:ind w:left="574" w:right="7603"/>
        <w:jc w:val="left"/>
      </w:pPr>
      <w:r>
        <w:rPr>
          <w:rFonts w:ascii="宋体" w:hAnsi="宋体" w:cs="宋体" w:eastAsia="宋体" w:hint="default"/>
        </w:rPr>
        <w:t>4.2</w:t>
      </w:r>
      <w:r>
        <w:rPr>
          <w:rFonts w:ascii="宋体" w:hAnsi="宋体" w:cs="宋体" w:eastAsia="宋体" w:hint="default"/>
          <w:spacing w:val="-1"/>
        </w:rPr>
        <w:t> </w:t>
      </w:r>
      <w:r>
        <w:rPr/>
        <w:t>二级事件处量程序及措施 指挥调度程序：</w:t>
      </w:r>
    </w:p>
    <w:p>
      <w:pPr>
        <w:pStyle w:val="BodyText"/>
        <w:spacing w:line="273" w:lineRule="auto"/>
        <w:ind w:right="1117" w:firstLine="420"/>
        <w:jc w:val="left"/>
      </w:pPr>
      <w:r>
        <w:rPr>
          <w:spacing w:val="-1"/>
        </w:rPr>
        <w:t>当发生的环境污染事故级别为二级时，现场人员立即启动现场处置措施，并第一时间向应急指挥部报</w:t>
      </w:r>
      <w:r>
        <w:rPr/>
        <w:t> 告情况。应急指挥部组织应急力量进行现场支援，协助现场人员进行应急处置。</w:t>
      </w:r>
    </w:p>
    <w:p>
      <w:pPr>
        <w:pStyle w:val="BodyText"/>
        <w:spacing w:line="273" w:lineRule="auto"/>
        <w:ind w:left="574" w:right="1117"/>
        <w:jc w:val="left"/>
      </w:pPr>
      <w:r>
        <w:rPr/>
        <w:t>处置流程： </w:t>
      </w:r>
      <w:r>
        <w:rPr>
          <w:spacing w:val="-1"/>
        </w:rPr>
        <w:t>当发生的环境污染事故级别为二级时，根据应急指挥部指示，由现场人员按现场处置预案予以先期处</w:t>
      </w:r>
    </w:p>
    <w:p>
      <w:pPr>
        <w:pStyle w:val="BodyText"/>
        <w:spacing w:line="273" w:lineRule="auto"/>
        <w:ind w:left="574" w:right="1197" w:hanging="420"/>
        <w:jc w:val="left"/>
      </w:pPr>
      <w:r>
        <w:rPr/>
        <w:t>置，现场指挥部应维护好秩序，做好交通保障、人员疏散等各项工作： </w:t>
      </w:r>
      <w:r>
        <w:rPr>
          <w:rFonts w:ascii="宋体" w:hAnsi="宋体" w:cs="宋体" w:eastAsia="宋体" w:hint="default"/>
        </w:rPr>
        <w:t>1</w:t>
      </w:r>
      <w:r>
        <w:rPr/>
        <w:t>）印刷间、化学品库、油墨间及危废暂存区等环境风险源配备了相应的死火器材、消防沙、应急监</w:t>
      </w:r>
    </w:p>
    <w:p>
      <w:pPr>
        <w:pStyle w:val="BodyText"/>
        <w:spacing w:line="240" w:lineRule="auto"/>
        <w:ind w:right="0"/>
        <w:jc w:val="both"/>
      </w:pPr>
      <w:r>
        <w:rPr/>
        <w:t>测设备等，化学品等风险物质转运或使用过程中出现少量泄漏，立即用不可燃的吸收物质包容收集泄漏物</w:t>
      </w:r>
    </w:p>
    <w:p>
      <w:pPr>
        <w:pStyle w:val="BodyText"/>
        <w:spacing w:line="273" w:lineRule="auto" w:before="37"/>
        <w:ind w:right="1131"/>
        <w:jc w:val="both"/>
      </w:pPr>
      <w:r>
        <w:rPr>
          <w:spacing w:val="-1"/>
        </w:rPr>
        <w:t>（如沙子、泥土），并放置于容器中，作为危险废物处置；如果发生火情，但未造成大面积污染，立即在</w:t>
      </w:r>
      <w:r>
        <w:rPr>
          <w:spacing w:val="-85"/>
        </w:rPr>
        <w:t> </w:t>
      </w:r>
      <w:r>
        <w:rPr>
          <w:spacing w:val="-85"/>
        </w:rPr>
      </w:r>
      <w:r>
        <w:rPr>
          <w:spacing w:val="-1"/>
        </w:rPr>
        <w:t>事故区域构筑国堰，用消防器材进行灭火，并将产生的消防退水集中收集，根据水中污染物情况交由有资</w:t>
      </w:r>
      <w:r>
        <w:rPr>
          <w:spacing w:val="-83"/>
        </w:rPr>
        <w:t> </w:t>
      </w:r>
      <w:r>
        <w:rPr>
          <w:spacing w:val="-83"/>
        </w:rPr>
      </w:r>
      <w:r>
        <w:rPr/>
        <w:t>质单位处置。</w:t>
      </w:r>
    </w:p>
    <w:p>
      <w:pPr>
        <w:pStyle w:val="BodyText"/>
        <w:spacing w:line="240" w:lineRule="auto"/>
        <w:ind w:left="574" w:right="1117"/>
        <w:jc w:val="left"/>
      </w:pPr>
      <w:r>
        <w:rPr>
          <w:rFonts w:ascii="宋体" w:hAnsi="宋体" w:cs="宋体" w:eastAsia="宋体" w:hint="default"/>
        </w:rPr>
        <w:t>2</w:t>
      </w:r>
      <w:r>
        <w:rPr/>
        <w:t>）事件应急结束后，对现场隐患进行排查。</w:t>
      </w:r>
    </w:p>
    <w:p>
      <w:pPr>
        <w:pStyle w:val="BodyText"/>
        <w:spacing w:line="273" w:lineRule="auto" w:before="37"/>
        <w:ind w:left="574" w:right="8653"/>
        <w:jc w:val="left"/>
      </w:pPr>
      <w:r>
        <w:rPr>
          <w:rFonts w:ascii="宋体" w:hAnsi="宋体" w:cs="宋体" w:eastAsia="宋体" w:hint="default"/>
        </w:rPr>
        <w:t>4.3</w:t>
      </w:r>
      <w:r>
        <w:rPr>
          <w:rFonts w:ascii="宋体" w:hAnsi="宋体" w:cs="宋体" w:eastAsia="宋体" w:hint="default"/>
          <w:spacing w:val="-1"/>
        </w:rPr>
        <w:t> </w:t>
      </w:r>
      <w:r>
        <w:rPr/>
        <w:t>夜间处置措施 夜间处置流程：</w:t>
      </w:r>
    </w:p>
    <w:p>
      <w:pPr>
        <w:pStyle w:val="BodyText"/>
        <w:spacing w:line="273" w:lineRule="auto"/>
        <w:ind w:right="1117" w:firstLine="420"/>
        <w:jc w:val="left"/>
      </w:pPr>
      <w:r>
        <w:rPr>
          <w:spacing w:val="-1"/>
        </w:rPr>
        <w:t>由于夜间救援人员较少，值班人员较少，如发生突发环境事故立即通知直管领导或应急办公室，组织</w:t>
      </w:r>
      <w:r>
        <w:rPr/>
        <w:t> 值班人员采取应急措施，同时申请政府力量救援。</w:t>
      </w:r>
    </w:p>
    <w:p>
      <w:pPr>
        <w:pStyle w:val="BodyText"/>
        <w:spacing w:line="273" w:lineRule="auto"/>
        <w:ind w:left="574" w:right="1117"/>
        <w:jc w:val="left"/>
      </w:pPr>
      <w:r>
        <w:rPr>
          <w:rFonts w:ascii="宋体" w:hAnsi="宋体" w:cs="宋体" w:eastAsia="宋体" w:hint="default"/>
        </w:rPr>
        <w:t>4.4 </w:t>
      </w:r>
      <w:r>
        <w:rPr/>
        <w:t>应急监测 </w:t>
      </w:r>
      <w:r>
        <w:rPr>
          <w:spacing w:val="-1"/>
        </w:rPr>
        <w:t>当发生环境污染事故后，我公司须及时报告环保局对事故现场大气污染情况、水污染情兄等环境因素</w:t>
      </w:r>
    </w:p>
    <w:p>
      <w:pPr>
        <w:pStyle w:val="BodyText"/>
        <w:spacing w:line="240" w:lineRule="auto"/>
        <w:ind w:right="0"/>
        <w:jc w:val="both"/>
      </w:pPr>
      <w:r>
        <w:rPr/>
        <w:t>进行监测：</w:t>
      </w:r>
    </w:p>
    <w:p>
      <w:pPr>
        <w:pStyle w:val="BodyText"/>
        <w:spacing w:line="273" w:lineRule="auto" w:before="37"/>
        <w:ind w:right="1117" w:firstLine="420"/>
        <w:jc w:val="left"/>
      </w:pPr>
      <w:r>
        <w:rPr>
          <w:spacing w:val="-1"/>
        </w:rPr>
        <w:t>大气监测：在污染源上风向布一个监测点，在下风向、环境敏感点扇面布置多个监测点，进行采样监</w:t>
      </w:r>
      <w:r>
        <w:rPr/>
        <w:t> 测。</w:t>
      </w:r>
    </w:p>
    <w:p>
      <w:pPr>
        <w:pStyle w:val="BodyText"/>
        <w:spacing w:line="240" w:lineRule="auto"/>
        <w:ind w:left="574" w:right="1117"/>
        <w:jc w:val="left"/>
      </w:pPr>
      <w:r>
        <w:rPr/>
        <w:t>水监测：对不同的控制点和通往外环境排水口布点，不同时段采样分析。</w:t>
      </w:r>
    </w:p>
    <w:p>
      <w:pPr>
        <w:spacing w:before="103"/>
        <w:ind w:left="154" w:right="0" w:firstLine="0"/>
        <w:jc w:val="both"/>
        <w:rPr>
          <w:rFonts w:ascii="宋体" w:hAnsi="宋体" w:cs="宋体" w:eastAsia="宋体" w:hint="default"/>
          <w:sz w:val="18"/>
          <w:szCs w:val="18"/>
        </w:rPr>
      </w:pPr>
      <w:r>
        <w:rPr>
          <w:rFonts w:ascii="宋体" w:hAnsi="宋体" w:cs="宋体" w:eastAsia="宋体" w:hint="default"/>
          <w:sz w:val="18"/>
          <w:szCs w:val="18"/>
        </w:rPr>
        <w:t>环境自行监测方案</w:t>
      </w:r>
    </w:p>
    <w:p>
      <w:pPr>
        <w:pStyle w:val="BodyText"/>
        <w:spacing w:line="273" w:lineRule="auto" w:before="90"/>
        <w:ind w:right="1117" w:firstLine="420"/>
        <w:jc w:val="left"/>
      </w:pPr>
      <w:r>
        <w:rPr>
          <w:spacing w:val="-1"/>
        </w:rPr>
        <w:t>北京中科彩技术有限公司自行监测方式为手工监测方式，为委托社会化监测机构开展监测，承担委托</w:t>
      </w:r>
      <w:r>
        <w:rPr/>
        <w:t> 监测的单位为北京联合智业检验检测有限公司。</w:t>
      </w:r>
    </w:p>
    <w:p>
      <w:pPr>
        <w:pStyle w:val="BodyText"/>
        <w:spacing w:line="273" w:lineRule="auto"/>
        <w:ind w:left="574" w:right="1117"/>
        <w:jc w:val="left"/>
      </w:pPr>
      <w:r>
        <w:rPr>
          <w:rFonts w:ascii="宋体" w:hAnsi="宋体" w:cs="宋体" w:eastAsia="宋体" w:hint="default"/>
        </w:rPr>
        <w:t>1</w:t>
      </w:r>
      <w:r>
        <w:rPr/>
        <w:t>、环境风险管理制度 </w:t>
      </w:r>
      <w:r>
        <w:rPr>
          <w:spacing w:val="-1"/>
        </w:rPr>
        <w:t>北京中科彩技术有限公司建立了安全生产责任制和各项安全生产管理规章制度、安全规程、操作规程</w:t>
      </w:r>
    </w:p>
    <w:p>
      <w:pPr>
        <w:pStyle w:val="BodyText"/>
        <w:spacing w:line="273" w:lineRule="auto"/>
        <w:ind w:right="1131"/>
        <w:jc w:val="both"/>
      </w:pPr>
      <w:r>
        <w:rPr>
          <w:spacing w:val="-1"/>
        </w:rPr>
        <w:t>和事故应急救援预案并严格按要求执行。公司有全套环境管理制度，日常安排专人负责环保管理制度执行</w:t>
      </w:r>
      <w:r>
        <w:rPr>
          <w:spacing w:val="-81"/>
        </w:rPr>
        <w:t> </w:t>
      </w:r>
      <w:r>
        <w:rPr>
          <w:spacing w:val="-81"/>
        </w:rPr>
      </w:r>
      <w:r>
        <w:rPr/>
        <w:t>情况的检查，并编制了车间管理制度，迄今，未发现重大违反环保制度的情况。</w:t>
      </w:r>
    </w:p>
    <w:p>
      <w:pPr>
        <w:pStyle w:val="BodyText"/>
        <w:spacing w:line="273" w:lineRule="auto"/>
        <w:ind w:right="1131" w:firstLine="420"/>
        <w:jc w:val="both"/>
      </w:pPr>
      <w:r>
        <w:rPr>
          <w:spacing w:val="-1"/>
        </w:rPr>
        <w:t>我公司内部定时对各风险源进行日常监控和日常安全管理评估，重点是印刷间、化学品库、油墨间及</w:t>
      </w:r>
      <w:r>
        <w:rPr/>
        <w:t> </w:t>
      </w:r>
      <w:r>
        <w:rPr>
          <w:spacing w:val="-1"/>
        </w:rPr>
        <w:t>危废暂存区等风险系数较大的区域。各部门负责各自分管范围的工作和生产作业现场安全检查。各部门积</w:t>
      </w:r>
      <w:r>
        <w:rPr>
          <w:spacing w:val="-81"/>
        </w:rPr>
        <w:t> </w:t>
      </w:r>
      <w:r>
        <w:rPr>
          <w:spacing w:val="-81"/>
        </w:rPr>
      </w:r>
      <w:r>
        <w:rPr/>
        <w:t>极配合上级部门安排的各专项安全检查。</w:t>
      </w:r>
    </w:p>
    <w:p>
      <w:pPr>
        <w:pStyle w:val="BodyText"/>
        <w:spacing w:line="273" w:lineRule="auto"/>
        <w:ind w:left="574" w:right="1302"/>
        <w:jc w:val="left"/>
      </w:pPr>
      <w:r>
        <w:rPr>
          <w:rFonts w:ascii="宋体" w:hAnsi="宋体" w:cs="宋体" w:eastAsia="宋体" w:hint="default"/>
        </w:rPr>
        <w:t>2</w:t>
      </w:r>
      <w:r>
        <w:rPr/>
        <w:t>、事件分级 按照北京中科彩技术有限公司实际环境风险物质意外事故发生后导致的人员伤亡情况及环境污染程</w:t>
      </w:r>
    </w:p>
    <w:p>
      <w:pPr>
        <w:pStyle w:val="BodyText"/>
        <w:spacing w:line="273" w:lineRule="auto"/>
        <w:ind w:left="574" w:right="1117" w:hanging="420"/>
        <w:jc w:val="left"/>
      </w:pPr>
      <w:r>
        <w:rPr/>
        <w:t>度，公司突发事件分级如下： </w:t>
      </w:r>
      <w:r>
        <w:rPr>
          <w:spacing w:val="-1"/>
        </w:rPr>
        <w:t>一级：危险化学品或危险废物环境风险物质大量泄漏，或发生火灾，火势较大，我公司内部已无法控</w:t>
      </w:r>
    </w:p>
    <w:p>
      <w:pPr>
        <w:pStyle w:val="BodyText"/>
        <w:spacing w:line="240" w:lineRule="auto"/>
        <w:ind w:right="0"/>
        <w:jc w:val="both"/>
      </w:pPr>
      <w:r>
        <w:rPr/>
        <w:t>制的事件。</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7" w:firstLine="420"/>
        <w:jc w:val="left"/>
      </w:pPr>
      <w:r>
        <w:rPr>
          <w:spacing w:val="-1"/>
        </w:rPr>
        <w:t>二级：危险化学品或危险废物等环境风险物质出现少量泄漏，或发生火情，但未造成大面积污染，且</w:t>
      </w:r>
      <w:r>
        <w:rPr/>
        <w:t> 短时间内我公司内部即可处理的事件。</w:t>
      </w:r>
    </w:p>
    <w:p>
      <w:pPr>
        <w:pStyle w:val="BodyText"/>
        <w:spacing w:line="273" w:lineRule="auto"/>
        <w:ind w:left="574" w:right="0"/>
        <w:jc w:val="left"/>
      </w:pPr>
      <w:r>
        <w:rPr>
          <w:rFonts w:ascii="宋体" w:hAnsi="宋体" w:cs="宋体" w:eastAsia="宋体" w:hint="default"/>
        </w:rPr>
        <w:t>3</w:t>
      </w:r>
      <w:r>
        <w:rPr/>
        <w:t>、预警发布与解除 </w:t>
      </w:r>
      <w:r>
        <w:rPr>
          <w:spacing w:val="-8"/>
        </w:rPr>
        <w:t>一级预警：如为一级事件，管理或检查人员立即发出警报并报告应急救援指挥机构（夜间报直管领导），</w:t>
      </w:r>
    </w:p>
    <w:p>
      <w:pPr>
        <w:pStyle w:val="BodyText"/>
        <w:spacing w:line="273" w:lineRule="auto" w:before="8"/>
        <w:ind w:left="574" w:right="1117" w:hanging="420"/>
        <w:jc w:val="left"/>
      </w:pPr>
      <w:r>
        <w:rPr/>
        <w:t>同时视实际情况实施现场处置指施，立即组织现场作业人员疏散等。 </w:t>
      </w:r>
      <w:r>
        <w:rPr>
          <w:spacing w:val="-1"/>
        </w:rPr>
        <w:t>二级预警：如为二级事件，管理或检查人员立即启动现场处置措施，发出警报并报告应急教援指挥机</w:t>
      </w:r>
    </w:p>
    <w:p>
      <w:pPr>
        <w:pStyle w:val="BodyText"/>
        <w:spacing w:line="273" w:lineRule="auto"/>
        <w:ind w:right="1133"/>
        <w:jc w:val="both"/>
      </w:pPr>
      <w:r>
        <w:rPr>
          <w:spacing w:val="-1"/>
        </w:rPr>
        <w:t>构（夜间报直管领导），为二级预警。当引起预警的条件消除和各类隐患排除后，由应急救援指挥部宣布</w:t>
      </w:r>
      <w:r>
        <w:rPr>
          <w:spacing w:val="-83"/>
        </w:rPr>
        <w:t> </w:t>
      </w:r>
      <w:r>
        <w:rPr>
          <w:spacing w:val="-83"/>
        </w:rPr>
      </w:r>
      <w:r>
        <w:rPr/>
        <w:t>解除预警。</w:t>
      </w:r>
    </w:p>
    <w:p>
      <w:pPr>
        <w:pStyle w:val="BodyText"/>
        <w:spacing w:line="240" w:lineRule="auto"/>
        <w:ind w:left="574" w:right="1117"/>
        <w:jc w:val="left"/>
      </w:pPr>
      <w:r>
        <w:rPr>
          <w:rFonts w:ascii="宋体" w:hAnsi="宋体" w:cs="宋体" w:eastAsia="宋体" w:hint="default"/>
        </w:rPr>
        <w:t>4</w:t>
      </w:r>
      <w:r>
        <w:rPr/>
        <w:t>、处置措施</w:t>
      </w:r>
    </w:p>
    <w:p>
      <w:pPr>
        <w:pStyle w:val="BodyText"/>
        <w:spacing w:line="273" w:lineRule="auto" w:before="37"/>
        <w:ind w:left="574" w:right="7393"/>
        <w:jc w:val="left"/>
      </w:pPr>
      <w:r>
        <w:rPr>
          <w:rFonts w:ascii="宋体" w:hAnsi="宋体" w:cs="宋体" w:eastAsia="宋体" w:hint="default"/>
        </w:rPr>
        <w:t>4.1</w:t>
      </w:r>
      <w:r>
        <w:rPr>
          <w:rFonts w:ascii="宋体" w:hAnsi="宋体" w:cs="宋体" w:eastAsia="宋体" w:hint="default"/>
          <w:spacing w:val="-1"/>
        </w:rPr>
        <w:t> </w:t>
      </w:r>
      <w:r>
        <w:rPr/>
        <w:t>一级事件处置程序机器措施 指挥调度程序：</w:t>
      </w:r>
    </w:p>
    <w:p>
      <w:pPr>
        <w:pStyle w:val="BodyText"/>
        <w:spacing w:line="273" w:lineRule="auto"/>
        <w:ind w:right="1131" w:firstLine="420"/>
        <w:jc w:val="both"/>
      </w:pPr>
      <w:r>
        <w:rPr>
          <w:spacing w:val="-1"/>
        </w:rPr>
        <w:t>当发生的环境污染事故级别为一级时，必须在第一时间内向北京市经济技术开发区应急救援指挥中心</w:t>
      </w:r>
      <w:r>
        <w:rPr/>
        <w:t> </w:t>
      </w:r>
      <w:r>
        <w:rPr>
          <w:spacing w:val="-1"/>
        </w:rPr>
        <w:t>报警，并立即按突发环境事故应急预案进行处置。北京市经济技术开发区应急救援指挥中心接警后，视情</w:t>
      </w:r>
      <w:r>
        <w:rPr>
          <w:spacing w:val="-83"/>
        </w:rPr>
        <w:t> </w:t>
      </w:r>
      <w:r>
        <w:rPr>
          <w:spacing w:val="-83"/>
        </w:rPr>
      </w:r>
      <w:r>
        <w:rPr/>
        <w:t>况协调北京市经济技术开发区环保局等方面的应急人员赶赴现场。</w:t>
      </w:r>
    </w:p>
    <w:p>
      <w:pPr>
        <w:pStyle w:val="BodyText"/>
        <w:spacing w:line="273" w:lineRule="auto"/>
        <w:ind w:left="574" w:right="1117"/>
        <w:jc w:val="left"/>
      </w:pPr>
      <w:r>
        <w:rPr/>
        <w:t>处置流程： </w:t>
      </w:r>
      <w:r>
        <w:rPr>
          <w:spacing w:val="-1"/>
        </w:rPr>
        <w:t>当发生的环境污染事故级别为一级时，由我公司应急指挥部组织应急力量予以先期处置并立即报告政</w:t>
      </w:r>
    </w:p>
    <w:p>
      <w:pPr>
        <w:pStyle w:val="BodyText"/>
        <w:spacing w:line="240" w:lineRule="auto"/>
        <w:ind w:right="1117"/>
        <w:jc w:val="left"/>
      </w:pPr>
      <w:r>
        <w:rPr/>
        <w:t>府相关单位：</w:t>
      </w:r>
    </w:p>
    <w:p>
      <w:pPr>
        <w:pStyle w:val="BodyText"/>
        <w:spacing w:line="273" w:lineRule="auto" w:before="37"/>
        <w:ind w:right="1197" w:firstLine="420"/>
        <w:jc w:val="left"/>
      </w:pPr>
      <w:r>
        <w:rPr>
          <w:rFonts w:ascii="宋体" w:hAnsi="宋体" w:cs="宋体" w:eastAsia="宋体" w:hint="default"/>
        </w:rPr>
        <w:t>1</w:t>
      </w:r>
      <w:r>
        <w:rPr/>
        <w:t>）立即启动应急预案，各应急小组按照职责实施组织人员进行疏散、拉警戒线、封锁事故区域，无 关人员及车辆禁止进入等应急措施，如发生火灾则禁止使用电梯，并及时联系告知周边企业。</w:t>
      </w:r>
    </w:p>
    <w:p>
      <w:pPr>
        <w:pStyle w:val="BodyText"/>
        <w:spacing w:line="273" w:lineRule="auto"/>
        <w:ind w:right="1092" w:firstLine="420"/>
        <w:jc w:val="left"/>
      </w:pPr>
      <w:r>
        <w:rPr>
          <w:rFonts w:ascii="宋体" w:hAnsi="宋体" w:cs="宋体" w:eastAsia="宋体" w:hint="default"/>
        </w:rPr>
        <w:t>2</w:t>
      </w:r>
      <w:r>
        <w:rPr/>
        <w:t>）立即切断事故区域电源或火源，印刷间、化学品库、油墨间及危废暂存区等环境风险源处出现大 </w:t>
      </w:r>
      <w:r>
        <w:rPr>
          <w:spacing w:val="-1"/>
        </w:rPr>
        <w:t>量液体泄漏，立即采用围堤堵截覆盖、收容等方法，将大量泄漏物围堵在公司车间内部，如果有流出车间</w:t>
      </w:r>
      <w:r>
        <w:rPr>
          <w:spacing w:val="-86"/>
        </w:rPr>
        <w:t> </w:t>
      </w:r>
      <w:r>
        <w:rPr>
          <w:spacing w:val="-86"/>
        </w:rPr>
      </w:r>
      <w:r>
        <w:rPr>
          <w:spacing w:val="-1"/>
        </w:rPr>
        <w:t>的可能时，则需封堵厂区雨水排口，在厂区设置围堰，将泄漏物国堵在厂区内部；如果发生火灾且火势难</w:t>
      </w:r>
      <w:r>
        <w:rPr>
          <w:spacing w:val="-86"/>
        </w:rPr>
        <w:t> </w:t>
      </w:r>
      <w:r>
        <w:rPr>
          <w:spacing w:val="-86"/>
        </w:rPr>
      </w:r>
      <w:r>
        <w:rPr/>
        <w:t>以控制时，我公司应急救援队伍则立即调集所需物资和装备，组织救援力量等待政府应急教援力量到来；</w:t>
      </w:r>
    </w:p>
    <w:p>
      <w:pPr>
        <w:pStyle w:val="BodyText"/>
        <w:spacing w:line="273" w:lineRule="auto"/>
        <w:ind w:right="1117" w:firstLine="420"/>
        <w:jc w:val="left"/>
      </w:pPr>
      <w:r>
        <w:rPr>
          <w:rFonts w:ascii="宋体" w:hAnsi="宋体" w:cs="宋体" w:eastAsia="宋体" w:hint="default"/>
        </w:rPr>
        <w:t>3</w:t>
      </w:r>
      <w:r>
        <w:rPr/>
        <w:t>）事故受伤者就地隔离治疗，密切观察接触者，必要时请医院医生协助救治，由应急综合办公室负 </w:t>
      </w:r>
      <w:r>
        <w:rPr>
          <w:spacing w:val="-1"/>
        </w:rPr>
        <w:t>责联系。应急救援指挥中心视情况派出应急力量到达现场后，应急组织协助应急救援力量进行应急监测以</w:t>
      </w:r>
      <w:r>
        <w:rPr>
          <w:spacing w:val="-81"/>
        </w:rPr>
        <w:t> </w:t>
      </w:r>
      <w:r>
        <w:rPr>
          <w:spacing w:val="-81"/>
        </w:rPr>
      </w:r>
      <w:r>
        <w:rPr/>
        <w:t>及事故处置。</w:t>
      </w:r>
    </w:p>
    <w:p>
      <w:pPr>
        <w:pStyle w:val="BodyText"/>
        <w:spacing w:line="273" w:lineRule="auto"/>
        <w:ind w:left="574" w:right="7603"/>
        <w:jc w:val="left"/>
      </w:pPr>
      <w:r>
        <w:rPr>
          <w:rFonts w:ascii="宋体" w:hAnsi="宋体" w:cs="宋体" w:eastAsia="宋体" w:hint="default"/>
        </w:rPr>
        <w:t>4.2</w:t>
      </w:r>
      <w:r>
        <w:rPr>
          <w:rFonts w:ascii="宋体" w:hAnsi="宋体" w:cs="宋体" w:eastAsia="宋体" w:hint="default"/>
          <w:spacing w:val="-1"/>
        </w:rPr>
        <w:t> </w:t>
      </w:r>
      <w:r>
        <w:rPr/>
        <w:t>二级事件处量程序及措施 指挥调度程序：</w:t>
      </w:r>
    </w:p>
    <w:p>
      <w:pPr>
        <w:pStyle w:val="BodyText"/>
        <w:spacing w:line="273" w:lineRule="auto"/>
        <w:ind w:right="1117" w:firstLine="420"/>
        <w:jc w:val="left"/>
      </w:pPr>
      <w:r>
        <w:rPr>
          <w:spacing w:val="-1"/>
        </w:rPr>
        <w:t>当发生的环境污染事故级别为二级时，现场人员立即启动现场处置措施，并第一时间向应急指挥部报</w:t>
      </w:r>
      <w:r>
        <w:rPr/>
        <w:t> 告情况。应急指挥部组织应急力量进行现场支援，协助现场人员进行应急处置。</w:t>
      </w:r>
    </w:p>
    <w:p>
      <w:pPr>
        <w:pStyle w:val="BodyText"/>
        <w:spacing w:line="273" w:lineRule="auto"/>
        <w:ind w:left="574" w:right="1117"/>
        <w:jc w:val="left"/>
      </w:pPr>
      <w:r>
        <w:rPr/>
        <w:t>处置流程： </w:t>
      </w:r>
      <w:r>
        <w:rPr>
          <w:spacing w:val="-1"/>
        </w:rPr>
        <w:t>当发生的环境污染事故级别为二级时，根据应急指挥部指示，由现场人员按现场处置预案予以先期处</w:t>
      </w:r>
    </w:p>
    <w:p>
      <w:pPr>
        <w:pStyle w:val="BodyText"/>
        <w:spacing w:line="273" w:lineRule="auto"/>
        <w:ind w:left="574" w:right="1197" w:hanging="420"/>
        <w:jc w:val="left"/>
      </w:pPr>
      <w:r>
        <w:rPr/>
        <w:t>置，现场指挥部应维护好秩序，做好交通保障、人员疏散等各项工作： </w:t>
      </w:r>
      <w:r>
        <w:rPr>
          <w:rFonts w:ascii="宋体" w:hAnsi="宋体" w:cs="宋体" w:eastAsia="宋体" w:hint="default"/>
        </w:rPr>
        <w:t>1</w:t>
      </w:r>
      <w:r>
        <w:rPr/>
        <w:t>）印刷间、化学品库、油墨间及危废暂存区等环境风险源配备了相应的死火器材、消防沙、应急监</w:t>
      </w:r>
    </w:p>
    <w:p>
      <w:pPr>
        <w:pStyle w:val="BodyText"/>
        <w:spacing w:line="240" w:lineRule="auto"/>
        <w:ind w:right="0"/>
        <w:jc w:val="left"/>
      </w:pPr>
      <w:r>
        <w:rPr/>
        <w:t>测设备等，化学品等风险物质转运或使用过程中出现少量泄漏，立即用不可燃的吸收物质包容收集泄漏物</w:t>
      </w:r>
    </w:p>
    <w:p>
      <w:pPr>
        <w:pStyle w:val="BodyText"/>
        <w:spacing w:line="273" w:lineRule="auto" w:before="37"/>
        <w:ind w:right="1131"/>
        <w:jc w:val="both"/>
      </w:pPr>
      <w:r>
        <w:rPr>
          <w:spacing w:val="-1"/>
        </w:rPr>
        <w:t>（如沙子、泥土），并放置于容器中，作为危险废物处置；如果发生火情，但未造成大面积污染，立即在</w:t>
      </w:r>
      <w:r>
        <w:rPr>
          <w:spacing w:val="-85"/>
        </w:rPr>
        <w:t> </w:t>
      </w:r>
      <w:r>
        <w:rPr>
          <w:spacing w:val="-85"/>
        </w:rPr>
      </w:r>
      <w:r>
        <w:rPr>
          <w:spacing w:val="-1"/>
        </w:rPr>
        <w:t>事故区域构筑国堰，用消防器材进行灭火，并将产生的消防退水集中收集，根据水中污染物情况交由有资</w:t>
      </w:r>
      <w:r>
        <w:rPr>
          <w:spacing w:val="-83"/>
        </w:rPr>
        <w:t> </w:t>
      </w:r>
      <w:r>
        <w:rPr>
          <w:spacing w:val="-83"/>
        </w:rPr>
      </w:r>
      <w:r>
        <w:rPr/>
        <w:t>质单位处置。</w:t>
      </w:r>
    </w:p>
    <w:p>
      <w:pPr>
        <w:pStyle w:val="BodyText"/>
        <w:spacing w:line="240" w:lineRule="auto"/>
        <w:ind w:left="574" w:right="1117"/>
        <w:jc w:val="left"/>
      </w:pPr>
      <w:r>
        <w:rPr>
          <w:rFonts w:ascii="宋体" w:hAnsi="宋体" w:cs="宋体" w:eastAsia="宋体" w:hint="default"/>
        </w:rPr>
        <w:t>2</w:t>
      </w:r>
      <w:r>
        <w:rPr/>
        <w:t>）事件应急结束后，对现场隐患进行排查。</w:t>
      </w:r>
    </w:p>
    <w:p>
      <w:pPr>
        <w:pStyle w:val="BodyText"/>
        <w:spacing w:line="273" w:lineRule="auto" w:before="37"/>
        <w:ind w:left="574" w:right="8653"/>
        <w:jc w:val="left"/>
      </w:pPr>
      <w:r>
        <w:rPr>
          <w:rFonts w:ascii="宋体" w:hAnsi="宋体" w:cs="宋体" w:eastAsia="宋体" w:hint="default"/>
        </w:rPr>
        <w:t>4.3</w:t>
      </w:r>
      <w:r>
        <w:rPr>
          <w:rFonts w:ascii="宋体" w:hAnsi="宋体" w:cs="宋体" w:eastAsia="宋体" w:hint="default"/>
          <w:spacing w:val="-1"/>
        </w:rPr>
        <w:t> </w:t>
      </w:r>
      <w:r>
        <w:rPr/>
        <w:t>夜间处置措施 夜间处置流程：</w:t>
      </w:r>
    </w:p>
    <w:p>
      <w:pPr>
        <w:pStyle w:val="BodyText"/>
        <w:spacing w:line="273" w:lineRule="auto"/>
        <w:ind w:right="1117" w:firstLine="420"/>
        <w:jc w:val="left"/>
      </w:pPr>
      <w:r>
        <w:rPr>
          <w:spacing w:val="-1"/>
        </w:rPr>
        <w:t>由于夜间救援人员较少，值班人员较少，如发生突发环境事故立即通知直管领导或应急办公室，组织</w:t>
      </w:r>
      <w:r>
        <w:rPr/>
        <w:t> 值班人员采取应急措施，同时申请政府力量救援。</w:t>
      </w:r>
    </w:p>
    <w:p>
      <w:pPr>
        <w:pStyle w:val="BodyText"/>
        <w:spacing w:line="240" w:lineRule="auto"/>
        <w:ind w:left="574" w:right="1117"/>
        <w:jc w:val="left"/>
      </w:pPr>
      <w:r>
        <w:rPr>
          <w:rFonts w:ascii="宋体" w:hAnsi="宋体" w:cs="宋体" w:eastAsia="宋体" w:hint="default"/>
        </w:rPr>
        <w:t>4.4</w:t>
      </w:r>
      <w:r>
        <w:rPr>
          <w:rFonts w:ascii="宋体" w:hAnsi="宋体" w:cs="宋体" w:eastAsia="宋体" w:hint="default"/>
          <w:spacing w:val="-1"/>
        </w:rPr>
        <w:t> </w:t>
      </w:r>
      <w:r>
        <w:rPr/>
        <w:t>应急监测</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7" w:firstLine="420"/>
        <w:jc w:val="left"/>
      </w:pPr>
      <w:r>
        <w:rPr>
          <w:spacing w:val="-1"/>
        </w:rPr>
        <w:t>当发生环境污染事故后，我公司须及时报告环保局对事故现场大气污染情况、水污染情兄等环境因素</w:t>
      </w:r>
      <w:r>
        <w:rPr/>
        <w:t> 进行监测：</w:t>
      </w:r>
    </w:p>
    <w:p>
      <w:pPr>
        <w:pStyle w:val="BodyText"/>
        <w:spacing w:line="273" w:lineRule="auto"/>
        <w:ind w:right="1117" w:firstLine="420"/>
        <w:jc w:val="left"/>
      </w:pPr>
      <w:r>
        <w:rPr>
          <w:spacing w:val="-1"/>
        </w:rPr>
        <w:t>大气监测：在污染源上风向布一个监测点，在下风向、环境敏感点扇面布置多个监测点，进行采样监</w:t>
      </w:r>
      <w:r>
        <w:rPr/>
        <w:t> 测。</w:t>
      </w:r>
    </w:p>
    <w:p>
      <w:pPr>
        <w:pStyle w:val="BodyText"/>
        <w:spacing w:line="273" w:lineRule="auto" w:before="8"/>
        <w:ind w:left="574" w:right="3612"/>
        <w:jc w:val="left"/>
      </w:pPr>
      <w:r>
        <w:rPr/>
        <w:t>水监测：对不同的控制点和通往外环境排水口布点，不同时段采样分析。 环境自行监测方案</w:t>
      </w:r>
    </w:p>
    <w:p>
      <w:pPr>
        <w:pStyle w:val="BodyText"/>
        <w:spacing w:line="273" w:lineRule="auto"/>
        <w:ind w:left="574" w:right="1117"/>
        <w:jc w:val="left"/>
      </w:pPr>
      <w:r>
        <w:rPr>
          <w:rFonts w:ascii="宋体" w:hAnsi="宋体" w:cs="宋体" w:eastAsia="宋体" w:hint="default"/>
        </w:rPr>
        <w:t>1</w:t>
      </w:r>
      <w:r>
        <w:rPr/>
        <w:t>、监测评价标准 </w:t>
      </w:r>
      <w:r>
        <w:rPr>
          <w:spacing w:val="-1"/>
        </w:rPr>
        <w:t>根据北京经济技术开发区环境保护局《关于北京中科彩技术有限公司联机自动化柔性版印刷线高档防</w:t>
      </w:r>
    </w:p>
    <w:p>
      <w:pPr>
        <w:pStyle w:val="BodyText"/>
        <w:spacing w:line="273" w:lineRule="auto"/>
        <w:ind w:left="574" w:right="2562" w:hanging="420"/>
        <w:jc w:val="left"/>
      </w:pPr>
      <w:r>
        <w:rPr/>
        <w:t>伪印刷品生产基地项目（一期）竣工环境保护验收申请的批复》，本公司执行标准如下： </w:t>
      </w:r>
      <w:r>
        <w:rPr>
          <w:rFonts w:ascii="宋体" w:hAnsi="宋体" w:cs="宋体" w:eastAsia="宋体" w:hint="default"/>
        </w:rPr>
        <w:t>1.1</w:t>
      </w:r>
      <w:r>
        <w:rPr/>
        <w:t>废气和环境空气评价标准</w:t>
      </w:r>
    </w:p>
    <w:p>
      <w:pPr>
        <w:pStyle w:val="BodyText"/>
        <w:spacing w:line="273" w:lineRule="auto"/>
        <w:ind w:right="1132" w:firstLine="420"/>
        <w:jc w:val="left"/>
        <w:rPr>
          <w:rFonts w:ascii="宋体" w:hAnsi="宋体" w:cs="宋体" w:eastAsia="宋体" w:hint="default"/>
        </w:rPr>
      </w:pPr>
      <w:r>
        <w:rPr/>
        <w:t>排口 </w:t>
      </w:r>
      <w:r>
        <w:rPr>
          <w:rFonts w:ascii="宋体" w:hAnsi="宋体" w:cs="宋体" w:eastAsia="宋体" w:hint="default"/>
        </w:rPr>
        <w:t>T1</w:t>
      </w:r>
      <w:r>
        <w:rPr/>
        <w:t>、 </w:t>
      </w:r>
      <w:r>
        <w:rPr>
          <w:rFonts w:ascii="宋体" w:hAnsi="宋体" w:cs="宋体" w:eastAsia="宋体" w:hint="default"/>
        </w:rPr>
        <w:t>T4 </w:t>
      </w:r>
      <w:r>
        <w:rPr/>
        <w:t>废气，废气无组织排放 </w:t>
      </w:r>
      <w:r>
        <w:rPr>
          <w:rFonts w:ascii="宋体" w:hAnsi="宋体" w:cs="宋体" w:eastAsia="宋体" w:hint="default"/>
        </w:rPr>
        <w:t>W1-W7 </w:t>
      </w:r>
      <w:r>
        <w:rPr/>
        <w:t>执行</w:t>
      </w:r>
      <w:r>
        <w:rPr>
          <w:spacing w:val="-32"/>
        </w:rPr>
        <w:t> </w:t>
      </w:r>
      <w:r>
        <w:rPr>
          <w:rFonts w:ascii="宋体" w:hAnsi="宋体" w:cs="宋体" w:eastAsia="宋体" w:hint="default"/>
        </w:rPr>
        <w:t>DB11/501-2017</w:t>
      </w:r>
      <w:r>
        <w:rPr/>
        <w:t>《大气污染物综合排放标准》以及 </w:t>
      </w:r>
      <w:r>
        <w:rPr>
          <w:rFonts w:ascii="宋体" w:hAnsi="宋体" w:cs="宋体" w:eastAsia="宋体" w:hint="default"/>
        </w:rPr>
        <w:t>DB11/501-2017</w:t>
      </w:r>
      <w:r>
        <w:rPr/>
        <w:t>《大气污染物综合排放标准》以及 </w:t>
      </w:r>
      <w:r>
        <w:rPr>
          <w:rFonts w:ascii="宋体" w:hAnsi="宋体" w:cs="宋体" w:eastAsia="宋体" w:hint="default"/>
        </w:rPr>
        <w:t>DB11/</w:t>
      </w:r>
      <w:r>
        <w:rPr>
          <w:rFonts w:ascii="宋体" w:hAnsi="宋体" w:cs="宋体" w:eastAsia="宋体" w:hint="default"/>
          <w:spacing w:val="-4"/>
        </w:rPr>
        <w:t> </w:t>
      </w:r>
      <w:r>
        <w:rPr>
          <w:rFonts w:ascii="宋体" w:hAnsi="宋体" w:cs="宋体" w:eastAsia="宋体" w:hint="default"/>
        </w:rPr>
        <w:t>1201-2015</w:t>
      </w:r>
      <w:r>
        <w:rPr/>
        <w:t>《印刷业挥发性有机物排放标准》中 Ⅱ时段标准</w:t>
      </w:r>
      <w:r>
        <w:rPr>
          <w:rFonts w:ascii="宋体" w:hAnsi="宋体" w:cs="宋体" w:eastAsia="宋体" w:hint="default"/>
        </w:rPr>
        <w:t>.</w:t>
      </w:r>
    </w:p>
    <w:p>
      <w:pPr>
        <w:pStyle w:val="BodyText"/>
        <w:spacing w:line="240" w:lineRule="auto"/>
        <w:ind w:left="574" w:right="1117"/>
        <w:jc w:val="left"/>
      </w:pPr>
      <w:r>
        <w:rPr>
          <w:rFonts w:ascii="宋体" w:hAnsi="宋体" w:cs="宋体" w:eastAsia="宋体" w:hint="default"/>
        </w:rPr>
        <w:t>1.2</w:t>
      </w:r>
      <w:r>
        <w:rPr/>
        <w:t>废水和水环境评价标准</w:t>
      </w:r>
    </w:p>
    <w:p>
      <w:pPr>
        <w:pStyle w:val="BodyText"/>
        <w:spacing w:line="273" w:lineRule="auto" w:before="37"/>
        <w:ind w:right="1203" w:firstLine="420"/>
        <w:jc w:val="left"/>
        <w:rPr>
          <w:rFonts w:ascii="宋体" w:hAnsi="宋体" w:cs="宋体" w:eastAsia="宋体" w:hint="default"/>
        </w:rPr>
      </w:pPr>
      <w:r>
        <w:rPr/>
        <w:t>排口 </w:t>
      </w:r>
      <w:r>
        <w:rPr>
          <w:rFonts w:ascii="宋体" w:hAnsi="宋体" w:cs="宋体" w:eastAsia="宋体" w:hint="default"/>
        </w:rPr>
        <w:t>S </w:t>
      </w:r>
      <w:r>
        <w:rPr/>
        <w:t>废水执行 </w:t>
      </w:r>
      <w:r>
        <w:rPr>
          <w:rFonts w:ascii="宋体" w:hAnsi="宋体" w:cs="宋体" w:eastAsia="宋体" w:hint="default"/>
        </w:rPr>
        <w:t>DB11/ 307-2013</w:t>
      </w:r>
      <w:r>
        <w:rPr>
          <w:rFonts w:ascii="宋体" w:hAnsi="宋体" w:cs="宋体" w:eastAsia="宋体" w:hint="default"/>
          <w:spacing w:val="-6"/>
        </w:rPr>
        <w:t> </w:t>
      </w:r>
      <w:r>
        <w:rPr/>
        <w:t>《水污染物综合排放标准》中排入公共污水处理系统的水污染物 排放限值标准</w:t>
      </w:r>
      <w:r>
        <w:rPr>
          <w:rFonts w:ascii="宋体" w:hAnsi="宋体" w:cs="宋体" w:eastAsia="宋体" w:hint="default"/>
        </w:rPr>
        <w:t>.</w:t>
      </w:r>
    </w:p>
    <w:p>
      <w:pPr>
        <w:pStyle w:val="BodyText"/>
        <w:spacing w:line="240" w:lineRule="auto"/>
        <w:ind w:left="574" w:right="1117"/>
        <w:jc w:val="left"/>
      </w:pPr>
      <w:r>
        <w:rPr>
          <w:rFonts w:ascii="宋体" w:hAnsi="宋体" w:cs="宋体" w:eastAsia="宋体" w:hint="default"/>
        </w:rPr>
        <w:t>1.3</w:t>
      </w:r>
      <w:r>
        <w:rPr/>
        <w:t>噪声评价标准</w:t>
      </w:r>
    </w:p>
    <w:p>
      <w:pPr>
        <w:pStyle w:val="BodyText"/>
        <w:spacing w:line="273" w:lineRule="auto" w:before="37"/>
        <w:ind w:left="574" w:right="2882"/>
        <w:jc w:val="left"/>
      </w:pPr>
      <w:r>
        <w:rPr/>
        <w:t>厂界噪声执行 </w:t>
      </w:r>
      <w:r>
        <w:rPr>
          <w:rFonts w:ascii="宋体" w:hAnsi="宋体" w:cs="宋体" w:eastAsia="宋体" w:hint="default"/>
        </w:rPr>
        <w:t>GB 12348-2008 </w:t>
      </w:r>
      <w:r>
        <w:rPr/>
        <w:t>《工业企业厂界环境噪声排放标准》中 </w:t>
      </w:r>
      <w:r>
        <w:rPr>
          <w:rFonts w:ascii="宋体" w:hAnsi="宋体" w:cs="宋体" w:eastAsia="宋体" w:hint="default"/>
        </w:rPr>
        <w:t>3</w:t>
      </w:r>
      <w:r>
        <w:rPr>
          <w:rFonts w:ascii="宋体" w:hAnsi="宋体" w:cs="宋体" w:eastAsia="宋体" w:hint="default"/>
          <w:spacing w:val="-5"/>
        </w:rPr>
        <w:t> </w:t>
      </w:r>
      <w:r>
        <w:rPr/>
        <w:t>类标准</w:t>
      </w:r>
      <w:r>
        <w:rPr>
          <w:rFonts w:ascii="宋体" w:hAnsi="宋体" w:cs="宋体" w:eastAsia="宋体" w:hint="default"/>
        </w:rPr>
        <w:t>. 2</w:t>
      </w:r>
      <w:r>
        <w:rPr/>
        <w:t>、监测方法及监测质量控制</w:t>
      </w:r>
    </w:p>
    <w:p>
      <w:pPr>
        <w:pStyle w:val="BodyText"/>
        <w:spacing w:line="273" w:lineRule="auto"/>
        <w:ind w:left="574" w:right="1117"/>
        <w:jc w:val="left"/>
      </w:pPr>
      <w:r>
        <w:rPr>
          <w:rFonts w:ascii="宋体" w:hAnsi="宋体" w:cs="宋体" w:eastAsia="宋体" w:hint="default"/>
        </w:rPr>
        <w:t>2.1</w:t>
      </w:r>
      <w:r>
        <w:rPr/>
        <w:t>手工监测 </w:t>
      </w:r>
      <w:r>
        <w:rPr>
          <w:spacing w:val="-1"/>
        </w:rPr>
        <w:t>各类污染物采用国家和北京市相关污染物排放标准、现行的环境保护部发布的国家或行业环境监测方</w:t>
      </w:r>
    </w:p>
    <w:p>
      <w:pPr>
        <w:pStyle w:val="BodyText"/>
        <w:spacing w:line="273" w:lineRule="auto"/>
        <w:ind w:left="574" w:right="1117" w:hanging="420"/>
        <w:jc w:val="left"/>
      </w:pPr>
      <w:r>
        <w:rPr/>
        <w:t>法标准和技术规范规定的监测方法开展监测。 </w:t>
      </w:r>
      <w:r>
        <w:rPr>
          <w:spacing w:val="-1"/>
        </w:rPr>
        <w:t>北京中科彩技术有限公司委托有资质的社会化监测机构开展监测，明确监测质量控制要求，确保监测</w:t>
      </w:r>
    </w:p>
    <w:p>
      <w:pPr>
        <w:pStyle w:val="BodyText"/>
        <w:spacing w:line="240" w:lineRule="auto"/>
        <w:ind w:right="1117"/>
        <w:jc w:val="left"/>
      </w:pPr>
      <w:r>
        <w:rPr/>
        <w:t>数据准确。手工监测方法及仪器设备详见下表。</w:t>
      </w:r>
    </w:p>
    <w:p>
      <w:pPr>
        <w:pStyle w:val="BodyText"/>
        <w:spacing w:line="240" w:lineRule="auto" w:before="37"/>
        <w:ind w:left="3608" w:right="1117"/>
        <w:jc w:val="left"/>
      </w:pPr>
      <w:r>
        <w:rPr/>
        <w:t>污染物监测方法及使用仪器一览表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711"/>
        <w:gridCol w:w="850"/>
        <w:gridCol w:w="1276"/>
        <w:gridCol w:w="2702"/>
        <w:gridCol w:w="844"/>
        <w:gridCol w:w="1517"/>
        <w:gridCol w:w="1276"/>
      </w:tblGrid>
      <w:tr>
        <w:trPr>
          <w:trHeight w:val="659"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6"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监测项目</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采样方法</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13" w:right="0"/>
              <w:jc w:val="left"/>
              <w:rPr>
                <w:rFonts w:ascii="宋体" w:hAnsi="宋体" w:cs="宋体" w:eastAsia="宋体" w:hint="default"/>
                <w:sz w:val="18"/>
                <w:szCs w:val="18"/>
              </w:rPr>
            </w:pPr>
            <w:r>
              <w:rPr>
                <w:rFonts w:ascii="宋体" w:hAnsi="宋体" w:cs="宋体" w:eastAsia="宋体" w:hint="default"/>
                <w:sz w:val="18"/>
                <w:szCs w:val="18"/>
              </w:rPr>
              <w:t>监测方法及依据</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5" w:right="0"/>
              <w:jc w:val="left"/>
              <w:rPr>
                <w:rFonts w:ascii="宋体" w:hAnsi="宋体" w:cs="宋体" w:eastAsia="宋体" w:hint="default"/>
                <w:sz w:val="18"/>
                <w:szCs w:val="18"/>
              </w:rPr>
            </w:pPr>
            <w:r>
              <w:rPr>
                <w:rFonts w:ascii="宋体" w:hAnsi="宋体" w:cs="宋体" w:eastAsia="宋体" w:hint="default"/>
                <w:sz w:val="18"/>
                <w:szCs w:val="18"/>
              </w:rPr>
              <w:t>检出限</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61" w:right="29" w:hanging="631"/>
              <w:jc w:val="left"/>
              <w:rPr>
                <w:rFonts w:ascii="宋体" w:hAnsi="宋体" w:cs="宋体" w:eastAsia="宋体" w:hint="default"/>
                <w:sz w:val="18"/>
                <w:szCs w:val="18"/>
              </w:rPr>
            </w:pPr>
            <w:r>
              <w:rPr>
                <w:rFonts w:ascii="宋体" w:hAnsi="宋体" w:cs="宋体" w:eastAsia="宋体" w:hint="default"/>
                <w:sz w:val="18"/>
                <w:szCs w:val="18"/>
              </w:rPr>
              <w:t>仪器设备名称和型 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71" w:hRule="exact"/>
        </w:trPr>
        <w:tc>
          <w:tcPr>
            <w:tcW w:w="711" w:type="dxa"/>
            <w:vMerge w:val="restart"/>
            <w:tcBorders>
              <w:top w:val="single" w:sz="6" w:space="0" w:color="000000"/>
              <w:left w:val="single" w:sz="6" w:space="0" w:color="000000"/>
              <w:right w:val="single" w:sz="6" w:space="0" w:color="000000"/>
            </w:tcBorders>
          </w:tcPr>
          <w:p>
            <w:pPr>
              <w:pStyle w:val="TableParagraph"/>
              <w:spacing w:line="240" w:lineRule="auto" w:before="21"/>
              <w:ind w:left="166" w:right="0"/>
              <w:jc w:val="left"/>
              <w:rPr>
                <w:rFonts w:ascii="宋体" w:hAnsi="宋体" w:cs="宋体" w:eastAsia="宋体" w:hint="default"/>
                <w:sz w:val="18"/>
                <w:szCs w:val="18"/>
              </w:rPr>
            </w:pPr>
            <w:r>
              <w:rPr>
                <w:rFonts w:ascii="宋体" w:hAnsi="宋体" w:cs="宋体" w:eastAsia="宋体" w:hint="default"/>
                <w:sz w:val="18"/>
                <w:szCs w:val="18"/>
              </w:rPr>
              <w:t>废气</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二氧化硫</w:t>
            </w:r>
          </w:p>
        </w:tc>
        <w:tc>
          <w:tcPr>
            <w:tcW w:w="1276" w:type="dxa"/>
            <w:vMerge w:val="restart"/>
            <w:tcBorders>
              <w:top w:val="single" w:sz="6" w:space="0" w:color="000000"/>
              <w:left w:val="single" w:sz="6" w:space="0" w:color="000000"/>
              <w:right w:val="single" w:sz="6" w:space="0" w:color="000000"/>
            </w:tcBorders>
          </w:tcPr>
          <w:p>
            <w:pPr>
              <w:pStyle w:val="TableParagraph"/>
              <w:spacing w:line="316" w:lineRule="auto" w:before="21"/>
              <w:ind w:left="89" w:right="89" w:firstLine="360"/>
              <w:jc w:val="left"/>
              <w:rPr>
                <w:rFonts w:ascii="宋体" w:hAnsi="宋体" w:cs="宋体" w:eastAsia="宋体" w:hint="default"/>
                <w:sz w:val="18"/>
                <w:szCs w:val="18"/>
              </w:rPr>
            </w:pPr>
            <w:r>
              <w:rPr>
                <w:rFonts w:ascii="宋体" w:hAnsi="宋体" w:cs="宋体" w:eastAsia="宋体" w:hint="default"/>
                <w:sz w:val="18"/>
                <w:szCs w:val="18"/>
              </w:rPr>
              <w:t>GB/T 16157-1996</w:t>
            </w:r>
            <w:r>
              <w:rPr>
                <w:rFonts w:ascii="宋体" w:hAnsi="宋体" w:cs="宋体" w:eastAsia="宋体" w:hint="default"/>
                <w:sz w:val="18"/>
                <w:szCs w:val="18"/>
              </w:rPr>
              <w:t>固</w:t>
            </w:r>
          </w:p>
          <w:p>
            <w:pPr>
              <w:pStyle w:val="TableParagraph"/>
              <w:spacing w:line="316" w:lineRule="auto" w:before="19"/>
              <w:ind w:left="89" w:right="89"/>
              <w:jc w:val="center"/>
              <w:rPr>
                <w:rFonts w:ascii="宋体" w:hAnsi="宋体" w:cs="宋体" w:eastAsia="宋体" w:hint="default"/>
                <w:sz w:val="18"/>
                <w:szCs w:val="18"/>
              </w:rPr>
            </w:pPr>
            <w:r>
              <w:rPr>
                <w:rFonts w:ascii="宋体" w:hAnsi="宋体" w:cs="宋体" w:eastAsia="宋体" w:hint="default"/>
                <w:sz w:val="18"/>
                <w:szCs w:val="18"/>
              </w:rPr>
              <w:t>定污染源排气 中颗粒物和气 态污染物采样 方法</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HJ/T 397-2007</w:t>
            </w:r>
          </w:p>
          <w:p>
            <w:pPr>
              <w:pStyle w:val="TableParagraph"/>
              <w:spacing w:line="316" w:lineRule="auto" w:before="76"/>
              <w:ind w:left="89" w:right="89"/>
              <w:jc w:val="center"/>
              <w:rPr>
                <w:rFonts w:ascii="宋体" w:hAnsi="宋体" w:cs="宋体" w:eastAsia="宋体" w:hint="default"/>
                <w:sz w:val="18"/>
                <w:szCs w:val="18"/>
              </w:rPr>
            </w:pPr>
            <w:r>
              <w:rPr>
                <w:rFonts w:ascii="宋体" w:hAnsi="宋体" w:cs="宋体" w:eastAsia="宋体" w:hint="default"/>
                <w:sz w:val="18"/>
                <w:szCs w:val="18"/>
              </w:rPr>
              <w:t>固定源废气监 测技术规范</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HJ 732-2014</w:t>
            </w:r>
            <w:r>
              <w:rPr>
                <w:rFonts w:ascii="宋体" w:hAnsi="宋体" w:cs="宋体" w:eastAsia="宋体" w:hint="default"/>
                <w:spacing w:val="-4"/>
                <w:sz w:val="18"/>
                <w:szCs w:val="18"/>
              </w:rPr>
              <w:t> </w:t>
            </w:r>
            <w:r>
              <w:rPr>
                <w:rFonts w:ascii="宋体" w:hAnsi="宋体" w:cs="宋体" w:eastAsia="宋体" w:hint="default"/>
                <w:sz w:val="18"/>
                <w:szCs w:val="18"/>
              </w:rPr>
              <w:t>固</w:t>
            </w:r>
          </w:p>
          <w:p>
            <w:pPr>
              <w:pStyle w:val="TableParagraph"/>
              <w:spacing w:line="319" w:lineRule="auto" w:before="76"/>
              <w:ind w:left="45" w:right="43" w:firstLine="44"/>
              <w:jc w:val="both"/>
              <w:rPr>
                <w:rFonts w:ascii="宋体" w:hAnsi="宋体" w:cs="宋体" w:eastAsia="宋体" w:hint="default"/>
                <w:sz w:val="18"/>
                <w:szCs w:val="18"/>
              </w:rPr>
            </w:pPr>
            <w:r>
              <w:rPr>
                <w:rFonts w:ascii="宋体" w:hAnsi="宋体" w:cs="宋体" w:eastAsia="宋体" w:hint="default"/>
                <w:sz w:val="18"/>
                <w:szCs w:val="18"/>
              </w:rPr>
              <w:t>定污染源废气 挥发性有机物 的采样 气袋法</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 w:right="36"/>
              <w:jc w:val="center"/>
              <w:rPr>
                <w:rFonts w:ascii="宋体" w:hAnsi="宋体" w:cs="宋体" w:eastAsia="宋体" w:hint="default"/>
                <w:sz w:val="18"/>
                <w:szCs w:val="18"/>
              </w:rPr>
            </w:pPr>
            <w:r>
              <w:rPr>
                <w:rFonts w:ascii="宋体" w:hAnsi="宋体" w:cs="宋体" w:eastAsia="宋体" w:hint="default"/>
                <w:sz w:val="18"/>
                <w:szCs w:val="18"/>
              </w:rPr>
              <w:t>HJ 482-2009 </w:t>
            </w:r>
            <w:r>
              <w:rPr>
                <w:rFonts w:ascii="宋体" w:hAnsi="宋体" w:cs="宋体" w:eastAsia="宋体" w:hint="default"/>
                <w:sz w:val="18"/>
                <w:szCs w:val="18"/>
              </w:rPr>
              <w:t>环境空气 二氧化硫 的测定 甲醛缓冲溶液吸收</w:t>
            </w:r>
            <w:r>
              <w:rPr>
                <w:rFonts w:ascii="宋体" w:hAnsi="宋体" w:cs="宋体" w:eastAsia="宋体" w:hint="default"/>
                <w:sz w:val="18"/>
                <w:szCs w:val="18"/>
              </w:rPr>
              <w:t>-</w:t>
            </w:r>
            <w:r>
              <w:rPr>
                <w:rFonts w:ascii="宋体" w:hAnsi="宋体" w:cs="宋体" w:eastAsia="宋体" w:hint="default"/>
                <w:sz w:val="18"/>
                <w:szCs w:val="18"/>
              </w:rPr>
              <w:t>盐酸 副玫瑰苯胺分光光度法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9" w:right="0"/>
              <w:jc w:val="left"/>
              <w:rPr>
                <w:rFonts w:ascii="宋体" w:hAnsi="宋体" w:cs="宋体" w:eastAsia="宋体" w:hint="default"/>
                <w:sz w:val="18"/>
                <w:szCs w:val="18"/>
              </w:rPr>
            </w:pPr>
            <w:r>
              <w:rPr>
                <w:rFonts w:ascii="宋体"/>
                <w:sz w:val="18"/>
              </w:rPr>
              <w:t>0.004</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mg/m3</w:t>
            </w:r>
          </w:p>
        </w:tc>
        <w:tc>
          <w:tcPr>
            <w:tcW w:w="1517" w:type="dxa"/>
            <w:vMerge w:val="restart"/>
            <w:tcBorders>
              <w:top w:val="single" w:sz="6" w:space="0" w:color="000000"/>
              <w:left w:val="single" w:sz="6" w:space="0" w:color="000000"/>
              <w:right w:val="single" w:sz="6" w:space="0" w:color="000000"/>
            </w:tcBorders>
          </w:tcPr>
          <w:p>
            <w:pPr>
              <w:pStyle w:val="TableParagraph"/>
              <w:spacing w:line="316" w:lineRule="auto" w:before="21"/>
              <w:ind w:left="31" w:right="29"/>
              <w:jc w:val="center"/>
              <w:rPr>
                <w:rFonts w:ascii="宋体" w:hAnsi="宋体" w:cs="宋体" w:eastAsia="宋体" w:hint="default"/>
                <w:sz w:val="18"/>
                <w:szCs w:val="18"/>
              </w:rPr>
            </w:pPr>
            <w:r>
              <w:rPr>
                <w:rFonts w:ascii="宋体" w:hAnsi="宋体" w:cs="宋体" w:eastAsia="宋体" w:hint="default"/>
                <w:sz w:val="18"/>
                <w:szCs w:val="18"/>
              </w:rPr>
              <w:t>崂应</w:t>
            </w:r>
            <w:r>
              <w:rPr>
                <w:rFonts w:ascii="宋体" w:hAnsi="宋体" w:cs="宋体" w:eastAsia="宋体" w:hint="default"/>
                <w:sz w:val="18"/>
                <w:szCs w:val="18"/>
              </w:rPr>
              <w:t>3012(08</w:t>
            </w:r>
            <w:r>
              <w:rPr>
                <w:rFonts w:ascii="宋体" w:hAnsi="宋体" w:cs="宋体" w:eastAsia="宋体" w:hint="default"/>
                <w:sz w:val="18"/>
                <w:szCs w:val="18"/>
              </w:rPr>
              <w:t>代</w:t>
            </w:r>
            <w:r>
              <w:rPr>
                <w:rFonts w:ascii="宋体" w:hAnsi="宋体" w:cs="宋体" w:eastAsia="宋体" w:hint="default"/>
                <w:sz w:val="18"/>
                <w:szCs w:val="18"/>
              </w:rPr>
              <w:t>)</w:t>
            </w:r>
            <w:r>
              <w:rPr>
                <w:rFonts w:ascii="宋体" w:hAnsi="宋体" w:cs="宋体" w:eastAsia="宋体" w:hint="default"/>
                <w:sz w:val="18"/>
                <w:szCs w:val="18"/>
              </w:rPr>
              <w:t>自 动烟尘</w:t>
            </w:r>
            <w:r>
              <w:rPr>
                <w:rFonts w:ascii="宋体" w:hAnsi="宋体" w:cs="宋体" w:eastAsia="宋体" w:hint="default"/>
                <w:sz w:val="18"/>
                <w:szCs w:val="18"/>
              </w:rPr>
              <w:t>(</w:t>
            </w:r>
            <w:r>
              <w:rPr>
                <w:rFonts w:ascii="宋体" w:hAnsi="宋体" w:cs="宋体" w:eastAsia="宋体" w:hint="default"/>
                <w:sz w:val="18"/>
                <w:szCs w:val="18"/>
              </w:rPr>
              <w:t>气</w:t>
            </w:r>
            <w:r>
              <w:rPr>
                <w:rFonts w:ascii="宋体" w:hAnsi="宋体" w:cs="宋体" w:eastAsia="宋体" w:hint="default"/>
                <w:sz w:val="18"/>
                <w:szCs w:val="18"/>
              </w:rPr>
              <w:t>)</w:t>
            </w:r>
            <w:r>
              <w:rPr>
                <w:rFonts w:ascii="宋体" w:hAnsi="宋体" w:cs="宋体" w:eastAsia="宋体" w:hint="default"/>
                <w:sz w:val="18"/>
                <w:szCs w:val="18"/>
              </w:rPr>
              <w:t>测试仪 崂应</w:t>
            </w:r>
            <w:r>
              <w:rPr>
                <w:rFonts w:ascii="宋体" w:hAnsi="宋体" w:cs="宋体" w:eastAsia="宋体" w:hint="default"/>
                <w:sz w:val="18"/>
                <w:szCs w:val="18"/>
              </w:rPr>
              <w:t>3072</w:t>
            </w:r>
            <w:r>
              <w:rPr>
                <w:rFonts w:ascii="宋体" w:hAnsi="宋体" w:cs="宋体" w:eastAsia="宋体" w:hint="default"/>
                <w:sz w:val="18"/>
                <w:szCs w:val="18"/>
              </w:rPr>
              <w:t>智能双路 烟气采样器</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31" w:right="29"/>
              <w:jc w:val="center"/>
              <w:rPr>
                <w:rFonts w:ascii="宋体" w:hAnsi="宋体" w:cs="宋体" w:eastAsia="宋体" w:hint="default"/>
                <w:sz w:val="18"/>
                <w:szCs w:val="18"/>
              </w:rPr>
            </w:pPr>
            <w:r>
              <w:rPr>
                <w:rFonts w:ascii="宋体" w:hAnsi="宋体" w:cs="宋体" w:eastAsia="宋体" w:hint="default"/>
                <w:sz w:val="18"/>
                <w:szCs w:val="18"/>
              </w:rPr>
              <w:t>岛津</w:t>
            </w:r>
            <w:r>
              <w:rPr>
                <w:rFonts w:ascii="宋体" w:hAnsi="宋体" w:cs="宋体" w:eastAsia="宋体" w:hint="default"/>
                <w:sz w:val="18"/>
                <w:szCs w:val="18"/>
              </w:rPr>
              <w:t>1800</w:t>
            </w:r>
            <w:r>
              <w:rPr>
                <w:rFonts w:ascii="宋体" w:hAnsi="宋体" w:cs="宋体" w:eastAsia="宋体" w:hint="default"/>
                <w:sz w:val="18"/>
                <w:szCs w:val="18"/>
              </w:rPr>
              <w:t>紫外分光 光度计</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安捷伦</w:t>
            </w:r>
            <w:r>
              <w:rPr>
                <w:rFonts w:ascii="宋体" w:hAnsi="宋体" w:cs="宋体" w:eastAsia="宋体" w:hint="default"/>
                <w:sz w:val="18"/>
                <w:szCs w:val="18"/>
              </w:rPr>
              <w:t>7890A</w:t>
            </w:r>
            <w:r>
              <w:rPr>
                <w:rFonts w:ascii="宋体" w:hAnsi="宋体" w:cs="宋体" w:eastAsia="宋体" w:hint="default"/>
                <w:sz w:val="18"/>
                <w:szCs w:val="18"/>
              </w:rPr>
              <w:t>气相 色谱仪</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赛默飞</w:t>
            </w:r>
            <w:r>
              <w:rPr>
                <w:rFonts w:ascii="宋体" w:hAnsi="宋体" w:cs="宋体" w:eastAsia="宋体" w:hint="default"/>
                <w:sz w:val="18"/>
                <w:szCs w:val="18"/>
              </w:rPr>
              <w:t>ISQ</w:t>
            </w:r>
            <w:r>
              <w:rPr>
                <w:rFonts w:ascii="宋体" w:hAnsi="宋体" w:cs="宋体" w:eastAsia="宋体" w:hint="default"/>
                <w:sz w:val="18"/>
                <w:szCs w:val="18"/>
              </w:rPr>
              <w:t>型气质 联用仪</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31" w:right="29"/>
              <w:jc w:val="center"/>
              <w:rPr>
                <w:rFonts w:ascii="宋体" w:hAnsi="宋体" w:cs="宋体" w:eastAsia="宋体" w:hint="default"/>
                <w:sz w:val="18"/>
                <w:szCs w:val="18"/>
              </w:rPr>
            </w:pPr>
            <w:r>
              <w:rPr>
                <w:rFonts w:ascii="宋体" w:hAnsi="宋体" w:cs="宋体" w:eastAsia="宋体" w:hint="default"/>
                <w:sz w:val="18"/>
                <w:szCs w:val="18"/>
              </w:rPr>
              <w:t>岛津</w:t>
            </w:r>
            <w:r>
              <w:rPr>
                <w:rFonts w:ascii="宋体" w:hAnsi="宋体" w:cs="宋体" w:eastAsia="宋体" w:hint="default"/>
                <w:sz w:val="18"/>
                <w:szCs w:val="18"/>
              </w:rPr>
              <w:t>GC-2014C</w:t>
            </w:r>
            <w:r>
              <w:rPr>
                <w:rFonts w:ascii="宋体" w:hAnsi="宋体" w:cs="宋体" w:eastAsia="宋体" w:hint="default"/>
                <w:sz w:val="18"/>
                <w:szCs w:val="18"/>
              </w:rPr>
              <w:t>型气 相色谱仪</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连续采样</w:t>
            </w:r>
          </w:p>
        </w:tc>
      </w:tr>
      <w:tr>
        <w:trPr>
          <w:trHeight w:val="971"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氮氧化物</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 w:right="36"/>
              <w:jc w:val="center"/>
              <w:rPr>
                <w:rFonts w:ascii="宋体" w:hAnsi="宋体" w:cs="宋体" w:eastAsia="宋体" w:hint="default"/>
                <w:sz w:val="18"/>
                <w:szCs w:val="18"/>
              </w:rPr>
            </w:pPr>
            <w:r>
              <w:rPr>
                <w:rFonts w:ascii="宋体" w:hAnsi="宋体" w:cs="宋体" w:eastAsia="宋体" w:hint="default"/>
                <w:sz w:val="18"/>
                <w:szCs w:val="18"/>
              </w:rPr>
              <w:t>HJ/T 43-1999 </w:t>
            </w:r>
            <w:r>
              <w:rPr>
                <w:rFonts w:ascii="宋体" w:hAnsi="宋体" w:cs="宋体" w:eastAsia="宋体" w:hint="default"/>
                <w:sz w:val="18"/>
                <w:szCs w:val="18"/>
              </w:rPr>
              <w:t>固定污染源排气中 氮氧化物的测定 盐酸萘乙二胺分 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9" w:right="0"/>
              <w:jc w:val="left"/>
              <w:rPr>
                <w:rFonts w:ascii="宋体" w:hAnsi="宋体" w:cs="宋体" w:eastAsia="宋体" w:hint="default"/>
                <w:sz w:val="18"/>
                <w:szCs w:val="18"/>
              </w:rPr>
            </w:pPr>
            <w:r>
              <w:rPr>
                <w:rFonts w:ascii="宋体"/>
                <w:sz w:val="18"/>
              </w:rPr>
              <w:t>0.003</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mg/m3</w:t>
            </w:r>
          </w:p>
        </w:tc>
        <w:tc>
          <w:tcPr>
            <w:tcW w:w="1517" w:type="dxa"/>
            <w:vMerge/>
            <w:tcBorders>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连续采样</w:t>
            </w:r>
          </w:p>
        </w:tc>
      </w:tr>
      <w:tr>
        <w:trPr>
          <w:trHeight w:val="1908"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苯</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 w:right="36"/>
              <w:jc w:val="center"/>
              <w:rPr>
                <w:rFonts w:ascii="宋体" w:hAnsi="宋体" w:cs="宋体" w:eastAsia="宋体" w:hint="default"/>
                <w:sz w:val="18"/>
                <w:szCs w:val="18"/>
              </w:rPr>
            </w:pPr>
            <w:r>
              <w:rPr>
                <w:rFonts w:ascii="宋体" w:hAnsi="宋体" w:cs="宋体" w:eastAsia="宋体" w:hint="default"/>
                <w:sz w:val="18"/>
                <w:szCs w:val="18"/>
              </w:rPr>
              <w:t>HJ 584-2010 </w:t>
            </w:r>
            <w:r>
              <w:rPr>
                <w:rFonts w:ascii="宋体" w:hAnsi="宋体" w:cs="宋体" w:eastAsia="宋体" w:hint="default"/>
                <w:sz w:val="18"/>
                <w:szCs w:val="18"/>
              </w:rPr>
              <w:t>环境空气 苯系物的 测定 活性炭吸附二硫化碳解吸</w:t>
            </w:r>
            <w:r>
              <w:rPr>
                <w:rFonts w:ascii="宋体" w:hAnsi="宋体" w:cs="宋体" w:eastAsia="宋体" w:hint="default"/>
                <w:sz w:val="18"/>
                <w:szCs w:val="18"/>
              </w:rPr>
              <w:t>- </w:t>
            </w:r>
            <w:r>
              <w:rPr>
                <w:rFonts w:ascii="宋体" w:hAnsi="宋体" w:cs="宋体" w:eastAsia="宋体" w:hint="default"/>
                <w:sz w:val="18"/>
                <w:szCs w:val="18"/>
              </w:rPr>
              <w:t>气相色谱法</w:t>
            </w:r>
          </w:p>
          <w:p>
            <w:pPr>
              <w:pStyle w:val="TableParagraph"/>
              <w:spacing w:line="316" w:lineRule="auto" w:before="19"/>
              <w:ind w:left="38" w:right="36"/>
              <w:jc w:val="center"/>
              <w:rPr>
                <w:rFonts w:ascii="宋体" w:hAnsi="宋体" w:cs="宋体" w:eastAsia="宋体" w:hint="default"/>
                <w:sz w:val="18"/>
                <w:szCs w:val="18"/>
              </w:rPr>
            </w:pPr>
            <w:r>
              <w:rPr>
                <w:rFonts w:ascii="宋体" w:hAnsi="宋体" w:cs="宋体" w:eastAsia="宋体" w:hint="default"/>
                <w:sz w:val="18"/>
                <w:szCs w:val="18"/>
              </w:rPr>
              <w:t>HJ 734-2014 </w:t>
            </w:r>
            <w:r>
              <w:rPr>
                <w:rFonts w:ascii="宋体" w:hAnsi="宋体" w:cs="宋体" w:eastAsia="宋体" w:hint="default"/>
                <w:sz w:val="18"/>
                <w:szCs w:val="18"/>
              </w:rPr>
              <w:t>固定污染源废气 挥 发性有机物的测定 固相吸附</w:t>
            </w:r>
            <w:r>
              <w:rPr>
                <w:rFonts w:ascii="宋体" w:hAnsi="宋体" w:cs="宋体" w:eastAsia="宋体" w:hint="default"/>
                <w:sz w:val="18"/>
                <w:szCs w:val="18"/>
              </w:rPr>
              <w:t>-</w:t>
            </w:r>
            <w:r>
              <w:rPr>
                <w:rFonts w:ascii="宋体" w:hAnsi="宋体" w:cs="宋体" w:eastAsia="宋体" w:hint="default"/>
                <w:sz w:val="18"/>
                <w:szCs w:val="18"/>
              </w:rPr>
              <w:t>热 脱附</w:t>
            </w:r>
            <w:r>
              <w:rPr>
                <w:rFonts w:ascii="宋体" w:hAnsi="宋体" w:cs="宋体" w:eastAsia="宋体" w:hint="default"/>
                <w:sz w:val="18"/>
                <w:szCs w:val="18"/>
              </w:rPr>
              <w:t>/</w:t>
            </w:r>
            <w:r>
              <w:rPr>
                <w:rFonts w:ascii="宋体" w:hAnsi="宋体" w:cs="宋体" w:eastAsia="宋体" w:hint="default"/>
                <w:sz w:val="18"/>
                <w:szCs w:val="18"/>
              </w:rPr>
              <w:t>气相色谱</w:t>
            </w:r>
            <w:r>
              <w:rPr>
                <w:rFonts w:ascii="宋体" w:hAnsi="宋体" w:cs="宋体" w:eastAsia="宋体" w:hint="default"/>
                <w:sz w:val="18"/>
                <w:szCs w:val="18"/>
              </w:rPr>
              <w:t>-</w:t>
            </w:r>
            <w:r>
              <w:rPr>
                <w:rFonts w:ascii="宋体" w:hAnsi="宋体" w:cs="宋体" w:eastAsia="宋体" w:hint="default"/>
                <w:sz w:val="18"/>
                <w:szCs w:val="18"/>
              </w:rPr>
              <w:t>质谱法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5" w:right="0"/>
              <w:jc w:val="left"/>
              <w:rPr>
                <w:rFonts w:ascii="宋体" w:hAnsi="宋体" w:cs="宋体" w:eastAsia="宋体" w:hint="default"/>
                <w:sz w:val="18"/>
                <w:szCs w:val="18"/>
              </w:rPr>
            </w:pPr>
            <w:r>
              <w:rPr>
                <w:rFonts w:ascii="宋体"/>
                <w:sz w:val="18"/>
              </w:rPr>
              <w:t>0.0015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mg/m3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89" w:right="0"/>
              <w:jc w:val="left"/>
              <w:rPr>
                <w:rFonts w:ascii="宋体" w:hAnsi="宋体" w:cs="宋体" w:eastAsia="宋体" w:hint="default"/>
                <w:sz w:val="18"/>
                <w:szCs w:val="18"/>
              </w:rPr>
            </w:pPr>
            <w:r>
              <w:rPr>
                <w:rFonts w:ascii="宋体"/>
                <w:sz w:val="18"/>
              </w:rPr>
              <w:t>0.004</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mg/m3</w:t>
            </w:r>
          </w:p>
        </w:tc>
        <w:tc>
          <w:tcPr>
            <w:tcW w:w="1517" w:type="dxa"/>
            <w:vMerge/>
            <w:tcBorders>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连续采样</w:t>
            </w:r>
          </w:p>
        </w:tc>
      </w:tr>
      <w:tr>
        <w:trPr>
          <w:trHeight w:val="1595" w:hRule="exact"/>
        </w:trPr>
        <w:tc>
          <w:tcPr>
            <w:tcW w:w="711"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147" w:right="55" w:hanging="90"/>
              <w:jc w:val="left"/>
              <w:rPr>
                <w:rFonts w:ascii="宋体" w:hAnsi="宋体" w:cs="宋体" w:eastAsia="宋体" w:hint="default"/>
                <w:sz w:val="18"/>
                <w:szCs w:val="18"/>
              </w:rPr>
            </w:pPr>
            <w:r>
              <w:rPr>
                <w:rFonts w:ascii="宋体" w:hAnsi="宋体" w:cs="宋体" w:eastAsia="宋体" w:hint="default"/>
                <w:sz w:val="18"/>
                <w:szCs w:val="18"/>
              </w:rPr>
              <w:t>甲苯二甲 苯合计</w:t>
            </w:r>
          </w:p>
        </w:tc>
        <w:tc>
          <w:tcPr>
            <w:tcW w:w="1276" w:type="dxa"/>
            <w:vMerge/>
            <w:tcBorders>
              <w:left w:val="single" w:sz="6" w:space="0" w:color="000000"/>
              <w:bottom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8" w:right="36"/>
              <w:jc w:val="center"/>
              <w:rPr>
                <w:rFonts w:ascii="宋体" w:hAnsi="宋体" w:cs="宋体" w:eastAsia="宋体" w:hint="default"/>
                <w:sz w:val="18"/>
                <w:szCs w:val="18"/>
              </w:rPr>
            </w:pPr>
            <w:r>
              <w:rPr>
                <w:rFonts w:ascii="宋体" w:hAnsi="宋体" w:cs="宋体" w:eastAsia="宋体" w:hint="default"/>
                <w:sz w:val="18"/>
                <w:szCs w:val="18"/>
              </w:rPr>
              <w:t>HJ 584-2010 </w:t>
            </w:r>
            <w:r>
              <w:rPr>
                <w:rFonts w:ascii="宋体" w:hAnsi="宋体" w:cs="宋体" w:eastAsia="宋体" w:hint="default"/>
                <w:sz w:val="18"/>
                <w:szCs w:val="18"/>
              </w:rPr>
              <w:t>环境空气 苯系物的 测定 活性炭吸附二硫化碳解吸</w:t>
            </w:r>
            <w:r>
              <w:rPr>
                <w:rFonts w:ascii="宋体" w:hAnsi="宋体" w:cs="宋体" w:eastAsia="宋体" w:hint="default"/>
                <w:sz w:val="18"/>
                <w:szCs w:val="18"/>
              </w:rPr>
              <w:t>- </w:t>
            </w:r>
            <w:r>
              <w:rPr>
                <w:rFonts w:ascii="宋体" w:hAnsi="宋体" w:cs="宋体" w:eastAsia="宋体" w:hint="default"/>
                <w:sz w:val="18"/>
                <w:szCs w:val="18"/>
              </w:rPr>
              <w:t>气相色谱法</w:t>
            </w:r>
          </w:p>
          <w:p>
            <w:pPr>
              <w:pStyle w:val="TableParagraph"/>
              <w:spacing w:line="316" w:lineRule="auto" w:before="17"/>
              <w:ind w:left="38" w:right="36"/>
              <w:jc w:val="center"/>
              <w:rPr>
                <w:rFonts w:ascii="宋体" w:hAnsi="宋体" w:cs="宋体" w:eastAsia="宋体" w:hint="default"/>
                <w:sz w:val="18"/>
                <w:szCs w:val="18"/>
              </w:rPr>
            </w:pPr>
            <w:r>
              <w:rPr>
                <w:rFonts w:ascii="宋体" w:hAnsi="宋体" w:cs="宋体" w:eastAsia="宋体" w:hint="default"/>
                <w:sz w:val="18"/>
                <w:szCs w:val="18"/>
              </w:rPr>
              <w:t>HJ 734-2014 </w:t>
            </w:r>
            <w:r>
              <w:rPr>
                <w:rFonts w:ascii="宋体" w:hAnsi="宋体" w:cs="宋体" w:eastAsia="宋体" w:hint="default"/>
                <w:sz w:val="18"/>
                <w:szCs w:val="18"/>
              </w:rPr>
              <w:t>固定污染源废气 挥 发性有机物的测定 固相吸附</w:t>
            </w:r>
            <w:r>
              <w:rPr>
                <w:rFonts w:ascii="宋体" w:hAnsi="宋体" w:cs="宋体" w:eastAsia="宋体" w:hint="default"/>
                <w:sz w:val="18"/>
                <w:szCs w:val="18"/>
              </w:rPr>
              <w:t>-</w:t>
            </w:r>
            <w:r>
              <w:rPr>
                <w:rFonts w:ascii="宋体" w:hAnsi="宋体" w:cs="宋体" w:eastAsia="宋体" w:hint="default"/>
                <w:sz w:val="18"/>
                <w:szCs w:val="18"/>
              </w:rPr>
              <w:t>热</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5" w:right="0"/>
              <w:jc w:val="left"/>
              <w:rPr>
                <w:rFonts w:ascii="宋体" w:hAnsi="宋体" w:cs="宋体" w:eastAsia="宋体" w:hint="default"/>
                <w:sz w:val="18"/>
                <w:szCs w:val="18"/>
              </w:rPr>
            </w:pPr>
            <w:r>
              <w:rPr>
                <w:rFonts w:ascii="宋体"/>
                <w:sz w:val="18"/>
              </w:rPr>
              <w:t>0.0015</w:t>
            </w:r>
          </w:p>
          <w:p>
            <w:pPr>
              <w:pStyle w:val="TableParagraph"/>
              <w:spacing w:line="240" w:lineRule="auto" w:before="77"/>
              <w:ind w:left="189" w:right="0"/>
              <w:jc w:val="left"/>
              <w:rPr>
                <w:rFonts w:ascii="宋体" w:hAnsi="宋体" w:cs="宋体" w:eastAsia="宋体" w:hint="default"/>
                <w:sz w:val="18"/>
                <w:szCs w:val="18"/>
              </w:rPr>
            </w:pPr>
            <w:r>
              <w:rPr>
                <w:rFonts w:ascii="宋体"/>
                <w:sz w:val="18"/>
              </w:rPr>
              <w:t>mg/m3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89" w:right="0"/>
              <w:jc w:val="left"/>
              <w:rPr>
                <w:rFonts w:ascii="宋体" w:hAnsi="宋体" w:cs="宋体" w:eastAsia="宋体" w:hint="default"/>
                <w:sz w:val="18"/>
                <w:szCs w:val="18"/>
              </w:rPr>
            </w:pPr>
            <w:r>
              <w:rPr>
                <w:rFonts w:ascii="宋体"/>
                <w:sz w:val="18"/>
              </w:rPr>
              <w:t>0.004</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mg/m3</w:t>
            </w:r>
          </w:p>
        </w:tc>
        <w:tc>
          <w:tcPr>
            <w:tcW w:w="1517"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连续采样</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11"/>
        <w:gridCol w:w="850"/>
        <w:gridCol w:w="1276"/>
        <w:gridCol w:w="2702"/>
        <w:gridCol w:w="844"/>
        <w:gridCol w:w="1517"/>
        <w:gridCol w:w="1276"/>
      </w:tblGrid>
      <w:tr>
        <w:trPr>
          <w:trHeight w:val="347" w:hRule="exact"/>
        </w:trPr>
        <w:tc>
          <w:tcPr>
            <w:tcW w:w="711" w:type="dxa"/>
            <w:vMerge w:val="restart"/>
            <w:tcBorders>
              <w:top w:val="single" w:sz="6" w:space="0" w:color="000000"/>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vMerge w:val="restart"/>
            <w:tcBorders>
              <w:top w:val="single" w:sz="6" w:space="0" w:color="000000"/>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3" w:right="0"/>
              <w:jc w:val="left"/>
              <w:rPr>
                <w:rFonts w:ascii="宋体" w:hAnsi="宋体" w:cs="宋体" w:eastAsia="宋体" w:hint="default"/>
                <w:sz w:val="18"/>
                <w:szCs w:val="18"/>
              </w:rPr>
            </w:pPr>
            <w:r>
              <w:rPr>
                <w:rFonts w:ascii="宋体" w:hAnsi="宋体" w:cs="宋体" w:eastAsia="宋体" w:hint="default"/>
                <w:sz w:val="18"/>
                <w:szCs w:val="18"/>
              </w:rPr>
              <w:t>脱附</w:t>
            </w:r>
            <w:r>
              <w:rPr>
                <w:rFonts w:ascii="宋体" w:hAnsi="宋体" w:cs="宋体" w:eastAsia="宋体" w:hint="default"/>
                <w:sz w:val="18"/>
                <w:szCs w:val="18"/>
              </w:rPr>
              <w:t>/</w:t>
            </w:r>
            <w:r>
              <w:rPr>
                <w:rFonts w:ascii="宋体" w:hAnsi="宋体" w:cs="宋体" w:eastAsia="宋体" w:hint="default"/>
                <w:sz w:val="18"/>
                <w:szCs w:val="18"/>
              </w:rPr>
              <w:t>气相色谱</w:t>
            </w:r>
            <w:r>
              <w:rPr>
                <w:rFonts w:ascii="宋体" w:hAnsi="宋体" w:cs="宋体" w:eastAsia="宋体" w:hint="default"/>
                <w:sz w:val="18"/>
                <w:szCs w:val="18"/>
              </w:rPr>
              <w:t>-</w:t>
            </w:r>
            <w:r>
              <w:rPr>
                <w:rFonts w:ascii="宋体" w:hAnsi="宋体" w:cs="宋体" w:eastAsia="宋体" w:hint="default"/>
                <w:sz w:val="18"/>
                <w:szCs w:val="18"/>
              </w:rPr>
              <w:t>质谱法</w:t>
            </w:r>
          </w:p>
        </w:tc>
        <w:tc>
          <w:tcPr>
            <w:tcW w:w="844" w:type="dxa"/>
            <w:tcBorders>
              <w:top w:val="single" w:sz="6" w:space="0" w:color="000000"/>
              <w:left w:val="single" w:sz="6" w:space="0" w:color="000000"/>
              <w:bottom w:val="single" w:sz="6" w:space="0" w:color="000000"/>
              <w:right w:val="single" w:sz="6" w:space="0" w:color="000000"/>
            </w:tcBorders>
          </w:tcPr>
          <w:p>
            <w:pPr/>
          </w:p>
        </w:tc>
        <w:tc>
          <w:tcPr>
            <w:tcW w:w="1517" w:type="dxa"/>
            <w:vMerge w:val="restart"/>
            <w:tcBorders>
              <w:top w:val="single" w:sz="6" w:space="0" w:color="000000"/>
              <w:left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711"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27" w:right="55" w:hanging="270"/>
              <w:jc w:val="left"/>
              <w:rPr>
                <w:rFonts w:ascii="宋体" w:hAnsi="宋体" w:cs="宋体" w:eastAsia="宋体" w:hint="default"/>
                <w:sz w:val="18"/>
                <w:szCs w:val="18"/>
              </w:rPr>
            </w:pPr>
            <w:r>
              <w:rPr>
                <w:rFonts w:ascii="宋体" w:hAnsi="宋体" w:cs="宋体" w:eastAsia="宋体" w:hint="default"/>
                <w:sz w:val="18"/>
                <w:szCs w:val="18"/>
              </w:rPr>
              <w:t>非甲烷总 烃</w:t>
            </w:r>
          </w:p>
        </w:tc>
        <w:tc>
          <w:tcPr>
            <w:tcW w:w="1276" w:type="dxa"/>
            <w:vMerge/>
            <w:tcBorders>
              <w:left w:val="single" w:sz="6" w:space="0" w:color="000000"/>
              <w:bottom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8" w:right="36" w:hanging="90"/>
              <w:jc w:val="left"/>
              <w:rPr>
                <w:rFonts w:ascii="宋体" w:hAnsi="宋体" w:cs="宋体" w:eastAsia="宋体" w:hint="default"/>
                <w:sz w:val="18"/>
                <w:szCs w:val="18"/>
              </w:rPr>
            </w:pPr>
            <w:r>
              <w:rPr>
                <w:rFonts w:ascii="宋体" w:hAnsi="宋体" w:cs="宋体" w:eastAsia="宋体" w:hint="default"/>
                <w:sz w:val="18"/>
                <w:szCs w:val="18"/>
              </w:rPr>
              <w:t>HJ/T 38-1999 </w:t>
            </w:r>
            <w:r>
              <w:rPr>
                <w:rFonts w:ascii="宋体" w:hAnsi="宋体" w:cs="宋体" w:eastAsia="宋体" w:hint="default"/>
                <w:sz w:val="18"/>
                <w:szCs w:val="18"/>
              </w:rPr>
              <w:t>固定污染源排气中 非甲烷总烃的测定 气相色谱法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5" w:right="0"/>
              <w:jc w:val="left"/>
              <w:rPr>
                <w:rFonts w:ascii="宋体" w:hAnsi="宋体" w:cs="宋体" w:eastAsia="宋体" w:hint="default"/>
                <w:sz w:val="18"/>
                <w:szCs w:val="18"/>
              </w:rPr>
            </w:pPr>
            <w:r>
              <w:rPr>
                <w:rFonts w:ascii="宋体"/>
                <w:sz w:val="18"/>
              </w:rPr>
              <w:t>0.04</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mg/m3</w:t>
            </w:r>
          </w:p>
        </w:tc>
        <w:tc>
          <w:tcPr>
            <w:tcW w:w="1517"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5" w:right="43"/>
              <w:jc w:val="center"/>
              <w:rPr>
                <w:rFonts w:ascii="宋体" w:hAnsi="宋体" w:cs="宋体" w:eastAsia="宋体" w:hint="default"/>
                <w:sz w:val="18"/>
                <w:szCs w:val="18"/>
              </w:rPr>
            </w:pPr>
            <w:r>
              <w:rPr>
                <w:rFonts w:ascii="宋体" w:hAnsi="宋体" w:cs="宋体" w:eastAsia="宋体" w:hint="default"/>
                <w:sz w:val="18"/>
                <w:szCs w:val="18"/>
              </w:rPr>
              <w:t>非连续采样 每 小时等间隔采 集</w:t>
            </w:r>
            <w:r>
              <w:rPr>
                <w:rFonts w:ascii="宋体" w:hAnsi="宋体" w:cs="宋体" w:eastAsia="宋体" w:hint="default"/>
                <w:sz w:val="18"/>
                <w:szCs w:val="18"/>
              </w:rPr>
              <w:t>4</w:t>
            </w:r>
            <w:r>
              <w:rPr>
                <w:rFonts w:ascii="宋体" w:hAnsi="宋体" w:cs="宋体" w:eastAsia="宋体" w:hint="default"/>
                <w:sz w:val="18"/>
                <w:szCs w:val="18"/>
              </w:rPr>
              <w:t>个样品</w:t>
            </w:r>
          </w:p>
        </w:tc>
      </w:tr>
      <w:tr>
        <w:trPr>
          <w:trHeight w:val="659" w:hRule="exact"/>
        </w:trPr>
        <w:tc>
          <w:tcPr>
            <w:tcW w:w="711" w:type="dxa"/>
            <w:vMerge w:val="restart"/>
            <w:tcBorders>
              <w:top w:val="single" w:sz="6" w:space="0" w:color="000000"/>
              <w:left w:val="single" w:sz="6" w:space="0" w:color="000000"/>
              <w:right w:val="single" w:sz="6" w:space="0" w:color="000000"/>
            </w:tcBorders>
          </w:tcPr>
          <w:p>
            <w:pPr>
              <w:pStyle w:val="TableParagraph"/>
              <w:spacing w:line="240" w:lineRule="auto" w:before="21"/>
              <w:ind w:left="166" w:right="0"/>
              <w:jc w:val="left"/>
              <w:rPr>
                <w:rFonts w:ascii="宋体" w:hAnsi="宋体" w:cs="宋体" w:eastAsia="宋体" w:hint="default"/>
                <w:sz w:val="18"/>
                <w:szCs w:val="18"/>
              </w:rPr>
            </w:pPr>
            <w:r>
              <w:rPr>
                <w:rFonts w:ascii="宋体" w:hAnsi="宋体" w:cs="宋体" w:eastAsia="宋体" w:hint="default"/>
                <w:sz w:val="18"/>
                <w:szCs w:val="18"/>
              </w:rPr>
              <w:t>废水</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27" w:right="55" w:hanging="270"/>
              <w:jc w:val="left"/>
              <w:rPr>
                <w:rFonts w:ascii="宋体" w:hAnsi="宋体" w:cs="宋体" w:eastAsia="宋体" w:hint="default"/>
                <w:sz w:val="18"/>
                <w:szCs w:val="18"/>
              </w:rPr>
            </w:pPr>
            <w:r>
              <w:rPr>
                <w:rFonts w:ascii="宋体" w:hAnsi="宋体" w:cs="宋体" w:eastAsia="宋体" w:hint="default"/>
                <w:sz w:val="18"/>
                <w:szCs w:val="18"/>
              </w:rPr>
              <w:t>化学需氧 量</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HJ/T</w:t>
            </w:r>
            <w:r>
              <w:rPr>
                <w:rFonts w:ascii="宋体" w:hAnsi="宋体" w:cs="宋体" w:eastAsia="宋体" w:hint="default"/>
                <w:spacing w:val="-4"/>
                <w:sz w:val="18"/>
                <w:szCs w:val="18"/>
              </w:rPr>
              <w:t> </w:t>
            </w:r>
            <w:r>
              <w:rPr>
                <w:rFonts w:ascii="宋体" w:hAnsi="宋体" w:cs="宋体" w:eastAsia="宋体" w:hint="default"/>
                <w:sz w:val="18"/>
                <w:szCs w:val="18"/>
              </w:rPr>
              <w:t>91-2002</w:t>
            </w:r>
            <w:r>
              <w:rPr>
                <w:rFonts w:ascii="宋体" w:hAnsi="宋体" w:cs="宋体" w:eastAsia="宋体" w:hint="default"/>
                <w:sz w:val="18"/>
                <w:szCs w:val="18"/>
              </w:rPr>
              <w:t>地</w:t>
            </w:r>
          </w:p>
          <w:p>
            <w:pPr>
              <w:pStyle w:val="TableParagraph"/>
              <w:spacing w:line="316" w:lineRule="auto" w:before="76"/>
              <w:ind w:left="89" w:right="89"/>
              <w:jc w:val="center"/>
              <w:rPr>
                <w:rFonts w:ascii="宋体" w:hAnsi="宋体" w:cs="宋体" w:eastAsia="宋体" w:hint="default"/>
                <w:sz w:val="18"/>
                <w:szCs w:val="18"/>
              </w:rPr>
            </w:pPr>
            <w:r>
              <w:rPr>
                <w:rFonts w:ascii="宋体" w:hAnsi="宋体" w:cs="宋体" w:eastAsia="宋体" w:hint="default"/>
                <w:sz w:val="18"/>
                <w:szCs w:val="18"/>
              </w:rPr>
              <w:t>表水和污水监 测技术规范</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HJ 493-2009</w:t>
            </w:r>
            <w:r>
              <w:rPr>
                <w:rFonts w:ascii="宋体" w:hAnsi="宋体" w:cs="宋体" w:eastAsia="宋体" w:hint="default"/>
                <w:sz w:val="18"/>
                <w:szCs w:val="18"/>
              </w:rPr>
              <w:t>水</w:t>
            </w:r>
          </w:p>
          <w:p>
            <w:pPr>
              <w:pStyle w:val="TableParagraph"/>
              <w:spacing w:line="316" w:lineRule="auto" w:before="76"/>
              <w:ind w:left="45" w:right="43"/>
              <w:jc w:val="center"/>
              <w:rPr>
                <w:rFonts w:ascii="宋体" w:hAnsi="宋体" w:cs="宋体" w:eastAsia="宋体" w:hint="default"/>
                <w:sz w:val="18"/>
                <w:szCs w:val="18"/>
              </w:rPr>
            </w:pPr>
            <w:r>
              <w:rPr>
                <w:rFonts w:ascii="宋体" w:hAnsi="宋体" w:cs="宋体" w:eastAsia="宋体" w:hint="default"/>
                <w:sz w:val="18"/>
                <w:szCs w:val="18"/>
              </w:rPr>
              <w:t>质 样品的保存 和管理技术规 定</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HJ 494-2009</w:t>
            </w:r>
            <w:r>
              <w:rPr>
                <w:rFonts w:ascii="宋体" w:hAnsi="宋体" w:cs="宋体" w:eastAsia="宋体" w:hint="default"/>
                <w:sz w:val="18"/>
                <w:szCs w:val="18"/>
              </w:rPr>
              <w:t>水</w:t>
            </w:r>
          </w:p>
          <w:p>
            <w:pPr>
              <w:pStyle w:val="TableParagraph"/>
              <w:spacing w:line="316" w:lineRule="auto" w:before="76"/>
              <w:ind w:left="45" w:right="43"/>
              <w:jc w:val="center"/>
              <w:rPr>
                <w:rFonts w:ascii="宋体" w:hAnsi="宋体" w:cs="宋体" w:eastAsia="宋体" w:hint="default"/>
                <w:sz w:val="18"/>
                <w:szCs w:val="18"/>
              </w:rPr>
            </w:pPr>
            <w:r>
              <w:rPr>
                <w:rFonts w:ascii="宋体" w:hAnsi="宋体" w:cs="宋体" w:eastAsia="宋体" w:hint="default"/>
                <w:sz w:val="18"/>
                <w:szCs w:val="18"/>
              </w:rPr>
              <w:t>质 采样技术指 导</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68" w:right="36" w:hanging="630"/>
              <w:jc w:val="left"/>
              <w:rPr>
                <w:rFonts w:ascii="宋体" w:hAnsi="宋体" w:cs="宋体" w:eastAsia="宋体" w:hint="default"/>
                <w:sz w:val="18"/>
                <w:szCs w:val="18"/>
              </w:rPr>
            </w:pPr>
            <w:r>
              <w:rPr>
                <w:rFonts w:ascii="宋体" w:hAnsi="宋体" w:cs="宋体" w:eastAsia="宋体" w:hint="default"/>
                <w:sz w:val="18"/>
                <w:szCs w:val="18"/>
              </w:rPr>
              <w:t>HJ 828-2017 </w:t>
            </w:r>
            <w:r>
              <w:rPr>
                <w:rFonts w:ascii="宋体" w:hAnsi="宋体" w:cs="宋体" w:eastAsia="宋体" w:hint="default"/>
                <w:sz w:val="18"/>
                <w:szCs w:val="18"/>
              </w:rPr>
              <w:t>水质 化学需氧量的 测定 重铬酸盐法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4 mg/L</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HCA-101</w:t>
            </w:r>
            <w:r>
              <w:rPr>
                <w:rFonts w:ascii="宋体" w:hAnsi="宋体" w:cs="宋体" w:eastAsia="宋体" w:hint="default"/>
                <w:sz w:val="18"/>
                <w:szCs w:val="18"/>
              </w:rPr>
              <w:t>标准</w:t>
            </w:r>
            <w:r>
              <w:rPr>
                <w:rFonts w:ascii="宋体" w:hAnsi="宋体" w:cs="宋体" w:eastAsia="宋体" w:hint="default"/>
                <w:sz w:val="18"/>
                <w:szCs w:val="18"/>
              </w:rPr>
              <w:t>COD</w:t>
            </w:r>
            <w:r>
              <w:rPr>
                <w:rFonts w:ascii="宋体" w:hAnsi="宋体" w:cs="宋体" w:eastAsia="宋体" w:hint="default"/>
                <w:sz w:val="18"/>
                <w:szCs w:val="18"/>
              </w:rPr>
              <w:t>消</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解器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瞬时样</w:t>
            </w:r>
          </w:p>
        </w:tc>
      </w:tr>
      <w:tr>
        <w:trPr>
          <w:trHeight w:val="660"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23" w:right="0" w:hanging="621"/>
              <w:jc w:val="left"/>
              <w:rPr>
                <w:rFonts w:ascii="宋体" w:hAnsi="宋体" w:cs="宋体" w:eastAsia="宋体" w:hint="default"/>
                <w:sz w:val="18"/>
                <w:szCs w:val="18"/>
              </w:rPr>
            </w:pPr>
            <w:r>
              <w:rPr>
                <w:rFonts w:ascii="宋体" w:hAnsi="宋体" w:cs="宋体" w:eastAsia="宋体" w:hint="default"/>
                <w:sz w:val="18"/>
                <w:szCs w:val="18"/>
              </w:rPr>
              <w:t>HJ 535-2009 </w:t>
            </w:r>
            <w:r>
              <w:rPr>
                <w:rFonts w:ascii="宋体" w:hAnsi="宋体" w:cs="宋体" w:eastAsia="宋体" w:hint="default"/>
                <w:sz w:val="18"/>
                <w:szCs w:val="18"/>
              </w:rPr>
              <w:t>水质 氨氮的测定</w:t>
            </w:r>
            <w:r>
              <w:rPr>
                <w:rFonts w:ascii="宋体" w:hAnsi="宋体" w:cs="宋体" w:eastAsia="宋体" w:hint="default"/>
                <w:spacing w:val="-20"/>
                <w:sz w:val="18"/>
                <w:szCs w:val="18"/>
              </w:rPr>
              <w:t> </w:t>
            </w:r>
            <w:r>
              <w:rPr>
                <w:rFonts w:ascii="宋体" w:hAnsi="宋体" w:cs="宋体" w:eastAsia="宋体" w:hint="default"/>
                <w:sz w:val="18"/>
                <w:szCs w:val="18"/>
              </w:rPr>
              <w:t>纳 氏试剂分光光度法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9" w:right="0"/>
              <w:jc w:val="left"/>
              <w:rPr>
                <w:rFonts w:ascii="宋体" w:hAnsi="宋体" w:cs="宋体" w:eastAsia="宋体" w:hint="default"/>
                <w:sz w:val="18"/>
                <w:szCs w:val="18"/>
              </w:rPr>
            </w:pPr>
            <w:r>
              <w:rPr>
                <w:rFonts w:ascii="宋体"/>
                <w:sz w:val="18"/>
              </w:rPr>
              <w:t>0.025</w:t>
            </w:r>
          </w:p>
          <w:p>
            <w:pPr>
              <w:pStyle w:val="TableParagraph"/>
              <w:spacing w:line="240" w:lineRule="auto" w:before="76"/>
              <w:ind w:left="235" w:right="0"/>
              <w:jc w:val="left"/>
              <w:rPr>
                <w:rFonts w:ascii="宋体" w:hAnsi="宋体" w:cs="宋体" w:eastAsia="宋体" w:hint="default"/>
                <w:sz w:val="18"/>
                <w:szCs w:val="18"/>
              </w:rPr>
            </w:pPr>
            <w:r>
              <w:rPr>
                <w:rFonts w:ascii="宋体"/>
                <w:sz w:val="18"/>
              </w:rPr>
              <w:t>mg/L</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81" w:right="29" w:hanging="450"/>
              <w:jc w:val="left"/>
              <w:rPr>
                <w:rFonts w:ascii="宋体" w:hAnsi="宋体" w:cs="宋体" w:eastAsia="宋体" w:hint="default"/>
                <w:sz w:val="18"/>
                <w:szCs w:val="18"/>
              </w:rPr>
            </w:pPr>
            <w:r>
              <w:rPr>
                <w:rFonts w:ascii="宋体" w:hAnsi="宋体" w:cs="宋体" w:eastAsia="宋体" w:hint="default"/>
                <w:sz w:val="18"/>
                <w:szCs w:val="18"/>
              </w:rPr>
              <w:t>岛津</w:t>
            </w:r>
            <w:r>
              <w:rPr>
                <w:rFonts w:ascii="宋体" w:hAnsi="宋体" w:cs="宋体" w:eastAsia="宋体" w:hint="default"/>
                <w:sz w:val="18"/>
                <w:szCs w:val="18"/>
              </w:rPr>
              <w:t>1800</w:t>
            </w:r>
            <w:r>
              <w:rPr>
                <w:rFonts w:ascii="宋体" w:hAnsi="宋体" w:cs="宋体" w:eastAsia="宋体" w:hint="default"/>
                <w:sz w:val="18"/>
                <w:szCs w:val="18"/>
              </w:rPr>
              <w:t>紫外分光 光度计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瞬时样</w:t>
            </w:r>
          </w:p>
        </w:tc>
      </w:tr>
      <w:tr>
        <w:trPr>
          <w:trHeight w:val="659"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悬浮物</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38" w:right="36" w:hanging="901"/>
              <w:jc w:val="left"/>
              <w:rPr>
                <w:rFonts w:ascii="宋体" w:hAnsi="宋体" w:cs="宋体" w:eastAsia="宋体" w:hint="default"/>
                <w:sz w:val="18"/>
                <w:szCs w:val="18"/>
              </w:rPr>
            </w:pPr>
            <w:r>
              <w:rPr>
                <w:rFonts w:ascii="宋体" w:hAnsi="宋体" w:cs="宋体" w:eastAsia="宋体" w:hint="default"/>
                <w:sz w:val="18"/>
                <w:szCs w:val="18"/>
              </w:rPr>
              <w:t>GB 11901-1989 </w:t>
            </w:r>
            <w:r>
              <w:rPr>
                <w:rFonts w:ascii="宋体" w:hAnsi="宋体" w:cs="宋体" w:eastAsia="宋体" w:hint="default"/>
                <w:sz w:val="18"/>
                <w:szCs w:val="18"/>
              </w:rPr>
              <w:t>水质 悬浮物的测 定 重量法</w:t>
            </w:r>
          </w:p>
        </w:tc>
        <w:tc>
          <w:tcPr>
            <w:tcW w:w="8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AL204</w:t>
            </w:r>
            <w:r>
              <w:rPr>
                <w:rFonts w:ascii="宋体" w:hAnsi="宋体" w:cs="宋体" w:eastAsia="宋体" w:hint="default"/>
                <w:sz w:val="18"/>
                <w:szCs w:val="18"/>
              </w:rPr>
              <w:t>型分析天平</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瞬时样</w:t>
            </w:r>
          </w:p>
        </w:tc>
      </w:tr>
      <w:tr>
        <w:trPr>
          <w:trHeight w:val="971"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47" w:right="55" w:hanging="90"/>
              <w:jc w:val="left"/>
              <w:rPr>
                <w:rFonts w:ascii="宋体" w:hAnsi="宋体" w:cs="宋体" w:eastAsia="宋体" w:hint="default"/>
                <w:sz w:val="18"/>
                <w:szCs w:val="18"/>
              </w:rPr>
            </w:pPr>
            <w:r>
              <w:rPr>
                <w:rFonts w:ascii="宋体" w:hAnsi="宋体" w:cs="宋体" w:eastAsia="宋体" w:hint="default"/>
                <w:sz w:val="18"/>
                <w:szCs w:val="18"/>
              </w:rPr>
              <w:t>五日生化 需氧量</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8" w:right="36" w:hanging="360"/>
              <w:jc w:val="left"/>
              <w:rPr>
                <w:rFonts w:ascii="宋体" w:hAnsi="宋体" w:cs="宋体" w:eastAsia="宋体" w:hint="default"/>
                <w:sz w:val="18"/>
                <w:szCs w:val="18"/>
              </w:rPr>
            </w:pPr>
            <w:r>
              <w:rPr>
                <w:rFonts w:ascii="宋体" w:hAnsi="宋体" w:cs="宋体" w:eastAsia="宋体" w:hint="default"/>
                <w:sz w:val="18"/>
                <w:szCs w:val="18"/>
              </w:rPr>
              <w:t>HJ 505-2009 </w:t>
            </w:r>
            <w:r>
              <w:rPr>
                <w:rFonts w:ascii="宋体" w:hAnsi="宋体" w:cs="宋体" w:eastAsia="宋体" w:hint="default"/>
                <w:sz w:val="18"/>
                <w:szCs w:val="18"/>
              </w:rPr>
              <w:t>水质 五日生化需氧 量的测定 稀释与接种法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 w:right="0"/>
              <w:jc w:val="left"/>
              <w:rPr>
                <w:rFonts w:ascii="宋体" w:hAnsi="宋体" w:cs="宋体" w:eastAsia="宋体" w:hint="default"/>
                <w:sz w:val="18"/>
                <w:szCs w:val="18"/>
              </w:rPr>
            </w:pPr>
            <w:r>
              <w:rPr>
                <w:rFonts w:ascii="宋体"/>
                <w:sz w:val="18"/>
              </w:rPr>
              <w:t>0.5 mg/L</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1" w:right="29"/>
              <w:jc w:val="center"/>
              <w:rPr>
                <w:rFonts w:ascii="宋体" w:hAnsi="宋体" w:cs="宋体" w:eastAsia="宋体" w:hint="default"/>
                <w:sz w:val="18"/>
                <w:szCs w:val="18"/>
              </w:rPr>
            </w:pPr>
            <w:r>
              <w:rPr>
                <w:rFonts w:ascii="宋体" w:hAnsi="宋体" w:cs="宋体" w:eastAsia="宋体" w:hint="default"/>
                <w:sz w:val="18"/>
                <w:szCs w:val="18"/>
              </w:rPr>
              <w:t>Orion 3-Star</w:t>
            </w:r>
            <w:r>
              <w:rPr>
                <w:rFonts w:ascii="宋体" w:hAnsi="宋体" w:cs="宋体" w:eastAsia="宋体" w:hint="default"/>
                <w:sz w:val="18"/>
                <w:szCs w:val="18"/>
              </w:rPr>
              <w:t>溶解 氧测量仪</w:t>
            </w:r>
            <w:r>
              <w:rPr>
                <w:rFonts w:ascii="宋体" w:hAnsi="宋体" w:cs="宋体" w:eastAsia="宋体" w:hint="default"/>
                <w:sz w:val="18"/>
                <w:szCs w:val="18"/>
              </w:rPr>
              <w:t>MJP</w:t>
            </w:r>
            <w:r>
              <w:rPr>
                <w:rFonts w:ascii="宋体" w:hAnsi="宋体" w:cs="宋体" w:eastAsia="宋体" w:hint="default"/>
                <w:sz w:val="18"/>
                <w:szCs w:val="18"/>
              </w:rPr>
              <w:t>培养 箱</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瞬时样</w:t>
            </w:r>
          </w:p>
        </w:tc>
      </w:tr>
      <w:tr>
        <w:trPr>
          <w:trHeight w:val="659"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pH</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4" w:right="80" w:hanging="811"/>
              <w:jc w:val="left"/>
              <w:rPr>
                <w:rFonts w:ascii="宋体" w:hAnsi="宋体" w:cs="宋体" w:eastAsia="宋体" w:hint="default"/>
                <w:sz w:val="18"/>
                <w:szCs w:val="18"/>
              </w:rPr>
            </w:pPr>
            <w:r>
              <w:rPr>
                <w:rFonts w:ascii="宋体" w:hAnsi="宋体" w:cs="宋体" w:eastAsia="宋体" w:hint="default"/>
                <w:sz w:val="18"/>
                <w:szCs w:val="18"/>
              </w:rPr>
              <w:t>GB 6920-1986 </w:t>
            </w:r>
            <w:r>
              <w:rPr>
                <w:rFonts w:ascii="宋体" w:hAnsi="宋体" w:cs="宋体" w:eastAsia="宋体" w:hint="default"/>
                <w:sz w:val="18"/>
                <w:szCs w:val="18"/>
              </w:rPr>
              <w:t>水质 </w:t>
            </w:r>
            <w:r>
              <w:rPr>
                <w:rFonts w:ascii="宋体" w:hAnsi="宋体" w:cs="宋体" w:eastAsia="宋体" w:hint="default"/>
                <w:sz w:val="18"/>
                <w:szCs w:val="18"/>
              </w:rPr>
              <w:t>PH</w:t>
            </w:r>
            <w:r>
              <w:rPr>
                <w:rFonts w:ascii="宋体" w:hAnsi="宋体" w:cs="宋体" w:eastAsia="宋体" w:hint="default"/>
                <w:sz w:val="18"/>
                <w:szCs w:val="18"/>
              </w:rPr>
              <w:t>值的测定 玻璃电极法</w:t>
            </w:r>
          </w:p>
        </w:tc>
        <w:tc>
          <w:tcPr>
            <w:tcW w:w="844"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PHS-3C</w:t>
            </w:r>
            <w:r>
              <w:rPr>
                <w:rFonts w:ascii="宋体" w:hAnsi="宋体" w:cs="宋体" w:eastAsia="宋体" w:hint="default"/>
                <w:sz w:val="18"/>
                <w:szCs w:val="18"/>
              </w:rPr>
              <w:t>型</w:t>
            </w:r>
            <w:r>
              <w:rPr>
                <w:rFonts w:ascii="宋体" w:hAnsi="宋体" w:cs="宋体" w:eastAsia="宋体" w:hint="default"/>
                <w:sz w:val="18"/>
                <w:szCs w:val="18"/>
              </w:rPr>
              <w:t>pH</w:t>
            </w:r>
            <w:r>
              <w:rPr>
                <w:rFonts w:ascii="宋体" w:hAnsi="宋体" w:cs="宋体" w:eastAsia="宋体" w:hint="default"/>
                <w:sz w:val="18"/>
                <w:szCs w:val="18"/>
              </w:rPr>
              <w:t>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瞬时样</w:t>
            </w:r>
          </w:p>
        </w:tc>
      </w:tr>
      <w:tr>
        <w:trPr>
          <w:trHeight w:val="659" w:hRule="exact"/>
        </w:trPr>
        <w:tc>
          <w:tcPr>
            <w:tcW w:w="711" w:type="dxa"/>
            <w:vMerge/>
            <w:tcBorders>
              <w:left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总氮</w:t>
            </w:r>
          </w:p>
        </w:tc>
        <w:tc>
          <w:tcPr>
            <w:tcW w:w="1276"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3" w:right="0" w:hanging="81"/>
              <w:jc w:val="left"/>
              <w:rPr>
                <w:rFonts w:ascii="宋体" w:hAnsi="宋体" w:cs="宋体" w:eastAsia="宋体" w:hint="default"/>
                <w:sz w:val="18"/>
                <w:szCs w:val="18"/>
              </w:rPr>
            </w:pPr>
            <w:r>
              <w:rPr>
                <w:rFonts w:ascii="宋体" w:hAnsi="宋体" w:cs="宋体" w:eastAsia="宋体" w:hint="default"/>
                <w:sz w:val="18"/>
                <w:szCs w:val="18"/>
              </w:rPr>
              <w:t>HJ 636-2012 </w:t>
            </w:r>
            <w:r>
              <w:rPr>
                <w:rFonts w:ascii="宋体" w:hAnsi="宋体" w:cs="宋体" w:eastAsia="宋体" w:hint="default"/>
                <w:sz w:val="18"/>
                <w:szCs w:val="18"/>
              </w:rPr>
              <w:t>水质 总氮的测定</w:t>
            </w:r>
            <w:r>
              <w:rPr>
                <w:rFonts w:ascii="宋体" w:hAnsi="宋体" w:cs="宋体" w:eastAsia="宋体" w:hint="default"/>
                <w:spacing w:val="-20"/>
                <w:sz w:val="18"/>
                <w:szCs w:val="18"/>
              </w:rPr>
              <w:t> </w:t>
            </w:r>
            <w:r>
              <w:rPr>
                <w:rFonts w:ascii="宋体" w:hAnsi="宋体" w:cs="宋体" w:eastAsia="宋体" w:hint="default"/>
                <w:sz w:val="18"/>
                <w:szCs w:val="18"/>
              </w:rPr>
              <w:t>碱 性过硫酸钾消解紫外分光光度法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sz w:val="18"/>
              </w:rPr>
              <w:t>0.05 mg/L</w:t>
            </w:r>
          </w:p>
        </w:tc>
        <w:tc>
          <w:tcPr>
            <w:tcW w:w="1517" w:type="dxa"/>
            <w:vMerge w:val="restart"/>
            <w:tcBorders>
              <w:top w:val="single" w:sz="6" w:space="0" w:color="000000"/>
              <w:left w:val="single" w:sz="6" w:space="0" w:color="000000"/>
              <w:right w:val="single" w:sz="6" w:space="0" w:color="000000"/>
            </w:tcBorders>
          </w:tcPr>
          <w:p>
            <w:pPr>
              <w:pStyle w:val="TableParagraph"/>
              <w:spacing w:line="316" w:lineRule="auto" w:before="21"/>
              <w:ind w:left="31" w:right="29"/>
              <w:jc w:val="center"/>
              <w:rPr>
                <w:rFonts w:ascii="宋体" w:hAnsi="宋体" w:cs="宋体" w:eastAsia="宋体" w:hint="default"/>
                <w:sz w:val="18"/>
                <w:szCs w:val="18"/>
              </w:rPr>
            </w:pPr>
            <w:r>
              <w:rPr>
                <w:rFonts w:ascii="宋体" w:hAnsi="宋体" w:cs="宋体" w:eastAsia="宋体" w:hint="default"/>
                <w:sz w:val="18"/>
                <w:szCs w:val="18"/>
              </w:rPr>
              <w:t>岛津</w:t>
            </w:r>
            <w:r>
              <w:rPr>
                <w:rFonts w:ascii="宋体" w:hAnsi="宋体" w:cs="宋体" w:eastAsia="宋体" w:hint="default"/>
                <w:sz w:val="18"/>
                <w:szCs w:val="18"/>
              </w:rPr>
              <w:t>1800</w:t>
            </w:r>
            <w:r>
              <w:rPr>
                <w:rFonts w:ascii="宋体" w:hAnsi="宋体" w:cs="宋体" w:eastAsia="宋体" w:hint="default"/>
                <w:sz w:val="18"/>
                <w:szCs w:val="18"/>
              </w:rPr>
              <w:t>紫外分光 光度计</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YXQ-LS-505II</w:t>
            </w:r>
            <w:r>
              <w:rPr>
                <w:rFonts w:ascii="宋体" w:hAnsi="宋体" w:cs="宋体" w:eastAsia="宋体" w:hint="default"/>
                <w:sz w:val="18"/>
                <w:szCs w:val="18"/>
              </w:rPr>
              <w:t>高压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瞬时样</w:t>
            </w:r>
          </w:p>
        </w:tc>
      </w:tr>
      <w:tr>
        <w:trPr>
          <w:trHeight w:val="936" w:hRule="exact"/>
        </w:trPr>
        <w:tc>
          <w:tcPr>
            <w:tcW w:w="711"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总磷</w:t>
            </w:r>
          </w:p>
        </w:tc>
        <w:tc>
          <w:tcPr>
            <w:tcW w:w="1276" w:type="dxa"/>
            <w:vMerge/>
            <w:tcBorders>
              <w:left w:val="single" w:sz="6" w:space="0" w:color="000000"/>
              <w:bottom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23" w:right="36" w:hanging="586"/>
              <w:jc w:val="left"/>
              <w:rPr>
                <w:rFonts w:ascii="宋体" w:hAnsi="宋体" w:cs="宋体" w:eastAsia="宋体" w:hint="default"/>
                <w:sz w:val="18"/>
                <w:szCs w:val="18"/>
              </w:rPr>
            </w:pPr>
            <w:r>
              <w:rPr>
                <w:rFonts w:ascii="宋体" w:hAnsi="宋体" w:cs="宋体" w:eastAsia="宋体" w:hint="default"/>
                <w:sz w:val="18"/>
                <w:szCs w:val="18"/>
              </w:rPr>
              <w:t>GB 11893-1989 </w:t>
            </w:r>
            <w:r>
              <w:rPr>
                <w:rFonts w:ascii="宋体" w:hAnsi="宋体" w:cs="宋体" w:eastAsia="宋体" w:hint="default"/>
                <w:sz w:val="18"/>
                <w:szCs w:val="18"/>
              </w:rPr>
              <w:t>水质 总磷的测定 钼酸铵分光光度法</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 w:right="0"/>
              <w:jc w:val="left"/>
              <w:rPr>
                <w:rFonts w:ascii="宋体" w:hAnsi="宋体" w:cs="宋体" w:eastAsia="宋体" w:hint="default"/>
                <w:sz w:val="18"/>
                <w:szCs w:val="18"/>
              </w:rPr>
            </w:pPr>
            <w:r>
              <w:rPr>
                <w:rFonts w:ascii="宋体"/>
                <w:sz w:val="18"/>
              </w:rPr>
              <w:t>0.01 mg/L</w:t>
            </w:r>
          </w:p>
        </w:tc>
        <w:tc>
          <w:tcPr>
            <w:tcW w:w="1517"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瞬时样</w:t>
            </w:r>
          </w:p>
        </w:tc>
      </w:tr>
      <w:tr>
        <w:trPr>
          <w:trHeight w:val="660"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56" w:right="77" w:hanging="180"/>
              <w:jc w:val="left"/>
              <w:rPr>
                <w:rFonts w:ascii="宋体" w:hAnsi="宋体" w:cs="宋体" w:eastAsia="宋体" w:hint="default"/>
                <w:sz w:val="18"/>
                <w:szCs w:val="18"/>
              </w:rPr>
            </w:pPr>
            <w:r>
              <w:rPr>
                <w:rFonts w:ascii="宋体" w:hAnsi="宋体" w:cs="宋体" w:eastAsia="宋体" w:hint="default"/>
                <w:sz w:val="18"/>
                <w:szCs w:val="18"/>
              </w:rPr>
              <w:t>厂界噪 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37" w:right="11" w:hanging="226"/>
              <w:jc w:val="left"/>
              <w:rPr>
                <w:rFonts w:ascii="宋体" w:hAnsi="宋体" w:cs="宋体" w:eastAsia="宋体" w:hint="default"/>
                <w:sz w:val="18"/>
                <w:szCs w:val="18"/>
              </w:rPr>
            </w:pPr>
            <w:r>
              <w:rPr>
                <w:rFonts w:ascii="宋体" w:hAnsi="宋体" w:cs="宋体" w:eastAsia="宋体" w:hint="default"/>
                <w:sz w:val="18"/>
                <w:szCs w:val="18"/>
              </w:rPr>
              <w:t>连续等效</w:t>
            </w:r>
            <w:r>
              <w:rPr>
                <w:rFonts w:ascii="宋体" w:hAnsi="宋体" w:cs="宋体" w:eastAsia="宋体" w:hint="default"/>
                <w:sz w:val="18"/>
                <w:szCs w:val="18"/>
              </w:rPr>
              <w:t>A </w:t>
            </w:r>
            <w:r>
              <w:rPr>
                <w:rFonts w:ascii="宋体" w:hAnsi="宋体" w:cs="宋体" w:eastAsia="宋体" w:hint="default"/>
                <w:sz w:val="18"/>
                <w:szCs w:val="18"/>
              </w:rPr>
              <w:t>声级</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803" w:right="0" w:hanging="801"/>
              <w:jc w:val="left"/>
              <w:rPr>
                <w:rFonts w:ascii="宋体" w:hAnsi="宋体" w:cs="宋体" w:eastAsia="宋体" w:hint="default"/>
                <w:sz w:val="18"/>
                <w:szCs w:val="18"/>
              </w:rPr>
            </w:pPr>
            <w:r>
              <w:rPr>
                <w:rFonts w:ascii="宋体" w:hAnsi="宋体" w:cs="宋体" w:eastAsia="宋体" w:hint="default"/>
                <w:sz w:val="18"/>
                <w:szCs w:val="18"/>
              </w:rPr>
              <w:t>GB 12348-2008</w:t>
            </w:r>
            <w:r>
              <w:rPr>
                <w:rFonts w:ascii="宋体" w:hAnsi="宋体" w:cs="宋体" w:eastAsia="宋体" w:hint="default"/>
                <w:spacing w:val="-20"/>
                <w:sz w:val="18"/>
                <w:szCs w:val="18"/>
              </w:rPr>
              <w:t> </w:t>
            </w:r>
            <w:r>
              <w:rPr>
                <w:rFonts w:ascii="宋体" w:hAnsi="宋体" w:cs="宋体" w:eastAsia="宋体" w:hint="default"/>
                <w:sz w:val="18"/>
                <w:szCs w:val="18"/>
              </w:rPr>
              <w:t>工业企业厂界环境 噪声排放标准</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91" w:right="74" w:hanging="316"/>
              <w:jc w:val="left"/>
              <w:rPr>
                <w:rFonts w:ascii="宋体" w:hAnsi="宋体" w:cs="宋体" w:eastAsia="宋体" w:hint="default"/>
                <w:sz w:val="18"/>
                <w:szCs w:val="18"/>
              </w:rPr>
            </w:pPr>
            <w:r>
              <w:rPr>
                <w:rFonts w:ascii="宋体" w:hAnsi="宋体" w:cs="宋体" w:eastAsia="宋体" w:hint="default"/>
                <w:sz w:val="18"/>
                <w:szCs w:val="18"/>
              </w:rPr>
              <w:t>爱华</w:t>
            </w:r>
            <w:r>
              <w:rPr>
                <w:rFonts w:ascii="宋体" w:hAnsi="宋体" w:cs="宋体" w:eastAsia="宋体" w:hint="default"/>
                <w:sz w:val="18"/>
                <w:szCs w:val="18"/>
              </w:rPr>
              <w:t>AWA6228</w:t>
            </w:r>
            <w:r>
              <w:rPr>
                <w:rFonts w:ascii="宋体" w:hAnsi="宋体" w:cs="宋体" w:eastAsia="宋体" w:hint="default"/>
                <w:sz w:val="18"/>
                <w:szCs w:val="18"/>
              </w:rPr>
              <w:t>多功 能声级计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w:t>
            </w:r>
          </w:p>
        </w:tc>
      </w:tr>
    </w:tbl>
    <w:p>
      <w:pPr>
        <w:spacing w:line="357" w:lineRule="auto" w:before="51"/>
        <w:ind w:left="154" w:right="8772" w:firstLine="0"/>
        <w:jc w:val="left"/>
        <w:rPr>
          <w:rFonts w:ascii="宋体" w:hAnsi="宋体" w:cs="宋体" w:eastAsia="宋体" w:hint="default"/>
          <w:sz w:val="18"/>
          <w:szCs w:val="18"/>
        </w:rPr>
      </w:pPr>
      <w:r>
        <w:rPr>
          <w:rFonts w:ascii="宋体" w:hAnsi="宋体" w:cs="宋体" w:eastAsia="宋体" w:hint="default"/>
          <w:sz w:val="18"/>
          <w:szCs w:val="18"/>
        </w:rPr>
        <w:t>其他应当公开的环境信息 无</w:t>
      </w:r>
    </w:p>
    <w:p>
      <w:pPr>
        <w:spacing w:before="29"/>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其他环保相关信息</w:t>
      </w:r>
    </w:p>
    <w:p>
      <w:pPr>
        <w:pStyle w:val="BodyText"/>
        <w:spacing w:line="273" w:lineRule="auto" w:before="89"/>
        <w:ind w:right="1117" w:firstLine="420"/>
        <w:jc w:val="left"/>
      </w:pPr>
      <w:r>
        <w:rPr>
          <w:spacing w:val="-1"/>
        </w:rPr>
        <w:t>北京中科彩技术有限公司自行监测方式为手工监测方式，为委托社会化监测机构开展监测，承担委托</w:t>
      </w:r>
      <w:r>
        <w:rPr/>
        <w:t> 监测的单位为北京联合智业检验检测有限公司</w:t>
      </w:r>
      <w:r>
        <w:rPr>
          <w:rFonts w:ascii="宋体" w:hAnsi="宋体" w:cs="宋体" w:eastAsia="宋体" w:hint="default"/>
        </w:rPr>
        <w:t>,</w:t>
      </w:r>
      <w:r>
        <w:rPr/>
        <w:t>并按要求建立完整的监测档案信息管理制度，监测期间生 </w:t>
      </w:r>
      <w:r>
        <w:rPr>
          <w:spacing w:val="-1"/>
        </w:rPr>
        <w:t>产记录以及委托手工监测的委托合同、承担委托任务单位的资质和单位基本情况、原始监测记录复印件和</w:t>
      </w:r>
      <w:r>
        <w:rPr>
          <w:spacing w:val="-81"/>
        </w:rPr>
        <w:t> </w:t>
      </w:r>
      <w:r>
        <w:rPr>
          <w:spacing w:val="-81"/>
        </w:rPr>
      </w:r>
      <w:r>
        <w:rPr/>
        <w:t>监测数据报告等资料。原始监测记录和监测数据报告由相关人员签字并保存 </w:t>
      </w:r>
      <w:r>
        <w:rPr>
          <w:rFonts w:ascii="宋体" w:hAnsi="宋体" w:cs="宋体" w:eastAsia="宋体" w:hint="default"/>
        </w:rPr>
        <w:t>3</w:t>
      </w:r>
      <w:r>
        <w:rPr>
          <w:rFonts w:ascii="宋体" w:hAnsi="宋体" w:cs="宋体" w:eastAsia="宋体" w:hint="default"/>
          <w:spacing w:val="-1"/>
        </w:rPr>
        <w:t> </w:t>
      </w:r>
      <w:r>
        <w:rPr/>
        <w:t>年，其中废气监测数据保</w:t>
      </w:r>
    </w:p>
    <w:p>
      <w:pPr>
        <w:pStyle w:val="BodyText"/>
        <w:spacing w:line="240" w:lineRule="auto"/>
        <w:ind w:right="1117"/>
        <w:jc w:val="left"/>
      </w:pPr>
      <w:r>
        <w:rPr/>
        <w:t>存 </w:t>
      </w:r>
      <w:r>
        <w:rPr>
          <w:rFonts w:ascii="宋体" w:hAnsi="宋体" w:cs="宋体" w:eastAsia="宋体" w:hint="default"/>
        </w:rPr>
        <w:t>5 </w:t>
      </w:r>
      <w:r>
        <w:rPr/>
        <w:t>年。</w:t>
      </w:r>
    </w:p>
    <w:p>
      <w:pPr>
        <w:spacing w:before="62"/>
        <w:ind w:left="154" w:right="11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本单位自行监测信息公开网址是：</w:t>
      </w:r>
      <w:r>
        <w:rPr>
          <w:rFonts w:ascii="宋体" w:hAnsi="宋体" w:cs="宋体" w:eastAsia="宋体" w:hint="default"/>
          <w:spacing w:val="-21"/>
          <w:sz w:val="18"/>
          <w:szCs w:val="18"/>
        </w:rPr>
        <w:t> </w:t>
      </w:r>
      <w:hyperlink r:id="rId12">
        <w:r>
          <w:rPr>
            <w:rFonts w:ascii="Times New Roman" w:hAnsi="Times New Roman" w:cs="Times New Roman" w:eastAsia="Times New Roman" w:hint="default"/>
            <w:sz w:val="18"/>
            <w:szCs w:val="18"/>
          </w:rPr>
          <w:t>http://www.csgbj.cn</w:t>
        </w:r>
      </w:hyperlink>
    </w:p>
    <w:p>
      <w:pPr>
        <w:spacing w:line="240" w:lineRule="auto" w:before="0"/>
        <w:rPr>
          <w:rFonts w:ascii="Times New Roman" w:hAnsi="Times New Roman" w:cs="Times New Roman" w:eastAsia="Times New Roman" w:hint="default"/>
          <w:sz w:val="18"/>
          <w:szCs w:val="18"/>
        </w:rPr>
      </w:pPr>
    </w:p>
    <w:p>
      <w:pPr>
        <w:pStyle w:val="Heading2"/>
        <w:spacing w:line="240" w:lineRule="auto" w:before="108"/>
        <w:ind w:right="1117"/>
        <w:jc w:val="left"/>
        <w:rPr>
          <w:b w:val="0"/>
          <w:bCs w:val="0"/>
        </w:rPr>
      </w:pPr>
      <w:bookmarkStart w:name="十九、其他重大事项的说明" w:id="109"/>
      <w:bookmarkEnd w:id="109"/>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left="574" w:right="1117"/>
        <w:jc w:val="left"/>
      </w:pPr>
      <w:r>
        <w:rPr>
          <w:rFonts w:ascii="宋体" w:hAnsi="宋体" w:cs="宋体" w:eastAsia="宋体" w:hint="default"/>
        </w:rPr>
        <w:t>1</w:t>
      </w:r>
      <w:r>
        <w:rPr/>
        <w:t>、高新技术企业认定事项 </w:t>
      </w:r>
      <w:r>
        <w:rPr>
          <w:spacing w:val="-1"/>
        </w:rPr>
        <w:t>公司于本报告期内收到福建省科学技术厅、福建省财政厅、福建省国家税务局、福建省地方税务局联</w:t>
      </w:r>
    </w:p>
    <w:p>
      <w:pPr>
        <w:pStyle w:val="BodyText"/>
        <w:spacing w:line="273" w:lineRule="auto"/>
        <w:ind w:right="1119"/>
        <w:jc w:val="left"/>
      </w:pPr>
      <w:r>
        <w:rPr/>
        <w:t>合颁发的《高新技术企业证书》，证书编号：</w:t>
      </w:r>
      <w:r>
        <w:rPr>
          <w:rFonts w:ascii="宋体" w:hAnsi="宋体" w:cs="宋体" w:eastAsia="宋体" w:hint="default"/>
        </w:rPr>
        <w:t>GR201735000502</w:t>
      </w:r>
      <w:r>
        <w:rPr/>
        <w:t>，发证时间为 </w:t>
      </w:r>
      <w:r>
        <w:rPr>
          <w:rFonts w:ascii="宋体" w:hAnsi="宋体" w:cs="宋体" w:eastAsia="宋体" w:hint="default"/>
        </w:rPr>
        <w:t>2017 </w:t>
      </w:r>
      <w:r>
        <w:rPr/>
        <w:t>年 </w:t>
      </w:r>
      <w:r>
        <w:rPr>
          <w:rFonts w:ascii="宋体" w:hAnsi="宋体" w:cs="宋体" w:eastAsia="宋体" w:hint="default"/>
        </w:rPr>
        <w:t>11 </w:t>
      </w:r>
      <w:r>
        <w:rPr/>
        <w:t>月 </w:t>
      </w:r>
      <w:r>
        <w:rPr>
          <w:rFonts w:ascii="宋体" w:hAnsi="宋体" w:cs="宋体" w:eastAsia="宋体" w:hint="default"/>
        </w:rPr>
        <w:t>30</w:t>
      </w:r>
      <w:r>
        <w:rPr>
          <w:rFonts w:ascii="宋体" w:hAnsi="宋体" w:cs="宋体" w:eastAsia="宋体" w:hint="default"/>
          <w:spacing w:val="-27"/>
        </w:rPr>
        <w:t> </w:t>
      </w:r>
      <w:r>
        <w:rPr/>
        <w:t>日，有效 期为三年。 公司再次通过高新技术企业认定，将连续三年（</w:t>
      </w:r>
      <w:r>
        <w:rPr>
          <w:rFonts w:ascii="宋体" w:hAnsi="宋体" w:cs="宋体" w:eastAsia="宋体" w:hint="default"/>
        </w:rPr>
        <w:t>2017 </w:t>
      </w:r>
      <w:r>
        <w:rPr/>
        <w:t>年</w:t>
      </w:r>
      <w:r>
        <w:rPr>
          <w:rFonts w:ascii="宋体" w:hAnsi="宋体" w:cs="宋体" w:eastAsia="宋体" w:hint="default"/>
        </w:rPr>
        <w:t>-2019</w:t>
      </w:r>
      <w:r>
        <w:rPr/>
        <w:t>年）享受按</w:t>
      </w:r>
      <w:r>
        <w:rPr>
          <w:spacing w:val="-4"/>
        </w:rPr>
        <w:t> </w:t>
      </w:r>
      <w:r>
        <w:rPr>
          <w:rFonts w:ascii="宋体" w:hAnsi="宋体" w:cs="宋体" w:eastAsia="宋体" w:hint="default"/>
        </w:rPr>
        <w:t>15%</w:t>
      </w:r>
      <w:r>
        <w:rPr/>
        <w:t>的税率征收企 业所得税的税收优惠政策。详情请查阅巨潮资讯网公司公告（</w:t>
      </w:r>
      <w:hyperlink r:id="rId11">
        <w:r>
          <w:rPr>
            <w:rFonts w:ascii="宋体" w:hAnsi="宋体" w:cs="宋体" w:eastAsia="宋体" w:hint="default"/>
          </w:rPr>
          <w:t>www.cninfo.com.cn</w:t>
        </w:r>
      </w:hyperlink>
      <w:r>
        <w:rPr/>
        <w:t>）。</w:t>
      </w:r>
    </w:p>
    <w:p>
      <w:pPr>
        <w:pStyle w:val="BodyText"/>
        <w:spacing w:line="273" w:lineRule="auto"/>
        <w:ind w:left="574" w:right="1117"/>
        <w:jc w:val="left"/>
      </w:pPr>
      <w:r>
        <w:rPr>
          <w:rFonts w:ascii="宋体" w:hAnsi="宋体" w:cs="宋体" w:eastAsia="宋体" w:hint="default"/>
        </w:rPr>
        <w:t>2</w:t>
      </w:r>
      <w:r>
        <w:rPr/>
        <w:t>、成都农商行股权转让事项 </w:t>
      </w:r>
      <w:r>
        <w:rPr>
          <w:spacing w:val="-1"/>
        </w:rPr>
        <w:t>为进一步优化资产结构，及时收回投资收益，实施公司发展战略，经公司第四届董事会</w:t>
      </w:r>
      <w:r>
        <w:rPr>
          <w:rFonts w:ascii="宋体" w:hAnsi="宋体" w:cs="宋体" w:eastAsia="宋体" w:hint="default"/>
          <w:spacing w:val="-1"/>
        </w:rPr>
        <w:t>2018</w:t>
      </w:r>
      <w:r>
        <w:rPr>
          <w:spacing w:val="-1"/>
        </w:rPr>
        <w:t>年第一次</w:t>
      </w:r>
    </w:p>
    <w:p>
      <w:pPr>
        <w:pStyle w:val="BodyText"/>
        <w:spacing w:line="240" w:lineRule="auto"/>
        <w:ind w:right="0"/>
        <w:jc w:val="left"/>
      </w:pPr>
      <w:r>
        <w:rPr/>
        <w:t>临时会议审议通过，公司通过公开挂牌方式转让所持有的成都农村商业银行股份有限公司股权。经公司申</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9"/>
        <w:jc w:val="left"/>
      </w:pPr>
      <w:r>
        <w:rPr/>
        <w:t>请，公司所持成都农商行 </w:t>
      </w:r>
      <w:r>
        <w:rPr>
          <w:rFonts w:ascii="宋体" w:hAnsi="宋体" w:cs="宋体" w:eastAsia="宋体" w:hint="default"/>
        </w:rPr>
        <w:t>3000</w:t>
      </w:r>
      <w:r>
        <w:rPr>
          <w:rFonts w:ascii="宋体" w:hAnsi="宋体" w:cs="宋体" w:eastAsia="宋体" w:hint="default"/>
          <w:spacing w:val="-27"/>
        </w:rPr>
        <w:t> </w:t>
      </w:r>
      <w:r>
        <w:rPr/>
        <w:t>万股股权已于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w:t>
      </w:r>
      <w:r>
        <w:rPr/>
        <w:t>日在北京产权交易所成功挂牌，截至本报告披露 日，挂牌信息披露期限已满，公司未征集到意向投资方。 具体情况请查阅巨潮资讯网公司公告</w:t>
      </w:r>
    </w:p>
    <w:p>
      <w:pPr>
        <w:pStyle w:val="BodyText"/>
        <w:spacing w:line="273" w:lineRule="auto"/>
        <w:ind w:left="574" w:right="6237" w:hanging="420"/>
        <w:jc w:val="left"/>
      </w:pPr>
      <w:r>
        <w:rPr/>
        <w:t>（</w:t>
      </w:r>
      <w:hyperlink r:id="rId11">
        <w:r>
          <w:rPr>
            <w:rFonts w:ascii="宋体" w:hAnsi="宋体" w:cs="宋体" w:eastAsia="宋体" w:hint="default"/>
          </w:rPr>
          <w:t>www.cninfo.com.cn</w:t>
        </w:r>
      </w:hyperlink>
      <w:r>
        <w:rPr/>
        <w:t>）。</w:t>
      </w:r>
      <w:r>
        <w:rPr>
          <w:spacing w:val="-2"/>
        </w:rPr>
        <w:t> </w:t>
      </w:r>
      <w:r>
        <w:rPr>
          <w:rFonts w:ascii="宋体" w:hAnsi="宋体" w:cs="宋体" w:eastAsia="宋体" w:hint="default"/>
        </w:rPr>
        <w:t>3</w:t>
      </w:r>
      <w:r>
        <w:rPr/>
        <w:t>、以集中竞价交易方式回购公司股份的事项</w:t>
      </w:r>
    </w:p>
    <w:p>
      <w:pPr>
        <w:pStyle w:val="BodyText"/>
        <w:spacing w:line="273" w:lineRule="auto" w:before="8"/>
        <w:ind w:right="1017" w:firstLine="420"/>
        <w:jc w:val="left"/>
      </w:pPr>
      <w:r>
        <w:rPr>
          <w:spacing w:val="-3"/>
        </w:rPr>
        <w:t>为维护广大股东利益，公司拟以自有资金回购公司股份，回购的股份将依法予以注销并减少注册资本，</w:t>
      </w:r>
      <w:r>
        <w:rPr/>
        <w:t> 本次回购股份的方式为通过深圳证券交易所股票交易系统以集中竞价交易方式回购公司发行的</w:t>
      </w:r>
      <w:r>
        <w:rPr>
          <w:rFonts w:ascii="宋体" w:hAnsi="宋体" w:cs="宋体" w:eastAsia="宋体" w:hint="default"/>
        </w:rPr>
        <w:t>A</w:t>
      </w:r>
      <w:r>
        <w:rPr/>
        <w:t>股社会公 众股。拟回购资金总额为不超过</w:t>
      </w:r>
      <w:r>
        <w:rPr>
          <w:rFonts w:ascii="宋体" w:hAnsi="宋体" w:cs="宋体" w:eastAsia="宋体" w:hint="default"/>
        </w:rPr>
        <w:t>15,000</w:t>
      </w:r>
      <w:r>
        <w:rPr/>
        <w:t>万元人民币</w:t>
      </w:r>
      <w:r>
        <w:rPr>
          <w:rFonts w:ascii="宋体" w:hAnsi="宋体" w:cs="宋体" w:eastAsia="宋体" w:hint="default"/>
        </w:rPr>
        <w:t>,</w:t>
      </w:r>
      <w:r>
        <w:rPr/>
        <w:t>回购股份价格不超过人民币</w:t>
      </w:r>
      <w:r>
        <w:rPr>
          <w:rFonts w:ascii="宋体" w:hAnsi="宋体" w:cs="宋体" w:eastAsia="宋体" w:hint="default"/>
        </w:rPr>
        <w:t>13</w:t>
      </w:r>
      <w:r>
        <w:rPr/>
        <w:t>元</w:t>
      </w:r>
      <w:r>
        <w:rPr>
          <w:rFonts w:ascii="宋体" w:hAnsi="宋体" w:cs="宋体" w:eastAsia="宋体" w:hint="default"/>
        </w:rPr>
        <w:t>/</w:t>
      </w:r>
      <w:r>
        <w:rPr/>
        <w:t>股。本次回购股份相 关事项经公司第四届董事会</w:t>
      </w:r>
      <w:r>
        <w:rPr>
          <w:rFonts w:ascii="宋体" w:hAnsi="宋体" w:cs="宋体" w:eastAsia="宋体" w:hint="default"/>
        </w:rPr>
        <w:t>2018</w:t>
      </w:r>
      <w:r>
        <w:rPr/>
        <w:t>年第四次临时会议以及</w:t>
      </w:r>
      <w:r>
        <w:rPr>
          <w:rFonts w:ascii="宋体" w:hAnsi="宋体" w:cs="宋体" w:eastAsia="宋体" w:hint="default"/>
        </w:rPr>
        <w:t>2018</w:t>
      </w:r>
      <w:r>
        <w:rPr/>
        <w:t>年第一次临时股东大会审议通过。截止到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日，公司累计回购股份数量</w:t>
      </w:r>
      <w:r>
        <w:rPr>
          <w:rFonts w:ascii="宋体" w:hAnsi="宋体" w:cs="宋体" w:eastAsia="宋体" w:hint="default"/>
        </w:rPr>
        <w:t>1,407,950</w:t>
      </w:r>
      <w:r>
        <w:rPr/>
        <w:t>股，占公司总股本的</w:t>
      </w:r>
      <w:r>
        <w:rPr>
          <w:rFonts w:ascii="宋体" w:hAnsi="宋体" w:cs="宋体" w:eastAsia="宋体" w:hint="default"/>
        </w:rPr>
        <w:t>0.2808%</w:t>
      </w:r>
      <w:r>
        <w:rPr/>
        <w:t>，购买股份最高成交价为</w:t>
      </w:r>
    </w:p>
    <w:p>
      <w:pPr>
        <w:pStyle w:val="BodyText"/>
        <w:spacing w:line="273" w:lineRule="auto"/>
        <w:ind w:right="1117"/>
        <w:jc w:val="left"/>
      </w:pPr>
      <w:r>
        <w:rPr>
          <w:rFonts w:ascii="宋体" w:hAnsi="宋体" w:cs="宋体" w:eastAsia="宋体" w:hint="default"/>
          <w:spacing w:val="-1"/>
        </w:rPr>
        <w:t>6.56</w:t>
      </w:r>
      <w:r>
        <w:rPr>
          <w:spacing w:val="-1"/>
        </w:rPr>
        <w:t>元</w:t>
      </w:r>
      <w:r>
        <w:rPr>
          <w:rFonts w:ascii="宋体" w:hAnsi="宋体" w:cs="宋体" w:eastAsia="宋体" w:hint="default"/>
          <w:spacing w:val="-1"/>
        </w:rPr>
        <w:t>/</w:t>
      </w:r>
      <w:r>
        <w:rPr>
          <w:spacing w:val="-1"/>
        </w:rPr>
        <w:t>股，购买股份最低成交价为</w:t>
      </w:r>
      <w:r>
        <w:rPr>
          <w:rFonts w:ascii="宋体" w:hAnsi="宋体" w:cs="宋体" w:eastAsia="宋体" w:hint="default"/>
          <w:spacing w:val="-1"/>
        </w:rPr>
        <w:t>6.02</w:t>
      </w:r>
      <w:r>
        <w:rPr>
          <w:spacing w:val="-1"/>
        </w:rPr>
        <w:t>元</w:t>
      </w:r>
      <w:r>
        <w:rPr>
          <w:rFonts w:ascii="宋体" w:hAnsi="宋体" w:cs="宋体" w:eastAsia="宋体" w:hint="default"/>
          <w:spacing w:val="-1"/>
        </w:rPr>
        <w:t>/</w:t>
      </w:r>
      <w:r>
        <w:rPr>
          <w:spacing w:val="-1"/>
        </w:rPr>
        <w:t>股，回购金额总计</w:t>
      </w:r>
      <w:r>
        <w:rPr>
          <w:rFonts w:ascii="宋体" w:hAnsi="宋体" w:cs="宋体" w:eastAsia="宋体" w:hint="default"/>
          <w:spacing w:val="-1"/>
        </w:rPr>
        <w:t>8,858,611.29</w:t>
      </w:r>
      <w:r>
        <w:rPr>
          <w:spacing w:val="-1"/>
        </w:rPr>
        <w:t>元。详细情况请查阅巨潮资讯</w:t>
      </w:r>
      <w:r>
        <w:rPr>
          <w:spacing w:val="-75"/>
        </w:rPr>
        <w:t> </w:t>
      </w:r>
      <w:r>
        <w:rPr>
          <w:spacing w:val="-75"/>
        </w:rPr>
      </w:r>
      <w:r>
        <w:rPr/>
        <w:t>网（</w:t>
      </w:r>
      <w:hyperlink r:id="rId11">
        <w:r>
          <w:rPr>
            <w:rFonts w:ascii="宋体" w:hAnsi="宋体" w:cs="宋体" w:eastAsia="宋体" w:hint="default"/>
          </w:rPr>
          <w:t>http://www.cninfo.com.cn</w:t>
        </w:r>
      </w:hyperlink>
      <w:r>
        <w:rPr/>
        <w:t>）。</w:t>
      </w:r>
    </w:p>
    <w:p>
      <w:pPr>
        <w:pStyle w:val="BodyText"/>
        <w:spacing w:line="273" w:lineRule="auto"/>
        <w:ind w:left="574" w:right="1117"/>
        <w:jc w:val="left"/>
      </w:pPr>
      <w:r>
        <w:rPr>
          <w:rFonts w:ascii="宋体" w:hAnsi="宋体" w:cs="宋体" w:eastAsia="宋体" w:hint="default"/>
        </w:rPr>
        <w:t>4</w:t>
      </w:r>
      <w:r>
        <w:rPr/>
        <w:t>、关于签署框架协议暨对外投资事项 </w:t>
      </w:r>
      <w:r>
        <w:rPr>
          <w:spacing w:val="-1"/>
        </w:rPr>
        <w:t>经公司第四届董事会</w:t>
      </w:r>
      <w:r>
        <w:rPr>
          <w:rFonts w:ascii="宋体" w:hAnsi="宋体" w:cs="宋体" w:eastAsia="宋体" w:hint="default"/>
          <w:spacing w:val="-1"/>
        </w:rPr>
        <w:t>2018</w:t>
      </w:r>
      <w:r>
        <w:rPr>
          <w:spacing w:val="-1"/>
        </w:rPr>
        <w:t>年第五次临时会议审议批准，公司与香港弗兰德科技有限公司于福州签署了</w:t>
      </w:r>
    </w:p>
    <w:p>
      <w:pPr>
        <w:pStyle w:val="BodyText"/>
        <w:spacing w:line="273" w:lineRule="auto"/>
        <w:ind w:right="1023"/>
        <w:jc w:val="left"/>
      </w:pPr>
      <w:r>
        <w:rPr>
          <w:spacing w:val="-1"/>
        </w:rPr>
        <w:t>《弗兰德科技（深圳）有限公司股权转让框架协议书》，公司拟以现金</w:t>
      </w:r>
      <w:r>
        <w:rPr>
          <w:rFonts w:ascii="宋体" w:hAnsi="宋体" w:cs="宋体" w:eastAsia="宋体" w:hint="default"/>
          <w:spacing w:val="-1"/>
        </w:rPr>
        <w:t>3.45</w:t>
      </w:r>
      <w:r>
        <w:rPr>
          <w:spacing w:val="-1"/>
        </w:rPr>
        <w:t>亿元收购弗兰德科技</w:t>
      </w:r>
      <w:r>
        <w:rPr>
          <w:rFonts w:ascii="宋体" w:hAnsi="宋体" w:cs="宋体" w:eastAsia="宋体" w:hint="default"/>
          <w:spacing w:val="-1"/>
        </w:rPr>
        <w:t>30%</w:t>
      </w:r>
      <w:r>
        <w:rPr>
          <w:spacing w:val="-1"/>
        </w:rPr>
        <w:t>股权。</w:t>
      </w:r>
      <w:r>
        <w:rPr>
          <w:spacing w:val="-81"/>
        </w:rPr>
        <w:t> </w:t>
      </w:r>
      <w:r>
        <w:rPr>
          <w:spacing w:val="-81"/>
        </w:rPr>
      </w:r>
      <w:r>
        <w:rPr/>
        <w:t>公司将在弗兰德科技审计等工作完成后，与弗兰德科技股东另行签署正式的股权转让协议，履行相应的审</w:t>
      </w:r>
      <w:r>
        <w:rPr/>
        <w:t> 批程序。</w:t>
      </w:r>
    </w:p>
    <w:p>
      <w:pPr>
        <w:pStyle w:val="BodyText"/>
        <w:spacing w:line="273" w:lineRule="auto"/>
        <w:ind w:left="574" w:right="1117"/>
        <w:jc w:val="left"/>
      </w:pPr>
      <w:r>
        <w:rPr>
          <w:rFonts w:ascii="宋体" w:hAnsi="宋体" w:cs="宋体" w:eastAsia="宋体" w:hint="default"/>
        </w:rPr>
        <w:t>5</w:t>
      </w:r>
      <w:r>
        <w:rPr/>
        <w:t>、关于公司收到现金股利事项 </w:t>
      </w:r>
      <w:r>
        <w:rPr>
          <w:spacing w:val="-1"/>
        </w:rPr>
        <w:t>根据中证信用增进股份有限公司</w:t>
      </w:r>
      <w:r>
        <w:rPr>
          <w:rFonts w:ascii="宋体" w:hAnsi="宋体" w:cs="宋体" w:eastAsia="宋体" w:hint="default"/>
          <w:spacing w:val="-1"/>
        </w:rPr>
        <w:t>2017</w:t>
      </w:r>
      <w:r>
        <w:rPr>
          <w:spacing w:val="-1"/>
        </w:rPr>
        <w:t>年年度股东大会决议，公司共计持有中证信用</w:t>
      </w:r>
      <w:r>
        <w:rPr>
          <w:rFonts w:ascii="宋体" w:hAnsi="宋体" w:cs="宋体" w:eastAsia="宋体" w:hint="default"/>
          <w:spacing w:val="-1"/>
        </w:rPr>
        <w:t>6500</w:t>
      </w:r>
      <w:r>
        <w:rPr>
          <w:spacing w:val="-1"/>
        </w:rPr>
        <w:t>万股，持股比</w:t>
      </w:r>
    </w:p>
    <w:p>
      <w:pPr>
        <w:pStyle w:val="BodyText"/>
        <w:spacing w:line="273" w:lineRule="auto"/>
        <w:ind w:left="574" w:right="4452" w:hanging="420"/>
        <w:jc w:val="left"/>
      </w:pPr>
      <w:r>
        <w:rPr/>
        <w:t>例</w:t>
      </w:r>
      <w:r>
        <w:rPr>
          <w:rFonts w:ascii="宋体" w:hAnsi="宋体" w:cs="宋体" w:eastAsia="宋体" w:hint="default"/>
        </w:rPr>
        <w:t>1.42%</w:t>
      </w:r>
      <w:r>
        <w:rPr/>
        <w:t>，共计分红金额为</w:t>
      </w:r>
      <w:r>
        <w:rPr>
          <w:rFonts w:ascii="宋体" w:hAnsi="宋体" w:cs="宋体" w:eastAsia="宋体" w:hint="default"/>
        </w:rPr>
        <w:t>260</w:t>
      </w:r>
      <w:r>
        <w:rPr/>
        <w:t>万元，目前公司已收到上述分红款项。 </w:t>
      </w:r>
      <w:r>
        <w:rPr>
          <w:rFonts w:ascii="宋体" w:hAnsi="宋体" w:cs="宋体" w:eastAsia="宋体" w:hint="default"/>
        </w:rPr>
        <w:t>6</w:t>
      </w:r>
      <w:r>
        <w:rPr/>
        <w:t>、</w:t>
      </w:r>
      <w:r>
        <w:rPr>
          <w:spacing w:val="-1"/>
        </w:rPr>
        <w:t> </w:t>
      </w:r>
      <w:r>
        <w:rPr/>
        <w:t>部分限制性股票回购注销完成的事项</w:t>
      </w:r>
    </w:p>
    <w:p>
      <w:pPr>
        <w:pStyle w:val="BodyText"/>
        <w:spacing w:line="273" w:lineRule="auto"/>
        <w:ind w:right="1214" w:firstLine="420"/>
        <w:jc w:val="both"/>
      </w:pPr>
      <w:r>
        <w:rPr/>
        <w:t>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12</w:t>
      </w:r>
      <w:r>
        <w:rPr/>
        <w:t>日公告对因离职已不符合激励条件的原激励对象、因</w:t>
      </w:r>
      <w:r>
        <w:rPr>
          <w:rFonts w:ascii="宋体" w:hAnsi="宋体" w:cs="宋体" w:eastAsia="宋体" w:hint="default"/>
        </w:rPr>
        <w:t>2017</w:t>
      </w:r>
      <w:r>
        <w:rPr/>
        <w:t>年度业绩考核未达目标 条件的其余激励对象已获授但尚未解锁的限制性股票</w:t>
      </w:r>
      <w:r>
        <w:rPr>
          <w:rFonts w:ascii="宋体" w:hAnsi="宋体" w:cs="宋体" w:eastAsia="宋体" w:hint="default"/>
        </w:rPr>
        <w:t>1,416,000</w:t>
      </w:r>
      <w:r>
        <w:rPr/>
        <w:t>股完成回购注销。详细情况请查阅巨潮资 讯网（</w:t>
      </w:r>
      <w:hyperlink r:id="rId11">
        <w:r>
          <w:rPr>
            <w:rFonts w:ascii="宋体" w:hAnsi="宋体" w:cs="宋体" w:eastAsia="宋体" w:hint="default"/>
          </w:rPr>
          <w:t>http://www.cninfo.com.cn</w:t>
        </w:r>
      </w:hyperlink>
      <w:r>
        <w:rPr/>
        <w:t>）。</w:t>
      </w:r>
    </w:p>
    <w:p>
      <w:pPr>
        <w:pStyle w:val="BodyText"/>
        <w:spacing w:line="273" w:lineRule="auto"/>
        <w:ind w:left="574" w:right="1302"/>
        <w:jc w:val="left"/>
      </w:pPr>
      <w:r>
        <w:rPr>
          <w:rFonts w:ascii="宋体" w:hAnsi="宋体" w:cs="宋体" w:eastAsia="宋体" w:hint="default"/>
        </w:rPr>
        <w:t>7</w:t>
      </w:r>
      <w:r>
        <w:rPr/>
        <w:t>、终止股权激励计划事项 经公司第四届董事会</w:t>
      </w:r>
      <w:r>
        <w:rPr>
          <w:rFonts w:ascii="宋体" w:hAnsi="宋体" w:cs="宋体" w:eastAsia="宋体" w:hint="default"/>
        </w:rPr>
        <w:t>2018</w:t>
      </w:r>
      <w:r>
        <w:rPr/>
        <w:t>年第五次临时会议及</w:t>
      </w:r>
      <w:r>
        <w:rPr>
          <w:rFonts w:ascii="宋体" w:hAnsi="宋体" w:cs="宋体" w:eastAsia="宋体" w:hint="default"/>
        </w:rPr>
        <w:t>2018</w:t>
      </w:r>
      <w:r>
        <w:rPr/>
        <w:t>年第二次临时股东大会审议，同意公司终止实施</w:t>
      </w:r>
    </w:p>
    <w:p>
      <w:pPr>
        <w:pStyle w:val="BodyText"/>
        <w:spacing w:line="273" w:lineRule="auto"/>
        <w:ind w:right="1092"/>
        <w:jc w:val="left"/>
      </w:pPr>
      <w:r>
        <w:rPr>
          <w:rFonts w:ascii="宋体" w:hAnsi="宋体" w:cs="宋体" w:eastAsia="宋体" w:hint="default"/>
        </w:rPr>
        <w:t>2016</w:t>
      </w:r>
      <w:r>
        <w:rPr/>
        <w:t>年限制性股票激励计划并回购注销已授予但尚未解除限售的限制性股票共计</w:t>
      </w:r>
      <w:r>
        <w:rPr>
          <w:rFonts w:ascii="宋体" w:hAnsi="宋体" w:cs="宋体" w:eastAsia="宋体" w:hint="default"/>
        </w:rPr>
        <w:t>1,584,000</w:t>
      </w:r>
      <w:r>
        <w:rPr/>
        <w:t>股。截至本报 告披露日，上述股份已完成回购注销手续。详细情况请查阅巨潮资讯网（</w:t>
      </w:r>
      <w:hyperlink r:id="rId11">
        <w:r>
          <w:rPr>
            <w:rFonts w:ascii="宋体" w:hAnsi="宋体" w:cs="宋体" w:eastAsia="宋体" w:hint="default"/>
          </w:rPr>
          <w:t>http://www.cninfo.com.cn</w:t>
        </w:r>
      </w:hyperlink>
      <w:r>
        <w:rPr/>
        <w:t>）。</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二十、公司子公司重大事项" w:id="110"/>
      <w:bookmarkEnd w:id="110"/>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1117"/>
        <w:jc w:val="left"/>
        <w:rPr>
          <w:b w:val="0"/>
          <w:bCs w:val="0"/>
        </w:rPr>
      </w:pPr>
      <w:bookmarkStart w:name="第六节 股份变动及股东情况" w:id="111"/>
      <w:bookmarkEnd w:id="111"/>
      <w:r>
        <w:rPr>
          <w:b w:val="0"/>
          <w:bCs w:val="0"/>
        </w:rPr>
      </w:r>
      <w:bookmarkStart w:name="_bookmark5" w:id="112"/>
      <w:bookmarkEnd w:id="11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股份变动情况" w:id="113"/>
      <w:bookmarkEnd w:id="11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股份变动情况" w:id="114"/>
      <w:bookmarkEnd w:id="11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17.37%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2,281,501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2,281,501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89,634,29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17.88%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17.37%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2,281,501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2,281,501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89,634,29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17.88%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17.37%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2,281,501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2,281,501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89,634,29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17.88%</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415,399,4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82.63%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-3,697,50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-3,697,50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415,399,4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82.63%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-3,697,50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-3,697,50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502,752,2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-1,416,00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-1,416,00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501,336,2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97" w:firstLine="420"/>
        <w:jc w:val="left"/>
      </w:pPr>
      <w:r>
        <w:rPr>
          <w:rFonts w:ascii="宋体" w:hAnsi="宋体" w:cs="宋体" w:eastAsia="宋体" w:hint="default"/>
        </w:rPr>
        <w:t>1.</w:t>
      </w:r>
      <w:r>
        <w:rPr/>
        <w:t>公司董事、监事、高级管理人员所持股份自任职之日起每年按其前一年度末所持股份的</w:t>
      </w:r>
      <w:r>
        <w:rPr>
          <w:rFonts w:ascii="宋体" w:hAnsi="宋体" w:cs="宋体" w:eastAsia="宋体" w:hint="default"/>
        </w:rPr>
        <w:t>75%</w:t>
      </w:r>
      <w:r>
        <w:rPr/>
        <w:t>锁定为 高管锁定股。</w:t>
      </w:r>
    </w:p>
    <w:p>
      <w:pPr>
        <w:pStyle w:val="BodyText"/>
        <w:spacing w:line="240" w:lineRule="auto"/>
        <w:ind w:left="574" w:right="1117"/>
        <w:jc w:val="left"/>
      </w:pPr>
      <w:r>
        <w:rPr>
          <w:rFonts w:ascii="宋体" w:hAnsi="宋体" w:cs="宋体" w:eastAsia="宋体" w:hint="default"/>
        </w:rPr>
        <w:t>2.</w:t>
      </w:r>
      <w:r>
        <w:rPr/>
        <w:t>报告期内，公司控股股东、实际控制人之一</w:t>
      </w:r>
      <w:r>
        <w:rPr>
          <w:spacing w:val="-5"/>
        </w:rPr>
        <w:t> </w:t>
      </w:r>
      <w:r>
        <w:rPr/>
        <w:t>尤友鸾先生根据增持计划增持股份</w:t>
      </w:r>
      <w:r>
        <w:rPr>
          <w:rFonts w:ascii="宋体" w:hAnsi="宋体" w:cs="宋体" w:eastAsia="宋体" w:hint="default"/>
        </w:rPr>
        <w:t>4,930,000</w:t>
      </w:r>
      <w:r>
        <w:rPr/>
        <w:t>股</w:t>
      </w:r>
      <w:r>
        <w:rPr>
          <w:rFonts w:ascii="宋体" w:hAnsi="宋体" w:cs="宋体" w:eastAsia="宋体" w:hint="default"/>
        </w:rPr>
        <w:t>(</w:t>
      </w:r>
      <w:r>
        <w:rPr/>
        <w:t>占公</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1197" w:hanging="420"/>
        <w:jc w:val="left"/>
      </w:pPr>
      <w:r>
        <w:rPr/>
        <w:t>司总股本的比例为</w:t>
      </w:r>
      <w:r>
        <w:rPr>
          <w:rFonts w:ascii="宋体" w:hAnsi="宋体" w:cs="宋体" w:eastAsia="宋体" w:hint="default"/>
        </w:rPr>
        <w:t>0.98%</w:t>
      </w:r>
      <w:r>
        <w:rPr/>
        <w:t>），其中</w:t>
      </w:r>
      <w:r>
        <w:rPr>
          <w:rFonts w:ascii="宋体" w:hAnsi="宋体" w:cs="宋体" w:eastAsia="宋体" w:hint="default"/>
        </w:rPr>
        <w:t>3,697,500</w:t>
      </w:r>
      <w:r>
        <w:rPr/>
        <w:t>股自动锁定为高管锁定股。 </w:t>
      </w:r>
      <w:r>
        <w:rPr>
          <w:rFonts w:ascii="宋体" w:hAnsi="宋体" w:cs="宋体" w:eastAsia="宋体" w:hint="default"/>
        </w:rPr>
        <w:t>3.</w:t>
      </w: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22</w:t>
      </w:r>
      <w:r>
        <w:rPr/>
        <w:t>日召开第四届董事会第七次会议，审议通过《关于回购注销部分限制性股票并</w:t>
      </w:r>
    </w:p>
    <w:p>
      <w:pPr>
        <w:pStyle w:val="BodyText"/>
        <w:spacing w:line="273" w:lineRule="auto"/>
        <w:ind w:right="1131"/>
        <w:jc w:val="both"/>
      </w:pPr>
      <w:r>
        <w:rPr>
          <w:spacing w:val="-1"/>
        </w:rPr>
        <w:t>减资的议案》，同意对因离职已不符合激励条件的原激励对象、因业绩考核未达目标条件的其余激励对象</w:t>
      </w:r>
      <w:r>
        <w:rPr>
          <w:spacing w:val="-83"/>
        </w:rPr>
        <w:t> </w:t>
      </w:r>
      <w:r>
        <w:rPr>
          <w:spacing w:val="-83"/>
        </w:rPr>
      </w:r>
      <w:r>
        <w:rPr>
          <w:spacing w:val="-1"/>
        </w:rPr>
        <w:t>已获授但尚未解锁的限制性股票</w:t>
      </w:r>
      <w:r>
        <w:rPr>
          <w:rFonts w:ascii="宋体" w:hAnsi="宋体" w:cs="宋体" w:eastAsia="宋体" w:hint="default"/>
          <w:spacing w:val="-1"/>
        </w:rPr>
        <w:t>1,416,000</w:t>
      </w:r>
      <w:r>
        <w:rPr>
          <w:spacing w:val="-1"/>
        </w:rPr>
        <w:t>股进行回购注销。本次注销完成后，公司总股本由</w:t>
      </w:r>
      <w:r>
        <w:rPr>
          <w:rFonts w:ascii="宋体" w:hAnsi="宋体" w:cs="宋体" w:eastAsia="宋体" w:hint="default"/>
          <w:spacing w:val="-1"/>
        </w:rPr>
        <w:t>502,752,213</w:t>
      </w:r>
      <w:r>
        <w:rPr>
          <w:rFonts w:ascii="宋体" w:hAnsi="宋体" w:cs="宋体" w:eastAsia="宋体" w:hint="default"/>
          <w:spacing w:val="-73"/>
        </w:rPr>
        <w:t> </w:t>
      </w:r>
      <w:r>
        <w:rPr>
          <w:rFonts w:ascii="宋体" w:hAnsi="宋体" w:cs="宋体" w:eastAsia="宋体" w:hint="default"/>
          <w:spacing w:val="-73"/>
        </w:rPr>
      </w:r>
      <w:r>
        <w:rPr/>
        <w:t>股变为</w:t>
      </w:r>
      <w:r>
        <w:rPr>
          <w:rFonts w:ascii="宋体" w:hAnsi="宋体" w:cs="宋体" w:eastAsia="宋体" w:hint="default"/>
        </w:rPr>
        <w:t>501,336,213</w:t>
      </w:r>
      <w:r>
        <w:rPr/>
        <w:t>股。</w:t>
      </w:r>
    </w:p>
    <w:p>
      <w:pPr>
        <w:spacing w:before="74"/>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17" w:firstLine="420"/>
        <w:jc w:val="left"/>
      </w:pP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22</w:t>
      </w:r>
      <w:r>
        <w:rPr/>
        <w:t>日召开第四届董事会第七次会议，审议通过《关于回购注销部分限制性股票并减 </w:t>
      </w:r>
      <w:r>
        <w:rPr>
          <w:spacing w:val="-1"/>
        </w:rPr>
        <w:t>资的议案》，同意对因离职已不符合激励条件的原激励对象、因业绩考核未达目标条件的其余激励对象已</w:t>
      </w:r>
      <w:r>
        <w:rPr>
          <w:spacing w:val="-83"/>
        </w:rPr>
        <w:t> </w:t>
      </w:r>
      <w:r>
        <w:rPr>
          <w:spacing w:val="-83"/>
        </w:rPr>
      </w:r>
      <w:r>
        <w:rPr/>
        <w:t>获授但尚未解锁的限制性股票</w:t>
      </w:r>
      <w:r>
        <w:rPr>
          <w:rFonts w:ascii="宋体" w:hAnsi="宋体" w:cs="宋体" w:eastAsia="宋体" w:hint="default"/>
        </w:rPr>
        <w:t>1,416,000</w:t>
      </w:r>
      <w:r>
        <w:rPr/>
        <w:t>股进行回购注销。</w:t>
      </w:r>
    </w:p>
    <w:p>
      <w:pPr>
        <w:spacing w:before="74"/>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7"/>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before="42"/>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97" w:firstLine="420"/>
        <w:jc w:val="left"/>
      </w:pPr>
      <w:r>
        <w:rPr/>
        <w:t>截止到</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28</w:t>
      </w:r>
      <w:r>
        <w:rPr/>
        <w:t>日，公司累计回购股份数量</w:t>
      </w:r>
      <w:r>
        <w:rPr>
          <w:rFonts w:ascii="宋体" w:hAnsi="宋体" w:cs="宋体" w:eastAsia="宋体" w:hint="default"/>
        </w:rPr>
        <w:t>1,407,950</w:t>
      </w:r>
      <w:r>
        <w:rPr/>
        <w:t>股，占公司总股本的</w:t>
      </w:r>
      <w:r>
        <w:rPr>
          <w:rFonts w:ascii="宋体" w:hAnsi="宋体" w:cs="宋体" w:eastAsia="宋体" w:hint="default"/>
        </w:rPr>
        <w:t>0.2808%</w:t>
      </w:r>
      <w:r>
        <w:rPr/>
        <w:t>，购买股份最 高成交价为</w:t>
      </w:r>
      <w:r>
        <w:rPr>
          <w:rFonts w:ascii="宋体" w:hAnsi="宋体" w:cs="宋体" w:eastAsia="宋体" w:hint="default"/>
        </w:rPr>
        <w:t>6.56</w:t>
      </w:r>
      <w:r>
        <w:rPr/>
        <w:t>元</w:t>
      </w:r>
      <w:r>
        <w:rPr>
          <w:rFonts w:ascii="宋体" w:hAnsi="宋体" w:cs="宋体" w:eastAsia="宋体" w:hint="default"/>
        </w:rPr>
        <w:t>/</w:t>
      </w:r>
      <w:r>
        <w:rPr/>
        <w:t>股，购买股份最低成交价为</w:t>
      </w:r>
      <w:r>
        <w:rPr>
          <w:rFonts w:ascii="宋体" w:hAnsi="宋体" w:cs="宋体" w:eastAsia="宋体" w:hint="default"/>
        </w:rPr>
        <w:t>6.02</w:t>
      </w:r>
      <w:r>
        <w:rPr/>
        <w:t>元</w:t>
      </w:r>
      <w:r>
        <w:rPr>
          <w:rFonts w:ascii="宋体" w:hAnsi="宋体" w:cs="宋体" w:eastAsia="宋体" w:hint="default"/>
        </w:rPr>
        <w:t>/</w:t>
      </w:r>
      <w:r>
        <w:rPr/>
        <w:t>股，回购金额总计</w:t>
      </w:r>
      <w:r>
        <w:rPr>
          <w:rFonts w:ascii="宋体" w:hAnsi="宋体" w:cs="宋体" w:eastAsia="宋体" w:hint="default"/>
        </w:rPr>
        <w:t>8,858,611.29</w:t>
      </w:r>
      <w:r>
        <w:rPr/>
        <w:t>元。</w:t>
      </w:r>
    </w:p>
    <w:p>
      <w:pPr>
        <w:spacing w:before="74"/>
        <w:ind w:left="154" w:right="0" w:firstLine="0"/>
        <w:jc w:val="both"/>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40" w:lineRule="auto" w:before="116"/>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限售股份变动情况" w:id="115"/>
      <w:bookmarkEnd w:id="11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36" w:firstLine="0"/>
        <w:jc w:val="right"/>
        <w:rPr>
          <w:rFonts w:ascii="宋体" w:hAnsi="宋体" w:cs="宋体" w:eastAsia="宋体" w:hint="default"/>
          <w:sz w:val="18"/>
          <w:szCs w:val="18"/>
        </w:rPr>
      </w:pPr>
      <w:r>
        <w:rPr/>
        <w:pict>
          <v:shape style="position:absolute;margin-left:56.459999pt;margin-top:-36.578274pt;width:479.35pt;height:170.0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高管限售股份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9"/>
                          <w:jc w:val="both"/>
                          <w:rPr>
                            <w:rFonts w:ascii="宋体" w:hAnsi="宋体" w:cs="宋体" w:eastAsia="宋体" w:hint="default"/>
                            <w:sz w:val="18"/>
                            <w:szCs w:val="18"/>
                          </w:rPr>
                        </w:pPr>
                        <w:r>
                          <w:rPr>
                            <w:rFonts w:ascii="宋体" w:hAnsi="宋体" w:cs="宋体" w:eastAsia="宋体" w:hint="default"/>
                            <w:spacing w:val="-6"/>
                            <w:sz w:val="18"/>
                            <w:szCs w:val="18"/>
                          </w:rPr>
                          <w:t>公司董事、监事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高级管理人员所 持股份自任职之 日起每年按其前 一年度末所持股 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10,452,000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7"/>
        <w:jc w:val="left"/>
        <w:rPr>
          <w:b w:val="0"/>
          <w:bCs w:val="0"/>
        </w:rPr>
      </w:pPr>
      <w:bookmarkStart w:name="二、证券发行与上市情况" w:id="116"/>
      <w:bookmarkEnd w:id="11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报告期内证券发行（不含优先股）情况" w:id="117"/>
      <w:bookmarkEnd w:id="11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2、公司股份总数及股东结构的变动、公司资产和负债结构的变动情况说明" w:id="118"/>
      <w:bookmarkEnd w:id="11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7"/>
        <w:ind w:right="1117" w:firstLine="420"/>
        <w:jc w:val="left"/>
      </w:pP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22</w:t>
      </w:r>
      <w:r>
        <w:rPr/>
        <w:t>日召开第四届董事会第七次会议，审议通过《关于回购注销部分限制性股票并 </w:t>
      </w:r>
      <w:r>
        <w:rPr>
          <w:spacing w:val="-1"/>
        </w:rPr>
        <w:t>减资的议案》，同意对因离职已不符合激励条件的原激励对象、因业绩考核未达目标条件的其余激励对象</w:t>
      </w:r>
      <w:r>
        <w:rPr>
          <w:spacing w:val="-83"/>
        </w:rPr>
        <w:t> </w:t>
      </w:r>
      <w:r>
        <w:rPr>
          <w:spacing w:val="-83"/>
        </w:rPr>
      </w:r>
      <w:r>
        <w:rPr>
          <w:spacing w:val="-1"/>
        </w:rPr>
        <w:t>已获授但尚未解锁的限制性股票</w:t>
      </w:r>
      <w:r>
        <w:rPr>
          <w:rFonts w:ascii="宋体" w:hAnsi="宋体" w:cs="宋体" w:eastAsia="宋体" w:hint="default"/>
          <w:spacing w:val="-1"/>
        </w:rPr>
        <w:t>1,416,000</w:t>
      </w:r>
      <w:r>
        <w:rPr>
          <w:spacing w:val="-1"/>
        </w:rPr>
        <w:t>股进行回购注销。本次注销完成后，公司总股本由</w:t>
      </w:r>
      <w:r>
        <w:rPr>
          <w:rFonts w:ascii="宋体" w:hAnsi="宋体" w:cs="宋体" w:eastAsia="宋体" w:hint="default"/>
          <w:spacing w:val="-1"/>
        </w:rPr>
        <w:t>502,752,213</w:t>
      </w:r>
      <w:r>
        <w:rPr>
          <w:rFonts w:ascii="宋体" w:hAnsi="宋体" w:cs="宋体" w:eastAsia="宋体" w:hint="default"/>
          <w:spacing w:val="-72"/>
        </w:rPr>
        <w:t> </w:t>
      </w:r>
      <w:r>
        <w:rPr/>
        <w:t>股变为</w:t>
      </w:r>
      <w:r>
        <w:rPr>
          <w:rFonts w:ascii="宋体" w:hAnsi="宋体" w:cs="宋体" w:eastAsia="宋体" w:hint="default"/>
        </w:rPr>
        <w:t>501,336,213</w:t>
      </w:r>
      <w:r>
        <w:rPr/>
        <w:t>股。</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3、现存的内部职工股情况" w:id="119"/>
      <w:bookmarkEnd w:id="11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三、股东和实际控制人情况" w:id="120"/>
      <w:bookmarkEnd w:id="12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公司股东数量及持股情况" w:id="121"/>
      <w:bookmarkEnd w:id="12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47,845</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46,848</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14.90%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74,715,00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56,036,25</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71,550,000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41,590,75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41,590,75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41,590,000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5.71%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28,613,14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21,459,85</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7,153,286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10,452,00</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3,484,000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12,420,000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兴证证券资管－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8,945,326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8,945,326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光大银行－兴证 资管鑫众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w:t>
            </w:r>
            <w:r>
              <w:rPr>
                <w:rFonts w:ascii="宋体" w:hAnsi="宋体" w:cs="宋体" w:eastAsia="宋体" w:hint="default"/>
                <w:spacing w:val="1"/>
                <w:sz w:val="18"/>
                <w:szCs w:val="18"/>
              </w:rPr>
              <w:t> </w:t>
            </w:r>
            <w:r>
              <w:rPr>
                <w:rFonts w:ascii="宋体" w:hAnsi="宋体" w:cs="宋体" w:eastAsia="宋体" w:hint="default"/>
                <w:sz w:val="18"/>
                <w:szCs w:val="18"/>
              </w:rPr>
              <w:t>合资产管理计划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北信瑞丰基金－ 工商银行－华润 深国投信托－银 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号集合资金信 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5,686,763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5,686,763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陕西省国际信托 股份有限公司－ 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荣湾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证券投资集合资 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5,600,100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份有限公司－景 顺长城量化精选 股票型证券投资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3,879,095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3,879,095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2,907,000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93"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本公司前十名股东中尤丽娟、尤玉仙、尤友岳、尤友鸾、尤雪仙、章棉桃系同一家 族成员，兴证证券资管－光大银行－兴证资管鑫众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号集合资产管理计划为公司实 际控制人家族设立的用于增持公司股份的资产管理计划。</w:t>
            </w:r>
          </w:p>
          <w:p>
            <w:pPr>
              <w:pStyle w:val="TableParagraph"/>
              <w:spacing w:line="302" w:lineRule="auto" w:before="71"/>
              <w:ind w:left="15"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除上述股东外，公司未知其他股东之间是否存在关联关系或属于《上市公司收购管 理办法》中规定的一致行动人。</w:t>
            </w:r>
          </w:p>
        </w:tc>
      </w:tr>
      <w:tr>
        <w:trPr>
          <w:trHeight w:val="703"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493"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41,590,750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41,590,750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18,678,750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18,678,750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兴证证券资管－光大银行－兴证资 管鑫众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8,945,326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8,945,326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7,153,286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7,153,286</w:t>
            </w:r>
          </w:p>
        </w:tc>
      </w:tr>
      <w:tr>
        <w:trPr>
          <w:trHeight w:val="67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北信瑞丰基金－工商银行－华润深 国投信托－银安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5,686,763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5,686,763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陕西省国际信托股份有限公司－陕 国投</w:t>
            </w:r>
            <w:r>
              <w:rPr>
                <w:rFonts w:ascii="Times New Roman" w:hAnsi="Times New Roman" w:cs="Times New Roman" w:eastAsia="Times New Roman" w:hint="default"/>
                <w:sz w:val="18"/>
                <w:szCs w:val="18"/>
              </w:rPr>
              <w:t>·</w:t>
            </w:r>
            <w:r>
              <w:rPr>
                <w:rFonts w:ascii="宋体" w:hAnsi="宋体" w:cs="宋体" w:eastAsia="宋体" w:hint="default"/>
                <w:sz w:val="18"/>
                <w:szCs w:val="18"/>
              </w:rPr>
              <w:t>荣湾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 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5,600,100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中国建设银行股份有限公司－景顺 长城量化精选股票型证券投资基金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3,879,095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3,879,095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3,484,000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2,907,000</w:t>
            </w:r>
          </w:p>
        </w:tc>
      </w:tr>
      <w:tr>
        <w:trPr>
          <w:trHeight w:val="169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本公司前十名股东中尤玉仙、尤丽娟、尤友岳、尤雪仙系同一家族成员，兴证证券 资管－光大银行－兴证资管鑫众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号集合资产管理计划为公司实际控制人家族设立 的用于增持公司股份的资产管理计划。</w:t>
            </w:r>
          </w:p>
          <w:p>
            <w:pPr>
              <w:pStyle w:val="TableParagraph"/>
              <w:spacing w:line="302" w:lineRule="auto" w:before="71"/>
              <w:ind w:left="22"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除上述股东外，公司未知其他股东之间是否存在关联关系或属于《上市公司收购管 理办法》中规定的一致行动人。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2、公司控股股东情况" w:id="122"/>
      <w:bookmarkEnd w:id="12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6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611"/>
              <w:jc w:val="left"/>
              <w:rPr>
                <w:rFonts w:ascii="宋体" w:hAnsi="宋体" w:cs="宋体" w:eastAsia="宋体" w:hint="default"/>
                <w:sz w:val="18"/>
                <w:szCs w:val="18"/>
              </w:rPr>
            </w:pPr>
            <w:r>
              <w:rPr>
                <w:rFonts w:ascii="宋体" w:hAnsi="宋体" w:cs="宋体" w:eastAsia="宋体" w:hint="default"/>
                <w:sz w:val="18"/>
                <w:szCs w:val="18"/>
              </w:rPr>
              <w:t>尤友岳：</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至今任职鸿博股份有限公司董事长。 尤丽娟：</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至今任职鸿博股份有限公司副董事长。 尤友鸾：</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至今任职鸿博股份有限公司副董事长、总经理。 尤玉仙：现任鸿博集团有限公司董事长。</w:t>
            </w:r>
          </w:p>
          <w:p>
            <w:pPr>
              <w:pStyle w:val="TableParagraph"/>
              <w:spacing w:line="357" w:lineRule="auto" w:before="42"/>
              <w:ind w:left="23" w:right="4855"/>
              <w:jc w:val="left"/>
              <w:rPr>
                <w:rFonts w:ascii="宋体" w:hAnsi="宋体" w:cs="宋体" w:eastAsia="宋体" w:hint="default"/>
                <w:sz w:val="18"/>
                <w:szCs w:val="18"/>
              </w:rPr>
            </w:pPr>
            <w:r>
              <w:rPr>
                <w:rFonts w:ascii="宋体" w:hAnsi="宋体" w:cs="宋体" w:eastAsia="宋体" w:hint="default"/>
                <w:sz w:val="18"/>
                <w:szCs w:val="18"/>
              </w:rPr>
              <w:t>尤雪仙：退休。 章棉桃：退休。</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3"/>
        <w:rPr>
          <w:rFonts w:ascii="宋体" w:hAnsi="宋体" w:cs="宋体" w:eastAsia="宋体" w:hint="default"/>
          <w:sz w:val="20"/>
          <w:szCs w:val="20"/>
        </w:rPr>
      </w:pPr>
    </w:p>
    <w:p>
      <w:pPr>
        <w:pStyle w:val="Heading4"/>
        <w:spacing w:line="240" w:lineRule="auto"/>
        <w:ind w:right="1117"/>
        <w:jc w:val="left"/>
        <w:rPr>
          <w:b w:val="0"/>
          <w:bCs w:val="0"/>
        </w:rPr>
      </w:pPr>
      <w:bookmarkStart w:name="3、公司实际控制人及其一致行动人" w:id="123"/>
      <w:bookmarkEnd w:id="12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尤雪仙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1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3" w:right="1636"/>
              <w:jc w:val="left"/>
              <w:rPr>
                <w:rFonts w:ascii="宋体" w:hAnsi="宋体" w:cs="宋体" w:eastAsia="宋体" w:hint="default"/>
                <w:sz w:val="18"/>
                <w:szCs w:val="18"/>
              </w:rPr>
            </w:pPr>
            <w:r>
              <w:rPr>
                <w:rFonts w:ascii="宋体" w:hAnsi="宋体" w:cs="宋体" w:eastAsia="宋体" w:hint="default"/>
                <w:sz w:val="18"/>
                <w:szCs w:val="18"/>
              </w:rPr>
              <w:t>尤友岳：</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至今任职鸿博股份有限公司董事长。 尤丽娟：</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至今任职鸿博股份有限公司副董事长。 尤友鸾：</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至今任职鸿博股份有限公司副董事长、总经理。 尤玉仙：现任鸿博集团有限公司董事长。</w:t>
            </w:r>
          </w:p>
          <w:p>
            <w:pPr>
              <w:pStyle w:val="TableParagraph"/>
              <w:spacing w:line="360" w:lineRule="auto" w:before="42"/>
              <w:ind w:left="23" w:right="5881"/>
              <w:jc w:val="left"/>
              <w:rPr>
                <w:rFonts w:ascii="宋体" w:hAnsi="宋体" w:cs="宋体" w:eastAsia="宋体" w:hint="default"/>
                <w:sz w:val="18"/>
                <w:szCs w:val="18"/>
              </w:rPr>
            </w:pPr>
            <w:r>
              <w:rPr>
                <w:rFonts w:ascii="宋体" w:hAnsi="宋体" w:cs="宋体" w:eastAsia="宋体" w:hint="default"/>
                <w:sz w:val="18"/>
                <w:szCs w:val="18"/>
              </w:rPr>
              <w:t>尤雪仙：退休。 章棉桃：退休。</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111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9"/>
          <w:szCs w:val="29"/>
        </w:rPr>
      </w:pPr>
    </w:p>
    <w:p>
      <w:pPr>
        <w:spacing w:line="4335" w:lineRule="exact"/>
        <w:ind w:left="1356"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92530" cy="27527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2530" cy="275272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9"/>
        <w:rPr>
          <w:rFonts w:ascii="宋体" w:hAnsi="宋体" w:cs="宋体" w:eastAsia="宋体" w:hint="default"/>
          <w:sz w:val="11"/>
          <w:szCs w:val="11"/>
        </w:rPr>
      </w:pPr>
    </w:p>
    <w:p>
      <w:pPr>
        <w:pStyle w:val="Heading3"/>
        <w:spacing w:line="240" w:lineRule="auto" w:before="26"/>
        <w:ind w:right="1117"/>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4、其他持股在10%以上的法人股东" w:id="124"/>
      <w:bookmarkEnd w:id="12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1117"/>
        <w:jc w:val="left"/>
        <w:rPr>
          <w:b w:val="0"/>
          <w:bCs w:val="0"/>
        </w:rPr>
      </w:pPr>
      <w:bookmarkStart w:name="5、控股股东、实际控制人、重组方及其他承诺主体股份限制减持情况" w:id="125"/>
      <w:bookmarkEnd w:id="12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17"/>
        <w:jc w:val="left"/>
        <w:rPr>
          <w:b w:val="0"/>
          <w:bCs w:val="0"/>
        </w:rPr>
      </w:pPr>
      <w:bookmarkStart w:name="第七节 优先股相关情况" w:id="126"/>
      <w:bookmarkEnd w:id="126"/>
      <w:r>
        <w:rPr>
          <w:b w:val="0"/>
          <w:bCs w:val="0"/>
        </w:rPr>
      </w:r>
      <w:bookmarkStart w:name="_bookmark6" w:id="127"/>
      <w:bookmarkEnd w:id="12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17"/>
        <w:jc w:val="left"/>
        <w:rPr>
          <w:b w:val="0"/>
          <w:bCs w:val="0"/>
        </w:rPr>
      </w:pPr>
      <w:bookmarkStart w:name="第八节 董事、监事、高级管理人员和员工情况" w:id="128"/>
      <w:bookmarkEnd w:id="128"/>
      <w:r>
        <w:rPr>
          <w:b w:val="0"/>
          <w:bCs w:val="0"/>
        </w:rPr>
      </w:r>
      <w:bookmarkStart w:name="_bookmark7" w:id="129"/>
      <w:bookmarkEnd w:id="12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7"/>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28,613,14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28,613,14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74,715,00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13,936,00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张京平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谢友军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11,137</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刘源海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何爱平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139,491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97,491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尹路路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黎红雷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甄兰香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113,424,8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b/>
          <w:bCs/>
          <w:sz w:val="18"/>
          <w:szCs w:val="18"/>
        </w:rPr>
      </w:pPr>
    </w:p>
    <w:p>
      <w:pPr>
        <w:pStyle w:val="Heading2"/>
        <w:spacing w:line="240" w:lineRule="auto" w:before="26"/>
        <w:ind w:right="1117"/>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张京平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因个人原因辞去董事兼副总经理职务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甄兰香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因个人原因辞去副总经理职务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因个人原因辞去监事职务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尹路路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年第一次临时会议聘为公司副总经 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第四届董事会第七次会议聘为公司副总经理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年第二次临时会议聘为公司副总经 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黎红雷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年第六次临时会议聘为公司副总经 理</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32"/>
      <w:bookmarkEnd w:id="13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73" w:lineRule="auto" w:before="90"/>
        <w:ind w:left="574" w:right="1197"/>
        <w:jc w:val="left"/>
      </w:pPr>
      <w:r>
        <w:rPr>
          <w:rFonts w:ascii="宋体" w:hAnsi="宋体" w:cs="宋体" w:eastAsia="宋体" w:hint="default"/>
        </w:rPr>
        <w:t>1.</w:t>
      </w:r>
      <w:r>
        <w:rPr/>
        <w:t>董事主要工作经历 尤友岳先生，中国国籍，长江商学院</w:t>
      </w:r>
      <w:r>
        <w:rPr>
          <w:rFonts w:ascii="宋体" w:hAnsi="宋体" w:cs="宋体" w:eastAsia="宋体" w:hint="default"/>
        </w:rPr>
        <w:t>EMBA</w:t>
      </w:r>
      <w:r>
        <w:rPr/>
        <w:t>硕士。</w:t>
      </w:r>
      <w:r>
        <w:rPr>
          <w:rFonts w:ascii="宋体" w:hAnsi="宋体" w:cs="宋体" w:eastAsia="宋体" w:hint="default"/>
        </w:rPr>
        <w:t>2003</w:t>
      </w:r>
      <w:r>
        <w:rPr/>
        <w:t>年</w:t>
      </w:r>
      <w:r>
        <w:rPr>
          <w:rFonts w:ascii="宋体" w:hAnsi="宋体" w:cs="宋体" w:eastAsia="宋体" w:hint="default"/>
        </w:rPr>
        <w:t>4</w:t>
      </w:r>
      <w:r>
        <w:rPr/>
        <w:t>月开始在鸿博股份有限公司管理企业工作，</w:t>
      </w:r>
    </w:p>
    <w:p>
      <w:pPr>
        <w:pStyle w:val="BodyText"/>
        <w:spacing w:line="273" w:lineRule="auto"/>
        <w:ind w:left="574" w:right="1117" w:hanging="420"/>
        <w:jc w:val="left"/>
      </w:pPr>
      <w:r>
        <w:rPr/>
        <w:t>曾任浙江苍南县法院执行庭副庭长，历任公司总经理，副董事长兼总经理，现任公司董事长。 </w:t>
      </w:r>
      <w:r>
        <w:rPr>
          <w:spacing w:val="-1"/>
        </w:rPr>
        <w:t>尤丽娟女士，中国国籍，工商管理硕士，清华大学</w:t>
      </w:r>
      <w:r>
        <w:rPr>
          <w:rFonts w:ascii="宋体" w:hAnsi="宋体" w:cs="宋体" w:eastAsia="宋体" w:hint="default"/>
          <w:spacing w:val="-1"/>
        </w:rPr>
        <w:t>EMBA</w:t>
      </w:r>
      <w:r>
        <w:rPr>
          <w:spacing w:val="-1"/>
        </w:rPr>
        <w:t>。曾任福州市人大代表、中国社会经济文化交</w:t>
      </w:r>
    </w:p>
    <w:p>
      <w:pPr>
        <w:pStyle w:val="BodyText"/>
        <w:spacing w:line="273" w:lineRule="auto"/>
        <w:ind w:right="1131"/>
        <w:jc w:val="both"/>
      </w:pPr>
      <w:r>
        <w:rPr>
          <w:spacing w:val="-1"/>
        </w:rPr>
        <w:t>流协会副会长、中国青年企业家协会委员、中国就业促进会理事、中国劳动学会委员，曾获得福建省第七</w:t>
      </w:r>
      <w:r>
        <w:rPr>
          <w:spacing w:val="-86"/>
        </w:rPr>
        <w:t> </w:t>
      </w:r>
      <w:r>
        <w:rPr>
          <w:spacing w:val="-86"/>
        </w:rPr>
      </w:r>
      <w:r>
        <w:rPr>
          <w:spacing w:val="-1"/>
        </w:rPr>
        <w:t>届优秀青年企业家荣誉称号。现任中国社会工作联合会彩票工作委员会副会长、中国保密协会理事、福建</w:t>
      </w:r>
      <w:r>
        <w:rPr>
          <w:spacing w:val="-83"/>
        </w:rPr>
        <w:t> </w:t>
      </w:r>
      <w:r>
        <w:rPr>
          <w:spacing w:val="-83"/>
        </w:rPr>
      </w:r>
      <w:r>
        <w:rPr/>
        <w:t>省体育产业协会副会长、公司副董事长。</w:t>
      </w:r>
    </w:p>
    <w:p>
      <w:pPr>
        <w:pStyle w:val="BodyText"/>
        <w:spacing w:line="273" w:lineRule="auto" w:before="8"/>
        <w:ind w:right="1117" w:firstLine="420"/>
        <w:jc w:val="left"/>
      </w:pPr>
      <w:r>
        <w:rPr>
          <w:spacing w:val="-1"/>
        </w:rPr>
        <w:t>尤友鸾先生，中国国籍，厦门大学</w:t>
      </w:r>
      <w:r>
        <w:rPr>
          <w:rFonts w:ascii="宋体" w:hAnsi="宋体" w:cs="宋体" w:eastAsia="宋体" w:hint="default"/>
          <w:spacing w:val="-1"/>
        </w:rPr>
        <w:t>EMBA</w:t>
      </w:r>
      <w:r>
        <w:rPr>
          <w:spacing w:val="-1"/>
        </w:rPr>
        <w:t>硕士。先后在本公司任生产部经理、副总经理、总经理特别助</w:t>
      </w:r>
      <w:r>
        <w:rPr/>
        <w:t> 理、董事，政协第十三届福州市委员会委员，现任本公司副董事长、总经理。</w:t>
      </w:r>
    </w:p>
    <w:p>
      <w:pPr>
        <w:pStyle w:val="BodyText"/>
        <w:spacing w:line="273" w:lineRule="auto"/>
        <w:ind w:right="1117" w:firstLine="420"/>
        <w:jc w:val="left"/>
      </w:pPr>
      <w:r>
        <w:rPr>
          <w:spacing w:val="-1"/>
        </w:rPr>
        <w:t>周美妹女士，中国国籍，毕业于西南财经大学，高级会计师，注册会计师，注册税务师，现任本公司</w:t>
      </w:r>
      <w:r>
        <w:rPr/>
        <w:t> 董事、财务总监。</w:t>
      </w:r>
    </w:p>
    <w:p>
      <w:pPr>
        <w:pStyle w:val="BodyText"/>
        <w:spacing w:line="273" w:lineRule="auto"/>
        <w:ind w:right="1117" w:firstLine="420"/>
        <w:jc w:val="left"/>
      </w:pPr>
      <w:r>
        <w:rPr>
          <w:spacing w:val="-1"/>
        </w:rPr>
        <w:t>李云强先生，本科学历，中国国籍，曾任福州二塑塑胶有限公司副总经理，本公司副总经理，鸿博光</w:t>
      </w:r>
      <w:r>
        <w:rPr/>
        <w:t> 电有限公司总经理，现任本公司董事兼副总经理、重庆鸿海董事总经理。</w:t>
      </w:r>
    </w:p>
    <w:p>
      <w:pPr>
        <w:pStyle w:val="BodyText"/>
        <w:spacing w:line="273" w:lineRule="auto"/>
        <w:ind w:right="1117" w:firstLine="420"/>
        <w:jc w:val="left"/>
      </w:pPr>
      <w:r>
        <w:rPr/>
        <w:t>洪</w:t>
      </w:r>
      <w:r>
        <w:rPr>
          <w:spacing w:val="-1"/>
        </w:rPr>
        <w:t> </w:t>
      </w:r>
      <w:r>
        <w:rPr/>
        <w:t>波先生，中国国籍，中共党员。中国政法大学，本科学历，法学学士学位；厦门大学，世界经济</w:t>
      </w:r>
      <w:r>
        <w:rPr/>
        <w:t> </w:t>
      </w:r>
      <w:r>
        <w:rPr>
          <w:spacing w:val="-1"/>
        </w:rPr>
        <w:t>研究生学历，经济学硕士学位。历任福建省律师协会秘书长、副会长、会长、中华全国律师协会副会长等</w:t>
      </w:r>
      <w:r>
        <w:rPr>
          <w:spacing w:val="-82"/>
        </w:rPr>
        <w:t> </w:t>
      </w:r>
      <w:r>
        <w:rPr>
          <w:spacing w:val="-82"/>
        </w:rPr>
      </w:r>
      <w:r>
        <w:rPr>
          <w:spacing w:val="-1"/>
        </w:rPr>
        <w:t>职，现为福建新世通律师事务所首席合伙人、福建省律师协会名誉会长，福州市人民政府法律顾问、第十</w:t>
      </w:r>
      <w:r>
        <w:rPr>
          <w:spacing w:val="-86"/>
        </w:rPr>
        <w:t> </w:t>
      </w:r>
      <w:r>
        <w:rPr>
          <w:spacing w:val="-86"/>
        </w:rPr>
      </w:r>
      <w:r>
        <w:rPr/>
        <w:t>三届全国人大代表，</w:t>
      </w:r>
      <w:r>
        <w:rPr>
          <w:spacing w:val="-1"/>
        </w:rPr>
        <w:t> </w:t>
      </w:r>
      <w:r>
        <w:rPr/>
        <w:t>福建东百集团股份有限公司独立董事，福建雪人股份有限公司独立董事，宁德时代</w:t>
      </w:r>
      <w:r>
        <w:rPr/>
        <w:t> 新能源科技股份有限公司独立董事，鸿博股份有限公司独立董事。</w:t>
      </w:r>
    </w:p>
    <w:p>
      <w:pPr>
        <w:pStyle w:val="BodyText"/>
        <w:spacing w:line="273" w:lineRule="auto"/>
        <w:ind w:right="1117" w:firstLine="420"/>
        <w:jc w:val="left"/>
      </w:pPr>
      <w:r>
        <w:rPr/>
        <w:t>许</w:t>
      </w:r>
      <w:r>
        <w:rPr>
          <w:spacing w:val="-1"/>
        </w:rPr>
        <w:t> </w:t>
      </w:r>
      <w:r>
        <w:rPr/>
        <w:t>萍女士，中国国籍，厦门大学会计学专业博士研究生，注册会计师。历任福州大学管理学院会计</w:t>
      </w:r>
      <w:r>
        <w:rPr/>
        <w:t> </w:t>
      </w:r>
      <w:r>
        <w:rPr>
          <w:spacing w:val="-1"/>
        </w:rPr>
        <w:t>系讲师、副教授等职，现任福州大学经济与管理学院会计系教授、硕士生导师，兼任福建省高级审计师评</w:t>
      </w:r>
      <w:r>
        <w:rPr>
          <w:spacing w:val="-86"/>
        </w:rPr>
        <w:t> </w:t>
      </w:r>
      <w:r>
        <w:rPr>
          <w:spacing w:val="-86"/>
        </w:rPr>
      </w:r>
      <w:r>
        <w:rPr>
          <w:spacing w:val="-1"/>
        </w:rPr>
        <w:t>委会评委、福建省高级会计师评委会评委、福建省首届管理会计咨询专家、福建省审计学会理事、福建省</w:t>
      </w:r>
      <w:r>
        <w:rPr>
          <w:spacing w:val="-85"/>
        </w:rPr>
        <w:t> </w:t>
      </w:r>
      <w:r>
        <w:rPr>
          <w:spacing w:val="-85"/>
        </w:rPr>
      </w:r>
      <w:r>
        <w:rPr>
          <w:spacing w:val="-1"/>
        </w:rPr>
        <w:t>注册会计师协会理事、福建省农业综合开发专家库财务专家、永辉超市股份有限公司独立董事、宁波天邦</w:t>
      </w:r>
      <w:r>
        <w:rPr>
          <w:spacing w:val="-83"/>
        </w:rPr>
        <w:t> </w:t>
      </w:r>
      <w:r>
        <w:rPr>
          <w:spacing w:val="-83"/>
        </w:rPr>
      </w:r>
      <w:r>
        <w:rPr>
          <w:spacing w:val="-1"/>
        </w:rPr>
        <w:t>股份有限公司独立董事、鸿博股份有限公司独立董事、新中冠智能科技股份有限公司独立董事、福建华博</w:t>
      </w:r>
      <w:r>
        <w:rPr>
          <w:spacing w:val="-83"/>
        </w:rPr>
        <w:t> </w:t>
      </w:r>
      <w:r>
        <w:rPr>
          <w:spacing w:val="-83"/>
        </w:rPr>
      </w:r>
      <w:r>
        <w:rPr/>
        <w:t>教育科技股份有限公司董事。</w:t>
      </w:r>
    </w:p>
    <w:p>
      <w:pPr>
        <w:pStyle w:val="BodyText"/>
        <w:spacing w:line="273" w:lineRule="auto"/>
        <w:ind w:right="1197" w:firstLine="420"/>
        <w:jc w:val="left"/>
      </w:pPr>
      <w:r>
        <w:rPr/>
        <w:t>胡穗华女士，中国国籍</w:t>
      </w:r>
      <w:r>
        <w:rPr>
          <w:rFonts w:ascii="宋体" w:hAnsi="宋体" w:cs="宋体" w:eastAsia="宋体" w:hint="default"/>
        </w:rPr>
        <w:t>,</w:t>
      </w:r>
      <w:r>
        <w:rPr/>
        <w:t>湖南大学应用数学专业，博士研究生。历任广东省经济管理干部学院营销管 理、科研与培训管理专业讲师、副教授等职</w:t>
      </w:r>
      <w:r>
        <w:rPr>
          <w:rFonts w:ascii="宋体" w:hAnsi="宋体" w:cs="宋体" w:eastAsia="宋体" w:hint="default"/>
        </w:rPr>
        <w:t>,</w:t>
      </w:r>
      <w:r>
        <w:rPr/>
        <w:t>现任广东财经大学彩票研究中心副教授、硕士生导师。</w:t>
      </w:r>
    </w:p>
    <w:p>
      <w:pPr>
        <w:pStyle w:val="BodyText"/>
        <w:spacing w:line="273" w:lineRule="auto"/>
        <w:ind w:left="574" w:right="1117"/>
        <w:jc w:val="left"/>
      </w:pPr>
      <w:r>
        <w:rPr>
          <w:rFonts w:ascii="宋体" w:hAnsi="宋体" w:cs="宋体" w:eastAsia="宋体" w:hint="default"/>
        </w:rPr>
        <w:t>2.</w:t>
      </w:r>
      <w:r>
        <w:rPr/>
        <w:t>监事主要工作经历： </w:t>
      </w:r>
      <w:r>
        <w:rPr>
          <w:spacing w:val="-1"/>
        </w:rPr>
        <w:t>谢友军先生，中国国籍，毕业于福州大学企业管理专业，曾任福建鸿博印刷股份有限公司全资子公司</w:t>
      </w:r>
    </w:p>
    <w:p>
      <w:pPr>
        <w:pStyle w:val="BodyText"/>
        <w:spacing w:line="240" w:lineRule="auto"/>
        <w:ind w:right="0"/>
        <w:jc w:val="both"/>
      </w:pPr>
      <w:r>
        <w:rPr/>
        <w:t>重庆市鸿海印务有限公司副总经理，现任本公司总裁办副主任、监事会主席。</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7" w:firstLine="420"/>
        <w:jc w:val="left"/>
      </w:pPr>
      <w:r>
        <w:rPr/>
        <w:t>何爱平女士，中国国籍，厦门大学经济学专业，本科学历。</w:t>
      </w:r>
      <w:r>
        <w:rPr>
          <w:rFonts w:ascii="宋体" w:hAnsi="宋体" w:cs="宋体" w:eastAsia="宋体" w:hint="default"/>
        </w:rPr>
        <w:t>2005</w:t>
      </w:r>
      <w:r>
        <w:rPr/>
        <w:t>年</w:t>
      </w:r>
      <w:r>
        <w:rPr>
          <w:rFonts w:ascii="宋体" w:hAnsi="宋体" w:cs="宋体" w:eastAsia="宋体" w:hint="default"/>
        </w:rPr>
        <w:t>1</w:t>
      </w:r>
      <w:r>
        <w:rPr/>
        <w:t>月加入公司，历任客服部经理、 </w:t>
      </w:r>
      <w:r>
        <w:rPr>
          <w:spacing w:val="-1"/>
        </w:rPr>
        <w:t>福州生产中心总经理助理、生产中心总经理等职，现任公司党支部书记、保密总监、总裁助理、职工代表</w:t>
      </w:r>
      <w:r>
        <w:rPr>
          <w:spacing w:val="-83"/>
        </w:rPr>
        <w:t> </w:t>
      </w:r>
      <w:r>
        <w:rPr>
          <w:spacing w:val="-83"/>
        </w:rPr>
      </w:r>
      <w:r>
        <w:rPr/>
        <w:t>监事。</w:t>
      </w:r>
    </w:p>
    <w:p>
      <w:pPr>
        <w:pStyle w:val="BodyText"/>
        <w:spacing w:line="273" w:lineRule="auto"/>
        <w:ind w:right="1117" w:firstLine="420"/>
        <w:jc w:val="left"/>
      </w:pPr>
      <w:r>
        <w:rPr>
          <w:spacing w:val="-1"/>
        </w:rPr>
        <w:t>刘源海先生，中国国籍，南开大学工商管理专业，曾任鸿博股份有线公司技术部经理，技术中心副总</w:t>
      </w:r>
      <w:r>
        <w:rPr/>
        <w:t> 经理，现任鸿博股份有限公司智能卡分公司副总经理，公司监事。</w:t>
      </w:r>
    </w:p>
    <w:p>
      <w:pPr>
        <w:pStyle w:val="BodyText"/>
        <w:spacing w:line="273" w:lineRule="auto"/>
        <w:ind w:left="574" w:right="6972"/>
        <w:jc w:val="left"/>
      </w:pPr>
      <w:r>
        <w:rPr>
          <w:rFonts w:ascii="宋体" w:hAnsi="宋体" w:cs="宋体" w:eastAsia="宋体" w:hint="default"/>
        </w:rPr>
        <w:t>3.</w:t>
      </w:r>
      <w:r>
        <w:rPr/>
        <w:t>高级管理人员工作经历 尤友鸾先生，见董事工作经历介绍。 周美妹女士，见董事工作经历介绍。</w:t>
      </w:r>
    </w:p>
    <w:p>
      <w:pPr>
        <w:pStyle w:val="BodyText"/>
        <w:spacing w:line="273" w:lineRule="auto"/>
        <w:ind w:right="1198" w:firstLine="420"/>
        <w:jc w:val="left"/>
      </w:pPr>
      <w:r>
        <w:rPr/>
        <w:t>郭</w:t>
      </w:r>
      <w:r>
        <w:rPr>
          <w:spacing w:val="-1"/>
        </w:rPr>
        <w:t> </w:t>
      </w:r>
      <w:r>
        <w:rPr/>
        <w:t>斌先生，工商管理硕士，中国国籍，曾任华融科技公司业务总监、赛博科技公司常务副总经理、</w:t>
      </w:r>
      <w:r>
        <w:rPr/>
        <w:t> 公司市场总监，现任本公司副总经理。</w:t>
      </w:r>
    </w:p>
    <w:p>
      <w:pPr>
        <w:pStyle w:val="BodyText"/>
        <w:spacing w:line="273" w:lineRule="auto"/>
        <w:ind w:left="574" w:right="1117"/>
        <w:jc w:val="left"/>
      </w:pPr>
      <w:r>
        <w:rPr/>
        <w:t>李 娟女士，大学本科，厦门大学</w:t>
      </w:r>
      <w:r>
        <w:rPr>
          <w:rFonts w:ascii="宋体" w:hAnsi="宋体" w:cs="宋体" w:eastAsia="宋体" w:hint="default"/>
        </w:rPr>
        <w:t>EMBA,</w:t>
      </w:r>
      <w:r>
        <w:rPr/>
        <w:t>中国国籍，现任本公司副总经理。 </w:t>
      </w:r>
      <w:r>
        <w:rPr>
          <w:spacing w:val="-1"/>
        </w:rPr>
        <w:t>田志文先生，男，中国国籍，中共党员，中南财经政法大学劳动人事管理专门化专业，曾任海格物流</w:t>
      </w:r>
    </w:p>
    <w:p>
      <w:pPr>
        <w:pStyle w:val="BodyText"/>
        <w:spacing w:line="273" w:lineRule="auto"/>
        <w:ind w:right="1117"/>
        <w:jc w:val="left"/>
      </w:pPr>
      <w:r>
        <w:rPr>
          <w:spacing w:val="-1"/>
        </w:rPr>
        <w:t>人力资源总监，曾任公司监事，现任鸿博股份有限公司副总经理，人资中心总监、总裁助理，北京中科彩</w:t>
      </w:r>
      <w:r>
        <w:rPr>
          <w:spacing w:val="-83"/>
        </w:rPr>
        <w:t> </w:t>
      </w:r>
      <w:r>
        <w:rPr>
          <w:spacing w:val="-83"/>
        </w:rPr>
      </w:r>
      <w:r>
        <w:rPr/>
        <w:t>技术有限公司董事，福州港龙贸易有限公司总经理。</w:t>
      </w:r>
    </w:p>
    <w:p>
      <w:pPr>
        <w:pStyle w:val="BodyText"/>
        <w:spacing w:line="273" w:lineRule="auto"/>
        <w:ind w:right="0" w:firstLine="420"/>
        <w:jc w:val="left"/>
      </w:pPr>
      <w:r>
        <w:rPr/>
        <w:t>尹路路先生，中国国籍，桂林电子工业学院通信工程专业，本科学历，曾任北京九城口岸软件有限公 </w:t>
      </w:r>
      <w:r>
        <w:rPr>
          <w:spacing w:val="-1"/>
        </w:rPr>
        <w:t>司项目经理、神州数码产品经理。</w:t>
      </w:r>
      <w:r>
        <w:rPr>
          <w:rFonts w:ascii="宋体" w:hAnsi="宋体" w:cs="宋体" w:eastAsia="宋体" w:hint="default"/>
          <w:spacing w:val="-1"/>
        </w:rPr>
        <w:t>2010</w:t>
      </w:r>
      <w:r>
        <w:rPr>
          <w:spacing w:val="-1"/>
        </w:rPr>
        <w:t>年</w:t>
      </w:r>
      <w:r>
        <w:rPr>
          <w:rFonts w:ascii="宋体" w:hAnsi="宋体" w:cs="宋体" w:eastAsia="宋体" w:hint="default"/>
          <w:spacing w:val="-1"/>
        </w:rPr>
        <w:t>5</w:t>
      </w:r>
      <w:r>
        <w:rPr>
          <w:spacing w:val="-1"/>
        </w:rPr>
        <w:t>月加入本公司，历任福建鸿博致远信息科技有限公司技术总监、</w:t>
      </w:r>
      <w:r>
        <w:rPr>
          <w:spacing w:val="-81"/>
        </w:rPr>
        <w:t> </w:t>
      </w:r>
      <w:r>
        <w:rPr>
          <w:spacing w:val="-81"/>
        </w:rPr>
      </w:r>
      <w:r>
        <w:rPr/>
        <w:t>副总经理，现任本公司副总经理。</w:t>
      </w:r>
    </w:p>
    <w:p>
      <w:pPr>
        <w:pStyle w:val="BodyText"/>
        <w:spacing w:line="273" w:lineRule="auto"/>
        <w:ind w:right="1133" w:firstLine="420"/>
        <w:jc w:val="both"/>
      </w:pPr>
      <w:r>
        <w:rPr>
          <w:spacing w:val="-1"/>
        </w:rPr>
        <w:t>黎红雷先生，男，中国国籍，江南大学工商企业管理专业，大专学历，曾任重庆市鸿海印务有限公司</w:t>
      </w:r>
      <w:r>
        <w:rPr/>
        <w:t> </w:t>
      </w:r>
      <w:r>
        <w:rPr>
          <w:spacing w:val="-1"/>
        </w:rPr>
        <w:t>生产技术部经理、技术部技术总监、营销中心营销总监，无锡双龙信息纸有限公司副总经理、鸿博股份有</w:t>
      </w:r>
      <w:r>
        <w:rPr>
          <w:spacing w:val="-86"/>
        </w:rPr>
        <w:t> </w:t>
      </w:r>
      <w:r>
        <w:rPr>
          <w:spacing w:val="-86"/>
        </w:rPr>
      </w:r>
      <w:r>
        <w:rPr/>
        <w:t>限公司票证事业部总经理、营销中心总经理、四川鸿海印务有限公司总经理，现任公司副总经理。</w:t>
      </w:r>
    </w:p>
    <w:p>
      <w:pPr>
        <w:pStyle w:val="BodyText"/>
        <w:spacing w:line="273" w:lineRule="auto"/>
        <w:ind w:right="1017" w:firstLine="420"/>
        <w:jc w:val="left"/>
      </w:pPr>
      <w:r>
        <w:rPr>
          <w:spacing w:val="-3"/>
        </w:rPr>
        <w:t>陈显章先生，大学本科学历，中国国籍。历任公司投资专员、总经理秘书等职，现任本公司副总经理、</w:t>
      </w:r>
      <w:r>
        <w:rPr/>
        <w:t> 董事会秘书。</w:t>
      </w:r>
    </w:p>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福建新世通律师事务所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福建省律师协会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名誉会长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福建东百集团股份有限公司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福建雪人股份有限公司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宁德时代新能源科技股份有限公司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福州大学管理学院会计系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永辉超市股份有限公司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宁波天邦股份有限公司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新中冠智能科技股份有限公司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福建华博教育科技股份有限公司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广东财经大学彩票研究中心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北京金锋实验室科技有限公司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广州联存医药科技股份有限公司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黎红雷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北京中晟安达科技有限公司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89"/>
        <w:ind w:right="1130" w:firstLine="420"/>
        <w:jc w:val="both"/>
      </w:pPr>
      <w:r>
        <w:rPr>
          <w:rFonts w:ascii="宋体" w:hAnsi="宋体" w:cs="宋体" w:eastAsia="宋体" w:hint="default"/>
          <w:spacing w:val="-1"/>
        </w:rPr>
        <w:t>1.</w:t>
      </w:r>
      <w:r>
        <w:rPr>
          <w:spacing w:val="-1"/>
        </w:rPr>
        <w:t>董事、监事、高级管理人员报酬的决策程序：公司建立了完善的高级管理人员绩效考评体系和薪酬</w:t>
      </w:r>
      <w:r>
        <w:rPr/>
        <w:t> </w:t>
      </w:r>
      <w:r>
        <w:rPr>
          <w:spacing w:val="-1"/>
        </w:rPr>
        <w:t>考核制度，高级管理人员的工作绩效与其收入挂钩。董事会薪酬与考核委员会负责对高级管理人员的工作</w:t>
      </w:r>
      <w:r>
        <w:rPr>
          <w:spacing w:val="-80"/>
        </w:rPr>
        <w:t> </w:t>
      </w:r>
      <w:r>
        <w:rPr>
          <w:spacing w:val="-80"/>
        </w:rPr>
      </w:r>
      <w:r>
        <w:rPr>
          <w:spacing w:val="-1"/>
        </w:rPr>
        <w:t>能力、履职情况、责任目标完成情况等进行年终考评，制定薪酬方案并提交董事会审议。公司董事、监事</w:t>
      </w:r>
      <w:r>
        <w:rPr>
          <w:spacing w:val="-83"/>
        </w:rPr>
        <w:t> </w:t>
      </w:r>
      <w:r>
        <w:rPr>
          <w:spacing w:val="-83"/>
        </w:rPr>
      </w:r>
      <w:r>
        <w:rPr/>
        <w:t>薪酬由公司股东大会审议批准。</w:t>
      </w:r>
    </w:p>
    <w:p>
      <w:pPr>
        <w:pStyle w:val="BodyText"/>
        <w:spacing w:line="273" w:lineRule="auto"/>
        <w:ind w:right="1023" w:firstLine="420"/>
        <w:jc w:val="left"/>
      </w:pPr>
      <w:r>
        <w:rPr>
          <w:rFonts w:ascii="宋体" w:hAnsi="宋体" w:cs="宋体" w:eastAsia="宋体" w:hint="default"/>
        </w:rPr>
        <w:t>2.</w:t>
      </w:r>
      <w:r>
        <w:rPr/>
        <w:t>董事、监事、高级管理人员报酬的确定依据：公司董事（不含独立董事）、高级管理人员报酬依据 公司现行的薪酬制度并参考公司经营业绩和个人绩效考核指标来确定，独立董事报酬参照行业平均水平由 </w:t>
      </w:r>
      <w:r>
        <w:rPr>
          <w:spacing w:val="-3"/>
        </w:rPr>
        <w:t>股东大会审议批准。公司监事多兼任公司其他职务，故公司采用监事津贴的方式支付担任监事职务的报酬，</w:t>
      </w:r>
      <w:r>
        <w:rPr>
          <w:spacing w:val="-92"/>
        </w:rPr>
        <w:t> </w:t>
      </w:r>
      <w:r>
        <w:rPr>
          <w:spacing w:val="-92"/>
        </w:rPr>
      </w:r>
      <w:r>
        <w:rPr/>
        <w:t>监事津贴金额由监事会审议通过后报股东大会审议批准。</w:t>
      </w:r>
    </w:p>
    <w:p>
      <w:pPr>
        <w:pStyle w:val="BodyText"/>
        <w:spacing w:line="273" w:lineRule="auto"/>
        <w:ind w:right="1131" w:firstLine="420"/>
        <w:jc w:val="both"/>
      </w:pPr>
      <w:r>
        <w:rPr>
          <w:rFonts w:ascii="宋体" w:hAnsi="宋体" w:cs="宋体" w:eastAsia="宋体" w:hint="default"/>
          <w:spacing w:val="-1"/>
        </w:rPr>
        <w:t>3.</w:t>
      </w:r>
      <w:r>
        <w:rPr>
          <w:spacing w:val="-1"/>
        </w:rPr>
        <w:t>董事、监事、高级管理人员报酬的支付情况：公司董事（不含独立董事）、高级管理人员薪酬总额</w:t>
      </w:r>
      <w:r>
        <w:rPr/>
        <w:t> </w:t>
      </w:r>
      <w:r>
        <w:rPr>
          <w:spacing w:val="-1"/>
        </w:rPr>
        <w:t>为基本薪酬加上绩效薪酬，基本薪酬按月支付，绩效薪酬在年度结束后由薪酬与考核委员会考核、确认后</w:t>
      </w:r>
      <w:r>
        <w:rPr>
          <w:spacing w:val="-83"/>
        </w:rPr>
        <w:t> </w:t>
      </w:r>
      <w:r>
        <w:rPr>
          <w:spacing w:val="-83"/>
        </w:rPr>
      </w:r>
      <w:r>
        <w:rPr/>
        <w:t>支付。监事津贴、独立董事薪酬均按月支付。</w:t>
      </w:r>
    </w:p>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张京平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谢友军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刘源海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何爱平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尹路路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黎红雷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甄兰香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455.36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五、公司员工情况" w:id="134"/>
      <w:bookmarkEnd w:id="13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w:t>
            </w:r>
          </w:p>
        </w:tc>
      </w:tr>
    </w:tbl>
    <w:p>
      <w:pPr>
        <w:spacing w:line="240" w:lineRule="auto" w:before="2"/>
        <w:rPr>
          <w:rFonts w:ascii="宋体" w:hAnsi="宋体" w:cs="宋体" w:eastAsia="宋体" w:hint="default"/>
          <w:b/>
          <w:bCs/>
          <w:sz w:val="19"/>
          <w:szCs w:val="19"/>
        </w:rPr>
      </w:pPr>
    </w:p>
    <w:p>
      <w:pPr>
        <w:pStyle w:val="Heading4"/>
        <w:spacing w:line="240" w:lineRule="auto" w:before="35"/>
        <w:ind w:right="1117"/>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为体现同类岗位不同任职人个性的差异，同类岗位工资分为若干档，公司可根据任职人任职资格、绩</w:t>
      </w:r>
      <w:r>
        <w:rPr/>
        <w:t> </w:t>
      </w:r>
      <w:r>
        <w:rPr>
          <w:spacing w:val="-1"/>
        </w:rPr>
        <w:t>效、特殊能力等差异支付不同的岗位工资标准。新员工的入职定薪依据面试及考核结果，对照相应岗位的</w:t>
      </w:r>
      <w:r>
        <w:rPr>
          <w:spacing w:val="-83"/>
        </w:rPr>
        <w:t> </w:t>
      </w:r>
      <w:r>
        <w:rPr>
          <w:spacing w:val="-83"/>
        </w:rPr>
      </w:r>
      <w:r>
        <w:rPr>
          <w:spacing w:val="-1"/>
        </w:rPr>
        <w:t>工资标准核定。相同岗位薪档较多的，人力资源部门和用人部门应该制定详细的任职资格，根据任职资格</w:t>
      </w:r>
      <w:r>
        <w:rPr>
          <w:spacing w:val="-83"/>
        </w:rPr>
        <w:t> </w:t>
      </w:r>
      <w:r>
        <w:rPr>
          <w:spacing w:val="-83"/>
        </w:rPr>
      </w:r>
      <w:r>
        <w:rPr/>
        <w:t>等级规定相对应的入职薪级，使定薪有客观标准和依据。</w:t>
      </w:r>
    </w:p>
    <w:p>
      <w:pPr>
        <w:pStyle w:val="BodyText"/>
        <w:spacing w:line="273" w:lineRule="auto"/>
        <w:ind w:right="1131" w:firstLine="420"/>
        <w:jc w:val="both"/>
      </w:pPr>
      <w:r>
        <w:rPr>
          <w:spacing w:val="-1"/>
        </w:rPr>
        <w:t>与公司签有正式聘用合同的员工，其工资按月发放。未与公司签订正式聘用合同的临时员工，其工资</w:t>
      </w:r>
      <w:r>
        <w:rPr/>
        <w:t> 按双方约定发放。</w:t>
      </w:r>
    </w:p>
    <w:p>
      <w:pPr>
        <w:pStyle w:val="BodyText"/>
        <w:spacing w:line="273" w:lineRule="auto"/>
        <w:ind w:right="1111" w:firstLine="420"/>
        <w:jc w:val="both"/>
      </w:pPr>
      <w:r>
        <w:rPr>
          <w:spacing w:val="-1"/>
        </w:rPr>
        <w:t>公司每年度年终根据同行业平均薪酬水平、公司综合绩效、公司人力资源规划目标、公司财务实际支</w:t>
      </w:r>
      <w:r>
        <w:rPr/>
        <w:t> 付能力等因素，对员工薪酬水平进行必要调整。人力资源部门定期监测市场薪资行情（以中位值为基准） </w:t>
      </w:r>
      <w:r>
        <w:rPr>
          <w:spacing w:val="-1"/>
        </w:rPr>
        <w:t>的变化，并结合每年通货膨胀率水平以及公司整体效益，提出局部或整体薪酬体系调整意见（原则上每年</w:t>
      </w:r>
      <w:r>
        <w:rPr>
          <w:spacing w:val="-83"/>
        </w:rPr>
        <w:t> </w:t>
      </w:r>
      <w:r>
        <w:rPr>
          <w:spacing w:val="-83"/>
        </w:rPr>
      </w:r>
      <w:r>
        <w:rPr/>
        <w:t>整体提升</w:t>
      </w:r>
      <w:r>
        <w:rPr>
          <w:rFonts w:ascii="宋体" w:hAnsi="宋体" w:cs="宋体" w:eastAsia="宋体" w:hint="default"/>
        </w:rPr>
        <w:t>3-5%</w:t>
      </w:r>
      <w:r>
        <w:rPr/>
        <w:t>），呈总经理审核。</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rFonts w:ascii="宋体" w:hAnsi="宋体" w:cs="宋体" w:eastAsia="宋体" w:hint="default"/>
          <w:spacing w:val="-1"/>
        </w:rPr>
        <w:t>1.</w:t>
      </w:r>
      <w:r>
        <w:rPr>
          <w:spacing w:val="-1"/>
        </w:rPr>
        <w:t>建立培训资源网络，进一步丰富企业培训资源。公司业务的广泛性也决定了公司各部门培训需求的</w:t>
      </w:r>
      <w:r>
        <w:rPr/>
        <w:t> </w:t>
      </w:r>
      <w:r>
        <w:rPr>
          <w:spacing w:val="-1"/>
        </w:rPr>
        <w:t>多元化。为了较好的满足广大干部职工的培训需求，选择合适的培训课程，培训讲师，配置合适的培训资</w:t>
      </w:r>
      <w:r>
        <w:rPr>
          <w:spacing w:val="-86"/>
        </w:rPr>
        <w:t> </w:t>
      </w:r>
      <w:r>
        <w:rPr>
          <w:spacing w:val="-86"/>
        </w:rPr>
      </w:r>
      <w:r>
        <w:rPr>
          <w:spacing w:val="-1"/>
        </w:rPr>
        <w:t>源，需要取得大量及时、准确的培训信息，扩大培训业务联系，建立起有效的培训资源网络。积极与比较</w:t>
      </w:r>
      <w:r>
        <w:rPr>
          <w:spacing w:val="-83"/>
        </w:rPr>
        <w:t> </w:t>
      </w:r>
      <w:r>
        <w:rPr>
          <w:spacing w:val="-83"/>
        </w:rPr>
      </w:r>
      <w:r>
        <w:rPr>
          <w:spacing w:val="-1"/>
        </w:rPr>
        <w:t>强势的专业机构保持好战略性的合作伙伴关系，及时掌握前沿的动态信息，并横向了解到业界相关的热门</w:t>
      </w:r>
      <w:r>
        <w:rPr>
          <w:spacing w:val="-81"/>
        </w:rPr>
        <w:t> </w:t>
      </w:r>
      <w:r>
        <w:rPr>
          <w:spacing w:val="-81"/>
        </w:rPr>
      </w:r>
      <w:r>
        <w:rPr/>
        <w:t>需求，调整思路，并就某些具体项目达成合作协议。</w:t>
      </w:r>
    </w:p>
    <w:p>
      <w:pPr>
        <w:pStyle w:val="BodyText"/>
        <w:spacing w:line="273" w:lineRule="auto"/>
        <w:ind w:right="1023" w:firstLine="420"/>
        <w:jc w:val="left"/>
      </w:pPr>
      <w:r>
        <w:rPr>
          <w:rFonts w:ascii="宋体" w:hAnsi="宋体" w:cs="宋体" w:eastAsia="宋体" w:hint="default"/>
        </w:rPr>
        <w:t>2.</w:t>
      </w:r>
      <w:r>
        <w:rPr/>
        <w:t>建立一支富有实践经验，熟悉现实情形的内部讲师团队。培训需求的多元性和企业内培训资源的有 限性的矛盾，已经越来越突出。建立一支富有实践经验，熟悉现实情形的内部讲师团队就变的越发重要。 培养起自己的内部讲师团队，首先大大节约了公司有限的培训经费，其次，为公司培养了一批各个领域内 </w:t>
      </w:r>
      <w:r>
        <w:rPr>
          <w:spacing w:val="-3"/>
        </w:rPr>
        <w:t>的专家，再次，也可以在广大职工中树立起学习的榜样，培养广大员工的自主学习意思。以往的实践表明，</w:t>
      </w:r>
      <w:r>
        <w:rPr>
          <w:spacing w:val="-96"/>
        </w:rPr>
        <w:t> </w:t>
      </w:r>
      <w:r>
        <w:rPr>
          <w:spacing w:val="-96"/>
        </w:rPr>
      </w:r>
      <w:r>
        <w:rPr/>
        <w:t>企业高级主管对企业经营认识之深刻、解释之透彻更容易让大家接受和理解，应该积极倡导高级主管都为</w:t>
      </w:r>
      <w:r>
        <w:rPr/>
        <w:t> 集团培训工作做出良好的表率。在具体措施上，重点加强对管理人员各项培训的同时，也从制度上明确、 选拔优秀管理人员作为企业内部讲师。</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93"/>
        <w:jc w:val="center"/>
        <w:rPr>
          <w:b w:val="0"/>
          <w:bCs w:val="0"/>
        </w:rPr>
      </w:pPr>
      <w:bookmarkStart w:name="第九节 公司治理" w:id="139"/>
      <w:bookmarkEnd w:id="139"/>
      <w:r>
        <w:rPr>
          <w:b w:val="0"/>
          <w:bCs w:val="0"/>
        </w:rPr>
      </w:r>
      <w:bookmarkStart w:name="_bookmark8" w:id="140"/>
      <w:bookmarkEnd w:id="14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报告期内，公司严格按照《公司法》、《证券法》、《上市公司治理准则》和《深圳证券交易所股票</w:t>
      </w:r>
      <w:r>
        <w:rPr/>
        <w:t> </w:t>
      </w:r>
      <w:r>
        <w:rPr>
          <w:spacing w:val="-1"/>
        </w:rPr>
        <w:t>上市规则》等有关法律、法规的规定，不断完善公司法人治理结构，健全内部控制体系，进一步规范公司</w:t>
      </w:r>
      <w:r>
        <w:rPr>
          <w:spacing w:val="-83"/>
        </w:rPr>
        <w:t> </w:t>
      </w:r>
      <w:r>
        <w:rPr>
          <w:spacing w:val="-83"/>
        </w:rPr>
      </w:r>
      <w:r>
        <w:rPr>
          <w:spacing w:val="-1"/>
        </w:rPr>
        <w:t>运作。公司建立了以股东大会为权力机构、董事会为决策机构、监事会为监督机构、高级管理层为经营管</w:t>
      </w:r>
      <w:r>
        <w:rPr>
          <w:spacing w:val="-85"/>
        </w:rPr>
        <w:t> </w:t>
      </w:r>
      <w:r>
        <w:rPr>
          <w:spacing w:val="-85"/>
        </w:rPr>
      </w:r>
      <w:r>
        <w:rPr>
          <w:spacing w:val="-1"/>
        </w:rPr>
        <w:t>理机构的独立法人治理结构，不断修订完善公司治理规章制度，形成了健全的三会运作、完善的内控管理</w:t>
      </w:r>
      <w:r>
        <w:rPr>
          <w:spacing w:val="-83"/>
        </w:rPr>
        <w:t> </w:t>
      </w:r>
      <w:r>
        <w:rPr>
          <w:spacing w:val="-83"/>
        </w:rPr>
      </w:r>
      <w:r>
        <w:rPr/>
        <w:t>和严格的监督体系，实现了各机构之间的相互协调及有效运作。</w:t>
      </w:r>
    </w:p>
    <w:p>
      <w:pPr>
        <w:spacing w:before="74"/>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17"/>
        <w:jc w:val="left"/>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23" w:firstLine="420"/>
        <w:jc w:val="left"/>
      </w:pPr>
      <w:r>
        <w:rPr/>
        <w:t>公司在业务、资产、人员、机构、财务等方面均独立于股东。公司具有独立完整的业务体系及面向市 场独立经营的能力，不依赖于股东及其他任何关联方，与控股股东不存在同业竞争的情况。公司拥有生产 经营所需的完整的资产，所需的技术也为公司合法独立拥有，产权清晰。公司设立有独立的财务部门，配 </w:t>
      </w:r>
      <w:r>
        <w:rPr>
          <w:spacing w:val="-3"/>
        </w:rPr>
        <w:t>备了专职的财务会计人员，并建立了独立的会计核算体系和财务管理制度，独立纳税，独立做出财务决策，</w:t>
      </w:r>
      <w:r>
        <w:rPr>
          <w:spacing w:val="-90"/>
        </w:rPr>
        <w:t> </w:t>
      </w:r>
      <w:r>
        <w:rPr>
          <w:spacing w:val="-90"/>
        </w:rPr>
      </w:r>
      <w:r>
        <w:rPr/>
        <w:t>公司财务人员与控股股东财务人员分开，各司其职。公司董事、监事、高级管理人员及核心技术人员不存</w:t>
      </w:r>
      <w:r>
        <w:rPr/>
        <w:t> 在法律禁止的交叉任职的情形。公司生产经营、采购销售、人事管理也完全独立。</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right="1117"/>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1"/>
        <w:rPr>
          <w:rFonts w:ascii="宋体" w:hAnsi="宋体" w:cs="宋体" w:eastAsia="宋体" w:hint="default"/>
          <w:sz w:val="19"/>
          <w:szCs w:val="19"/>
        </w:rPr>
      </w:pPr>
    </w:p>
    <w:p>
      <w:pPr>
        <w:pStyle w:val="Heading4"/>
        <w:spacing w:line="240" w:lineRule="auto"/>
        <w:ind w:right="1117"/>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right="1117"/>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4"/>
        <w:ind w:right="1131" w:firstLine="420"/>
        <w:jc w:val="both"/>
      </w:pPr>
      <w:r>
        <w:rPr>
          <w:spacing w:val="-1"/>
        </w:rPr>
        <w:t>公司管理层重视与独立董事的沟通交流，充分保障独立董事的知情权。同时，独立董事也不定期与公</w:t>
      </w:r>
      <w:r>
        <w:rPr/>
        <w:t> </w:t>
      </w:r>
      <w:r>
        <w:rPr>
          <w:spacing w:val="-1"/>
        </w:rPr>
        <w:t>司管理层就公司经营情况展开交流，共同探讨市场发展趋势、内部控制、财务管理、公司经营管理改进等</w:t>
      </w:r>
      <w:r>
        <w:rPr>
          <w:spacing w:val="-86"/>
        </w:rPr>
        <w:t> </w:t>
      </w:r>
      <w:r>
        <w:rPr>
          <w:spacing w:val="-86"/>
        </w:rPr>
      </w:r>
      <w:r>
        <w:rPr>
          <w:spacing w:val="-1"/>
        </w:rPr>
        <w:t>事项。各位独立董事基于自身的专业角度提出建议与观点。对于独立董事给出的意见和建议，公司管理层</w:t>
      </w:r>
      <w:r>
        <w:rPr>
          <w:spacing w:val="-83"/>
        </w:rPr>
        <w:t> </w:t>
      </w:r>
      <w:r>
        <w:rPr>
          <w:spacing w:val="-83"/>
        </w:rPr>
      </w:r>
      <w:r>
        <w:rPr/>
        <w:t>给予了高度重视，并积极配合。</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5502"/>
        <w:jc w:val="left"/>
      </w:pPr>
      <w:r>
        <w:rPr>
          <w:rFonts w:ascii="宋体" w:hAnsi="宋体" w:cs="宋体" w:eastAsia="宋体" w:hint="default"/>
        </w:rPr>
        <w:t>1</w:t>
      </w:r>
      <w:r>
        <w:rPr/>
        <w:t>、提名委员会履职情况 报告期内，公司董事会提名委员会未召开相关会议。 </w:t>
      </w:r>
      <w:r>
        <w:rPr>
          <w:rFonts w:ascii="宋体" w:hAnsi="宋体" w:cs="宋体" w:eastAsia="宋体" w:hint="default"/>
        </w:rPr>
        <w:t>2</w:t>
      </w:r>
      <w:r>
        <w:rPr/>
        <w:t>、审计委员会履职情况</w:t>
      </w:r>
    </w:p>
    <w:p>
      <w:pPr>
        <w:pStyle w:val="BodyText"/>
        <w:spacing w:line="273" w:lineRule="auto"/>
        <w:ind w:right="1017" w:firstLine="420"/>
        <w:jc w:val="left"/>
      </w:pPr>
      <w:r>
        <w:rPr>
          <w:spacing w:val="-3"/>
        </w:rPr>
        <w:t>报告期内，第四届董事会审计委员会共召开五次审计委员会议，每季度对公司内部控制制度执行情况、</w:t>
      </w:r>
      <w:r>
        <w:rPr/>
        <w:t> 内部审计机构审计情况做检查，并向董事会做报告。在董事会审计委员会督促下，公司进一步完善了公司 内部控制体系的建设，健全了公司法人治理结构，有效维护了公司股东特别是中小股东的利益。</w:t>
      </w:r>
    </w:p>
    <w:p>
      <w:pPr>
        <w:pStyle w:val="BodyText"/>
        <w:spacing w:line="273" w:lineRule="auto" w:before="8"/>
        <w:ind w:left="574" w:right="1092"/>
        <w:jc w:val="left"/>
      </w:pPr>
      <w:r>
        <w:rPr>
          <w:rFonts w:ascii="宋体" w:hAnsi="宋体" w:cs="宋体" w:eastAsia="宋体" w:hint="default"/>
        </w:rPr>
        <w:t>3</w:t>
      </w:r>
      <w:r>
        <w:rPr/>
        <w:t>、薪酬与考核委员会履职情况 报告期内，公司第四届董事会薪酬与考核委员会召开了</w:t>
      </w:r>
      <w:r>
        <w:rPr>
          <w:rFonts w:ascii="宋体" w:hAnsi="宋体" w:cs="宋体" w:eastAsia="宋体" w:hint="default"/>
        </w:rPr>
        <w:t>2018</w:t>
      </w:r>
      <w:r>
        <w:rPr/>
        <w:t>年第一次会议。审议通过了《关于董事、</w:t>
      </w:r>
    </w:p>
    <w:p>
      <w:pPr>
        <w:pStyle w:val="BodyText"/>
        <w:spacing w:line="273" w:lineRule="auto"/>
        <w:ind w:right="1117"/>
        <w:jc w:val="left"/>
      </w:pPr>
      <w:r>
        <w:rPr>
          <w:spacing w:val="-1"/>
        </w:rPr>
        <w:t>高管人员</w:t>
      </w:r>
      <w:r>
        <w:rPr>
          <w:rFonts w:ascii="宋体" w:hAnsi="宋体" w:cs="宋体" w:eastAsia="宋体" w:hint="default"/>
          <w:spacing w:val="-1"/>
        </w:rPr>
        <w:t>2017</w:t>
      </w:r>
      <w:r>
        <w:rPr>
          <w:spacing w:val="-1"/>
        </w:rPr>
        <w:t>年度绩效考核结果的议案》和《关于董事、高管人员</w:t>
      </w:r>
      <w:r>
        <w:rPr>
          <w:rFonts w:ascii="宋体" w:hAnsi="宋体" w:cs="宋体" w:eastAsia="宋体" w:hint="default"/>
          <w:spacing w:val="-1"/>
        </w:rPr>
        <w:t>2018</w:t>
      </w:r>
      <w:r>
        <w:rPr>
          <w:spacing w:val="-1"/>
        </w:rPr>
        <w:t>年绩效激励方案》。通过审议人力</w:t>
      </w:r>
      <w:r>
        <w:rPr>
          <w:spacing w:val="-80"/>
        </w:rPr>
        <w:t> </w:t>
      </w:r>
      <w:r>
        <w:rPr>
          <w:spacing w:val="-80"/>
        </w:rPr>
      </w:r>
      <w:r>
        <w:rPr>
          <w:spacing w:val="-1"/>
        </w:rPr>
        <w:t>资源部门提交各项材料，客观公正的评价了公司经营管理层</w:t>
      </w:r>
      <w:r>
        <w:rPr>
          <w:rFonts w:ascii="宋体" w:hAnsi="宋体" w:cs="宋体" w:eastAsia="宋体" w:hint="default"/>
          <w:spacing w:val="-1"/>
        </w:rPr>
        <w:t>2017</w:t>
      </w:r>
      <w:r>
        <w:rPr>
          <w:spacing w:val="-1"/>
        </w:rPr>
        <w:t>年的工作业绩，并根据现实情况制定了经</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7602" w:hanging="420"/>
        <w:jc w:val="left"/>
      </w:pPr>
      <w:r>
        <w:rPr/>
        <w:t>营管理层</w:t>
      </w:r>
      <w:r>
        <w:rPr>
          <w:rFonts w:ascii="宋体" w:hAnsi="宋体" w:cs="宋体" w:eastAsia="宋体" w:hint="default"/>
        </w:rPr>
        <w:t>2018</w:t>
      </w:r>
      <w:r>
        <w:rPr/>
        <w:t>年的绩效激励方案。 </w:t>
      </w:r>
      <w:r>
        <w:rPr>
          <w:rFonts w:ascii="宋体" w:hAnsi="宋体" w:cs="宋体" w:eastAsia="宋体" w:hint="default"/>
        </w:rPr>
        <w:t>4</w:t>
      </w:r>
      <w:r>
        <w:rPr/>
        <w:t>、战略委员会履职情况</w:t>
      </w:r>
    </w:p>
    <w:p>
      <w:pPr>
        <w:pStyle w:val="BodyText"/>
        <w:spacing w:line="273" w:lineRule="auto"/>
        <w:ind w:right="1109" w:firstLine="420"/>
        <w:jc w:val="both"/>
      </w:pPr>
      <w:r>
        <w:rPr/>
        <w:t>公司第四届董事会战略委员会召开了</w:t>
      </w:r>
      <w:r>
        <w:rPr>
          <w:rFonts w:ascii="宋体" w:hAnsi="宋体" w:cs="宋体" w:eastAsia="宋体" w:hint="default"/>
        </w:rPr>
        <w:t>2018</w:t>
      </w:r>
      <w:r>
        <w:rPr/>
        <w:t>年第一次会议，审议通过了《</w:t>
      </w:r>
      <w:r>
        <w:rPr>
          <w:rFonts w:ascii="宋体" w:hAnsi="宋体" w:cs="宋体" w:eastAsia="宋体" w:hint="default"/>
        </w:rPr>
        <w:t>2018</w:t>
      </w:r>
      <w:r>
        <w:rPr/>
        <w:t>年度经营目标和计划》， 对公司经营管理层</w:t>
      </w:r>
      <w:r>
        <w:rPr>
          <w:rFonts w:ascii="宋体" w:hAnsi="宋体" w:cs="宋体" w:eastAsia="宋体" w:hint="default"/>
        </w:rPr>
        <w:t>2018</w:t>
      </w:r>
      <w:r>
        <w:rPr/>
        <w:t>年工作的重点方向以及实现年度经营目标提出了新的规划。</w:t>
      </w:r>
    </w:p>
    <w:p>
      <w:pPr>
        <w:spacing w:line="240" w:lineRule="auto" w:before="12"/>
        <w:rPr>
          <w:rFonts w:ascii="宋体" w:hAnsi="宋体" w:cs="宋体" w:eastAsia="宋体" w:hint="default"/>
          <w:sz w:val="21"/>
          <w:szCs w:val="21"/>
        </w:rPr>
      </w:pPr>
    </w:p>
    <w:p>
      <w:pPr>
        <w:pStyle w:val="Heading2"/>
        <w:spacing w:line="240" w:lineRule="auto"/>
        <w:ind w:right="1117"/>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117"/>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1" w:firstLine="420"/>
        <w:jc w:val="both"/>
      </w:pPr>
      <w:r>
        <w:rPr>
          <w:spacing w:val="-1"/>
        </w:rPr>
        <w:t>公司高级管理人员的聘任均由公司董事会审议。公司制订了相关的实施细则，建立了完善的绩效考评</w:t>
      </w:r>
      <w:r>
        <w:rPr/>
        <w:t> </w:t>
      </w:r>
      <w:r>
        <w:rPr>
          <w:spacing w:val="-1"/>
        </w:rPr>
        <w:t>体系。公司董事会薪酬与考核委员会结合公司《董事、高级管理人员薪酬考核制度》审议高级管理人员年</w:t>
      </w:r>
      <w:r>
        <w:rPr>
          <w:spacing w:val="-86"/>
        </w:rPr>
        <w:t> </w:t>
      </w:r>
      <w:r>
        <w:rPr>
          <w:spacing w:val="-86"/>
        </w:rPr>
      </w:r>
      <w:r>
        <w:rPr/>
        <w:t>度薪酬及考核标准，并对高级管理人员进行绩效评价。</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九、内部控制评价报告" w:id="154"/>
      <w:bookmarkEnd w:id="15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hyperlink r:id="rId11">
              <w:r>
                <w:rPr>
                  <w:rFonts w:ascii="Times New Roman"/>
                  <w:spacing w:val="-1"/>
                  <w:sz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定性标准如下：财务报告重大缺陷的迹象 </w:t>
            </w:r>
            <w:r>
              <w:rPr>
                <w:rFonts w:ascii="宋体" w:hAnsi="宋体" w:cs="宋体" w:eastAsia="宋体" w:hint="default"/>
                <w:spacing w:val="-5"/>
                <w:sz w:val="18"/>
                <w:szCs w:val="18"/>
              </w:rPr>
              <w:t>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）公司董事、监事和高级管理人</w:t>
            </w:r>
            <w:r>
              <w:rPr>
                <w:rFonts w:ascii="宋体" w:hAnsi="宋体" w:cs="宋体" w:eastAsia="宋体" w:hint="default"/>
                <w:spacing w:val="-85"/>
                <w:sz w:val="18"/>
                <w:szCs w:val="18"/>
              </w:rPr>
              <w:t> </w:t>
            </w:r>
            <w:r>
              <w:rPr>
                <w:rFonts w:ascii="宋体" w:hAnsi="宋体" w:cs="宋体" w:eastAsia="宋体" w:hint="default"/>
                <w:spacing w:val="-5"/>
                <w:sz w:val="18"/>
                <w:szCs w:val="18"/>
              </w:rPr>
              <w:t>员的舞弊行为；（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）对已经公开披露的财</w:t>
            </w:r>
            <w:r>
              <w:rPr>
                <w:rFonts w:ascii="宋体" w:hAnsi="宋体" w:cs="宋体" w:eastAsia="宋体" w:hint="default"/>
                <w:spacing w:val="-85"/>
                <w:sz w:val="18"/>
                <w:szCs w:val="18"/>
              </w:rPr>
              <w:t> </w:t>
            </w:r>
            <w:r>
              <w:rPr>
                <w:rFonts w:ascii="宋体" w:hAnsi="宋体" w:cs="宋体" w:eastAsia="宋体" w:hint="default"/>
                <w:sz w:val="18"/>
                <w:szCs w:val="18"/>
              </w:rPr>
              <w:t>务报告出现的重大差错进行差错更正（由 于政策变化或其他客观因素变化导致的对 </w:t>
            </w:r>
            <w:r>
              <w:rPr>
                <w:rFonts w:ascii="宋体" w:hAnsi="宋体" w:cs="宋体" w:eastAsia="宋体" w:hint="default"/>
                <w:spacing w:val="-13"/>
                <w:sz w:val="18"/>
                <w:szCs w:val="18"/>
              </w:rPr>
              <w:t>以前年度的追溯调整除外）；（</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）注册会计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师发现的却未被公司内部控制识别的当期 </w:t>
            </w:r>
            <w:r>
              <w:rPr>
                <w:rFonts w:ascii="宋体" w:hAnsi="宋体" w:cs="宋体" w:eastAsia="宋体" w:hint="default"/>
                <w:spacing w:val="-5"/>
                <w:sz w:val="18"/>
                <w:szCs w:val="18"/>
              </w:rPr>
              <w:t>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评价的定性标准如下：非财务报告缺陷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认定主要以缺陷对业务流程有效性的 </w:t>
            </w:r>
            <w:r>
              <w:rPr>
                <w:rFonts w:ascii="宋体" w:hAnsi="宋体" w:cs="宋体" w:eastAsia="宋体" w:hint="default"/>
                <w:spacing w:val="-4"/>
                <w:sz w:val="18"/>
                <w:szCs w:val="18"/>
              </w:rPr>
              <w:t>影响程度、发生的可能性作判定。如果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缺陷发生的可能性较小，会降低工作效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率或效果、或加大效果的不确定性、或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使之偏离预期目标为一般缺陷；如果缺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陷发生的可能性较高，会显著降低工作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效率或效果、或显著加大效果的不确定</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23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59999pt;margin-top:-208.328262pt;width:479.2pt;height:431.1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16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和审计部门对公司的对外财务报告和财务 报告内部控制监督无效。</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 w:right="21"/>
                          <w:jc w:val="both"/>
                          <w:rPr>
                            <w:rFonts w:ascii="宋体" w:hAnsi="宋体" w:cs="宋体" w:eastAsia="宋体" w:hint="default"/>
                            <w:sz w:val="18"/>
                            <w:szCs w:val="18"/>
                          </w:rPr>
                        </w:pPr>
                        <w:r>
                          <w:rPr>
                            <w:rFonts w:ascii="宋体" w:hAnsi="宋体" w:cs="宋体" w:eastAsia="宋体" w:hint="default"/>
                            <w:spacing w:val="-4"/>
                            <w:sz w:val="18"/>
                            <w:szCs w:val="18"/>
                          </w:rPr>
                          <w:t>性、或使之显著偏离预期目标为重要缺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陷；如果缺陷发生的可能性高，会严重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降低工作效率或效果、或严重加大效果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的不确定性、或使之严重偏离预期目标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为重大缺陷。</w:t>
                        </w:r>
                      </w:p>
                    </w:tc>
                  </w:tr>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4"/>
                            <w:sz w:val="18"/>
                            <w:szCs w:val="18"/>
                          </w:rPr>
                          <w:t>失与利润表相关的，以营业收入指标衡量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的财务报告错报金额小于营业收入的</w:t>
                        </w:r>
                      </w:p>
                      <w:p>
                        <w:pPr>
                          <w:pStyle w:val="TableParagraph"/>
                          <w:spacing w:line="307" w:lineRule="auto" w:before="1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pacing w:val="-6"/>
                            <w:sz w:val="18"/>
                            <w:szCs w:val="18"/>
                          </w:rPr>
                          <w:t>，则认定为一般缺陷；如果超过营业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，则认定为重大缺</w:t>
                        </w:r>
                        <w:r>
                          <w:rPr>
                            <w:rFonts w:ascii="宋体" w:hAnsi="宋体" w:cs="宋体" w:eastAsia="宋体" w:hint="default"/>
                            <w:sz w:val="18"/>
                            <w:szCs w:val="18"/>
                          </w:rPr>
                          <w:t> 陷。内部控制缺陷可能导致或导致的损失 </w:t>
                        </w:r>
                        <w:r>
                          <w:rPr>
                            <w:rFonts w:ascii="宋体" w:hAnsi="宋体" w:cs="宋体" w:eastAsia="宋体" w:hint="default"/>
                            <w:spacing w:val="-4"/>
                            <w:sz w:val="18"/>
                            <w:szCs w:val="18"/>
                          </w:rPr>
                          <w:t>与资产管理相关的，以资产总额指标衡量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 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 如果超过资产总额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 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4"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p>
                      <w:p>
                        <w:pPr>
                          <w:pStyle w:val="TableParagraph"/>
                          <w:spacing w:line="196" w:lineRule="exact" w:before="19"/>
                          <w:ind w:left="4" w:right="0"/>
                          <w:jc w:val="left"/>
                          <w:rPr>
                            <w:rFonts w:ascii="宋体" w:hAnsi="宋体" w:cs="宋体" w:eastAsia="宋体" w:hint="default"/>
                            <w:sz w:val="18"/>
                            <w:szCs w:val="18"/>
                          </w:rPr>
                        </w:pPr>
                        <w:r>
                          <w:rPr>
                            <w:rFonts w:ascii="宋体" w:hAnsi="宋体" w:cs="宋体" w:eastAsia="宋体" w:hint="default"/>
                            <w:spacing w:val="-4"/>
                            <w:sz w:val="18"/>
                            <w:szCs w:val="18"/>
                          </w:rPr>
                          <w:t>的损失与利润报表相关的，以营业收入</w:t>
                        </w:r>
                      </w:p>
                      <w:p>
                        <w:pPr>
                          <w:pStyle w:val="TableParagraph"/>
                          <w:spacing w:line="15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p>
                      <w:p>
                        <w:pPr>
                          <w:pStyle w:val="TableParagraph"/>
                          <w:spacing w:line="312" w:lineRule="exact" w:before="37"/>
                          <w:ind w:left="4" w:right="31"/>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 陷；如果超过营业收入的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认定为重要缺陷；如果超过税前利 润营业收入的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，则认定为重大缺陷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内部控制缺陷可能导致或导致的损失</w:t>
                        </w:r>
                      </w:p>
                      <w:p>
                        <w:pPr>
                          <w:pStyle w:val="TableParagraph"/>
                          <w:spacing w:line="79"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4"/>
                            <w:sz w:val="18"/>
                            <w:szCs w:val="18"/>
                          </w:rPr>
                          <w:t>与资产管理相关的，以资产总额指标衡</w:t>
                        </w:r>
                      </w:p>
                      <w:p>
                        <w:pPr>
                          <w:pStyle w:val="TableParagraph"/>
                          <w:spacing w:line="307" w:lineRule="auto" w:before="76"/>
                          <w:ind w:left="4" w:right="21"/>
                          <w:jc w:val="left"/>
                          <w:rPr>
                            <w:rFonts w:ascii="宋体" w:hAnsi="宋体" w:cs="宋体" w:eastAsia="宋体" w:hint="default"/>
                            <w:sz w:val="18"/>
                            <w:szCs w:val="18"/>
                          </w:rPr>
                        </w:pPr>
                        <w:r>
                          <w:rPr>
                            <w:rFonts w:ascii="宋体" w:hAnsi="宋体" w:cs="宋体" w:eastAsia="宋体" w:hint="default"/>
                            <w:spacing w:val="-4"/>
                            <w:sz w:val="18"/>
                            <w:szCs w:val="18"/>
                          </w:rPr>
                          <w:t>量。如果该缺陷单独或连同其他缺陷可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能导致的财务报告错报金额小于资产 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 </w:t>
                        </w:r>
                        <w:r>
                          <w:rPr>
                            <w:rFonts w:ascii="宋体" w:hAnsi="宋体" w:cs="宋体" w:eastAsia="宋体" w:hint="default"/>
                            <w:spacing w:val="-6"/>
                            <w:sz w:val="18"/>
                            <w:szCs w:val="18"/>
                          </w:rPr>
                          <w:t>定为重要缺陷；如果超过资产总额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5"/>
          <w:szCs w:val="5"/>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2"/>
        <w:spacing w:line="240" w:lineRule="auto" w:before="26"/>
        <w:ind w:right="1117"/>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我们认为，贵公司按照财政部颁发的《企业内部控制基本规范》规定的标准于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before="116"/>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会计师事务所出具的内部控制鉴证报告与董事会的自我评价报告意见是否一致</w:t>
      </w:r>
    </w:p>
    <w:p>
      <w:pPr>
        <w:spacing w:before="116"/>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17"/>
        <w:jc w:val="left"/>
        <w:rPr>
          <w:b w:val="0"/>
          <w:bCs w:val="0"/>
        </w:rPr>
      </w:pPr>
      <w:bookmarkStart w:name="第十节 公司债券相关情况" w:id="158"/>
      <w:bookmarkEnd w:id="158"/>
      <w:r>
        <w:rPr>
          <w:b w:val="0"/>
          <w:bCs w:val="0"/>
        </w:rPr>
      </w:r>
      <w:bookmarkStart w:name="_bookmark9" w:id="159"/>
      <w:bookmarkEnd w:id="15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117"/>
        <w:jc w:val="left"/>
        <w:rPr>
          <w:b w:val="0"/>
          <w:bCs w:val="0"/>
        </w:rPr>
      </w:pPr>
      <w:bookmarkStart w:name="第十一节 财务报告" w:id="160"/>
      <w:bookmarkEnd w:id="160"/>
      <w:r>
        <w:rPr>
          <w:b w:val="0"/>
          <w:bCs w:val="0"/>
        </w:rPr>
      </w:r>
      <w:bookmarkStart w:name="_bookmark10" w:id="161"/>
      <w:bookmarkEnd w:id="16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bookmarkStart w:name="一、审计报告" w:id="162"/>
      <w:bookmarkEnd w:id="16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福建华兴会计师事务所（特殊普通合伙）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闽华兴所（</w:t>
            </w:r>
            <w:r>
              <w:rPr>
                <w:rFonts w:ascii="Times New Roman" w:hAnsi="Times New Roman" w:cs="Times New Roman" w:eastAsia="Times New Roman" w:hint="default"/>
                <w:sz w:val="18"/>
                <w:szCs w:val="18"/>
              </w:rPr>
              <w:t>2019</w:t>
            </w:r>
            <w:r>
              <w:rPr>
                <w:rFonts w:ascii="宋体" w:hAnsi="宋体" w:cs="宋体" w:eastAsia="宋体" w:hint="default"/>
                <w:sz w:val="18"/>
                <w:szCs w:val="18"/>
              </w:rPr>
              <w:t>）审字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B-009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郑丽惠、李莉丽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8"/>
          <w:szCs w:val="28"/>
        </w:rPr>
      </w:pPr>
    </w:p>
    <w:p>
      <w:pPr>
        <w:pStyle w:val="BodyText"/>
        <w:spacing w:line="240" w:lineRule="auto" w:before="0"/>
        <w:ind w:left="574" w:right="-20"/>
        <w:jc w:val="left"/>
      </w:pPr>
      <w:r>
        <w:rPr/>
        <w:t>一、审计意见</w:t>
      </w:r>
    </w:p>
    <w:p>
      <w:pPr>
        <w:spacing w:before="51"/>
        <w:ind w:left="57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835" w:space="2025"/>
            <w:col w:w="7070"/>
          </w:cols>
        </w:sectPr>
      </w:pPr>
    </w:p>
    <w:p>
      <w:pPr>
        <w:pStyle w:val="BodyText"/>
        <w:spacing w:line="273" w:lineRule="auto" w:before="37"/>
        <w:ind w:right="1131" w:firstLine="420"/>
        <w:jc w:val="both"/>
      </w:pPr>
      <w:r>
        <w:rPr>
          <w:spacing w:val="-1"/>
        </w:rPr>
        <w:t>我们审计了鸿博股份有限公司（以下简称鸿博股份）财务报表，包括</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w:t>
      </w:r>
      <w:r>
        <w:rPr/>
        <w:t> </w:t>
      </w:r>
      <w:r>
        <w:rPr>
          <w:spacing w:val="-1"/>
        </w:rPr>
        <w:t>资产负债表，</w:t>
      </w:r>
      <w:r>
        <w:rPr>
          <w:rFonts w:ascii="宋体" w:hAnsi="宋体" w:cs="宋体" w:eastAsia="宋体" w:hint="default"/>
          <w:spacing w:val="-1"/>
        </w:rPr>
        <w:t>2018</w:t>
      </w:r>
      <w:r>
        <w:rPr>
          <w:spacing w:val="-1"/>
        </w:rPr>
        <w:t>年度的合并及母公司利润表、合并及母公司现金流量表和合并及母公司所有者权益变动</w:t>
      </w:r>
      <w:r>
        <w:rPr>
          <w:spacing w:val="-80"/>
        </w:rPr>
        <w:t> </w:t>
      </w:r>
      <w:r>
        <w:rPr>
          <w:spacing w:val="-80"/>
        </w:rPr>
      </w:r>
      <w:r>
        <w:rPr/>
        <w:t>表以及相关财务报表附注。</w:t>
      </w:r>
    </w:p>
    <w:p>
      <w:pPr>
        <w:pStyle w:val="BodyText"/>
        <w:spacing w:line="273" w:lineRule="auto"/>
        <w:ind w:right="1130" w:firstLine="420"/>
        <w:jc w:val="both"/>
      </w:pPr>
      <w:r>
        <w:rPr>
          <w:spacing w:val="-1"/>
        </w:rPr>
        <w:t>我们认为，后附的财务报表在所有重大方面按照企业会计准则的规定编制，公允反映了鸿博股份</w:t>
      </w:r>
      <w:r>
        <w:rPr>
          <w:rFonts w:ascii="宋体" w:hAnsi="宋体" w:cs="宋体" w:eastAsia="宋体" w:hint="default"/>
          <w:spacing w:val="-1"/>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年度的合并及母公司的经营成果和现金流量。</w:t>
      </w:r>
    </w:p>
    <w:p>
      <w:pPr>
        <w:pStyle w:val="BodyText"/>
        <w:spacing w:line="273" w:lineRule="auto"/>
        <w:ind w:left="574" w:right="1117"/>
        <w:jc w:val="left"/>
      </w:pPr>
      <w:r>
        <w:rPr/>
        <w:t>二、形成审计意见的基础 </w:t>
      </w:r>
      <w:r>
        <w:rPr>
          <w:spacing w:val="-1"/>
        </w:rPr>
        <w:t>我们按照中国注册会计师审计准则的规定执行了审计工作。审计报告的“注册会计师对财务报表审计</w:t>
      </w:r>
    </w:p>
    <w:p>
      <w:pPr>
        <w:pStyle w:val="BodyText"/>
        <w:spacing w:line="273" w:lineRule="auto" w:before="8"/>
        <w:ind w:right="1131"/>
        <w:jc w:val="both"/>
      </w:pPr>
      <w:r>
        <w:rPr>
          <w:spacing w:val="-1"/>
        </w:rPr>
        <w:t>的责任”部分进一步阐述了我们在这些准则下的责任。按照中国注册会计师职业道德守则，我们独立于鸿</w:t>
      </w:r>
      <w:r>
        <w:rPr>
          <w:spacing w:val="-81"/>
        </w:rPr>
        <w:t> </w:t>
      </w:r>
      <w:r>
        <w:rPr>
          <w:spacing w:val="-81"/>
        </w:rPr>
      </w:r>
      <w:r>
        <w:rPr>
          <w:spacing w:val="-1"/>
        </w:rPr>
        <w:t>博股份，并履行了职业道德方面的其他责任。我们相信，我们获取的审计证据是充分、适当的，为发表审</w:t>
      </w:r>
      <w:r>
        <w:rPr>
          <w:spacing w:val="-83"/>
        </w:rPr>
        <w:t> </w:t>
      </w:r>
      <w:r>
        <w:rPr>
          <w:spacing w:val="-83"/>
        </w:rPr>
      </w:r>
      <w:r>
        <w:rPr/>
        <w:t>计意见提供了基础。</w:t>
      </w:r>
    </w:p>
    <w:p>
      <w:pPr>
        <w:pStyle w:val="BodyText"/>
        <w:spacing w:line="273" w:lineRule="auto"/>
        <w:ind w:left="574" w:right="1117"/>
        <w:jc w:val="left"/>
      </w:pPr>
      <w:r>
        <w:rPr/>
        <w:t>三、关键审计事项 </w:t>
      </w:r>
      <w:r>
        <w:rPr>
          <w:spacing w:val="-1"/>
        </w:rPr>
        <w:t>关键审计事项是我们根据职业判断，认为对本期财务报表审计最为重要的事项。这些事项的应对以对</w:t>
      </w:r>
    </w:p>
    <w:p>
      <w:pPr>
        <w:pStyle w:val="BodyText"/>
        <w:spacing w:line="273" w:lineRule="auto"/>
        <w:ind w:left="574" w:right="3192" w:hanging="420"/>
        <w:jc w:val="left"/>
      </w:pPr>
      <w:r>
        <w:rPr/>
        <w:t>财务报表整体进行审计并形成审计意见为背景，我们不对这些事项单独发表意见。 我们在审计中识别出的关键审计事项如下：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1353" w:firstLine="0"/>
        <w:jc w:val="right"/>
        <w:rPr>
          <w:rFonts w:ascii="宋体" w:hAnsi="宋体" w:cs="宋体" w:eastAsia="宋体" w:hint="default"/>
          <w:sz w:val="18"/>
          <w:szCs w:val="18"/>
        </w:rPr>
      </w:pPr>
      <w:r>
        <w:rPr/>
        <w:pict>
          <v:shape style="position:absolute;margin-left:56.34pt;margin-top:-120.128311pt;width:469.4pt;height:234.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9"/>
                    <w:gridCol w:w="5537"/>
                  </w:tblGrid>
                  <w:tr>
                    <w:trPr>
                      <w:trHeight w:val="443" w:hRule="exact"/>
                    </w:trPr>
                    <w:tc>
                      <w:tcPr>
                        <w:tcW w:w="9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sz w:val="18"/>
                            <w:szCs w:val="18"/>
                          </w:rPr>
                          <w:t>收入的确认</w:t>
                        </w:r>
                      </w:p>
                    </w:tc>
                  </w:tr>
                  <w:tr>
                    <w:trPr>
                      <w:trHeight w:val="4236"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9"/>
                          <w:ind w:left="2" w:right="4" w:firstLine="360"/>
                          <w:jc w:val="both"/>
                          <w:rPr>
                            <w:rFonts w:ascii="宋体" w:hAnsi="宋体" w:cs="宋体" w:eastAsia="宋体" w:hint="default"/>
                            <w:sz w:val="18"/>
                            <w:szCs w:val="18"/>
                          </w:rPr>
                        </w:pPr>
                        <w:r>
                          <w:rPr>
                            <w:rFonts w:ascii="宋体" w:hAnsi="宋体" w:cs="宋体" w:eastAsia="宋体" w:hint="default"/>
                            <w:sz w:val="18"/>
                            <w:szCs w:val="18"/>
                          </w:rPr>
                          <w:t>相关信息披露详见财务报表附注三、（二十 五）与附注五、（二十九）。</w:t>
                        </w:r>
                      </w:p>
                      <w:p>
                        <w:pPr>
                          <w:pStyle w:val="TableParagraph"/>
                          <w:spacing w:line="316" w:lineRule="auto" w:before="67"/>
                          <w:ind w:left="2" w:right="3" w:firstLine="360"/>
                          <w:jc w:val="both"/>
                          <w:rPr>
                            <w:rFonts w:ascii="宋体" w:hAnsi="宋体" w:cs="宋体" w:eastAsia="宋体" w:hint="default"/>
                            <w:sz w:val="18"/>
                            <w:szCs w:val="18"/>
                          </w:rPr>
                        </w:pPr>
                        <w:r>
                          <w:rPr>
                            <w:rFonts w:ascii="宋体" w:hAnsi="宋体" w:cs="宋体" w:eastAsia="宋体" w:hint="default"/>
                            <w:sz w:val="18"/>
                            <w:szCs w:val="18"/>
                          </w:rPr>
                          <w:t>鸿博股份主营业务为热敏纸票证、普通税务 </w:t>
                        </w:r>
                        <w:r>
                          <w:rPr>
                            <w:rFonts w:ascii="宋体" w:hAnsi="宋体" w:cs="宋体" w:eastAsia="宋体" w:hint="default"/>
                            <w:spacing w:val="-3"/>
                            <w:sz w:val="18"/>
                            <w:szCs w:val="18"/>
                          </w:rPr>
                          <w:t>发票、证书证件等票证产品的生产销售</w:t>
                        </w:r>
                        <w:r>
                          <w:rPr>
                            <w:rFonts w:ascii="宋体" w:hAnsi="宋体" w:cs="宋体" w:eastAsia="宋体" w:hint="default"/>
                            <w:spacing w:val="-3"/>
                            <w:sz w:val="18"/>
                            <w:szCs w:val="18"/>
                          </w:rPr>
                          <w:t>,</w:t>
                        </w:r>
                        <w:r>
                          <w:rPr>
                            <w:rFonts w:ascii="宋体" w:hAnsi="宋体" w:cs="宋体" w:eastAsia="宋体" w:hint="default"/>
                            <w:spacing w:val="-3"/>
                            <w:sz w:val="18"/>
                            <w:szCs w:val="18"/>
                          </w:rPr>
                          <w:t>以及办公</w:t>
                        </w:r>
                        <w:r>
                          <w:rPr>
                            <w:rFonts w:ascii="宋体" w:hAnsi="宋体" w:cs="宋体" w:eastAsia="宋体" w:hint="default"/>
                            <w:spacing w:val="-87"/>
                            <w:sz w:val="18"/>
                            <w:szCs w:val="18"/>
                          </w:rPr>
                          <w:t> </w:t>
                        </w:r>
                        <w:r>
                          <w:rPr>
                            <w:rFonts w:ascii="宋体" w:hAnsi="宋体" w:cs="宋体" w:eastAsia="宋体" w:hint="default"/>
                            <w:sz w:val="18"/>
                            <w:szCs w:val="18"/>
                          </w:rPr>
                          <w:t>用纸等产品的生产销售。</w:t>
                        </w:r>
                        <w:r>
                          <w:rPr>
                            <w:rFonts w:ascii="宋体" w:hAnsi="宋体" w:cs="宋体" w:eastAsia="宋体" w:hint="default"/>
                            <w:sz w:val="18"/>
                            <w:szCs w:val="18"/>
                          </w:rPr>
                          <w:t>2018</w:t>
                        </w:r>
                        <w:r>
                          <w:rPr>
                            <w:rFonts w:ascii="宋体" w:hAnsi="宋体" w:cs="宋体" w:eastAsia="宋体" w:hint="default"/>
                            <w:sz w:val="18"/>
                            <w:szCs w:val="18"/>
                          </w:rPr>
                          <w:t>年度，鸿博股份营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业收入</w:t>
                        </w:r>
                        <w:r>
                          <w:rPr>
                            <w:rFonts w:ascii="宋体" w:hAnsi="宋体" w:cs="宋体" w:eastAsia="宋体" w:hint="default"/>
                            <w:sz w:val="18"/>
                            <w:szCs w:val="18"/>
                          </w:rPr>
                          <w:t>7.06</w:t>
                        </w:r>
                        <w:r>
                          <w:rPr>
                            <w:rFonts w:ascii="宋体" w:hAnsi="宋体" w:cs="宋体" w:eastAsia="宋体" w:hint="default"/>
                            <w:sz w:val="18"/>
                            <w:szCs w:val="18"/>
                          </w:rPr>
                          <w:t>亿元，其中票证产品的营业收入为人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民币</w:t>
                        </w:r>
                        <w:r>
                          <w:rPr>
                            <w:rFonts w:ascii="宋体" w:hAnsi="宋体" w:cs="宋体" w:eastAsia="宋体" w:hint="default"/>
                            <w:sz w:val="18"/>
                            <w:szCs w:val="18"/>
                          </w:rPr>
                          <w:t>5.16</w:t>
                        </w:r>
                        <w:r>
                          <w:rPr>
                            <w:rFonts w:ascii="宋体" w:hAnsi="宋体" w:cs="宋体" w:eastAsia="宋体" w:hint="default"/>
                            <w:sz w:val="18"/>
                            <w:szCs w:val="18"/>
                          </w:rPr>
                          <w:t>亿元，占营业收入总额的</w:t>
                        </w:r>
                        <w:r>
                          <w:rPr>
                            <w:rFonts w:ascii="宋体" w:hAnsi="宋体" w:cs="宋体" w:eastAsia="宋体" w:hint="default"/>
                            <w:sz w:val="18"/>
                            <w:szCs w:val="18"/>
                          </w:rPr>
                          <w:t>73.20%</w:t>
                        </w:r>
                        <w:r>
                          <w:rPr>
                            <w:rFonts w:ascii="宋体" w:hAnsi="宋体" w:cs="宋体" w:eastAsia="宋体" w:hint="default"/>
                            <w:sz w:val="18"/>
                            <w:szCs w:val="18"/>
                          </w:rPr>
                          <w:t>。鸿博</w:t>
                        </w:r>
                        <w:r>
                          <w:rPr>
                            <w:rFonts w:ascii="宋体" w:hAnsi="宋体" w:cs="宋体" w:eastAsia="宋体" w:hint="default"/>
                            <w:spacing w:val="-67"/>
                            <w:sz w:val="18"/>
                            <w:szCs w:val="18"/>
                          </w:rPr>
                          <w:t> </w:t>
                        </w:r>
                        <w:r>
                          <w:rPr>
                            <w:rFonts w:ascii="宋体" w:hAnsi="宋体" w:cs="宋体" w:eastAsia="宋体" w:hint="default"/>
                            <w:sz w:val="18"/>
                            <w:szCs w:val="18"/>
                          </w:rPr>
                          <w:t>股份根据合同将商品交付客户并经客户签收，且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货款已收或预计可以收回后确认相关商品销售收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w:t>
                        </w:r>
                      </w:p>
                      <w:p>
                        <w:pPr>
                          <w:pStyle w:val="TableParagraph"/>
                          <w:spacing w:line="316" w:lineRule="auto" w:before="67"/>
                          <w:ind w:left="2" w:right="4" w:firstLine="360"/>
                          <w:jc w:val="both"/>
                          <w:rPr>
                            <w:rFonts w:ascii="宋体" w:hAnsi="宋体" w:cs="宋体" w:eastAsia="宋体" w:hint="default"/>
                            <w:sz w:val="18"/>
                            <w:szCs w:val="18"/>
                          </w:rPr>
                        </w:pPr>
                        <w:r>
                          <w:rPr>
                            <w:rFonts w:ascii="宋体" w:hAnsi="宋体" w:cs="宋体" w:eastAsia="宋体" w:hint="default"/>
                            <w:sz w:val="18"/>
                            <w:szCs w:val="18"/>
                          </w:rPr>
                          <w:t>由于收入是鸿博股份的关键业绩指标之一， 从而存在管理层为了达到特定目标或期望而操纵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收入确认的固有风险。因此，我们将票证产品的</w:t>
                        </w:r>
                      </w:p>
                    </w:tc>
                    <w:tc>
                      <w:tcPr>
                        <w:tcW w:w="5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362" w:right="0"/>
                          <w:jc w:val="left"/>
                          <w:rPr>
                            <w:rFonts w:ascii="宋体" w:hAnsi="宋体" w:cs="宋体" w:eastAsia="宋体" w:hint="default"/>
                            <w:sz w:val="18"/>
                            <w:szCs w:val="18"/>
                          </w:rPr>
                        </w:pPr>
                        <w:r>
                          <w:rPr>
                            <w:rFonts w:ascii="宋体" w:hAnsi="宋体" w:cs="宋体" w:eastAsia="宋体" w:hint="default"/>
                            <w:sz w:val="18"/>
                            <w:szCs w:val="18"/>
                          </w:rPr>
                          <w:t>针对营业收入的真实、准确性，我们实施的审计程序主要包括：</w:t>
                        </w:r>
                      </w:p>
                      <w:p>
                        <w:pPr>
                          <w:pStyle w:val="TableParagraph"/>
                          <w:spacing w:line="316" w:lineRule="auto" w:before="124"/>
                          <w:ind w:left="2" w:right="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）我们了解和评价了与收入确认相关的关键内部控制的设计和 运行有效性；（</w:t>
                        </w:r>
                        <w:r>
                          <w:rPr>
                            <w:rFonts w:ascii="宋体" w:hAnsi="宋体" w:cs="宋体" w:eastAsia="宋体" w:hint="default"/>
                            <w:sz w:val="18"/>
                            <w:szCs w:val="18"/>
                          </w:rPr>
                          <w:t>2</w:t>
                        </w:r>
                        <w:r>
                          <w:rPr>
                            <w:rFonts w:ascii="宋体" w:hAnsi="宋体" w:cs="宋体" w:eastAsia="宋体" w:hint="default"/>
                            <w:sz w:val="18"/>
                            <w:szCs w:val="18"/>
                          </w:rPr>
                          <w:t>）我们执行了分析性复核程序，多维度判断营业收入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和毛利率变动的合理性；（</w:t>
                        </w:r>
                        <w:r>
                          <w:rPr>
                            <w:rFonts w:ascii="宋体" w:hAnsi="宋体" w:cs="宋体" w:eastAsia="宋体" w:hint="default"/>
                            <w:sz w:val="18"/>
                            <w:szCs w:val="18"/>
                          </w:rPr>
                          <w:t>3</w:t>
                        </w:r>
                        <w:r>
                          <w:rPr>
                            <w:rFonts w:ascii="宋体" w:hAnsi="宋体" w:cs="宋体" w:eastAsia="宋体" w:hint="default"/>
                            <w:sz w:val="18"/>
                            <w:szCs w:val="18"/>
                          </w:rPr>
                          <w:t>）我们选取样本检查销售合同，识别与商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品所有权上的风险和报酬转移相关的合同条款与条件，评价公司的收入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确认的会计政策是否符合企业会计准则的要求；（</w:t>
                        </w:r>
                        <w:r>
                          <w:rPr>
                            <w:rFonts w:ascii="宋体" w:hAnsi="宋体" w:cs="宋体" w:eastAsia="宋体" w:hint="default"/>
                            <w:sz w:val="18"/>
                            <w:szCs w:val="18"/>
                          </w:rPr>
                          <w:t>4</w:t>
                        </w:r>
                        <w:r>
                          <w:rPr>
                            <w:rFonts w:ascii="宋体" w:hAnsi="宋体" w:cs="宋体" w:eastAsia="宋体" w:hint="default"/>
                            <w:sz w:val="18"/>
                            <w:szCs w:val="18"/>
                          </w:rPr>
                          <w:t>）我们对本年记录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的收入交易选取样本，检查与收入确认相关的支持性文件，包括发票 </w:t>
                        </w:r>
                        <w:r>
                          <w:rPr>
                            <w:rFonts w:ascii="宋体" w:hAnsi="宋体" w:cs="宋体" w:eastAsia="宋体" w:hint="default"/>
                            <w:spacing w:val="-3"/>
                            <w:sz w:val="18"/>
                            <w:szCs w:val="18"/>
                          </w:rPr>
                          <w:t>销售合同、出库单及客户确认单据等，评价相关收入确认是否符合鸿博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股份收入确认的会计政策；（</w:t>
                        </w:r>
                        <w:r>
                          <w:rPr>
                            <w:rFonts w:ascii="宋体" w:hAnsi="宋体" w:cs="宋体" w:eastAsia="宋体" w:hint="default"/>
                            <w:sz w:val="18"/>
                            <w:szCs w:val="18"/>
                          </w:rPr>
                          <w:t>5</w:t>
                        </w:r>
                        <w:r>
                          <w:rPr>
                            <w:rFonts w:ascii="宋体" w:hAnsi="宋体" w:cs="宋体" w:eastAsia="宋体" w:hint="default"/>
                            <w:sz w:val="18"/>
                            <w:szCs w:val="18"/>
                          </w:rPr>
                          <w:t>）对应收账款进行账龄分析，检查其授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信情况，回款记录及期后回款情况等，以确认应收账款的真实性；（</w:t>
                        </w:r>
                        <w:r>
                          <w:rPr>
                            <w:rFonts w:ascii="宋体" w:hAnsi="宋体" w:cs="宋体" w:eastAsia="宋体" w:hint="default"/>
                            <w:spacing w:val="-3"/>
                            <w:sz w:val="18"/>
                            <w:szCs w:val="18"/>
                          </w:rPr>
                          <w:t>6</w:t>
                        </w:r>
                        <w:r>
                          <w:rPr>
                            <w:rFonts w:ascii="宋体" w:hAnsi="宋体" w:cs="宋体" w:eastAsia="宋体" w:hint="default"/>
                            <w:spacing w:val="-61"/>
                            <w:sz w:val="18"/>
                            <w:szCs w:val="18"/>
                          </w:rPr>
                          <w:t> </w:t>
                        </w:r>
                        <w:r>
                          <w:rPr>
                            <w:rFonts w:ascii="宋体" w:hAnsi="宋体" w:cs="宋体" w:eastAsia="宋体" w:hint="default"/>
                            <w:spacing w:val="-3"/>
                            <w:sz w:val="18"/>
                            <w:szCs w:val="18"/>
                          </w:rPr>
                          <w:t>根据客户交易的特点和性质，挑选样本执行函证程序以确认应收账款余</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额；（</w:t>
                        </w:r>
                        <w:r>
                          <w:rPr>
                            <w:rFonts w:ascii="宋体" w:hAnsi="宋体" w:cs="宋体" w:eastAsia="宋体" w:hint="default"/>
                            <w:sz w:val="18"/>
                            <w:szCs w:val="18"/>
                          </w:rPr>
                          <w:t>7</w:t>
                        </w:r>
                        <w:r>
                          <w:rPr>
                            <w:rFonts w:ascii="宋体" w:hAnsi="宋体" w:cs="宋体" w:eastAsia="宋体" w:hint="default"/>
                            <w:sz w:val="18"/>
                            <w:szCs w:val="18"/>
                          </w:rPr>
                          <w:t>）针对资产负债表日前后确认的销售收入，我们核对出库单、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客户确认单据及其他支持性文件，以评估收入是否在恰当的会计期间确</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32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7"/>
          <w:szCs w:val="27"/>
        </w:rPr>
      </w:pPr>
    </w:p>
    <w:p>
      <w:pPr>
        <w:tabs>
          <w:tab w:pos="3992" w:val="left" w:leader="none"/>
        </w:tabs>
        <w:spacing w:before="44"/>
        <w:ind w:left="163" w:right="1117" w:firstLine="0"/>
        <w:jc w:val="left"/>
        <w:rPr>
          <w:rFonts w:ascii="宋体" w:hAnsi="宋体" w:cs="宋体" w:eastAsia="宋体" w:hint="default"/>
          <w:sz w:val="18"/>
          <w:szCs w:val="18"/>
        </w:rPr>
      </w:pPr>
      <w:r>
        <w:rPr/>
        <w:pict>
          <v:group style="position:absolute;margin-left:56.34pt;margin-top:.051714pt;width:469.05pt;height:366.8pt;mso-position-horizontal-relative:page;mso-position-vertical-relative:paragraph;z-index:-1018504" coordorigin="1127,1" coordsize="9381,7336">
            <v:group style="position:absolute;left:1141;top:15;width:3815;height:2" coordorigin="1141,15" coordsize="3815,2">
              <v:shape style="position:absolute;left:1141;top:15;width:3815;height:2" coordorigin="1141,15" coordsize="3815,0" path="m1141,15l4956,15e" filled="false" stroked="true" strokeweight=".72pt" strokecolor="#000000">
                <v:path arrowok="t"/>
              </v:shape>
            </v:group>
            <v:group style="position:absolute;left:4970;top:15;width:5523;height:2" coordorigin="4970,15" coordsize="5523,2">
              <v:shape style="position:absolute;left:4970;top:15;width:5523;height:2" coordorigin="4970,15" coordsize="5523,0" path="m4970,15l10493,15e" filled="false" stroked="true" strokeweight=".72pt" strokecolor="#000000">
                <v:path arrowok="t"/>
              </v:shape>
            </v:group>
            <v:group style="position:absolute;left:4963;top:8;width:2;height:410" coordorigin="4963,8" coordsize="2,410">
              <v:shape style="position:absolute;left:4963;top:8;width:2;height:410" coordorigin="4963,8" coordsize="0,410" path="m4963,8l4963,417e" filled="false" stroked="true" strokeweight=".72pt" strokecolor="#000000">
                <v:path arrowok="t"/>
              </v:shape>
            </v:group>
            <v:group style="position:absolute;left:1141;top:410;width:3815;height:2" coordorigin="1141,410" coordsize="3815,2">
              <v:shape style="position:absolute;left:1141;top:410;width:3815;height:2" coordorigin="1141,410" coordsize="3815,0" path="m1141,410l4956,410e" filled="false" stroked="true" strokeweight=".72pt" strokecolor="#000000">
                <v:path arrowok="t"/>
              </v:shape>
            </v:group>
            <v:group style="position:absolute;left:4970;top:410;width:5523;height:2" coordorigin="4970,410" coordsize="5523,2">
              <v:shape style="position:absolute;left:4970;top:410;width:5523;height:2" coordorigin="4970,410" coordsize="5523,0" path="m4970,410l10493,410e" filled="false" stroked="true" strokeweight=".72pt" strokecolor="#000000">
                <v:path arrowok="t"/>
              </v:shape>
            </v:group>
            <v:group style="position:absolute;left:1141;top:853;width:3815;height:2" coordorigin="1141,853" coordsize="3815,2">
              <v:shape style="position:absolute;left:1141;top:853;width:3815;height:2" coordorigin="1141,853" coordsize="3815,0" path="m1141,853l4956,853e" filled="false" stroked="true" strokeweight=".72pt" strokecolor="#000000">
                <v:path arrowok="t"/>
              </v:shape>
            </v:group>
            <v:group style="position:absolute;left:4970;top:853;width:5523;height:2" coordorigin="4970,853" coordsize="5523,2">
              <v:shape style="position:absolute;left:4970;top:853;width:5523;height:2" coordorigin="4970,853" coordsize="5523,0" path="m4970,853l10493,853e" filled="false" stroked="true" strokeweight=".72pt" strokecolor="#000000">
                <v:path arrowok="t"/>
              </v:shape>
            </v:group>
            <v:group style="position:absolute;left:1134;top:8;width:2;height:7321" coordorigin="1134,8" coordsize="2,7321">
              <v:shape style="position:absolute;left:1134;top:8;width:2;height:7321" coordorigin="1134,8" coordsize="0,7321" path="m1134,8l1134,7329e" filled="false" stroked="true" strokeweight=".72pt" strokecolor="#000000">
                <v:path arrowok="t"/>
              </v:shape>
            </v:group>
            <v:group style="position:absolute;left:1141;top:7322;width:3815;height:2" coordorigin="1141,7322" coordsize="3815,2">
              <v:shape style="position:absolute;left:1141;top:7322;width:3815;height:2" coordorigin="1141,7322" coordsize="3815,0" path="m1141,7322l4956,7322e" filled="false" stroked="true" strokeweight=".72pt" strokecolor="#000000">
                <v:path arrowok="t"/>
              </v:shape>
            </v:group>
            <v:group style="position:absolute;left:4963;top:846;width:2;height:6484" coordorigin="4963,846" coordsize="2,6484">
              <v:shape style="position:absolute;left:4963;top:846;width:2;height:6484" coordorigin="4963,846" coordsize="0,6484" path="m4963,846l4963,7329e" filled="false" stroked="true" strokeweight=".72pt" strokecolor="#000000">
                <v:path arrowok="t"/>
              </v:shape>
            </v:group>
            <v:group style="position:absolute;left:4970;top:7322;width:5523;height:2" coordorigin="4970,7322" coordsize="5523,2">
              <v:shape style="position:absolute;left:4970;top:7322;width:5523;height:2" coordorigin="4970,7322" coordsize="5523,0" path="m4970,7322l10493,7322e" filled="false" stroked="true" strokeweight=".72pt" strokecolor="#000000">
                <v:path arrowok="t"/>
              </v:shape>
            </v:group>
            <v:group style="position:absolute;left:10500;top:8;width:2;height:7321" coordorigin="10500,8" coordsize="2,7321">
              <v:shape style="position:absolute;left:10500;top:8;width:2;height:7321" coordorigin="10500,8" coordsize="0,7321" path="m10500,8l10500,7329e" filled="false" stroked="true" strokeweight=".71997pt" strokecolor="#000000">
                <v:path arrowok="t"/>
              </v:shape>
            </v:group>
            <w10:wrap type="none"/>
          </v:group>
        </w:pict>
      </w:r>
      <w:r>
        <w:rPr>
          <w:rFonts w:ascii="宋体" w:hAnsi="宋体" w:cs="宋体" w:eastAsia="宋体" w:hint="default"/>
          <w:sz w:val="18"/>
          <w:szCs w:val="18"/>
        </w:rPr>
        <w:t>销售收入确认识别为关键审计事项。</w:t>
        <w:tab/>
        <w:t>认。</w:t>
      </w:r>
    </w:p>
    <w:p>
      <w:pPr>
        <w:spacing w:line="240" w:lineRule="auto" w:before="6"/>
        <w:rPr>
          <w:rFonts w:ascii="宋体" w:hAnsi="宋体" w:cs="宋体" w:eastAsia="宋体" w:hint="default"/>
          <w:sz w:val="12"/>
          <w:szCs w:val="12"/>
        </w:rPr>
      </w:pPr>
    </w:p>
    <w:p>
      <w:pPr>
        <w:spacing w:before="44"/>
        <w:ind w:left="163" w:right="1117"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sz w:val="18"/>
          <w:szCs w:val="18"/>
        </w:rPr>
        <w:t>商誉的减值</w:t>
      </w:r>
    </w:p>
    <w:p>
      <w:pPr>
        <w:spacing w:line="240" w:lineRule="auto" w:before="6"/>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7" w:footer="979" w:top="1060" w:bottom="1160" w:left="980" w:right="0"/>
        </w:sectPr>
      </w:pPr>
    </w:p>
    <w:p>
      <w:pPr>
        <w:spacing w:line="319" w:lineRule="auto" w:before="44"/>
        <w:ind w:left="163" w:right="-2" w:firstLine="360"/>
        <w:jc w:val="left"/>
        <w:rPr>
          <w:rFonts w:ascii="宋体" w:hAnsi="宋体" w:cs="宋体" w:eastAsia="宋体" w:hint="default"/>
          <w:sz w:val="18"/>
          <w:szCs w:val="18"/>
        </w:rPr>
      </w:pPr>
      <w:r>
        <w:rPr>
          <w:rFonts w:ascii="宋体" w:hAnsi="宋体" w:cs="宋体" w:eastAsia="宋体" w:hint="default"/>
          <w:spacing w:val="-4"/>
          <w:sz w:val="18"/>
          <w:szCs w:val="18"/>
        </w:rPr>
        <w:t>相关信息披露详见财务报表附注三、（十九）</w:t>
      </w:r>
      <w:r>
        <w:rPr>
          <w:rFonts w:ascii="宋体" w:hAnsi="宋体" w:cs="宋体" w:eastAsia="宋体" w:hint="default"/>
          <w:sz w:val="18"/>
          <w:szCs w:val="18"/>
        </w:rPr>
        <w:t> 与附注五、（十二）。</w:t>
      </w:r>
    </w:p>
    <w:p>
      <w:pPr>
        <w:spacing w:before="44"/>
        <w:ind w:left="16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我们针对商誉减值执行的主要审计程序包括：</w:t>
      </w:r>
    </w:p>
    <w:p>
      <w:pPr>
        <w:spacing w:before="125"/>
        <w:ind w:left="16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）我们了解和评价管理层与商誉减值相关的关键内部控制设计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062" w:space="127"/>
            <w:col w:w="6741"/>
          </w:cols>
        </w:sectPr>
      </w:pPr>
    </w:p>
    <w:p>
      <w:pPr>
        <w:spacing w:line="316" w:lineRule="auto" w:before="65"/>
        <w:ind w:left="163" w:right="1117" w:firstLine="360"/>
        <w:jc w:val="left"/>
        <w:rPr>
          <w:rFonts w:ascii="宋体" w:hAnsi="宋体" w:cs="宋体" w:eastAsia="宋体" w:hint="default"/>
          <w:sz w:val="18"/>
          <w:szCs w:val="18"/>
        </w:rPr>
      </w:pPr>
      <w:r>
        <w:rPr>
          <w:rFonts w:ascii="宋体" w:hAnsi="宋体" w:cs="宋体" w:eastAsia="宋体" w:hint="default"/>
          <w:sz w:val="18"/>
          <w:szCs w:val="18"/>
        </w:rPr>
        <w:t>鸿博股份在以前年度收购了广州彩创网络技</w:t>
      </w:r>
      <w:r>
        <w:rPr>
          <w:rFonts w:ascii="宋体" w:hAnsi="宋体" w:cs="宋体" w:eastAsia="宋体" w:hint="default"/>
          <w:spacing w:val="-60"/>
          <w:sz w:val="18"/>
          <w:szCs w:val="18"/>
        </w:rPr>
        <w:t> </w:t>
      </w:r>
      <w:r>
        <w:rPr>
          <w:rFonts w:ascii="宋体" w:hAnsi="宋体" w:cs="宋体" w:eastAsia="宋体" w:hint="default"/>
          <w:sz w:val="18"/>
          <w:szCs w:val="18"/>
        </w:rPr>
        <w:t>和运行的有效性；（</w:t>
      </w:r>
      <w:r>
        <w:rPr>
          <w:rFonts w:ascii="宋体" w:hAnsi="宋体" w:cs="宋体" w:eastAsia="宋体" w:hint="default"/>
          <w:sz w:val="18"/>
          <w:szCs w:val="18"/>
        </w:rPr>
        <w:t>2</w:t>
      </w:r>
      <w:r>
        <w:rPr>
          <w:rFonts w:ascii="宋体" w:hAnsi="宋体" w:cs="宋体" w:eastAsia="宋体" w:hint="default"/>
          <w:sz w:val="18"/>
          <w:szCs w:val="18"/>
        </w:rPr>
        <w:t>）我们评价鸿博股份聘请的第三方评估机构的客 术有限公司、无锡双龙信息纸有限公司及北京科</w:t>
      </w:r>
      <w:r>
        <w:rPr>
          <w:rFonts w:ascii="宋体" w:hAnsi="宋体" w:cs="宋体" w:eastAsia="宋体" w:hint="default"/>
          <w:spacing w:val="-59"/>
          <w:sz w:val="18"/>
          <w:szCs w:val="18"/>
        </w:rPr>
        <w:t> </w:t>
      </w:r>
      <w:r>
        <w:rPr>
          <w:rFonts w:ascii="宋体" w:hAnsi="宋体" w:cs="宋体" w:eastAsia="宋体" w:hint="default"/>
          <w:sz w:val="18"/>
          <w:szCs w:val="18"/>
        </w:rPr>
        <w:t>观性、独立性及专业胜任能力；（</w:t>
      </w:r>
      <w:r>
        <w:rPr>
          <w:rFonts w:ascii="宋体" w:hAnsi="宋体" w:cs="宋体" w:eastAsia="宋体" w:hint="default"/>
          <w:sz w:val="18"/>
          <w:szCs w:val="18"/>
        </w:rPr>
        <w:t>3</w:t>
      </w:r>
      <w:r>
        <w:rPr>
          <w:rFonts w:ascii="宋体" w:hAnsi="宋体" w:cs="宋体" w:eastAsia="宋体" w:hint="default"/>
          <w:sz w:val="18"/>
          <w:szCs w:val="18"/>
        </w:rPr>
        <w:t>）复核第三方评估机构对资产组的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信盛彩投资有限公司的股权，截止</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pacing w:val="-60"/>
          <w:sz w:val="18"/>
          <w:szCs w:val="18"/>
        </w:rPr>
        <w:t> </w:t>
      </w:r>
      <w:r>
        <w:rPr>
          <w:rFonts w:ascii="宋体" w:hAnsi="宋体" w:cs="宋体" w:eastAsia="宋体" w:hint="default"/>
          <w:sz w:val="18"/>
          <w:szCs w:val="18"/>
        </w:rPr>
        <w:t>估值方法及出具的评估报告；（</w:t>
      </w:r>
      <w:r>
        <w:rPr>
          <w:rFonts w:ascii="宋体" w:hAnsi="宋体" w:cs="宋体" w:eastAsia="宋体" w:hint="default"/>
          <w:sz w:val="18"/>
          <w:szCs w:val="18"/>
        </w:rPr>
        <w:t>4</w:t>
      </w:r>
      <w:r>
        <w:rPr>
          <w:rFonts w:ascii="宋体" w:hAnsi="宋体" w:cs="宋体" w:eastAsia="宋体" w:hint="default"/>
          <w:sz w:val="18"/>
          <w:szCs w:val="18"/>
        </w:rPr>
        <w:t>）我们分析了公司管理层对商誉所属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日，鸿博股份由于收购以上三家子公司形成的商</w:t>
      </w:r>
      <w:r>
        <w:rPr>
          <w:rFonts w:ascii="宋体" w:hAnsi="宋体" w:cs="宋体" w:eastAsia="宋体" w:hint="default"/>
          <w:spacing w:val="-59"/>
          <w:sz w:val="18"/>
          <w:szCs w:val="18"/>
        </w:rPr>
        <w:t> </w:t>
      </w:r>
      <w:r>
        <w:rPr>
          <w:rFonts w:ascii="宋体" w:hAnsi="宋体" w:cs="宋体" w:eastAsia="宋体" w:hint="default"/>
          <w:sz w:val="18"/>
          <w:szCs w:val="18"/>
        </w:rPr>
        <w:t>资产组的认定；（</w:t>
      </w:r>
      <w:r>
        <w:rPr>
          <w:rFonts w:ascii="宋体" w:hAnsi="宋体" w:cs="宋体" w:eastAsia="宋体" w:hint="default"/>
          <w:sz w:val="18"/>
          <w:szCs w:val="18"/>
        </w:rPr>
        <w:t>5</w:t>
      </w:r>
      <w:r>
        <w:rPr>
          <w:rFonts w:ascii="宋体" w:hAnsi="宋体" w:cs="宋体" w:eastAsia="宋体" w:hint="default"/>
          <w:sz w:val="18"/>
          <w:szCs w:val="18"/>
        </w:rPr>
        <w:t>）我们通过实施下列程序对管理层进行商誉减值测</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誉账面价值为</w:t>
      </w:r>
      <w:r>
        <w:rPr>
          <w:rFonts w:ascii="宋体" w:hAnsi="宋体" w:cs="宋体" w:eastAsia="宋体" w:hint="default"/>
          <w:spacing w:val="4"/>
          <w:sz w:val="18"/>
          <w:szCs w:val="18"/>
        </w:rPr>
        <w:t>50,148,616.88</w:t>
      </w:r>
      <w:r>
        <w:rPr>
          <w:rFonts w:ascii="宋体" w:hAnsi="宋体" w:cs="宋体" w:eastAsia="宋体" w:hint="default"/>
          <w:spacing w:val="4"/>
          <w:sz w:val="18"/>
          <w:szCs w:val="18"/>
        </w:rPr>
        <w:t>元，商誉减值准备</w:t>
      </w:r>
      <w:r>
        <w:rPr>
          <w:rFonts w:ascii="宋体" w:hAnsi="宋体" w:cs="宋体" w:eastAsia="宋体" w:hint="default"/>
          <w:spacing w:val="-69"/>
          <w:sz w:val="18"/>
          <w:szCs w:val="18"/>
        </w:rPr>
        <w:t> </w:t>
      </w:r>
      <w:r>
        <w:rPr>
          <w:rFonts w:ascii="宋体" w:hAnsi="宋体" w:cs="宋体" w:eastAsia="宋体" w:hint="default"/>
          <w:spacing w:val="3"/>
          <w:sz w:val="18"/>
          <w:szCs w:val="18"/>
        </w:rPr>
        <w:t>试的关键假设和重要参数进行了评估，检查相关的假设和方法的合理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4,459,756.66</w:t>
      </w:r>
      <w:r>
        <w:rPr>
          <w:rFonts w:ascii="宋体" w:hAnsi="宋体" w:cs="宋体" w:eastAsia="宋体" w:hint="default"/>
          <w:spacing w:val="3"/>
          <w:sz w:val="18"/>
          <w:szCs w:val="18"/>
        </w:rPr>
        <w:t>元，商誉账面价值</w:t>
      </w:r>
      <w:r>
        <w:rPr>
          <w:rFonts w:ascii="宋体" w:hAnsi="宋体" w:cs="宋体" w:eastAsia="宋体" w:hint="default"/>
          <w:spacing w:val="3"/>
          <w:sz w:val="18"/>
          <w:szCs w:val="18"/>
        </w:rPr>
        <w:t>45,688,860.22</w:t>
      </w:r>
      <w:r>
        <w:rPr>
          <w:rFonts w:ascii="宋体" w:hAnsi="宋体" w:cs="宋体" w:eastAsia="宋体" w:hint="default"/>
          <w:spacing w:val="-42"/>
          <w:sz w:val="18"/>
          <w:szCs w:val="18"/>
        </w:rPr>
        <w:t> </w:t>
      </w:r>
      <w:r>
        <w:rPr>
          <w:rFonts w:ascii="宋体" w:hAnsi="宋体" w:cs="宋体" w:eastAsia="宋体" w:hint="default"/>
          <w:spacing w:val="-3"/>
          <w:sz w:val="18"/>
          <w:szCs w:val="18"/>
        </w:rPr>
        <w:t>性：</w:t>
      </w:r>
      <w:r>
        <w:rPr>
          <w:rFonts w:ascii="宋体" w:hAnsi="宋体" w:cs="宋体" w:eastAsia="宋体" w:hint="default"/>
          <w:spacing w:val="-3"/>
          <w:sz w:val="18"/>
          <w:szCs w:val="18"/>
        </w:rPr>
        <w:t>a</w:t>
      </w:r>
      <w:r>
        <w:rPr>
          <w:rFonts w:ascii="宋体" w:hAnsi="宋体" w:cs="宋体" w:eastAsia="宋体" w:hint="default"/>
          <w:spacing w:val="-3"/>
          <w:sz w:val="18"/>
          <w:szCs w:val="18"/>
        </w:rPr>
        <w:t>、综合考虑了资产组的历史运营情况、行业走势及新的市场机会，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元。</w:t>
      </w:r>
      <w:r>
        <w:rPr>
          <w:rFonts w:ascii="宋体" w:hAnsi="宋体" w:cs="宋体" w:eastAsia="宋体" w:hint="default"/>
          <w:sz w:val="18"/>
          <w:szCs w:val="18"/>
        </w:rPr>
        <w:t>2017</w:t>
      </w:r>
      <w:r>
        <w:rPr>
          <w:rFonts w:ascii="宋体" w:hAnsi="宋体" w:cs="宋体" w:eastAsia="宋体" w:hint="default"/>
          <w:sz w:val="18"/>
          <w:szCs w:val="18"/>
        </w:rPr>
        <w:t>年度，广州彩创网络技术有限公司由于</w:t>
      </w:r>
      <w:r>
        <w:rPr>
          <w:rFonts w:ascii="宋体" w:hAnsi="宋体" w:cs="宋体" w:eastAsia="宋体" w:hint="default"/>
          <w:spacing w:val="-57"/>
          <w:sz w:val="18"/>
          <w:szCs w:val="18"/>
        </w:rPr>
        <w:t> </w:t>
      </w:r>
      <w:r>
        <w:rPr>
          <w:rFonts w:ascii="宋体" w:hAnsi="宋体" w:cs="宋体" w:eastAsia="宋体" w:hint="default"/>
          <w:spacing w:val="-3"/>
          <w:sz w:val="18"/>
          <w:szCs w:val="18"/>
        </w:rPr>
        <w:t>对管理层使用的未来收入增长率、毛利率和费用率假设进行了合理性分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政策变动，营业活动基本停止，其商誉已全额计</w:t>
      </w:r>
      <w:r>
        <w:rPr>
          <w:rFonts w:ascii="宋体" w:hAnsi="宋体" w:cs="宋体" w:eastAsia="宋体" w:hint="default"/>
          <w:spacing w:val="-22"/>
          <w:sz w:val="18"/>
          <w:szCs w:val="18"/>
        </w:rPr>
        <w:t> </w:t>
      </w:r>
      <w:r>
        <w:rPr>
          <w:rFonts w:ascii="宋体" w:hAnsi="宋体" w:cs="宋体" w:eastAsia="宋体" w:hint="default"/>
          <w:sz w:val="18"/>
          <w:szCs w:val="18"/>
        </w:rPr>
        <w:t>析；</w:t>
      </w:r>
      <w:r>
        <w:rPr>
          <w:rFonts w:ascii="宋体" w:hAnsi="宋体" w:cs="宋体" w:eastAsia="宋体" w:hint="default"/>
          <w:sz w:val="18"/>
          <w:szCs w:val="18"/>
        </w:rPr>
        <w:t>b</w:t>
      </w:r>
      <w:r>
        <w:rPr>
          <w:rFonts w:ascii="宋体" w:hAnsi="宋体" w:cs="宋体" w:eastAsia="宋体" w:hint="default"/>
          <w:sz w:val="18"/>
          <w:szCs w:val="18"/>
        </w:rPr>
        <w:t>、结合基期中国市场无风险报酬率、社会平均风险报酬率，考虑</w:t>
      </w:r>
    </w:p>
    <w:p>
      <w:pPr>
        <w:tabs>
          <w:tab w:pos="3992" w:val="left" w:leader="none"/>
        </w:tabs>
        <w:spacing w:before="19"/>
        <w:ind w:left="163" w:right="1117" w:firstLine="0"/>
        <w:jc w:val="left"/>
        <w:rPr>
          <w:rFonts w:ascii="宋体" w:hAnsi="宋体" w:cs="宋体" w:eastAsia="宋体" w:hint="default"/>
          <w:sz w:val="18"/>
          <w:szCs w:val="18"/>
        </w:rPr>
      </w:pPr>
      <w:r>
        <w:rPr>
          <w:rFonts w:ascii="宋体" w:hAnsi="宋体" w:cs="宋体" w:eastAsia="宋体" w:hint="default"/>
          <w:sz w:val="18"/>
          <w:szCs w:val="18"/>
        </w:rPr>
        <w:t>提商誉减值准备</w:t>
      </w:r>
      <w:r>
        <w:rPr>
          <w:rFonts w:ascii="宋体" w:hAnsi="宋体" w:cs="宋体" w:eastAsia="宋体" w:hint="default"/>
          <w:sz w:val="18"/>
          <w:szCs w:val="18"/>
        </w:rPr>
        <w:t>1,937,437.40</w:t>
      </w:r>
      <w:r>
        <w:rPr>
          <w:rFonts w:ascii="宋体" w:hAnsi="宋体" w:cs="宋体" w:eastAsia="宋体" w:hint="default"/>
          <w:sz w:val="18"/>
          <w:szCs w:val="18"/>
        </w:rPr>
        <w:t>元。</w:t>
        <w:tab/>
        <w:t>同行业可比公司的调整系数，评估了管理层采用的折现率；（</w:t>
      </w:r>
      <w:r>
        <w:rPr>
          <w:rFonts w:ascii="宋体" w:hAnsi="宋体" w:cs="宋体" w:eastAsia="宋体" w:hint="default"/>
          <w:sz w:val="18"/>
          <w:szCs w:val="18"/>
        </w:rPr>
        <w:t>6</w:t>
      </w:r>
      <w:r>
        <w:rPr>
          <w:rFonts w:ascii="宋体" w:hAnsi="宋体" w:cs="宋体" w:eastAsia="宋体" w:hint="default"/>
          <w:sz w:val="18"/>
          <w:szCs w:val="18"/>
        </w:rPr>
        <w:t>）获取</w:t>
      </w:r>
    </w:p>
    <w:p>
      <w:pPr>
        <w:spacing w:line="261" w:lineRule="auto" w:before="76"/>
        <w:ind w:left="163" w:right="1414" w:firstLine="360"/>
        <w:jc w:val="both"/>
        <w:rPr>
          <w:rFonts w:ascii="宋体" w:hAnsi="宋体" w:cs="宋体" w:eastAsia="宋体" w:hint="default"/>
          <w:sz w:val="18"/>
          <w:szCs w:val="18"/>
        </w:rPr>
      </w:pPr>
      <w:r>
        <w:rPr>
          <w:rFonts w:ascii="宋体" w:hAnsi="宋体" w:cs="宋体" w:eastAsia="宋体" w:hint="default"/>
          <w:position w:val="-4"/>
          <w:sz w:val="18"/>
          <w:szCs w:val="18"/>
        </w:rPr>
        <w:t>根据企业会计准则，鸿博股份公司管理层在</w:t>
      </w:r>
      <w:r>
        <w:rPr>
          <w:rFonts w:ascii="宋体" w:hAnsi="宋体" w:cs="宋体" w:eastAsia="宋体" w:hint="default"/>
          <w:spacing w:val="-31"/>
          <w:position w:val="-4"/>
          <w:sz w:val="18"/>
          <w:szCs w:val="18"/>
        </w:rPr>
        <w:t> </w:t>
      </w:r>
      <w:r>
        <w:rPr>
          <w:rFonts w:ascii="宋体" w:hAnsi="宋体" w:cs="宋体" w:eastAsia="宋体" w:hint="default"/>
          <w:spacing w:val="-3"/>
          <w:sz w:val="18"/>
          <w:szCs w:val="18"/>
        </w:rPr>
        <w:t>并复核管理层编制的商誉所属资产组可收回金额的计算表，比较商誉所</w:t>
      </w:r>
      <w:r>
        <w:rPr>
          <w:rFonts w:ascii="宋体" w:hAnsi="宋体" w:cs="宋体" w:eastAsia="宋体" w:hint="default"/>
          <w:sz w:val="18"/>
          <w:szCs w:val="18"/>
        </w:rPr>
        <w:t> </w:t>
      </w:r>
      <w:r>
        <w:rPr>
          <w:rFonts w:ascii="宋体" w:hAnsi="宋体" w:cs="宋体" w:eastAsia="宋体" w:hint="default"/>
          <w:position w:val="-4"/>
          <w:sz w:val="18"/>
          <w:szCs w:val="18"/>
        </w:rPr>
        <w:t>每年年度终了对商誉进行减值测试，并依据减值</w:t>
      </w:r>
      <w:r>
        <w:rPr>
          <w:rFonts w:ascii="宋体" w:hAnsi="宋体" w:cs="宋体" w:eastAsia="宋体" w:hint="default"/>
          <w:spacing w:val="-34"/>
          <w:position w:val="-4"/>
          <w:sz w:val="18"/>
          <w:szCs w:val="18"/>
        </w:rPr>
        <w:t> </w:t>
      </w:r>
      <w:r>
        <w:rPr>
          <w:rFonts w:ascii="宋体" w:hAnsi="宋体" w:cs="宋体" w:eastAsia="宋体" w:hint="default"/>
          <w:spacing w:val="-3"/>
          <w:sz w:val="18"/>
          <w:szCs w:val="18"/>
        </w:rPr>
        <w:t>述资产组的账面价值与其可收回金额的差异，确认是否存在商誉减值情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position w:val="-4"/>
          <w:sz w:val="18"/>
          <w:szCs w:val="18"/>
        </w:rPr>
        <w:t>测试的结果调整商誉的账面价值。因商誉减值测</w:t>
      </w:r>
      <w:r>
        <w:rPr>
          <w:rFonts w:ascii="宋体" w:hAnsi="宋体" w:cs="宋体" w:eastAsia="宋体" w:hint="default"/>
          <w:spacing w:val="-39"/>
          <w:position w:val="-4"/>
          <w:sz w:val="18"/>
          <w:szCs w:val="18"/>
        </w:rPr>
        <w:t> </w:t>
      </w:r>
      <w:r>
        <w:rPr>
          <w:rFonts w:ascii="宋体" w:hAnsi="宋体" w:cs="宋体" w:eastAsia="宋体" w:hint="default"/>
          <w:sz w:val="18"/>
          <w:szCs w:val="18"/>
        </w:rPr>
        <w:t>况。（</w:t>
      </w:r>
      <w:r>
        <w:rPr>
          <w:rFonts w:ascii="宋体" w:hAnsi="宋体" w:cs="宋体" w:eastAsia="宋体" w:hint="default"/>
          <w:sz w:val="18"/>
          <w:szCs w:val="18"/>
        </w:rPr>
        <w:t>7</w:t>
      </w:r>
      <w:r>
        <w:rPr>
          <w:rFonts w:ascii="宋体" w:hAnsi="宋体" w:cs="宋体" w:eastAsia="宋体" w:hint="default"/>
          <w:sz w:val="18"/>
          <w:szCs w:val="18"/>
        </w:rPr>
        <w:t>）根据商誉减值测试结果，检查和评价商誉的列报和披露是否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试的评估需依赖管理层的判断，减值评估涉及确</w:t>
      </w:r>
      <w:r>
        <w:rPr>
          <w:rFonts w:ascii="宋体" w:hAnsi="宋体" w:cs="宋体" w:eastAsia="宋体" w:hint="default"/>
          <w:spacing w:val="-45"/>
          <w:sz w:val="18"/>
          <w:szCs w:val="18"/>
        </w:rPr>
        <w:t> </w:t>
      </w:r>
      <w:r>
        <w:rPr>
          <w:rFonts w:ascii="宋体" w:hAnsi="宋体" w:cs="宋体" w:eastAsia="宋体" w:hint="default"/>
          <w:position w:val="5"/>
          <w:sz w:val="18"/>
          <w:szCs w:val="18"/>
        </w:rPr>
        <w:t>准确和恰当。</w:t>
      </w:r>
      <w:r>
        <w:rPr>
          <w:rFonts w:ascii="宋体" w:hAnsi="宋体" w:cs="宋体" w:eastAsia="宋体" w:hint="default"/>
          <w:sz w:val="18"/>
          <w:szCs w:val="18"/>
        </w:rPr>
      </w:r>
    </w:p>
    <w:p>
      <w:pPr>
        <w:spacing w:line="319" w:lineRule="auto" w:before="55"/>
        <w:ind w:left="163" w:right="6849" w:firstLine="0"/>
        <w:jc w:val="left"/>
        <w:rPr>
          <w:rFonts w:ascii="宋体" w:hAnsi="宋体" w:cs="宋体" w:eastAsia="宋体" w:hint="default"/>
          <w:sz w:val="18"/>
          <w:szCs w:val="18"/>
        </w:rPr>
      </w:pPr>
      <w:r>
        <w:rPr>
          <w:rFonts w:ascii="宋体" w:hAnsi="宋体" w:cs="宋体" w:eastAsia="宋体" w:hint="default"/>
          <w:spacing w:val="-3"/>
          <w:sz w:val="18"/>
          <w:szCs w:val="18"/>
        </w:rPr>
        <w:t>定折现率、未来期间销售增长率、毛利率等参数，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商誉减值测试的评估过程复杂，且商誉金额较大，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对财务报表影响重大，其所基于的假设，受到预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期未来市场和经济环境的影响而有可能改变，因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此我们将商誉减值识别为关键审计事项。</w:t>
      </w:r>
    </w:p>
    <w:p>
      <w:pPr>
        <w:pStyle w:val="BodyText"/>
        <w:spacing w:line="273" w:lineRule="auto" w:before="65"/>
        <w:ind w:left="574" w:right="1117"/>
        <w:jc w:val="left"/>
      </w:pPr>
      <w:r>
        <w:rPr/>
        <w:t>四、其他信息 </w:t>
      </w:r>
      <w:r>
        <w:rPr>
          <w:spacing w:val="-1"/>
        </w:rPr>
        <w:t>鸿博股份管理层（以下简称管理层）对其他信息负责。其他信息包括鸿博股份</w:t>
      </w:r>
      <w:r>
        <w:rPr>
          <w:rFonts w:ascii="宋体" w:hAnsi="宋体" w:cs="宋体" w:eastAsia="宋体" w:hint="default"/>
          <w:spacing w:val="-1"/>
        </w:rPr>
        <w:t>2018</w:t>
      </w:r>
      <w:r>
        <w:rPr>
          <w:spacing w:val="-1"/>
        </w:rPr>
        <w:t>年年度报告中涵盖</w:t>
      </w:r>
    </w:p>
    <w:p>
      <w:pPr>
        <w:pStyle w:val="BodyText"/>
        <w:spacing w:line="273" w:lineRule="auto"/>
        <w:ind w:left="574" w:right="1117" w:hanging="420"/>
        <w:jc w:val="left"/>
      </w:pPr>
      <w:r>
        <w:rPr/>
        <w:t>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273" w:lineRule="auto"/>
        <w:ind w:left="574" w:right="1117"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BodyText"/>
        <w:spacing w:line="273" w:lineRule="auto"/>
        <w:ind w:left="574" w:right="6762" w:hanging="420"/>
        <w:jc w:val="left"/>
      </w:pPr>
      <w:r>
        <w:rPr/>
        <w:t>们无任何事项需要报告。 五、管理层和治理层对财务报表的责任</w:t>
      </w:r>
    </w:p>
    <w:p>
      <w:pPr>
        <w:pStyle w:val="BodyText"/>
        <w:spacing w:line="273" w:lineRule="auto"/>
        <w:ind w:right="1017" w:firstLine="420"/>
        <w:jc w:val="left"/>
      </w:pPr>
      <w:r>
        <w:rPr>
          <w:spacing w:val="-3"/>
        </w:rPr>
        <w:t>鸿博股份管理层（以下简称管理层）负责按照企业会计准则的规定编制财务报表，使其实现公允反映，</w:t>
      </w:r>
      <w:r>
        <w:rPr/>
        <w:t> 并设计、执行和维护必要的内部控制，以使财务报表不存在由于舞弊或错误导致的重大错报。</w:t>
      </w:r>
    </w:p>
    <w:p>
      <w:pPr>
        <w:pStyle w:val="BodyText"/>
        <w:spacing w:line="273" w:lineRule="auto"/>
        <w:ind w:right="0" w:firstLine="420"/>
        <w:jc w:val="left"/>
      </w:pPr>
      <w:r>
        <w:rPr>
          <w:spacing w:val="-8"/>
        </w:rPr>
        <w:t>在编制财务报表时，管理层负责评估鸿博股份的持续经营能力，披露与持续经营相关的事项（如适用），</w:t>
      </w:r>
      <w:r>
        <w:rPr/>
        <w:t> 并运用持续经营假设，除非管理层计划清算鸿博股份、终止运营或别无其他现实的选择。</w:t>
      </w:r>
    </w:p>
    <w:p>
      <w:pPr>
        <w:pStyle w:val="BodyText"/>
        <w:spacing w:line="273" w:lineRule="auto"/>
        <w:ind w:left="574" w:right="6342"/>
        <w:jc w:val="left"/>
      </w:pPr>
      <w:r>
        <w:rPr/>
        <w:t>治理层负责监督鸿博股份的财务报告过程。 六、注册会计师对财务报表审计的责任</w:t>
      </w:r>
    </w:p>
    <w:p>
      <w:pPr>
        <w:pStyle w:val="BodyText"/>
        <w:spacing w:line="273" w:lineRule="auto"/>
        <w:ind w:right="1130"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0"/>
        </w:rPr>
        <w:t> </w:t>
      </w:r>
      <w:r>
        <w:rPr>
          <w:spacing w:val="-80"/>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ind w:right="1117" w:firstLine="420"/>
        <w:jc w:val="left"/>
      </w:pPr>
      <w:r>
        <w:rPr>
          <w:spacing w:val="-1"/>
        </w:rPr>
        <w:t>在按照审计准则执行审计工作的过程中，我们运用职业判断，并保持职业怀疑。同时，我们也执行以</w:t>
      </w:r>
      <w:r>
        <w:rPr/>
        <w:t> 下工作：</w:t>
      </w:r>
    </w:p>
    <w:p>
      <w:pPr>
        <w:spacing w:after="0" w:line="273"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3" w:firstLine="420"/>
        <w:jc w:val="left"/>
      </w:pPr>
      <w:r>
        <w:rPr/>
        <w:t>（</w:t>
      </w:r>
      <w:r>
        <w:rPr>
          <w:rFonts w:ascii="宋体" w:hAnsi="宋体" w:cs="宋体" w:eastAsia="宋体"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before="8"/>
        <w:ind w:left="574" w:right="1117"/>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37"/>
        <w:ind w:left="574" w:right="1117"/>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73" w:lineRule="auto" w:before="37"/>
        <w:ind w:right="1117" w:firstLine="420"/>
        <w:jc w:val="left"/>
      </w:pPr>
      <w:r>
        <w:rPr/>
        <w:t>（</w:t>
      </w:r>
      <w:r>
        <w:rPr>
          <w:rFonts w:ascii="宋体" w:hAnsi="宋体" w:cs="宋体" w:eastAsia="宋体" w:hint="default"/>
        </w:rPr>
        <w:t>4</w:t>
      </w:r>
      <w:r>
        <w:rPr/>
        <w:t>）对管理层使用持续经营假设的恰当性得出结论。同时，根据获取的审计证据，就可能导致对鸿 </w:t>
      </w:r>
      <w:r>
        <w:rPr>
          <w:spacing w:val="-1"/>
        </w:rPr>
        <w:t>博股份的持续经营能力产生重大疑虑的事项或情况是否存在重大不确定性得出结论。如果我们得出结论认</w:t>
      </w:r>
      <w:r>
        <w:rPr>
          <w:spacing w:val="-81"/>
        </w:rPr>
        <w:t> </w:t>
      </w:r>
      <w:r>
        <w:rPr>
          <w:spacing w:val="-81"/>
        </w:rPr>
      </w:r>
      <w:r>
        <w:rPr>
          <w:spacing w:val="-1"/>
        </w:rPr>
        <w:t>为存在重大不确定性，审计准则要求我们在审计报告中提请报表使用者注意财务报表中的相关披露；如果</w:t>
      </w:r>
      <w:r>
        <w:rPr>
          <w:spacing w:val="-81"/>
        </w:rPr>
        <w:t> </w:t>
      </w:r>
      <w:r>
        <w:rPr>
          <w:spacing w:val="-81"/>
        </w:rPr>
      </w:r>
      <w:r>
        <w:rPr>
          <w:spacing w:val="-1"/>
        </w:rPr>
        <w:t>披露不充分，我们应当发表非无保留意见。我们的结论基于截至审计报告日可获得的信息。然而，未来的</w:t>
      </w:r>
      <w:r>
        <w:rPr>
          <w:spacing w:val="-85"/>
        </w:rPr>
        <w:t> </w:t>
      </w:r>
      <w:r>
        <w:rPr>
          <w:spacing w:val="-85"/>
        </w:rPr>
      </w:r>
      <w:r>
        <w:rPr/>
        <w:t>事项或情况可能导致鸿博股份不能持续经营。</w:t>
      </w:r>
    </w:p>
    <w:p>
      <w:pPr>
        <w:pStyle w:val="BodyText"/>
        <w:spacing w:line="273" w:lineRule="auto"/>
        <w:ind w:right="1197" w:firstLine="420"/>
        <w:jc w:val="left"/>
      </w:pPr>
      <w:r>
        <w:rPr/>
        <w:t>（</w:t>
      </w:r>
      <w:r>
        <w:rPr>
          <w:rFonts w:ascii="宋体" w:hAnsi="宋体" w:cs="宋体" w:eastAsia="宋体" w:hint="default"/>
        </w:rPr>
        <w:t>5</w:t>
      </w:r>
      <w:r>
        <w:rPr/>
        <w:t>）评价财务报表的总体列报、结构和内容（包括披露），并评价财务报表是否公允反映相关交易 和事项。</w:t>
      </w:r>
    </w:p>
    <w:p>
      <w:pPr>
        <w:pStyle w:val="BodyText"/>
        <w:spacing w:line="273" w:lineRule="auto"/>
        <w:ind w:right="1197" w:firstLine="420"/>
        <w:jc w:val="left"/>
      </w:pPr>
      <w:r>
        <w:rPr/>
        <w:t>（</w:t>
      </w:r>
      <w:r>
        <w:rPr>
          <w:rFonts w:ascii="宋体" w:hAnsi="宋体" w:cs="宋体" w:eastAsia="宋体" w:hint="default"/>
        </w:rPr>
        <w:t>6</w:t>
      </w:r>
      <w:r>
        <w:rPr/>
        <w:t>）就鸿博股份中实体或业务活动的财务信息获取充分、适当的审计证据，以对财务报表发表审计 意见。我们负责指导、监督和执行集团审计，并对审计意见承担全部责任。</w:t>
      </w:r>
    </w:p>
    <w:p>
      <w:pPr>
        <w:pStyle w:val="BodyText"/>
        <w:spacing w:line="273" w:lineRule="auto"/>
        <w:ind w:right="1117" w:firstLine="420"/>
        <w:jc w:val="left"/>
      </w:pPr>
      <w:r>
        <w:rPr>
          <w:spacing w:val="-1"/>
        </w:rPr>
        <w:t>我们与治理层就计划的审计范围、时间安排和重大审计发现等事项进行沟通，包括沟通我们在审计中</w:t>
      </w:r>
      <w:r>
        <w:rPr/>
        <w:t> 识别出的值得关注的内部控制缺陷。</w:t>
      </w:r>
    </w:p>
    <w:p>
      <w:pPr>
        <w:pStyle w:val="BodyText"/>
        <w:spacing w:line="273" w:lineRule="auto"/>
        <w:ind w:right="1117" w:firstLine="420"/>
        <w:jc w:val="left"/>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273" w:lineRule="auto"/>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5"/>
        <w:rPr>
          <w:rFonts w:ascii="宋体" w:hAnsi="宋体" w:cs="宋体" w:eastAsia="宋体" w:hint="default"/>
          <w:sz w:val="9"/>
          <w:szCs w:val="9"/>
        </w:rPr>
      </w:pPr>
    </w:p>
    <w:tbl>
      <w:tblPr>
        <w:tblW w:w="0" w:type="auto"/>
        <w:jc w:val="left"/>
        <w:tblInd w:w="584" w:type="dxa"/>
        <w:tblLayout w:type="fixed"/>
        <w:tblCellMar>
          <w:top w:w="0" w:type="dxa"/>
          <w:left w:w="0" w:type="dxa"/>
          <w:bottom w:w="0" w:type="dxa"/>
          <w:right w:w="0" w:type="dxa"/>
        </w:tblCellMar>
        <w:tblLook w:val="01E0"/>
      </w:tblPr>
      <w:tblGrid>
        <w:gridCol w:w="3337"/>
        <w:gridCol w:w="3547"/>
      </w:tblGrid>
      <w:tr>
        <w:trPr>
          <w:trHeight w:val="669"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10" w:lineRule="exact"/>
              <w:ind w:right="828"/>
              <w:jc w:val="center"/>
              <w:rPr>
                <w:rFonts w:ascii="宋体" w:hAnsi="宋体" w:cs="宋体" w:eastAsia="宋体" w:hint="default"/>
                <w:sz w:val="21"/>
                <w:szCs w:val="21"/>
              </w:rPr>
            </w:pPr>
            <w:r>
              <w:rPr>
                <w:rFonts w:ascii="宋体" w:hAnsi="宋体" w:cs="宋体" w:eastAsia="宋体" w:hint="default"/>
                <w:b/>
                <w:bCs/>
                <w:sz w:val="21"/>
                <w:szCs w:val="21"/>
              </w:rPr>
              <w:t>福建华兴会计师事务所</w:t>
            </w:r>
            <w:r>
              <w:rPr>
                <w:rFonts w:ascii="宋体" w:hAnsi="宋体" w:cs="宋体" w:eastAsia="宋体" w:hint="default"/>
                <w:sz w:val="21"/>
                <w:szCs w:val="21"/>
              </w:rPr>
            </w:r>
          </w:p>
          <w:p>
            <w:pPr>
              <w:pStyle w:val="TableParagraph"/>
              <w:spacing w:line="240" w:lineRule="auto" w:before="78"/>
              <w:ind w:right="826"/>
              <w:jc w:val="center"/>
              <w:rPr>
                <w:rFonts w:ascii="宋体" w:hAnsi="宋体" w:cs="宋体" w:eastAsia="宋体" w:hint="default"/>
                <w:sz w:val="21"/>
                <w:szCs w:val="21"/>
              </w:rPr>
            </w:pPr>
            <w:r>
              <w:rPr>
                <w:rFonts w:ascii="宋体" w:hAnsi="宋体" w:cs="宋体" w:eastAsia="宋体" w:hint="default"/>
                <w:b/>
                <w:bCs/>
                <w:sz w:val="21"/>
                <w:szCs w:val="21"/>
              </w:rPr>
              <w:t>（特殊普通合伙）</w:t>
            </w:r>
            <w:r>
              <w:rPr>
                <w:rFonts w:ascii="宋体" w:hAnsi="宋体" w:cs="宋体" w:eastAsia="宋体" w:hint="default"/>
                <w:sz w:val="21"/>
                <w:szCs w:val="21"/>
              </w:rPr>
            </w:r>
          </w:p>
        </w:tc>
        <w:tc>
          <w:tcPr>
            <w:tcW w:w="3547" w:type="dxa"/>
            <w:tcBorders>
              <w:top w:val="nil" w:sz="6" w:space="0" w:color="auto"/>
              <w:left w:val="nil" w:sz="6" w:space="0" w:color="auto"/>
              <w:bottom w:val="nil" w:sz="6" w:space="0" w:color="auto"/>
              <w:right w:val="nil" w:sz="6" w:space="0" w:color="auto"/>
            </w:tcBorders>
          </w:tcPr>
          <w:p>
            <w:pPr>
              <w:pStyle w:val="TableParagraph"/>
              <w:spacing w:line="210" w:lineRule="exact"/>
              <w:ind w:left="1030" w:right="0"/>
              <w:jc w:val="left"/>
              <w:rPr>
                <w:rFonts w:ascii="宋体" w:hAnsi="宋体" w:cs="宋体" w:eastAsia="宋体" w:hint="default"/>
                <w:sz w:val="21"/>
                <w:szCs w:val="21"/>
              </w:rPr>
            </w:pPr>
            <w:r>
              <w:rPr>
                <w:rFonts w:ascii="宋体" w:hAnsi="宋体" w:cs="宋体" w:eastAsia="宋体" w:hint="default"/>
                <w:b/>
                <w:bCs/>
                <w:sz w:val="21"/>
                <w:szCs w:val="21"/>
              </w:rPr>
              <w:t>中国注册会计师：郑丽惠</w:t>
            </w:r>
            <w:r>
              <w:rPr>
                <w:rFonts w:ascii="宋体" w:hAnsi="宋体" w:cs="宋体" w:eastAsia="宋体" w:hint="default"/>
                <w:sz w:val="21"/>
                <w:szCs w:val="21"/>
              </w:rPr>
            </w:r>
          </w:p>
          <w:p>
            <w:pPr>
              <w:pStyle w:val="TableParagraph"/>
              <w:spacing w:line="240" w:lineRule="auto" w:before="78"/>
              <w:ind w:left="112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项目合伙人</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06" w:hRule="exact"/>
        </w:trPr>
        <w:tc>
          <w:tcPr>
            <w:tcW w:w="3337" w:type="dxa"/>
            <w:tcBorders>
              <w:top w:val="nil" w:sz="6" w:space="0" w:color="auto"/>
              <w:left w:val="nil" w:sz="6" w:space="0" w:color="auto"/>
              <w:bottom w:val="nil" w:sz="6" w:space="0" w:color="auto"/>
              <w:right w:val="nil" w:sz="6" w:space="0" w:color="auto"/>
            </w:tcBorders>
          </w:tcPr>
          <w:p>
            <w:pP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宋体" w:hAnsi="宋体" w:cs="宋体" w:eastAsia="宋体" w:hint="default"/>
                <w:sz w:val="21"/>
                <w:szCs w:val="21"/>
              </w:rPr>
            </w:pPr>
            <w:r>
              <w:rPr>
                <w:rFonts w:ascii="宋体" w:hAnsi="宋体" w:cs="宋体" w:eastAsia="宋体" w:hint="default"/>
                <w:b/>
                <w:bCs/>
                <w:w w:val="95"/>
                <w:sz w:val="21"/>
                <w:szCs w:val="21"/>
              </w:rPr>
              <w:t>中国注册会计师：李莉丽</w:t>
            </w:r>
            <w:r>
              <w:rPr>
                <w:rFonts w:ascii="宋体" w:hAnsi="宋体" w:cs="宋体" w:eastAsia="宋体" w:hint="default"/>
                <w:sz w:val="21"/>
                <w:szCs w:val="21"/>
              </w:rPr>
            </w:r>
          </w:p>
        </w:tc>
      </w:tr>
      <w:tr>
        <w:trPr>
          <w:trHeight w:val="322"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26" w:right="0"/>
              <w:jc w:val="left"/>
              <w:rPr>
                <w:rFonts w:ascii="宋体" w:hAnsi="宋体" w:cs="宋体" w:eastAsia="宋体" w:hint="default"/>
                <w:sz w:val="21"/>
                <w:szCs w:val="21"/>
              </w:rPr>
            </w:pPr>
            <w:r>
              <w:rPr>
                <w:rFonts w:ascii="宋体" w:hAnsi="宋体" w:cs="宋体" w:eastAsia="宋体" w:hint="default"/>
                <w:b/>
                <w:bCs/>
                <w:sz w:val="21"/>
                <w:szCs w:val="21"/>
              </w:rPr>
              <w:t>中国福州市</w:t>
            </w:r>
            <w:r>
              <w:rPr>
                <w:rFonts w:ascii="宋体" w:hAnsi="宋体" w:cs="宋体" w:eastAsia="宋体" w:hint="default"/>
                <w:sz w:val="21"/>
                <w:szCs w:val="21"/>
              </w:rPr>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0"/>
              <w:jc w:val="right"/>
              <w:rPr>
                <w:rFonts w:ascii="宋体" w:hAnsi="宋体" w:cs="宋体" w:eastAsia="宋体" w:hint="default"/>
                <w:sz w:val="21"/>
                <w:szCs w:val="21"/>
              </w:rPr>
            </w:pPr>
            <w:r>
              <w:rPr>
                <w:rFonts w:ascii="宋体" w:hAnsi="宋体" w:cs="宋体" w:eastAsia="宋体" w:hint="default"/>
                <w:b/>
                <w:bCs/>
                <w:w w:val="95"/>
                <w:sz w:val="21"/>
                <w:szCs w:val="21"/>
              </w:rPr>
              <w:t>二</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一九年三月二十八日</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2"/>
        <w:spacing w:line="240" w:lineRule="auto" w:before="26"/>
        <w:ind w:right="1117"/>
        <w:jc w:val="left"/>
        <w:rPr>
          <w:b w:val="0"/>
          <w:bCs w:val="0"/>
        </w:rPr>
      </w:pPr>
      <w:bookmarkStart w:name="二、财务报表" w:id="163"/>
      <w:bookmarkEnd w:id="16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1、合并资产负债表" w:id="164"/>
      <w:bookmarkEnd w:id="16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编制单位：鸿博股份有限公司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495" w:space="15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49" w:right="0"/>
              <w:jc w:val="left"/>
              <w:rPr>
                <w:rFonts w:ascii="Times New Roman" w:hAnsi="Times New Roman" w:cs="Times New Roman" w:eastAsia="Times New Roman" w:hint="default"/>
                <w:sz w:val="18"/>
                <w:szCs w:val="18"/>
              </w:rPr>
            </w:pPr>
            <w:r>
              <w:rPr>
                <w:rFonts w:ascii="Times New Roman"/>
                <w:sz w:val="18"/>
              </w:rPr>
              <w:t>824,332,578.78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11" w:right="0"/>
              <w:jc w:val="left"/>
              <w:rPr>
                <w:rFonts w:ascii="Times New Roman" w:hAnsi="Times New Roman" w:cs="Times New Roman" w:eastAsia="Times New Roman" w:hint="default"/>
                <w:sz w:val="18"/>
                <w:szCs w:val="18"/>
              </w:rPr>
            </w:pPr>
            <w:r>
              <w:rPr>
                <w:rFonts w:ascii="Times New Roman"/>
                <w:sz w:val="18"/>
              </w:rPr>
              <w:t>743,756,996.47</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83,114,154.64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97,558,290.15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5,060,762.32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82,814,154.64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92,497,527.83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15,269,936.37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20,358,935.05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33,958,523.01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81,634,059.25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79,954.90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32,541.67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143,476,446.17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179,270,073.41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3,846,458.93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53,343,929.01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1,103,998,097.90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1,175,922,283.34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143,815,265.00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158,815,265.00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596,705,806.29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617,393,779.00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948,275.86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54,861,381.21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56,434,571.98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45,688,860.22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45,688,860.22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29,531,660.92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32,919,238.95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22,109,953.40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21,758,612.62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69,522,000.00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858,231.00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963,183,202.90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934,053,087.07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2,067,181,300.80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2,109,975,370.41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132,833,237.32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120,680,567.21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10,220,224.53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11,681,961.05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17,829,717.06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16,208,665.96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11,552,192.70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12,543,868.98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16,911,444.75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73,390,393.93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189,811.11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84,583.34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344,346,816.36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324,505,457.13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10,442,914.10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10,327,814.10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11,475,981.80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10,377,223.89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3,527,714.19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2,564,097.45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25,446,610.09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23,269,135.44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369,793,426.45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347,774,592.57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499,752,213.00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502,647,213.00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883,028,330.34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902,788,370.05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8,858,611.29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23,546,000.00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50,984,299.21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43,521,824.46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180,942,865.85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213,421,056.80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1,605,849,097.11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1,638,832,464.31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91,538,777.24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123,368,313.53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1,697,387,874.35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1,762,200,777.84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2,067,181,300.80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2,109,975,370.41</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法定代表人：尤友岳</w:t>
        <w:tab/>
        <w:t>主管会计工作负责人：周美妹</w:t>
        <w:tab/>
        <w:t>会计机构负责人：张婉娟</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母公司资产负债表" w:id="165"/>
      <w:bookmarkEnd w:id="16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485,370,578.42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8" w:right="0"/>
              <w:jc w:val="left"/>
              <w:rPr>
                <w:rFonts w:ascii="Times New Roman" w:hAnsi="Times New Roman" w:cs="Times New Roman" w:eastAsia="Times New Roman" w:hint="default"/>
                <w:sz w:val="18"/>
                <w:szCs w:val="18"/>
              </w:rPr>
            </w:pPr>
            <w:r>
              <w:rPr>
                <w:rFonts w:ascii="Times New Roman"/>
                <w:sz w:val="18"/>
              </w:rPr>
              <w:t>461,982,303.52</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34,684,062.32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22,222,343.35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4,856,400.00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34,684,062.32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17,365,943.35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15,576,980.80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11,446,157.78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142,941,411.97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250,295,831.33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35,724,504.90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42,094,570.09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952,773.12</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715,250,311.53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788,041,206.07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137,815,265.00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127,815,265.00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943,133,814.83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896,633,814.83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125,296,059.66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102,680,256.71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948,275.86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4,186,120.16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4,563,968.37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1,415,571.28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3,888.90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281,940.30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504,458.50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678,231.00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1,282,077,047.09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1,133,064,411.61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1,997,327,358.62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1,921,105,617.68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6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57,654,704.99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42,042,709.49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7,133,293.95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7,069,904.39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2,621,860.39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2,455,850.06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556,812.21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3,803,540.34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84,629,066.47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122,500,256.48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189,811.11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84,583.34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287,595,738.01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247,872,260.76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287,595,738.01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247,872,260.76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499,752,213.00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502,647,213.00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900,120,666.23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919,880,705.94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8,858,611.29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23,546,000.00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49,755,480.81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42,293,006.06</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268,961,871.86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231,958,431.92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1,709,731,620.61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1,673,233,356.92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1,997,327,358.62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1,921,105,617.68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3、合并利润表" w:id="166"/>
      <w:bookmarkEnd w:id="16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705,637,172.42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695,022,195.25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705,637,172.42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695,022,195.25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713,638,626.70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703,060,560.37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553,753,932.02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527,812,707.49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10,367,790.87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8,860,828.11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51,322,044.69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57,511,721.85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73,355,270.67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69,946,779.20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24,226,568.61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24,195,288.11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-5,994,254.46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4,079,042.07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6,378,754.06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9,498,419.56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12,659,785.08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5,731,751.46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6,607,274.30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10,654,193.54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13,692,151.30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16,494,689.05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9,547,024.37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21,046,343.61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-722,718.94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100,233.94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14,515,002.45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29,602,901.48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4,276,793.94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665,625.55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621,090.38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2,522,110.81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18,170,706.01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27,746,416.22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4,187,125.72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14,777,387.54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13,983,580.29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12,969,028.68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13,983,580.29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12,969,028.68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5,143,116.58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10,760,151.47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8,840,463.71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2,208,877.21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13,983,580.29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12,969,028.68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5,143,116.58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10,760,151.47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8,840,463.71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2,208,877.21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0.0214</w:t>
            </w:r>
          </w:p>
        </w:tc>
      </w:tr>
    </w:tbl>
    <w:p>
      <w:pPr>
        <w:tabs>
          <w:tab w:pos="3574" w:val="left" w:leader="none"/>
          <w:tab w:pos="7715" w:val="left" w:leader="none"/>
        </w:tabs>
        <w:spacing w:line="624" w:lineRule="auto" w:before="51"/>
        <w:ind w:left="154"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法定代表人：尤友岳</w:t>
        <w:tab/>
        <w:t>主管会计工作负责人：周美妹</w:t>
        <w:tab/>
        <w:t>会计机构负责人：张婉娟</w:t>
      </w:r>
    </w:p>
    <w:p>
      <w:pPr>
        <w:pStyle w:val="Heading4"/>
        <w:spacing w:line="240" w:lineRule="auto" w:before="63"/>
        <w:ind w:right="1117"/>
        <w:jc w:val="left"/>
        <w:rPr>
          <w:b w:val="0"/>
          <w:bCs w:val="0"/>
        </w:rPr>
      </w:pPr>
      <w:bookmarkStart w:name="4、母公司利润表" w:id="167"/>
      <w:bookmarkEnd w:id="16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201,451,191.22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174,623,247.67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166,246,478.45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123,320,816.72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2,270,938.48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2,106,906.43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17,111,336.14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17,789,811.34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27,040,814.68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24,244,918.79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11,652,792.91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14,160,362.65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828,780.02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2,790,599.05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5,712,957.00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6,547,238.71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4,956,940.60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3,959,978.63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184,797.13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120,835.20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12,259,989.01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13,946,796.36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81,841,393.12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21,105,361.87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4,377,796.58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2,407,986.30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74,594,432.12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27,549,142.02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735,606.09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315,961.23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248,596.98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2,095,275.69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75,081,441.23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25,769,827.56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456,693.76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2,670,015.56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74,624,747.47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23,099,812.00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74,624,747.47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23,099,812.00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74,624,747.47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23,099,812.00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1117"/>
        <w:jc w:val="left"/>
        <w:rPr>
          <w:b w:val="0"/>
          <w:bCs w:val="0"/>
        </w:rPr>
      </w:pPr>
      <w:bookmarkStart w:name="5、合并现金流量表" w:id="168"/>
      <w:bookmarkEnd w:id="16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812,097,881.54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861,875,319.96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15,752,594.50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3,214,924.98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58,823,154.57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18,228,785.15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886,673,630.61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883,319,030.09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433,087,857.02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510,802,855.55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144,940,469.99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163,491,872.95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66,729,970.40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50,753,402.61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81,109,572.47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90,486,329.12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725,867,869.88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815,534,460.23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160,805,760.73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67,784,569.86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9,961,707.96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386,028.90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3,600,259.40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160,305,066.97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1,208,347,736.86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177,326,326.37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49,851,122.20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57,827,204.14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80,298,984.00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1,251,851,122.20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148,126,188.14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-43,503,385.34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29,200,138.23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23,622,681.00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154,622,681.00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348,952,916.83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77,269,760.07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53,042,386.10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32,192,311.29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53,617,691.58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235,462,071.36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455,612,994.51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-44,462,071.36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-300,990,313.51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17,096.37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-12,793.13</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72,857,400.40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-204,018,398.55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736,982,811.62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941,001,210.17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809,840,212.02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736,982,811.62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6、母公司现金流量表" w:id="169"/>
      <w:bookmarkEnd w:id="16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221,233,318.92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229,786,221.40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15,752,594.50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3,086,711.66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61,153,658.30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40,493,077.62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298,139,571.72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273,366,010.68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141,443,718.21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133,773,613.51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36,419,169.12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39,051,754.65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17,237,074.30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11,073,217.27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29,055,472.75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104,402,157.37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224,155,434.38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288,300,742.80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73,984,137.34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-14,934,732.12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82,256,076.71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9,214,247.61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147,660.00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935,578.53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110,241,779.30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1,205,403,736.71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120,391,605.44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38,638,884.13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4,705,730.41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157,627,799.08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1,257,138,884.13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162,632,513.49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-51,735,147.42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-42,240,908.05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23,622,681.00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150,622,681.00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35,766,562.01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11,922,146.92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32,192,311.29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173,958,873.30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278,370,746.92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-2,958,873.30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-127,748,065.92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17,096.37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-23,130.12</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19,307,212.99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-184,946,836.21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455,570,998.67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640,517,834.88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474,878,211.66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455,570,998.67</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7、合并所有者权益变动表" w:id="170"/>
      <w:bookmarkEnd w:id="17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502,64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7,213.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902,788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,370.05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824.46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213,421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,056.80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,313.53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502,64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7,213.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902,788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,370.05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213,421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123,368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,313.53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-19,760,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039.71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388.71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-32,478,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190.95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-31,829,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536.29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-64,812,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903.49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5,143,1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16.58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8,840,4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63.71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13,983,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580.29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-20,438,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388.71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-8,646,3</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11.29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-20,438,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388.71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-8,646,3</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11.29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-37,621,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307.53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-40,670,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-70,828,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832.78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74.75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-30,158,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832.78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-40,670,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-70,828,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832.78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3"/>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678,660</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678,660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499,75</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2,213.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883,028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,330.34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8,858,6</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11.29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50,984,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299.21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180,942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,865.85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91,538,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777.24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87,874.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333,16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8,142.</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41,211,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843.26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209,998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,408.66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184,891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,371.69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333,16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8,142.</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41,211,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843.26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209,998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,408.66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184,891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,371.69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169,47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9,071.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3,422,6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48.14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-61,523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,058.16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-70,028,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590.92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10,760,</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151.47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2,208,8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77.21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12,969,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028.68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1,895,</w:t>
            </w:r>
          </w:p>
          <w:p>
            <w:pPr>
              <w:pStyle w:val="TableParagraph"/>
              <w:spacing w:line="240" w:lineRule="auto" w:before="106"/>
              <w:ind w:left="34"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5,924,5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-25,678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,996.77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-41,405,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410.58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1,895,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21,414,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681.00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23,546,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-236,31</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9.00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-15,490,</w:t>
            </w:r>
          </w:p>
          <w:p>
            <w:pPr>
              <w:pStyle w:val="TableParagraph"/>
              <w:spacing w:line="240" w:lineRule="auto" w:before="106"/>
              <w:ind w:left="116" w:right="0"/>
              <w:jc w:val="center"/>
              <w:rPr>
                <w:rFonts w:ascii="Times New Roman" w:hAnsi="Times New Roman" w:cs="Times New Roman" w:eastAsia="Times New Roman" w:hint="default"/>
                <w:sz w:val="18"/>
                <w:szCs w:val="18"/>
              </w:rPr>
            </w:pPr>
            <w:r>
              <w:rPr>
                <w:rFonts w:ascii="Times New Roman"/>
                <w:sz w:val="18"/>
              </w:rPr>
              <w:t>094.81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-25,678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,996.77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-41,169,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091.58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-7,337,5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-38,052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,938.60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-43,080,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460.73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81.20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-5,027,5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22.13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-38,052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,938.60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-43,080,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460.73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167,58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4,071.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167,58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4,071.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1,488,2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51.71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1,488,2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51.71</w:t>
            </w: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502,64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7,213.</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902,788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213,421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123,368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1,762,2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00,777.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,370.05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824.46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,056.80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Times New Roman" w:hAnsi="Times New Roman" w:cs="Times New Roman" w:eastAsia="Times New Roman" w:hint="default"/>
                <w:sz w:val="18"/>
                <w:szCs w:val="18"/>
              </w:rPr>
            </w:pPr>
            <w:r>
              <w:rPr>
                <w:rFonts w:ascii="Times New Roman"/>
                <w:sz w:val="18"/>
              </w:rPr>
              <w:t>,313.53</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8、母公司所有者权益变动表" w:id="171"/>
      <w:bookmarkEnd w:id="17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502,647,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213.00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919,880,7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05.94</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23,546,00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42,293,00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231,958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,431.92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1,673,233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,356.92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502,647,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213.00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919,880,7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23,546,00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42,293,00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231,958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,431.92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1,673,233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,356.92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-2,895,0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-19,760,0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-14,687,3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7,462,474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37,003,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439.94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36,498,26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3.69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747.47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74,624,74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7.47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-2,895,0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-20,438,7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-14,687,3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-8,646,31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1.29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-2,895,0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-20,438,7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-14,687,3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88.71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-8,646,31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1.29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7,462,474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-37,621,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307.53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-30,158,8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32.78</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7,462,474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74.75</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-30,158,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-30,158,8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832.78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32.78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678,660.2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678,660.2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499,752,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900,120,6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8,858,611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49,755,48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268,961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,871.86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1,709,731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,620.61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333,168,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1,064,561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,844.23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39,983,02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4.86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216,196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,123.25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1,653,909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,134.34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333,168,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1,064,561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,844.23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39,983,02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216,196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,123.25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1,653,909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,134.34</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169,479,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-144,681,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138.29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23,546,00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2,309,981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15,762,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308.67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19,324,22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812.00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23,099,81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1,895,00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21,414,68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23,546,00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-236,319.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1,895,00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21,414,68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23,546,00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-236,319.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2,309,981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-7,337,5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-5,027,52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2,309,981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-2,309,9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81.20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-5,027,5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22.13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-5,027,52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167,584,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-167,584,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167,584,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-167,584,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1,488,251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1,488,251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502,647,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213.00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919,880,7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05.94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23,546,00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42,293,00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231,958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,431.92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1,673,233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,356.92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117"/>
        <w:jc w:val="left"/>
        <w:rPr>
          <w:b w:val="0"/>
          <w:bCs w:val="0"/>
        </w:rPr>
      </w:pPr>
      <w:bookmarkStart w:name="三、公司基本情况" w:id="172"/>
      <w:bookmarkEnd w:id="172"/>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tabs>
          <w:tab w:pos="994" w:val="left" w:leader="none"/>
        </w:tabs>
        <w:spacing w:line="273" w:lineRule="auto" w:before="0"/>
        <w:ind w:left="574" w:right="1131"/>
        <w:jc w:val="left"/>
      </w:pPr>
      <w:r>
        <w:rPr>
          <w:rFonts w:ascii="宋体" w:hAnsi="宋体" w:cs="宋体" w:eastAsia="宋体" w:hint="default"/>
        </w:rPr>
        <w:t>1.</w:t>
        <w:tab/>
      </w:r>
      <w:r>
        <w:rPr/>
        <w:t>公司注册地、组织形式和公司地址 </w:t>
      </w:r>
      <w:r>
        <w:rPr>
          <w:spacing w:val="-1"/>
        </w:rPr>
        <w:t>鸿博股份有限公司（以下简称“本公司”或“公司”）系由福建鸿博印刷有限公司整体变更设立的股</w:t>
      </w:r>
    </w:p>
    <w:p>
      <w:pPr>
        <w:pStyle w:val="BodyText"/>
        <w:spacing w:line="273" w:lineRule="auto" w:before="8"/>
        <w:ind w:right="1117"/>
        <w:jc w:val="left"/>
      </w:pPr>
      <w:r>
        <w:rPr>
          <w:spacing w:val="-1"/>
        </w:rPr>
        <w:t>份有限公司，于</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7</w:t>
      </w:r>
      <w:r>
        <w:rPr>
          <w:spacing w:val="-1"/>
        </w:rPr>
        <w:t>日取得福建省工商行政管理局换发的统一社会信用代码为</w:t>
      </w:r>
      <w:r>
        <w:rPr>
          <w:rFonts w:ascii="宋体" w:hAnsi="宋体" w:cs="宋体" w:eastAsia="宋体" w:hint="default"/>
          <w:spacing w:val="-1"/>
        </w:rPr>
        <w:t>91350000705101637F</w:t>
      </w:r>
      <w:r>
        <w:rPr>
          <w:rFonts w:ascii="宋体" w:hAnsi="宋体" w:cs="宋体" w:eastAsia="宋体" w:hint="default"/>
          <w:spacing w:val="-73"/>
        </w:rPr>
        <w:t> </w:t>
      </w:r>
      <w:r>
        <w:rPr/>
        <w:t>的《企业法人营业执照》。公司由有限公司变更为股份有限公司时总股本为</w:t>
      </w:r>
      <w:r>
        <w:rPr>
          <w:rFonts w:ascii="宋体" w:hAnsi="宋体" w:cs="宋体" w:eastAsia="宋体" w:hint="default"/>
        </w:rPr>
        <w:t>6,000</w:t>
      </w:r>
      <w:r>
        <w:rPr/>
        <w:t>万股，每股面值为人民 币</w:t>
      </w:r>
      <w:r>
        <w:rPr>
          <w:rFonts w:ascii="宋体" w:hAnsi="宋体" w:cs="宋体" w:eastAsia="宋体" w:hint="default"/>
        </w:rPr>
        <w:t>1</w:t>
      </w:r>
      <w:r>
        <w:rPr/>
        <w:t>元，注册资本为人民币</w:t>
      </w:r>
      <w:r>
        <w:rPr>
          <w:rFonts w:ascii="宋体" w:hAnsi="宋体" w:cs="宋体" w:eastAsia="宋体" w:hint="default"/>
        </w:rPr>
        <w:t>6,000</w:t>
      </w:r>
      <w:r>
        <w:rPr/>
        <w:t>万元。</w:t>
      </w:r>
    </w:p>
    <w:p>
      <w:pPr>
        <w:pStyle w:val="BodyText"/>
        <w:spacing w:line="240" w:lineRule="auto"/>
        <w:ind w:left="574" w:right="1117"/>
        <w:jc w:val="left"/>
      </w:pPr>
      <w:r>
        <w:rPr/>
        <w:t>根据公司</w:t>
      </w:r>
      <w:r>
        <w:rPr>
          <w:rFonts w:ascii="宋体" w:hAnsi="宋体" w:cs="宋体" w:eastAsia="宋体" w:hint="default"/>
        </w:rPr>
        <w:t>2007</w:t>
      </w:r>
      <w:r>
        <w:rPr/>
        <w:t>年第二次临时股东大会决议，并经中国证券监督管理委员会以证监许可字</w:t>
      </w:r>
      <w:r>
        <w:rPr>
          <w:rFonts w:ascii="宋体" w:hAnsi="宋体" w:cs="宋体" w:eastAsia="宋体" w:hint="default"/>
        </w:rPr>
        <w:t>[2008]522</w:t>
      </w:r>
      <w:r>
        <w:rPr/>
        <w:t>号</w:t>
      </w:r>
    </w:p>
    <w:p>
      <w:pPr>
        <w:pStyle w:val="BodyText"/>
        <w:spacing w:line="273" w:lineRule="auto" w:before="37"/>
        <w:ind w:right="0"/>
        <w:jc w:val="left"/>
      </w:pPr>
      <w:r>
        <w:rPr>
          <w:spacing w:val="-7"/>
        </w:rPr>
        <w:t>《关于核准福建鸿博印刷股份有限公司首次公开发行股票的批复》文核准，</w:t>
      </w:r>
      <w:r>
        <w:rPr>
          <w:rFonts w:ascii="宋体" w:hAnsi="宋体" w:cs="宋体" w:eastAsia="宋体" w:hint="default"/>
          <w:spacing w:val="-7"/>
        </w:rPr>
        <w:t>2008</w:t>
      </w:r>
      <w:r>
        <w:rPr>
          <w:spacing w:val="-7"/>
        </w:rPr>
        <w:t>年公司（股票代码：</w:t>
      </w:r>
      <w:r>
        <w:rPr>
          <w:rFonts w:ascii="宋体" w:hAnsi="宋体" w:cs="宋体" w:eastAsia="宋体" w:hint="default"/>
          <w:spacing w:val="-7"/>
        </w:rPr>
        <w:t>002229</w:t>
      </w:r>
      <w:r>
        <w:rPr>
          <w:spacing w:val="-7"/>
        </w:rPr>
        <w:t>）</w:t>
      </w:r>
      <w:r>
        <w:rPr>
          <w:spacing w:val="-71"/>
        </w:rPr>
        <w:t> </w:t>
      </w:r>
      <w:r>
        <w:rPr/>
        <w:t>采用网下向询价对象配售与网上资金申购定价发行相结合的方式公开发行人民币普通股股票（</w:t>
      </w:r>
      <w:r>
        <w:rPr>
          <w:rFonts w:ascii="宋体" w:hAnsi="宋体" w:cs="宋体" w:eastAsia="宋体" w:hint="default"/>
        </w:rPr>
        <w:t>A</w:t>
      </w:r>
      <w:r>
        <w:rPr/>
        <w:t>股）</w:t>
      </w:r>
      <w:r>
        <w:rPr>
          <w:rFonts w:ascii="宋体" w:hAnsi="宋体" w:cs="宋体" w:eastAsia="宋体" w:hint="default"/>
        </w:rPr>
        <w:t>2,000 </w:t>
      </w:r>
      <w:r>
        <w:rPr/>
        <w:t>万股，其中，网下配售</w:t>
      </w:r>
      <w:r>
        <w:rPr>
          <w:rFonts w:ascii="宋体" w:hAnsi="宋体" w:cs="宋体" w:eastAsia="宋体" w:hint="default"/>
        </w:rPr>
        <w:t>400</w:t>
      </w:r>
      <w:r>
        <w:rPr/>
        <w:t>万股，网上定价发行</w:t>
      </w:r>
      <w:r>
        <w:rPr>
          <w:rFonts w:ascii="宋体" w:hAnsi="宋体" w:cs="宋体" w:eastAsia="宋体" w:hint="default"/>
        </w:rPr>
        <w:t>1,600</w:t>
      </w:r>
      <w:r>
        <w:rPr/>
        <w:t>万股，发行价格为</w:t>
      </w:r>
      <w:r>
        <w:rPr>
          <w:rFonts w:ascii="宋体" w:hAnsi="宋体" w:cs="宋体" w:eastAsia="宋体" w:hint="default"/>
        </w:rPr>
        <w:t>13.88</w:t>
      </w:r>
      <w:r>
        <w:rPr/>
        <w:t>元</w:t>
      </w:r>
      <w:r>
        <w:rPr>
          <w:rFonts w:ascii="宋体" w:hAnsi="宋体" w:cs="宋体" w:eastAsia="宋体" w:hint="default"/>
        </w:rPr>
        <w:t>/</w:t>
      </w:r>
      <w:r>
        <w:rPr/>
        <w:t>股。本次发行后公司总股 本变更为</w:t>
      </w:r>
      <w:r>
        <w:rPr>
          <w:rFonts w:ascii="宋体" w:hAnsi="宋体" w:cs="宋体" w:eastAsia="宋体" w:hint="default"/>
        </w:rPr>
        <w:t>8,000</w:t>
      </w:r>
      <w:r>
        <w:rPr/>
        <w:t>万股，每股面值</w:t>
      </w:r>
      <w:r>
        <w:rPr>
          <w:rFonts w:ascii="宋体" w:hAnsi="宋体" w:cs="宋体" w:eastAsia="宋体" w:hint="default"/>
        </w:rPr>
        <w:t>1</w:t>
      </w:r>
      <w:r>
        <w:rPr/>
        <w:t>元，公司注册资本变更为人民币</w:t>
      </w:r>
      <w:r>
        <w:rPr>
          <w:rFonts w:ascii="宋体" w:hAnsi="宋体" w:cs="宋体" w:eastAsia="宋体" w:hint="default"/>
        </w:rPr>
        <w:t>8,000</w:t>
      </w:r>
      <w:r>
        <w:rPr/>
        <w:t>万元。</w:t>
      </w:r>
    </w:p>
    <w:p>
      <w:pPr>
        <w:pStyle w:val="BodyText"/>
        <w:spacing w:line="273" w:lineRule="auto"/>
        <w:ind w:right="1213" w:firstLine="420"/>
        <w:jc w:val="both"/>
      </w:pPr>
      <w:r>
        <w:rPr/>
        <w:t>根据</w:t>
      </w:r>
      <w:r>
        <w:rPr>
          <w:rFonts w:ascii="宋体" w:hAnsi="宋体" w:cs="宋体" w:eastAsia="宋体" w:hint="default"/>
        </w:rPr>
        <w:t>2009</w:t>
      </w:r>
      <w:r>
        <w:rPr/>
        <w:t>年第一次临时股东大会决议，公司以总股本</w:t>
      </w:r>
      <w:r>
        <w:rPr>
          <w:rFonts w:ascii="宋体" w:hAnsi="宋体" w:cs="宋体" w:eastAsia="宋体" w:hint="default"/>
        </w:rPr>
        <w:t>8,000</w:t>
      </w:r>
      <w:r>
        <w:rPr/>
        <w:t>万股为基数，以资本公积转增股本，每</w:t>
      </w:r>
      <w:r>
        <w:rPr>
          <w:rFonts w:ascii="宋体" w:hAnsi="宋体" w:cs="宋体" w:eastAsia="宋体" w:hint="default"/>
        </w:rPr>
        <w:t>10 </w:t>
      </w:r>
      <w:r>
        <w:rPr/>
        <w:t>股转增</w:t>
      </w:r>
      <w:r>
        <w:rPr>
          <w:rFonts w:ascii="宋体" w:hAnsi="宋体" w:cs="宋体" w:eastAsia="宋体" w:hint="default"/>
        </w:rPr>
        <w:t>7</w:t>
      </w:r>
      <w:r>
        <w:rPr/>
        <w:t>股，每股面值为人民币</w:t>
      </w:r>
      <w:r>
        <w:rPr>
          <w:rFonts w:ascii="宋体" w:hAnsi="宋体" w:cs="宋体" w:eastAsia="宋体" w:hint="default"/>
        </w:rPr>
        <w:t>1</w:t>
      </w:r>
      <w:r>
        <w:rPr/>
        <w:t>元，增加注册资本人民币</w:t>
      </w:r>
      <w:r>
        <w:rPr>
          <w:rFonts w:ascii="宋体" w:hAnsi="宋体" w:cs="宋体" w:eastAsia="宋体" w:hint="default"/>
        </w:rPr>
        <w:t>5,600</w:t>
      </w:r>
      <w:r>
        <w:rPr/>
        <w:t>万元，变更后公司注册资本（股本）为人 民币</w:t>
      </w:r>
      <w:r>
        <w:rPr>
          <w:rFonts w:ascii="宋体" w:hAnsi="宋体" w:cs="宋体" w:eastAsia="宋体" w:hint="default"/>
        </w:rPr>
        <w:t>13,600</w:t>
      </w:r>
      <w:r>
        <w:rPr/>
        <w:t>万元。</w:t>
      </w:r>
    </w:p>
    <w:p>
      <w:pPr>
        <w:pStyle w:val="BodyText"/>
        <w:spacing w:line="273" w:lineRule="auto"/>
        <w:ind w:right="0" w:firstLine="420"/>
        <w:jc w:val="left"/>
      </w:pPr>
      <w:r>
        <w:rPr>
          <w:spacing w:val="-1"/>
        </w:rPr>
        <w:t>根据</w:t>
      </w:r>
      <w:r>
        <w:rPr>
          <w:rFonts w:ascii="宋体" w:hAnsi="宋体" w:cs="宋体" w:eastAsia="宋体" w:hint="default"/>
          <w:spacing w:val="-1"/>
        </w:rPr>
        <w:t>2010</w:t>
      </w:r>
      <w:r>
        <w:rPr>
          <w:spacing w:val="-1"/>
        </w:rPr>
        <w:t>年第二次临时股东大会决议，并经中国证券监督管理委员会以证监许可</w:t>
      </w:r>
      <w:r>
        <w:rPr>
          <w:rFonts w:ascii="宋体" w:hAnsi="宋体" w:cs="宋体" w:eastAsia="宋体" w:hint="default"/>
          <w:spacing w:val="-1"/>
        </w:rPr>
        <w:t>[2011]671</w:t>
      </w:r>
      <w:r>
        <w:rPr>
          <w:spacing w:val="-1"/>
        </w:rPr>
        <w:t>号文批复，</w:t>
      </w:r>
      <w:r>
        <w:rPr/>
        <w:t> </w:t>
      </w:r>
      <w:r>
        <w:rPr>
          <w:rFonts w:ascii="宋体" w:hAnsi="宋体" w:cs="宋体" w:eastAsia="宋体" w:hint="default"/>
        </w:rPr>
        <w:t>2011</w:t>
      </w:r>
      <w:r>
        <w:rPr/>
        <w:t>年公司采用网下配售方式向询价对象非公开发行人民币普通股（</w:t>
      </w:r>
      <w:r>
        <w:rPr>
          <w:rFonts w:ascii="宋体" w:hAnsi="宋体" w:cs="宋体" w:eastAsia="宋体" w:hint="default"/>
        </w:rPr>
        <w:t>A</w:t>
      </w:r>
      <w:r>
        <w:rPr/>
        <w:t>股）</w:t>
      </w:r>
      <w:r>
        <w:rPr>
          <w:rFonts w:ascii="宋体" w:hAnsi="宋体" w:cs="宋体" w:eastAsia="宋体" w:hint="default"/>
        </w:rPr>
        <w:t>2,094</w:t>
      </w:r>
      <w:r>
        <w:rPr/>
        <w:t>万股，每股面值</w:t>
      </w:r>
      <w:r>
        <w:rPr>
          <w:rFonts w:ascii="宋体" w:hAnsi="宋体" w:cs="宋体" w:eastAsia="宋体" w:hint="default"/>
        </w:rPr>
        <w:t>1</w:t>
      </w:r>
      <w:r>
        <w:rPr/>
        <w:t>元，发 行后公司注册资本变更为人民币</w:t>
      </w:r>
      <w:r>
        <w:rPr>
          <w:rFonts w:ascii="宋体" w:hAnsi="宋体" w:cs="宋体" w:eastAsia="宋体" w:hint="default"/>
        </w:rPr>
        <w:t>15,694</w:t>
      </w:r>
      <w:r>
        <w:rPr/>
        <w:t>万元。</w:t>
      </w:r>
    </w:p>
    <w:p>
      <w:pPr>
        <w:pStyle w:val="BodyText"/>
        <w:spacing w:line="273" w:lineRule="auto"/>
        <w:ind w:right="1215" w:firstLine="420"/>
        <w:jc w:val="both"/>
      </w:pPr>
      <w:r>
        <w:rPr/>
        <w:t>根据</w:t>
      </w:r>
      <w:r>
        <w:rPr>
          <w:rFonts w:ascii="宋体" w:hAnsi="宋体" w:cs="宋体" w:eastAsia="宋体" w:hint="default"/>
        </w:rPr>
        <w:t>2011</w:t>
      </w:r>
      <w:r>
        <w:rPr/>
        <w:t>年度股东大会决议，公司以总股本</w:t>
      </w:r>
      <w:r>
        <w:rPr>
          <w:rFonts w:ascii="宋体" w:hAnsi="宋体" w:cs="宋体" w:eastAsia="宋体" w:hint="default"/>
        </w:rPr>
        <w:t>15,694</w:t>
      </w:r>
      <w:r>
        <w:rPr/>
        <w:t>万股为基数，以资本公积转增股本，每</w:t>
      </w:r>
      <w:r>
        <w:rPr>
          <w:rFonts w:ascii="宋体" w:hAnsi="宋体" w:cs="宋体" w:eastAsia="宋体" w:hint="default"/>
        </w:rPr>
        <w:t>10</w:t>
      </w:r>
      <w:r>
        <w:rPr/>
        <w:t>股转增</w:t>
      </w:r>
      <w:r>
        <w:rPr>
          <w:rFonts w:ascii="宋体" w:hAnsi="宋体" w:cs="宋体" w:eastAsia="宋体" w:hint="default"/>
        </w:rPr>
        <w:t>9 </w:t>
      </w:r>
      <w:r>
        <w:rPr/>
        <w:t>股，每股面值为人民币</w:t>
      </w:r>
      <w:r>
        <w:rPr>
          <w:rFonts w:ascii="宋体" w:hAnsi="宋体" w:cs="宋体" w:eastAsia="宋体" w:hint="default"/>
        </w:rPr>
        <w:t>1</w:t>
      </w:r>
      <w:r>
        <w:rPr/>
        <w:t>元，增加注册资本人民币</w:t>
      </w:r>
      <w:r>
        <w:rPr>
          <w:rFonts w:ascii="宋体" w:hAnsi="宋体" w:cs="宋体" w:eastAsia="宋体" w:hint="default"/>
        </w:rPr>
        <w:t>14,124.60</w:t>
      </w:r>
      <w:r>
        <w:rPr/>
        <w:t>万元，变更后注册资本增至人民币</w:t>
      </w:r>
      <w:r>
        <w:rPr>
          <w:rFonts w:ascii="宋体" w:hAnsi="宋体" w:cs="宋体" w:eastAsia="宋体" w:hint="default"/>
        </w:rPr>
        <w:t>29,818.60 </w:t>
      </w:r>
      <w:r>
        <w:rPr/>
        <w:t>万元。</w:t>
      </w:r>
    </w:p>
    <w:p>
      <w:pPr>
        <w:pStyle w:val="BodyText"/>
        <w:spacing w:line="273" w:lineRule="auto"/>
        <w:ind w:right="1117" w:firstLine="420"/>
        <w:jc w:val="left"/>
      </w:pPr>
      <w:r>
        <w:rPr>
          <w:spacing w:val="-1"/>
        </w:rPr>
        <w:t>根据公司</w:t>
      </w:r>
      <w:r>
        <w:rPr>
          <w:rFonts w:ascii="宋体" w:hAnsi="宋体" w:cs="宋体" w:eastAsia="宋体" w:hint="default"/>
          <w:spacing w:val="-1"/>
        </w:rPr>
        <w:t>2015</w:t>
      </w:r>
      <w:r>
        <w:rPr>
          <w:spacing w:val="-1"/>
        </w:rPr>
        <w:t>年第五次临时股东大会决议通过，并经中国证券监督管理委员会证监许可</w:t>
      </w:r>
      <w:r>
        <w:rPr>
          <w:rFonts w:ascii="宋体" w:hAnsi="宋体" w:cs="宋体" w:eastAsia="宋体" w:hint="default"/>
          <w:spacing w:val="-1"/>
        </w:rPr>
        <w:t>[2016]1057</w:t>
      </w:r>
      <w:r>
        <w:rPr>
          <w:spacing w:val="-1"/>
        </w:rPr>
        <w:t>号</w:t>
      </w:r>
      <w:r>
        <w:rPr/>
        <w:t> 文件批复，</w:t>
      </w:r>
      <w:r>
        <w:rPr>
          <w:rFonts w:ascii="宋体" w:hAnsi="宋体" w:cs="宋体" w:eastAsia="宋体" w:hint="default"/>
        </w:rPr>
        <w:t>2016</w:t>
      </w:r>
      <w:r>
        <w:rPr/>
        <w:t>年公司采用网下配售方式向询价对象非公开发行人民币普通股（</w:t>
      </w:r>
      <w:r>
        <w:rPr>
          <w:rFonts w:ascii="宋体" w:hAnsi="宋体" w:cs="宋体" w:eastAsia="宋体" w:hint="default"/>
        </w:rPr>
        <w:t>A</w:t>
      </w:r>
      <w:r>
        <w:rPr/>
        <w:t>股）</w:t>
      </w:r>
      <w:r>
        <w:rPr>
          <w:rFonts w:ascii="宋体" w:hAnsi="宋体" w:cs="宋体" w:eastAsia="宋体" w:hint="default"/>
        </w:rPr>
        <w:t>3,498.2142</w:t>
      </w:r>
      <w:r>
        <w:rPr/>
        <w:t>万股， 每股面值</w:t>
      </w:r>
      <w:r>
        <w:rPr>
          <w:rFonts w:ascii="宋体" w:hAnsi="宋体" w:cs="宋体" w:eastAsia="宋体" w:hint="default"/>
        </w:rPr>
        <w:t>1</w:t>
      </w:r>
      <w:r>
        <w:rPr/>
        <w:t>元，发行后贵公司注册资本变更为人民币</w:t>
      </w:r>
      <w:r>
        <w:rPr>
          <w:rFonts w:ascii="宋体" w:hAnsi="宋体" w:cs="宋体" w:eastAsia="宋体" w:hint="default"/>
        </w:rPr>
        <w:t>33,316.8142</w:t>
      </w:r>
      <w:r>
        <w:rPr/>
        <w:t>万元。</w:t>
      </w:r>
    </w:p>
    <w:p>
      <w:pPr>
        <w:pStyle w:val="BodyText"/>
        <w:spacing w:line="273" w:lineRule="auto"/>
        <w:ind w:right="1117" w:firstLine="420"/>
        <w:jc w:val="left"/>
      </w:pPr>
      <w:r>
        <w:rPr/>
        <w:t>根据公司</w:t>
      </w:r>
      <w:r>
        <w:rPr>
          <w:rFonts w:ascii="宋体" w:hAnsi="宋体" w:cs="宋体" w:eastAsia="宋体" w:hint="default"/>
        </w:rPr>
        <w:t>2016</w:t>
      </w:r>
      <w:r>
        <w:rPr/>
        <w:t>年第五次临时股东大会决议以及第四届董事会</w:t>
      </w:r>
      <w:r>
        <w:rPr>
          <w:rFonts w:ascii="宋体" w:hAnsi="宋体" w:cs="宋体" w:eastAsia="宋体" w:hint="default"/>
        </w:rPr>
        <w:t>2017</w:t>
      </w:r>
      <w:r>
        <w:rPr/>
        <w:t>年第一次临时会议决议，</w:t>
      </w:r>
      <w:r>
        <w:rPr>
          <w:rFonts w:ascii="宋体" w:hAnsi="宋体" w:cs="宋体" w:eastAsia="宋体" w:hint="default"/>
        </w:rPr>
        <w:t>2017</w:t>
      </w:r>
      <w:r>
        <w:rPr/>
        <w:t>年</w:t>
      </w:r>
      <w:r>
        <w:rPr>
          <w:rFonts w:ascii="宋体" w:hAnsi="宋体" w:cs="宋体" w:eastAsia="宋体" w:hint="default"/>
        </w:rPr>
        <w:t>2</w:t>
      </w:r>
      <w:r>
        <w:rPr/>
        <w:t>月 </w:t>
      </w:r>
      <w:r>
        <w:rPr>
          <w:rFonts w:ascii="宋体" w:hAnsi="宋体" w:cs="宋体" w:eastAsia="宋体" w:hint="default"/>
          <w:spacing w:val="-1"/>
        </w:rPr>
        <w:t>20</w:t>
      </w:r>
      <w:r>
        <w:rPr>
          <w:spacing w:val="-1"/>
        </w:rPr>
        <w:t>日，公司对公司（含子公司）任职董事、高级管理人员、核心技术及业务人员实行股权激励，发行限制</w:t>
      </w:r>
      <w:r>
        <w:rPr>
          <w:spacing w:val="-84"/>
        </w:rPr>
        <w:t> </w:t>
      </w:r>
      <w:r>
        <w:rPr>
          <w:spacing w:val="-84"/>
        </w:rPr>
      </w:r>
      <w:r>
        <w:rPr/>
        <w:t>性股票</w:t>
      </w:r>
      <w:r>
        <w:rPr>
          <w:rFonts w:ascii="宋体" w:hAnsi="宋体" w:cs="宋体" w:eastAsia="宋体" w:hint="default"/>
        </w:rPr>
        <w:t>200</w:t>
      </w:r>
      <w:r>
        <w:rPr/>
        <w:t>万股，每股面值</w:t>
      </w:r>
      <w:r>
        <w:rPr>
          <w:rFonts w:ascii="宋体" w:hAnsi="宋体" w:cs="宋体" w:eastAsia="宋体" w:hint="default"/>
        </w:rPr>
        <w:t>1</w:t>
      </w:r>
      <w:r>
        <w:rPr/>
        <w:t>元，实施股权激励后，公司注册资本变更为人民币</w:t>
      </w:r>
      <w:r>
        <w:rPr>
          <w:rFonts w:ascii="宋体" w:hAnsi="宋体" w:cs="宋体" w:eastAsia="宋体" w:hint="default"/>
        </w:rPr>
        <w:t>33,516.8142</w:t>
      </w:r>
      <w:r>
        <w:rPr/>
        <w:t>万元。</w:t>
      </w:r>
    </w:p>
    <w:p>
      <w:pPr>
        <w:pStyle w:val="BodyText"/>
        <w:spacing w:line="273" w:lineRule="auto"/>
        <w:ind w:right="1197" w:firstLine="420"/>
        <w:jc w:val="left"/>
      </w:pPr>
      <w:r>
        <w:rPr/>
        <w:t>根据</w:t>
      </w:r>
      <w:r>
        <w:rPr>
          <w:rFonts w:ascii="宋体" w:hAnsi="宋体" w:cs="宋体" w:eastAsia="宋体" w:hint="default"/>
        </w:rPr>
        <w:t>2016</w:t>
      </w:r>
      <w:r>
        <w:rPr/>
        <w:t>年度股东大会决议，以公司总股本</w:t>
      </w:r>
      <w:r>
        <w:rPr>
          <w:rFonts w:ascii="宋体" w:hAnsi="宋体" w:cs="宋体" w:eastAsia="宋体" w:hint="default"/>
        </w:rPr>
        <w:t>33,516.8142</w:t>
      </w:r>
      <w:r>
        <w:rPr/>
        <w:t>万股为基数，以资本公积金转增股本，每</w:t>
      </w:r>
      <w:r>
        <w:rPr>
          <w:rFonts w:ascii="宋体" w:hAnsi="宋体" w:cs="宋体" w:eastAsia="宋体" w:hint="default"/>
        </w:rPr>
        <w:t>10 </w:t>
      </w:r>
      <w:r>
        <w:rPr/>
        <w:t>股转增</w:t>
      </w:r>
      <w:r>
        <w:rPr>
          <w:rFonts w:ascii="宋体" w:hAnsi="宋体" w:cs="宋体" w:eastAsia="宋体" w:hint="default"/>
        </w:rPr>
        <w:t>5</w:t>
      </w:r>
      <w:r>
        <w:rPr/>
        <w:t>股，共计增加</w:t>
      </w:r>
      <w:r>
        <w:rPr>
          <w:rFonts w:ascii="宋体" w:hAnsi="宋体" w:cs="宋体" w:eastAsia="宋体" w:hint="default"/>
        </w:rPr>
        <w:t>16,758.4071</w:t>
      </w:r>
      <w:r>
        <w:rPr/>
        <w:t>万股，实施资本公积金转增股本后，公司注册资本变更为人民币 </w:t>
      </w:r>
      <w:r>
        <w:rPr>
          <w:rFonts w:ascii="宋体" w:hAnsi="宋体" w:cs="宋体" w:eastAsia="宋体" w:hint="default"/>
        </w:rPr>
        <w:t>50,275.2213</w:t>
      </w:r>
      <w:r>
        <w:rPr/>
        <w:t>万元。</w:t>
      </w:r>
    </w:p>
    <w:p>
      <w:pPr>
        <w:pStyle w:val="BodyText"/>
        <w:spacing w:line="273" w:lineRule="auto"/>
        <w:ind w:right="1117" w:firstLine="420"/>
        <w:jc w:val="left"/>
      </w:pP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25</w:t>
      </w:r>
      <w:r>
        <w:rPr>
          <w:spacing w:val="-1"/>
        </w:rPr>
        <w:t>日股权激励对象离职，公司回购其限制性股票</w:t>
      </w:r>
      <w:r>
        <w:rPr>
          <w:rFonts w:ascii="宋体" w:hAnsi="宋体" w:cs="宋体" w:eastAsia="宋体" w:hint="default"/>
          <w:spacing w:val="-1"/>
        </w:rPr>
        <w:t>10.50</w:t>
      </w:r>
      <w:r>
        <w:rPr>
          <w:spacing w:val="-1"/>
        </w:rPr>
        <w:t>万股，回购后公司注册资本变更为人</w:t>
      </w:r>
      <w:r>
        <w:rPr/>
        <w:t> 民币</w:t>
      </w:r>
      <w:r>
        <w:rPr>
          <w:rFonts w:ascii="宋体" w:hAnsi="宋体" w:cs="宋体" w:eastAsia="宋体" w:hint="default"/>
        </w:rPr>
        <w:t>50,264.7213</w:t>
      </w:r>
      <w:r>
        <w:rPr/>
        <w:t>万元。</w:t>
      </w:r>
    </w:p>
    <w:p>
      <w:pPr>
        <w:pStyle w:val="BodyText"/>
        <w:spacing w:line="273" w:lineRule="auto"/>
        <w:ind w:right="1131" w:firstLine="420"/>
        <w:jc w:val="both"/>
      </w:pPr>
      <w:r>
        <w:rPr>
          <w:spacing w:val="-1"/>
        </w:rPr>
        <w:t>根据公司</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日第四届董事会第五次会议决议，</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22</w:t>
      </w:r>
      <w:r>
        <w:rPr>
          <w:spacing w:val="-1"/>
        </w:rPr>
        <w:t>日第四届董事会第七次会议决议</w:t>
      </w:r>
      <w:r>
        <w:rPr/>
        <w:t> </w:t>
      </w:r>
      <w:r>
        <w:rPr>
          <w:spacing w:val="-1"/>
        </w:rPr>
        <w:t>以及修改后的章程规定，公司回购注销限制性股票</w:t>
      </w:r>
      <w:r>
        <w:rPr>
          <w:rFonts w:ascii="宋体" w:hAnsi="宋体" w:cs="宋体" w:eastAsia="宋体" w:hint="default"/>
          <w:spacing w:val="-1"/>
        </w:rPr>
        <w:t>131.1</w:t>
      </w:r>
      <w:r>
        <w:rPr>
          <w:spacing w:val="-1"/>
        </w:rPr>
        <w:t>万股，减资后，公司注册资本变更为</w:t>
      </w:r>
      <w:r>
        <w:rPr>
          <w:rFonts w:ascii="宋体" w:hAnsi="宋体" w:cs="宋体" w:eastAsia="宋体" w:hint="default"/>
          <w:spacing w:val="-1"/>
        </w:rPr>
        <w:t>50,133.6213</w:t>
      </w:r>
      <w:r>
        <w:rPr>
          <w:rFonts w:ascii="宋体" w:hAnsi="宋体" w:cs="宋体" w:eastAsia="宋体" w:hint="default"/>
          <w:spacing w:val="-77"/>
        </w:rPr>
        <w:t> </w:t>
      </w:r>
      <w:r>
        <w:rPr/>
        <w:t>万元。</w:t>
      </w:r>
    </w:p>
    <w:p>
      <w:pPr>
        <w:pStyle w:val="BodyText"/>
        <w:spacing w:line="273" w:lineRule="auto"/>
        <w:ind w:right="1117" w:firstLine="420"/>
        <w:jc w:val="left"/>
      </w:pPr>
      <w:r>
        <w:rPr>
          <w:spacing w:val="-1"/>
        </w:rPr>
        <w:t>根据公司第四届董事会</w:t>
      </w:r>
      <w:r>
        <w:rPr>
          <w:rFonts w:ascii="宋体" w:hAnsi="宋体" w:cs="宋体" w:eastAsia="宋体" w:hint="default"/>
          <w:spacing w:val="-1"/>
        </w:rPr>
        <w:t>2018</w:t>
      </w:r>
      <w:r>
        <w:rPr>
          <w:spacing w:val="-1"/>
        </w:rPr>
        <w:t>年第五次临时会议决议，公司终止实施</w:t>
      </w:r>
      <w:r>
        <w:rPr>
          <w:rFonts w:ascii="宋体" w:hAnsi="宋体" w:cs="宋体" w:eastAsia="宋体" w:hint="default"/>
          <w:spacing w:val="-1"/>
        </w:rPr>
        <w:t>2016</w:t>
      </w:r>
      <w:r>
        <w:rPr>
          <w:spacing w:val="-1"/>
        </w:rPr>
        <w:t>年限制性股票激励计划并回购</w:t>
      </w:r>
      <w:r>
        <w:rPr/>
        <w:t> 注销已授予但尚未解除限售的限制性股票</w:t>
      </w:r>
      <w:r>
        <w:rPr>
          <w:rFonts w:ascii="宋体" w:hAnsi="宋体" w:cs="宋体" w:eastAsia="宋体" w:hint="default"/>
        </w:rPr>
        <w:t>158.4</w:t>
      </w:r>
      <w:r>
        <w:rPr/>
        <w:t>万股</w:t>
      </w:r>
      <w:r>
        <w:rPr>
          <w:spacing w:val="-4"/>
        </w:rPr>
        <w:t> </w:t>
      </w:r>
      <w:r>
        <w:rPr/>
        <w:t>，公司注册资本变更为人民币</w:t>
      </w:r>
      <w:r>
        <w:rPr>
          <w:rFonts w:ascii="宋体" w:hAnsi="宋体" w:cs="宋体" w:eastAsia="宋体" w:hint="default"/>
        </w:rPr>
        <w:t>49,975.2213</w:t>
      </w:r>
      <w:r>
        <w:rPr/>
        <w:t>万元。</w:t>
      </w:r>
    </w:p>
    <w:p>
      <w:pPr>
        <w:pStyle w:val="BodyText"/>
        <w:tabs>
          <w:tab w:pos="994" w:val="left" w:leader="none"/>
        </w:tabs>
        <w:spacing w:line="273" w:lineRule="auto"/>
        <w:ind w:left="574" w:right="5204"/>
        <w:jc w:val="left"/>
      </w:pPr>
      <w:r>
        <w:rPr/>
        <w:t>公司法定代表人为：尤友岳。 公司注册地为：福建省福州市金山开发区金达路</w:t>
      </w:r>
      <w:r>
        <w:rPr>
          <w:rFonts w:ascii="宋体" w:hAnsi="宋体" w:cs="宋体" w:eastAsia="宋体" w:hint="default"/>
        </w:rPr>
        <w:t>136</w:t>
      </w:r>
      <w:r>
        <w:rPr/>
        <w:t>号。 </w:t>
      </w:r>
      <w:r>
        <w:rPr>
          <w:rFonts w:ascii="宋体" w:hAnsi="宋体" w:cs="宋体" w:eastAsia="宋体" w:hint="default"/>
        </w:rPr>
        <w:t>2.</w:t>
        <w:tab/>
      </w:r>
      <w:r>
        <w:rPr/>
        <w:t>公司的业务性质和主要经营活动</w:t>
      </w:r>
    </w:p>
    <w:p>
      <w:pPr>
        <w:pStyle w:val="BodyText"/>
        <w:spacing w:line="273" w:lineRule="auto" w:before="8"/>
        <w:ind w:right="1023" w:firstLine="420"/>
        <w:jc w:val="left"/>
      </w:pPr>
      <w:r>
        <w:rPr>
          <w:spacing w:val="-3"/>
        </w:rPr>
        <w:t>公司及其子公司（以下简称“集团”）属于印刷企业，公司于</w:t>
      </w:r>
      <w:r>
        <w:rPr>
          <w:rFonts w:ascii="宋体" w:hAnsi="宋体" w:cs="宋体" w:eastAsia="宋体" w:hint="default"/>
          <w:spacing w:val="-3"/>
        </w:rPr>
        <w:t>2002</w:t>
      </w:r>
      <w:r>
        <w:rPr>
          <w:spacing w:val="-3"/>
        </w:rPr>
        <w:t>年经福建省民政厅认定为福利企业。</w:t>
      </w:r>
      <w:r>
        <w:rPr/>
        <w:t> 集团的许可经营范围为：出版物</w:t>
      </w:r>
      <w:r>
        <w:rPr>
          <w:rFonts w:ascii="宋体" w:hAnsi="宋体" w:cs="宋体" w:eastAsia="宋体" w:hint="default"/>
        </w:rPr>
        <w:t>(</w:t>
      </w:r>
      <w:r>
        <w:rPr/>
        <w:t>含内部书刊印刷</w:t>
      </w:r>
      <w:r>
        <w:rPr>
          <w:rFonts w:ascii="宋体" w:hAnsi="宋体" w:cs="宋体" w:eastAsia="宋体" w:hint="default"/>
        </w:rPr>
        <w:t>)</w:t>
      </w:r>
      <w:r>
        <w:rPr/>
        <w:t>、包装装潢印刷品、其他印刷品印刷（含票证、票据印 刷）；磁卡、智能卡的研制与加工；热敏纸、</w:t>
      </w:r>
      <w:r>
        <w:rPr>
          <w:rFonts w:ascii="宋体" w:hAnsi="宋体" w:cs="宋体" w:eastAsia="宋体" w:hint="default"/>
        </w:rPr>
        <w:t>UV</w:t>
      </w:r>
      <w:r>
        <w:rPr/>
        <w:t>油墨、印刷设备、电子产品的销售；皮革证件、铜铝牌匾 和不干胶的印刷；对外贸易；对金融业、文化、体育和娱乐业的投资；网络技术开发与服务；文化创意设</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17"/>
        <w:jc w:val="left"/>
      </w:pPr>
      <w:r>
        <w:rPr/>
        <w:t>计与服务；物联网技术开发与服务；网上贸易代理；互联网游戏出版服务、网络（手机）游戏服务；动漫 </w:t>
      </w:r>
      <w:r>
        <w:rPr>
          <w:spacing w:val="-5"/>
        </w:rPr>
        <w:t>游戏软件开发、游戏电子出版物服务；生产、销售酒以及销售食品。报告期内集团的主要经营活动为：（</w:t>
      </w:r>
      <w:r>
        <w:rPr>
          <w:rFonts w:ascii="宋体" w:hAnsi="宋体" w:cs="宋体" w:eastAsia="宋体" w:hint="default"/>
          <w:spacing w:val="-5"/>
        </w:rPr>
        <w:t>1</w:t>
      </w:r>
      <w:r>
        <w:rPr>
          <w:spacing w:val="-5"/>
        </w:rPr>
        <w:t>）</w:t>
      </w:r>
      <w:r>
        <w:rPr>
          <w:spacing w:val="-97"/>
        </w:rPr>
        <w:t> </w:t>
      </w:r>
      <w:r>
        <w:rPr/>
        <w:t>彩票热敏纸票证产品、普通税务发票、证书证件等票证产品的生产销售；（</w:t>
      </w:r>
      <w:r>
        <w:rPr>
          <w:rFonts w:ascii="宋体" w:hAnsi="宋体" w:cs="宋体" w:eastAsia="宋体" w:hint="default"/>
        </w:rPr>
        <w:t>2</w:t>
      </w:r>
      <w:r>
        <w:rPr/>
        <w:t>）包装装潢品、办公用纸等 产品生产销售；（</w:t>
      </w:r>
      <w:r>
        <w:rPr>
          <w:rFonts w:ascii="宋体" w:hAnsi="宋体" w:cs="宋体" w:eastAsia="宋体" w:hint="default"/>
        </w:rPr>
        <w:t>3</w:t>
      </w:r>
      <w:r>
        <w:rPr/>
        <w:t>）彩票代购、新彩种开发及技术维护；（</w:t>
      </w:r>
      <w:r>
        <w:rPr>
          <w:rFonts w:ascii="宋体" w:hAnsi="宋体" w:cs="宋体" w:eastAsia="宋体" w:hint="default"/>
        </w:rPr>
        <w:t>4</w:t>
      </w:r>
      <w:r>
        <w:rPr/>
        <w:t>）销售酒；（</w:t>
      </w:r>
      <w:r>
        <w:rPr>
          <w:rFonts w:ascii="宋体" w:hAnsi="宋体" w:cs="宋体" w:eastAsia="宋体" w:hint="default"/>
        </w:rPr>
        <w:t>5</w:t>
      </w:r>
      <w:r>
        <w:rPr/>
        <w:t>）智能标签、金融</w:t>
      </w:r>
      <w:r>
        <w:rPr>
          <w:rFonts w:ascii="宋体" w:hAnsi="宋体" w:cs="宋体" w:eastAsia="宋体" w:hint="default"/>
        </w:rPr>
        <w:t>IC</w:t>
      </w:r>
      <w:r>
        <w:rPr/>
        <w:t>卡、社 保卡等</w:t>
      </w:r>
      <w:r>
        <w:rPr>
          <w:rFonts w:ascii="宋体" w:hAnsi="宋体" w:cs="宋体" w:eastAsia="宋体" w:hint="default"/>
        </w:rPr>
        <w:t>RFID</w:t>
      </w:r>
      <w:r>
        <w:rPr/>
        <w:t>智能标签制作和物联网技术服务。</w:t>
      </w:r>
    </w:p>
    <w:p>
      <w:pPr>
        <w:pStyle w:val="BodyText"/>
        <w:spacing w:line="273" w:lineRule="auto"/>
        <w:ind w:left="574" w:right="1117"/>
        <w:jc w:val="left"/>
      </w:pPr>
      <w:r>
        <w:rPr/>
        <w:t>本财务报表及财务报表附注业经公司第四届董事会第十次会议于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日批准。 集团</w:t>
      </w:r>
      <w:r>
        <w:rPr>
          <w:rFonts w:ascii="宋体" w:hAnsi="宋体" w:cs="宋体" w:eastAsia="宋体" w:hint="default"/>
        </w:rPr>
        <w:t>2018</w:t>
      </w:r>
      <w:r>
        <w:rPr/>
        <w:t>年度纳入合并财务报表范围的子公司</w:t>
      </w:r>
      <w:r>
        <w:rPr>
          <w:rFonts w:ascii="宋体" w:hAnsi="宋体" w:cs="宋体" w:eastAsia="宋体" w:hint="default"/>
        </w:rPr>
        <w:t>13</w:t>
      </w:r>
      <w:r>
        <w:rPr/>
        <w:t>家，孙公司</w:t>
      </w:r>
      <w:r>
        <w:rPr>
          <w:rFonts w:ascii="宋体" w:hAnsi="宋体" w:cs="宋体" w:eastAsia="宋体" w:hint="default"/>
        </w:rPr>
        <w:t>5</w:t>
      </w:r>
      <w:r>
        <w:rPr/>
        <w:t>家。各家子公司、孙公司情况详见“附</w:t>
      </w:r>
    </w:p>
    <w:p>
      <w:pPr>
        <w:pStyle w:val="BodyText"/>
        <w:spacing w:line="273" w:lineRule="auto"/>
        <w:ind w:right="1117"/>
        <w:jc w:val="left"/>
      </w:pPr>
      <w:r>
        <w:rPr>
          <w:spacing w:val="-1"/>
        </w:rPr>
        <w:t>注九、在其他主体中的权益”披露。集团</w:t>
      </w:r>
      <w:r>
        <w:rPr>
          <w:rFonts w:ascii="宋体" w:hAnsi="宋体" w:cs="宋体" w:eastAsia="宋体" w:hint="default"/>
          <w:spacing w:val="-1"/>
        </w:rPr>
        <w:t>2018</w:t>
      </w:r>
      <w:r>
        <w:rPr>
          <w:spacing w:val="-1"/>
        </w:rPr>
        <w:t>年度合并财务报表范围较上年度新增</w:t>
      </w:r>
      <w:r>
        <w:rPr>
          <w:rFonts w:ascii="宋体" w:hAnsi="宋体" w:cs="宋体" w:eastAsia="宋体" w:hint="default"/>
          <w:spacing w:val="-1"/>
        </w:rPr>
        <w:t>2</w:t>
      </w:r>
      <w:r>
        <w:rPr>
          <w:spacing w:val="-1"/>
        </w:rPr>
        <w:t>家子公司，注销</w:t>
      </w:r>
      <w:r>
        <w:rPr>
          <w:rFonts w:ascii="宋体" w:hAnsi="宋体" w:cs="宋体" w:eastAsia="宋体" w:hint="default"/>
          <w:spacing w:val="-1"/>
        </w:rPr>
        <w:t>2</w:t>
      </w:r>
      <w:r>
        <w:rPr>
          <w:spacing w:val="-1"/>
        </w:rPr>
        <w:t>家子</w:t>
      </w:r>
      <w:r>
        <w:rPr>
          <w:spacing w:val="-82"/>
        </w:rPr>
        <w:t> </w:t>
      </w:r>
      <w:r>
        <w:rPr/>
        <w:t>公司，变化情况详见“附注八、合并范围的变动”。</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bookmarkStart w:name="四、财务报表的编制基础" w:id="173"/>
      <w:bookmarkEnd w:id="17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编制基础" w:id="174"/>
      <w:bookmarkEnd w:id="17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0"/>
        <w:jc w:val="both"/>
      </w:pPr>
      <w:r>
        <w:rPr>
          <w:spacing w:val="-1"/>
        </w:rPr>
        <w:t>公司以持续经营为基础，根据实际发生的交易和事项，按照《企业会计准则——基本准则》和其他各</w:t>
      </w:r>
      <w:r>
        <w:rPr/>
        <w:t> </w:t>
      </w:r>
      <w:r>
        <w:rPr>
          <w:spacing w:val="-1"/>
        </w:rPr>
        <w:t>项具体会计准则、应用指南、准则解释及其他相关规定（以下合称企业会计准则）进行确认和计量，在此</w:t>
      </w:r>
      <w:r>
        <w:rPr>
          <w:spacing w:val="-83"/>
        </w:rPr>
        <w:t> </w:t>
      </w:r>
      <w:r>
        <w:rPr>
          <w:spacing w:val="-83"/>
        </w:rPr>
      </w:r>
      <w:r>
        <w:rPr>
          <w:spacing w:val="-1"/>
        </w:rPr>
        <w:t>基础上结合中国证券监督管理委员会《公开发行证券的公司信息披露编报规则第</w:t>
      </w:r>
      <w:r>
        <w:rPr>
          <w:rFonts w:ascii="宋体" w:hAnsi="宋体" w:cs="宋体" w:eastAsia="宋体" w:hint="default"/>
          <w:spacing w:val="-1"/>
        </w:rPr>
        <w:t>15</w:t>
      </w:r>
      <w:r>
        <w:rPr>
          <w:spacing w:val="-1"/>
        </w:rPr>
        <w:t>号——财务报告的一般</w:t>
      </w:r>
      <w:r>
        <w:rPr>
          <w:spacing w:val="-82"/>
        </w:rPr>
        <w:t> </w:t>
      </w:r>
      <w:r>
        <w:rPr>
          <w:spacing w:val="-82"/>
        </w:rPr>
      </w:r>
      <w:r>
        <w:rPr/>
        <w:t>规定》（</w:t>
      </w:r>
      <w:r>
        <w:rPr>
          <w:rFonts w:ascii="宋体" w:hAnsi="宋体" w:cs="宋体" w:eastAsia="宋体" w:hint="default"/>
        </w:rPr>
        <w:t>2014</w:t>
      </w:r>
      <w:r>
        <w:rPr/>
        <w:t>年修订）的规定，编制财务报表。</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2、持续经营" w:id="175"/>
      <w:bookmarkEnd w:id="17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117"/>
        <w:jc w:val="left"/>
      </w:pPr>
      <w:r>
        <w:rPr/>
        <w:t>公司自本报告期末起至少</w:t>
      </w:r>
      <w:r>
        <w:rPr>
          <w:rFonts w:ascii="宋体" w:hAnsi="宋体" w:cs="宋体" w:eastAsia="宋体" w:hint="default"/>
        </w:rPr>
        <w:t>12</w:t>
      </w:r>
      <w:r>
        <w:rPr/>
        <w:t>个月内具备持续经营能力，无影响持续经营能力的重大事项。</w:t>
      </w:r>
    </w:p>
    <w:p>
      <w:pPr>
        <w:spacing w:line="240" w:lineRule="auto" w:before="2"/>
        <w:rPr>
          <w:rFonts w:ascii="宋体" w:hAnsi="宋体" w:cs="宋体" w:eastAsia="宋体" w:hint="default"/>
          <w:sz w:val="24"/>
          <w:szCs w:val="24"/>
        </w:rPr>
      </w:pPr>
    </w:p>
    <w:p>
      <w:pPr>
        <w:pStyle w:val="Heading2"/>
        <w:spacing w:line="240" w:lineRule="auto"/>
        <w:ind w:right="1117"/>
        <w:jc w:val="left"/>
        <w:rPr>
          <w:b w:val="0"/>
          <w:bCs w:val="0"/>
        </w:rPr>
      </w:pPr>
      <w:bookmarkStart w:name="五、重要会计政策及会计估计" w:id="176"/>
      <w:bookmarkEnd w:id="17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1117"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89"/>
        <w:ind w:right="1131" w:firstLine="420"/>
        <w:jc w:val="both"/>
      </w:pPr>
      <w:r>
        <w:rPr>
          <w:spacing w:val="-1"/>
        </w:rPr>
        <w:t>本集团根据自身生产经营特点，确定固定资产折旧、无形资产摊销、研发费用资本化条件以及收入确</w:t>
      </w:r>
      <w:r>
        <w:rPr/>
        <w:t> 认政策。具体会计政策参见附注五、（十六）、附注五、（二十一）和附注五、（二十八）。</w:t>
      </w:r>
    </w:p>
    <w:p>
      <w:pPr>
        <w:spacing w:line="590" w:lineRule="atLeast" w:before="9"/>
        <w:ind w:left="574" w:right="1117" w:hanging="420"/>
        <w:jc w:val="left"/>
        <w:rPr>
          <w:rFonts w:ascii="宋体" w:hAnsi="宋体" w:cs="宋体" w:eastAsia="宋体" w:hint="default"/>
          <w:sz w:val="21"/>
          <w:szCs w:val="21"/>
        </w:rPr>
      </w:pPr>
      <w:bookmarkStart w:name="1、遵循企业会计准则的声明" w:id="177"/>
      <w:bookmarkEnd w:id="1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公司编制的财务报表符合企业会计准则的要求，真实、完整地反映了公司的财务状况、经营成果和现</w:t>
      </w:r>
    </w:p>
    <w:p>
      <w:pPr>
        <w:pStyle w:val="BodyText"/>
        <w:spacing w:line="240" w:lineRule="auto" w:before="37"/>
        <w:ind w:right="1117"/>
        <w:jc w:val="left"/>
      </w:pPr>
      <w:r>
        <w:rPr/>
        <w:t>金流量等有关信息。</w:t>
      </w:r>
    </w:p>
    <w:p>
      <w:pPr>
        <w:spacing w:line="240" w:lineRule="auto" w:before="11"/>
        <w:rPr>
          <w:rFonts w:ascii="宋体" w:hAnsi="宋体" w:cs="宋体" w:eastAsia="宋体" w:hint="default"/>
          <w:sz w:val="25"/>
          <w:szCs w:val="25"/>
        </w:rPr>
      </w:pPr>
    </w:p>
    <w:p>
      <w:pPr>
        <w:pStyle w:val="Heading4"/>
        <w:spacing w:line="240" w:lineRule="auto"/>
        <w:ind w:right="1117"/>
        <w:jc w:val="left"/>
        <w:rPr>
          <w:b w:val="0"/>
          <w:bCs w:val="0"/>
        </w:rPr>
      </w:pPr>
      <w:bookmarkStart w:name="2、会计期间" w:id="178"/>
      <w:bookmarkEnd w:id="17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117"/>
        <w:jc w:val="left"/>
      </w:pPr>
      <w:r>
        <w:rPr/>
        <w:t>本公司会计期间采用公历年度，即每年自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5"/>
          <w:szCs w:val="25"/>
        </w:rPr>
      </w:pPr>
    </w:p>
    <w:p>
      <w:pPr>
        <w:pStyle w:val="Heading4"/>
        <w:spacing w:line="240" w:lineRule="auto"/>
        <w:ind w:right="1117"/>
        <w:jc w:val="left"/>
        <w:rPr>
          <w:b w:val="0"/>
          <w:bCs w:val="0"/>
        </w:rPr>
      </w:pPr>
      <w:bookmarkStart w:name="3、营业周期" w:id="179"/>
      <w:bookmarkEnd w:id="17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1117"/>
        <w:jc w:val="left"/>
      </w:pPr>
      <w:r>
        <w:rPr/>
        <w:t>公司以</w:t>
      </w:r>
      <w:r>
        <w:rPr>
          <w:rFonts w:ascii="宋体" w:hAnsi="宋体" w:cs="宋体" w:eastAsia="宋体" w:hint="default"/>
        </w:rPr>
        <w:t>12</w:t>
      </w:r>
      <w:r>
        <w:rPr/>
        <w:t>个月作为一个营业周期。</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4、记账本位币" w:id="180"/>
      <w:bookmarkEnd w:id="18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117"/>
        <w:jc w:val="left"/>
      </w:pPr>
      <w:r>
        <w:rPr/>
        <w:t>本公司以人民币为记账本位币。</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bookmarkStart w:name="5、同一控制下和非同一控制下企业合并的会计处理方法" w:id="181"/>
      <w:bookmarkEnd w:id="18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rFonts w:ascii="宋体" w:hAnsi="宋体" w:cs="宋体" w:eastAsia="宋体" w:hint="default"/>
        </w:rPr>
        <w:t>1.</w:t>
      </w:r>
      <w:r>
        <w:rPr>
          <w:rFonts w:ascii="宋体" w:hAnsi="宋体" w:cs="宋体" w:eastAsia="宋体" w:hint="default"/>
          <w:spacing w:val="81"/>
        </w:rPr>
        <w:t> </w:t>
      </w:r>
      <w:r>
        <w:rPr/>
        <w:t>同一控制下企业合并：本公司在企业合并中取得的资产和负债，按照合并日在被合并方资产、负 </w:t>
      </w:r>
      <w:r>
        <w:rPr>
          <w:spacing w:val="-1"/>
        </w:rPr>
        <w:t>债（包括最终控制方收购被合并方而形成的商誉）在最终控制方合并财务报表中的账面价值计量。在合并</w:t>
      </w:r>
      <w:r>
        <w:rPr>
          <w:spacing w:val="-83"/>
        </w:rPr>
        <w:t> </w:t>
      </w:r>
      <w:r>
        <w:rPr>
          <w:spacing w:val="-83"/>
        </w:rPr>
      </w:r>
      <w:r>
        <w:rPr>
          <w:spacing w:val="-1"/>
        </w:rPr>
        <w:t>中取得的净资产账面价值与支付的合并对价账面价值（或发行股份面值总额）的差额，调整资本公积中的</w:t>
      </w:r>
      <w:r>
        <w:rPr>
          <w:spacing w:val="-83"/>
        </w:rPr>
        <w:t> </w:t>
      </w:r>
      <w:r>
        <w:rPr>
          <w:spacing w:val="-83"/>
        </w:rPr>
      </w:r>
      <w:r>
        <w:rPr/>
        <w:t>股本溢价，资本公积中的股本溢价不足冲减的，调整留存收益。</w:t>
      </w:r>
    </w:p>
    <w:p>
      <w:pPr>
        <w:pStyle w:val="BodyText"/>
        <w:spacing w:line="273" w:lineRule="auto"/>
        <w:ind w:right="1131" w:firstLine="420"/>
        <w:jc w:val="both"/>
      </w:pPr>
      <w:r>
        <w:rPr>
          <w:rFonts w:ascii="宋体" w:hAnsi="宋体" w:cs="宋体" w:eastAsia="宋体" w:hint="default"/>
        </w:rPr>
        <w:t>2.</w:t>
      </w:r>
      <w:r>
        <w:rPr>
          <w:rFonts w:ascii="宋体" w:hAnsi="宋体" w:cs="宋体" w:eastAsia="宋体" w:hint="default"/>
          <w:spacing w:val="82"/>
        </w:rPr>
        <w:t> </w:t>
      </w:r>
      <w:r>
        <w:rPr/>
        <w:t>非同一控制下企业合并：本公司在购买日对作为企业合并对价付出的资产、发生或承担的负债按 </w:t>
      </w:r>
      <w:r>
        <w:rPr>
          <w:spacing w:val="-1"/>
        </w:rPr>
        <w:t>照公允价值计量，公允价值与其账面价值的差额，计入当期损益。本公司对合并成本大于合并中取得的被</w:t>
      </w:r>
      <w:r>
        <w:rPr>
          <w:spacing w:val="-83"/>
        </w:rPr>
        <w:t> </w:t>
      </w:r>
      <w:r>
        <w:rPr>
          <w:spacing w:val="-83"/>
        </w:rPr>
      </w:r>
      <w:r>
        <w:rPr>
          <w:spacing w:val="-1"/>
        </w:rPr>
        <w:t>购买方可辨认净资产公允价值份额的差额，确认为商誉；合并成本小于合并中取得的被购买方可辨认净资</w:t>
      </w:r>
      <w:r>
        <w:rPr>
          <w:spacing w:val="-81"/>
        </w:rPr>
        <w:t> </w:t>
      </w:r>
      <w:r>
        <w:rPr>
          <w:spacing w:val="-81"/>
        </w:rPr>
      </w:r>
      <w:r>
        <w:rPr>
          <w:spacing w:val="-1"/>
        </w:rPr>
        <w:t>产公允价值份额的差额，对合并中取得的资产、负债的公允价值、作为合并对价的非现金资产或发行的权</w:t>
      </w:r>
      <w:r>
        <w:rPr>
          <w:spacing w:val="-83"/>
        </w:rPr>
        <w:t> </w:t>
      </w:r>
      <w:r>
        <w:rPr>
          <w:spacing w:val="-83"/>
        </w:rPr>
      </w:r>
      <w:r>
        <w:rPr>
          <w:spacing w:val="3"/>
        </w:rPr>
        <w:t>益性证券等的公允价值进行复核，复核结果表明所确定的各项可辨认资产和负债的公允价值确定是恰当</w:t>
      </w:r>
      <w:r>
        <w:rPr>
          <w:spacing w:val="-82"/>
        </w:rPr>
        <w:t> </w:t>
      </w:r>
      <w:r>
        <w:rPr>
          <w:spacing w:val="-82"/>
        </w:rPr>
      </w:r>
      <w:r>
        <w:rPr>
          <w:spacing w:val="-1"/>
        </w:rPr>
        <w:t>的，将企业合并成本低于取得的被购买方可辨认净资产公允价值份额之间的差额，计入合并当期的营业外</w:t>
      </w:r>
      <w:r>
        <w:rPr>
          <w:spacing w:val="-81"/>
        </w:rPr>
        <w:t> </w:t>
      </w:r>
      <w:r>
        <w:rPr>
          <w:spacing w:val="-81"/>
        </w:rPr>
      </w:r>
      <w:r>
        <w:rPr/>
        <w:t>收入。</w:t>
      </w:r>
    </w:p>
    <w:p>
      <w:pPr>
        <w:pStyle w:val="BodyText"/>
        <w:spacing w:line="273" w:lineRule="auto"/>
        <w:ind w:right="1110" w:firstLine="420"/>
        <w:jc w:val="both"/>
      </w:pPr>
      <w:r>
        <w:rPr>
          <w:spacing w:val="-1"/>
        </w:rPr>
        <w:t>通过多次交易分步实现非同一控制下的企业合并：①在个别财务报表中，以购买日之前所持被购买方</w:t>
      </w:r>
      <w:r>
        <w:rPr/>
        <w:t> </w:t>
      </w:r>
      <w:r>
        <w:rPr>
          <w:spacing w:val="-1"/>
        </w:rPr>
        <w:t>的股权投资的账面价值与购买日新增投资成本之和，作为该项投资的初始投资成本。购买日之前持有的股</w:t>
      </w:r>
      <w:r>
        <w:rPr>
          <w:spacing w:val="-81"/>
        </w:rPr>
        <w:t> </w:t>
      </w:r>
      <w:r>
        <w:rPr>
          <w:spacing w:val="-81"/>
        </w:rPr>
      </w:r>
      <w:r>
        <w:rPr>
          <w:spacing w:val="-1"/>
        </w:rPr>
        <w:t>权投资因采用权益法核算而确认的其他综合收益，应当在处置该项投资时采用与被投资单位直接处置相关</w:t>
      </w:r>
      <w:r>
        <w:rPr>
          <w:spacing w:val="-81"/>
        </w:rPr>
        <w:t> </w:t>
      </w:r>
      <w:r>
        <w:rPr>
          <w:spacing w:val="-81"/>
        </w:rPr>
      </w:r>
      <w:r>
        <w:rPr>
          <w:spacing w:val="-1"/>
        </w:rPr>
        <w:t>资产或负债相同的基础进行会计处理；因被投资方除净损益、其他综合收益和利润分配以外的其他所有者</w:t>
      </w:r>
      <w:r>
        <w:rPr>
          <w:spacing w:val="-81"/>
        </w:rPr>
        <w:t> </w:t>
      </w:r>
      <w:r>
        <w:rPr>
          <w:spacing w:val="-81"/>
        </w:rPr>
      </w:r>
      <w:r>
        <w:rPr>
          <w:spacing w:val="-1"/>
        </w:rPr>
        <w:t>权益变动而确认的所有者权益，在处置该项投资时转入处置期间的当期损益。购买日之前持有的股权投资</w:t>
      </w:r>
      <w:r>
        <w:rPr>
          <w:spacing w:val="-81"/>
        </w:rPr>
        <w:t> </w:t>
      </w:r>
      <w:r>
        <w:rPr>
          <w:spacing w:val="-81"/>
        </w:rPr>
      </w:r>
      <w:r>
        <w:rPr>
          <w:spacing w:val="-1"/>
        </w:rPr>
        <w:t>按照《企业会计准则第</w:t>
      </w:r>
      <w:r>
        <w:rPr>
          <w:rFonts w:ascii="宋体" w:hAnsi="宋体" w:cs="宋体" w:eastAsia="宋体" w:hint="default"/>
          <w:spacing w:val="-1"/>
        </w:rPr>
        <w:t>22</w:t>
      </w:r>
      <w:r>
        <w:rPr>
          <w:spacing w:val="-1"/>
        </w:rPr>
        <w:t>号——金融工具确认和计量》的有关规定进行会计处理的，原计入其他综合收益</w:t>
      </w:r>
      <w:r>
        <w:rPr>
          <w:spacing w:val="-85"/>
        </w:rPr>
        <w:t> </w:t>
      </w:r>
      <w:r>
        <w:rPr>
          <w:spacing w:val="-85"/>
        </w:rPr>
      </w:r>
      <w:r>
        <w:rPr>
          <w:spacing w:val="-1"/>
        </w:rPr>
        <w:t>的累计公允价值变动在改按成本法核算时转入当期损益。②在合并财务报表中，合并成本为购买日支付的</w:t>
      </w:r>
      <w:r>
        <w:rPr>
          <w:spacing w:val="-81"/>
        </w:rPr>
        <w:t> </w:t>
      </w:r>
      <w:r>
        <w:rPr>
          <w:spacing w:val="-81"/>
        </w:rPr>
      </w:r>
      <w:r>
        <w:rPr>
          <w:spacing w:val="-1"/>
        </w:rPr>
        <w:t>对价与购买日之前已经持有的被购买方的股权在购买日的公允价值之和；对于购买日之前已经持有的被购</w:t>
      </w:r>
      <w:r>
        <w:rPr>
          <w:spacing w:val="-81"/>
        </w:rPr>
        <w:t> </w:t>
      </w:r>
      <w:r>
        <w:rPr>
          <w:spacing w:val="-81"/>
        </w:rPr>
      </w:r>
      <w:r>
        <w:rPr>
          <w:spacing w:val="-1"/>
        </w:rPr>
        <w:t>买方的股权，按照购买日的公允价值进行重新计量，公允价值与其账面价值之间的差额计入当期收益；购</w:t>
      </w:r>
      <w:r>
        <w:rPr>
          <w:spacing w:val="-83"/>
        </w:rPr>
        <w:t> </w:t>
      </w:r>
      <w:r>
        <w:rPr>
          <w:spacing w:val="-83"/>
        </w:rPr>
      </w:r>
      <w:r>
        <w:rPr/>
        <w:t>买日之前已经持有的被购买方的股权涉及其他综合收益、其他所有者权益变动应当转为购买日当期收益， 由于被投资方重新计量设定受益计划净负债或净资产变动而产生的其他综合收益除外。</w:t>
      </w:r>
    </w:p>
    <w:p>
      <w:pPr>
        <w:pStyle w:val="BodyText"/>
        <w:spacing w:line="273" w:lineRule="auto"/>
        <w:ind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6、合并财务报表的编制方法" w:id="182"/>
      <w:bookmarkEnd w:id="18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117"/>
        <w:jc w:val="left"/>
      </w:pPr>
      <w:r>
        <w:rPr>
          <w:rFonts w:ascii="宋体" w:hAnsi="宋体" w:cs="宋体" w:eastAsia="宋体" w:hint="default"/>
        </w:rPr>
        <w:t>1.</w:t>
      </w:r>
      <w:r>
        <w:rPr/>
        <w:t>合并报表编制范围 </w:t>
      </w:r>
      <w:r>
        <w:rPr>
          <w:spacing w:val="-1"/>
        </w:rPr>
        <w:t>合并财务报表的合并范围以控制为基础予以确定，不仅包括根据表决权（或类似权利）本身或者结合</w:t>
      </w:r>
    </w:p>
    <w:p>
      <w:pPr>
        <w:pStyle w:val="BodyText"/>
        <w:spacing w:line="273" w:lineRule="auto"/>
        <w:ind w:right="1131"/>
        <w:jc w:val="both"/>
      </w:pPr>
      <w:r>
        <w:rPr>
          <w:spacing w:val="-1"/>
        </w:rPr>
        <w:t>其他安排确定的子公司，也包括基于一项或多项合同安排决定的结构化主体。控制，是指投资方拥有对被</w:t>
      </w:r>
      <w:r>
        <w:rPr>
          <w:spacing w:val="-83"/>
        </w:rPr>
        <w:t> </w:t>
      </w:r>
      <w:r>
        <w:rPr>
          <w:spacing w:val="-83"/>
        </w:rPr>
      </w:r>
      <w:r>
        <w:rPr/>
        <w:t>投资方的权力</w:t>
      </w:r>
      <w:r>
        <w:rPr>
          <w:rFonts w:ascii="宋体" w:hAnsi="宋体" w:cs="宋体" w:eastAsia="宋体" w:hint="default"/>
        </w:rPr>
        <w:t>,</w:t>
      </w:r>
      <w:r>
        <w:rPr/>
        <w:t>通过参与被投资方的相关活动而享有可变回报，并且有能力运用对被投资方的权力影响其</w:t>
      </w:r>
      <w:r>
        <w:rPr>
          <w:spacing w:val="-33"/>
        </w:rPr>
        <w:t> </w:t>
      </w:r>
      <w:r>
        <w:rPr>
          <w:spacing w:val="-33"/>
        </w:rPr>
      </w:r>
      <w:r>
        <w:rPr/>
        <w:t>回报金额。</w:t>
      </w:r>
    </w:p>
    <w:p>
      <w:pPr>
        <w:pStyle w:val="BodyText"/>
        <w:spacing w:line="273" w:lineRule="auto"/>
        <w:ind w:left="574" w:right="1017"/>
        <w:jc w:val="left"/>
      </w:pPr>
      <w:r>
        <w:rPr>
          <w:rFonts w:ascii="宋体" w:hAnsi="宋体" w:cs="宋体" w:eastAsia="宋体" w:hint="default"/>
        </w:rPr>
        <w:t>2.</w:t>
      </w:r>
      <w:r>
        <w:rPr/>
        <w:t>合并程序 合并财务报表以公司和其子公司的财务报表为基础，根据其他有关资料，编制合并财务报表。 </w:t>
      </w:r>
      <w:r>
        <w:rPr>
          <w:spacing w:val="-3"/>
        </w:rPr>
        <w:t>公司统一子公司所采用的会计政策及会计期间，使子公司采用的会计政策、会计期间与公司保持一致。</w:t>
      </w:r>
    </w:p>
    <w:p>
      <w:pPr>
        <w:pStyle w:val="BodyText"/>
        <w:spacing w:line="273" w:lineRule="auto"/>
        <w:ind w:right="1133"/>
        <w:jc w:val="both"/>
      </w:pPr>
      <w:r>
        <w:rPr>
          <w:spacing w:val="-1"/>
        </w:rPr>
        <w:t>在编制合并会计报表时，遵循重要性原则，抵销母公司与子公司、子公司与子公司之间的内部往来、内部</w:t>
      </w:r>
      <w:r>
        <w:rPr>
          <w:spacing w:val="-86"/>
        </w:rPr>
        <w:t> </w:t>
      </w:r>
      <w:r>
        <w:rPr>
          <w:spacing w:val="-86"/>
        </w:rPr>
      </w:r>
      <w:r>
        <w:rPr/>
        <w:t>交易及权益性投资项目。</w:t>
      </w:r>
    </w:p>
    <w:p>
      <w:pPr>
        <w:pStyle w:val="BodyText"/>
        <w:spacing w:line="240" w:lineRule="auto"/>
        <w:ind w:left="574" w:right="1117"/>
        <w:jc w:val="left"/>
      </w:pPr>
      <w:r>
        <w:rPr>
          <w:spacing w:val="3"/>
        </w:rPr>
        <w:t>子公司少数股东应占的权益和损益分别在合并资产负债表中所有者权益项目下和合并利润表中净利</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润项目下单独列示。子公司少数股东分担的当期亏损超过了少数股东在该子公司期初所有者权益中所享有</w:t>
      </w:r>
      <w:r>
        <w:rPr>
          <w:spacing w:val="-81"/>
        </w:rPr>
        <w:t> </w:t>
      </w:r>
      <w:r>
        <w:rPr>
          <w:spacing w:val="-81"/>
        </w:rPr>
      </w:r>
      <w:r>
        <w:rPr/>
        <w:t>份额而形成的余额，冲减少数股东权益。</w:t>
      </w:r>
    </w:p>
    <w:p>
      <w:pPr>
        <w:pStyle w:val="BodyText"/>
        <w:spacing w:line="273" w:lineRule="auto"/>
        <w:ind w:left="574" w:right="1117"/>
        <w:jc w:val="left"/>
      </w:pPr>
      <w:r>
        <w:rPr/>
        <w:t>（</w:t>
      </w:r>
      <w:r>
        <w:rPr>
          <w:rFonts w:ascii="宋体" w:hAnsi="宋体" w:cs="宋体" w:eastAsia="宋体" w:hint="default"/>
        </w:rPr>
        <w:t>1</w:t>
      </w:r>
      <w:r>
        <w:rPr/>
        <w:t>）增加子公司以及业务 </w:t>
      </w:r>
      <w:r>
        <w:rPr>
          <w:spacing w:val="-1"/>
        </w:rPr>
        <w:t>在报告期内因同一控制下企业合并增加的子公司以及业务，编制合并资产负债表时，调整合并资产负</w:t>
      </w:r>
    </w:p>
    <w:p>
      <w:pPr>
        <w:pStyle w:val="BodyText"/>
        <w:spacing w:line="273" w:lineRule="auto" w:before="8"/>
        <w:ind w:right="1131"/>
        <w:jc w:val="both"/>
      </w:pPr>
      <w:r>
        <w:rPr>
          <w:spacing w:val="-1"/>
        </w:rPr>
        <w:t>债表的期初数；编制利润表时，将该子公司以及业务合并当期期初至报告期末的收入、费用、利润纳入合</w:t>
      </w:r>
      <w:r>
        <w:rPr>
          <w:spacing w:val="-86"/>
        </w:rPr>
        <w:t> </w:t>
      </w:r>
      <w:r>
        <w:rPr>
          <w:spacing w:val="-86"/>
        </w:rPr>
      </w:r>
      <w:r>
        <w:rPr>
          <w:spacing w:val="-1"/>
        </w:rPr>
        <w:t>并利润表；合并现金流量表时，将该子公司以及业务合并当期期初至报告期末的现金流量纳入合并现金流</w:t>
      </w:r>
      <w:r>
        <w:rPr>
          <w:spacing w:val="-81"/>
        </w:rPr>
        <w:t> </w:t>
      </w:r>
      <w:r>
        <w:rPr>
          <w:spacing w:val="-81"/>
        </w:rPr>
      </w:r>
      <w:r>
        <w:rPr>
          <w:spacing w:val="-1"/>
        </w:rPr>
        <w:t>量表；同时应当对比较报表的相关项目进行调整，视同合并后的报告主体自最终控制方开始控制时点起一</w:t>
      </w:r>
      <w:r>
        <w:rPr>
          <w:spacing w:val="-81"/>
        </w:rPr>
        <w:t> </w:t>
      </w:r>
      <w:r>
        <w:rPr>
          <w:spacing w:val="-81"/>
        </w:rPr>
      </w:r>
      <w:r>
        <w:rPr/>
        <w:t>直存在。</w:t>
      </w:r>
    </w:p>
    <w:p>
      <w:pPr>
        <w:pStyle w:val="BodyText"/>
        <w:spacing w:line="273" w:lineRule="auto"/>
        <w:ind w:right="1131" w:firstLine="420"/>
        <w:jc w:val="both"/>
      </w:pPr>
      <w:r>
        <w:rPr>
          <w:spacing w:val="-1"/>
        </w:rPr>
        <w:t>在报告期内因非同一控制下企业合并或其他方式增加的子公司以及业务，编制合并资产负债表时，不</w:t>
      </w:r>
      <w:r>
        <w:rPr/>
        <w:t> </w:t>
      </w:r>
      <w:r>
        <w:rPr>
          <w:spacing w:val="-1"/>
        </w:rPr>
        <w:t>调整合并资产负债表的期初数。编制利润表时，将该子公司以及业务购买日至报告期末的收入、费用、利</w:t>
      </w:r>
      <w:r>
        <w:rPr>
          <w:spacing w:val="-85"/>
        </w:rPr>
        <w:t> </w:t>
      </w:r>
      <w:r>
        <w:rPr>
          <w:spacing w:val="-85"/>
        </w:rPr>
      </w:r>
      <w:r>
        <w:rPr/>
        <w:t>润纳入合并利润表。编制现金流表时，将该子公司购买日至报告期末的现金流量纳入合并现金流量表。</w:t>
      </w:r>
    </w:p>
    <w:p>
      <w:pPr>
        <w:pStyle w:val="BodyText"/>
        <w:spacing w:line="273" w:lineRule="auto"/>
        <w:ind w:right="1131" w:firstLine="420"/>
        <w:jc w:val="both"/>
      </w:pPr>
      <w:r>
        <w:rPr>
          <w:spacing w:val="-1"/>
        </w:rPr>
        <w:t>公司以子公司的个别财务报表反映为在购买日公允价值基础上确定的可辨认资产、负债及或有负债在</w:t>
      </w:r>
      <w:r>
        <w:rPr/>
        <w:t> </w:t>
      </w:r>
      <w:r>
        <w:rPr>
          <w:spacing w:val="-1"/>
        </w:rPr>
        <w:t>本期资产负债表日的金额进行编制合并报表。对合并成本大于合并中取得的被购买方可辨认净资产公允价</w:t>
      </w:r>
      <w:r>
        <w:rPr>
          <w:spacing w:val="-81"/>
        </w:rPr>
        <w:t> </w:t>
      </w:r>
      <w:r>
        <w:rPr>
          <w:spacing w:val="-81"/>
        </w:rPr>
      </w:r>
      <w:r>
        <w:rPr>
          <w:spacing w:val="-1"/>
        </w:rPr>
        <w:t>值份额的差额，确认为商誉。合并成本小于合并中取得的被购买方可辨认净资产公允价值份额的差额，经</w:t>
      </w:r>
      <w:r>
        <w:rPr>
          <w:spacing w:val="-83"/>
        </w:rPr>
        <w:t> </w:t>
      </w:r>
      <w:r>
        <w:rPr>
          <w:spacing w:val="-83"/>
        </w:rPr>
      </w:r>
      <w:r>
        <w:rPr/>
        <w:t>复核后，计入当期损益。</w:t>
      </w:r>
    </w:p>
    <w:p>
      <w:pPr>
        <w:pStyle w:val="BodyText"/>
        <w:spacing w:line="273" w:lineRule="auto"/>
        <w:ind w:right="1110" w:firstLine="420"/>
        <w:jc w:val="both"/>
      </w:pPr>
      <w:r>
        <w:rPr>
          <w:spacing w:val="-1"/>
        </w:rPr>
        <w:t>通过多次交易分步实现非同一控制下企业合并的，在合并财务报表中，对于购买日之前持有的被购买</w:t>
      </w:r>
      <w:r>
        <w:rPr/>
        <w:t> </w:t>
      </w:r>
      <w:r>
        <w:rPr>
          <w:spacing w:val="-1"/>
        </w:rPr>
        <w:t>方的股权，应当按照该股权在购买日的公允价值进行重新计量，公允价值与其账面价值的差额计入当期投</w:t>
      </w:r>
      <w:r>
        <w:rPr>
          <w:spacing w:val="-81"/>
        </w:rPr>
        <w:t> </w:t>
      </w:r>
      <w:r>
        <w:rPr>
          <w:spacing w:val="-81"/>
        </w:rPr>
      </w:r>
      <w:r>
        <w:rPr/>
        <w:t>资收益；购买日之前持有的被购买方的股权涉及权益法核算下的其他综合收益、其他所有者权益变动的， </w:t>
      </w:r>
      <w:r>
        <w:rPr>
          <w:spacing w:val="-1"/>
        </w:rPr>
        <w:t>应当转为购买日所属当期投资收益，由于被投资方重新计量设定受益计划净负债或净资产变动而产生的其</w:t>
      </w:r>
      <w:r>
        <w:rPr>
          <w:spacing w:val="-81"/>
        </w:rPr>
        <w:t> </w:t>
      </w:r>
      <w:r>
        <w:rPr>
          <w:spacing w:val="-81"/>
        </w:rPr>
      </w:r>
      <w:r>
        <w:rPr/>
        <w:t>他综合收益除外。</w:t>
      </w:r>
    </w:p>
    <w:p>
      <w:pPr>
        <w:pStyle w:val="BodyText"/>
        <w:spacing w:line="273" w:lineRule="auto"/>
        <w:ind w:left="574" w:right="7917"/>
        <w:jc w:val="left"/>
      </w:pPr>
      <w:r>
        <w:rPr/>
        <w:t>（</w:t>
      </w:r>
      <w:r>
        <w:rPr>
          <w:rFonts w:ascii="宋体" w:hAnsi="宋体" w:cs="宋体" w:eastAsia="宋体" w:hint="default"/>
        </w:rPr>
        <w:t>2</w:t>
      </w:r>
      <w:r>
        <w:rPr/>
        <w:t>）处置子公司以及业务 </w:t>
      </w:r>
      <w:r>
        <w:rPr>
          <w:rFonts w:ascii="宋体" w:hAnsi="宋体" w:cs="宋体" w:eastAsia="宋体" w:hint="default"/>
        </w:rPr>
        <w:t>A.</w:t>
      </w:r>
      <w:r>
        <w:rPr/>
        <w:t>一般处理方法</w:t>
      </w:r>
    </w:p>
    <w:p>
      <w:pPr>
        <w:pStyle w:val="BodyText"/>
        <w:spacing w:line="273" w:lineRule="auto" w:before="8"/>
        <w:ind w:right="1133" w:firstLine="420"/>
        <w:jc w:val="both"/>
      </w:pPr>
      <w:r>
        <w:rPr>
          <w:spacing w:val="-1"/>
        </w:rPr>
        <w:t>在报告期内，本公司处置子公司以及业务，则该子公司以及业务期初至处置日的收入、费用、利润纳</w:t>
      </w:r>
      <w:r>
        <w:rPr/>
        <w:t> 入合并利润表；该子公司以及业务期初至处置日的现金流量纳入合并现金流量表。</w:t>
      </w:r>
    </w:p>
    <w:p>
      <w:pPr>
        <w:pStyle w:val="BodyText"/>
        <w:spacing w:line="273" w:lineRule="auto"/>
        <w:ind w:right="1110" w:firstLine="420"/>
        <w:jc w:val="both"/>
      </w:pPr>
      <w:r>
        <w:rPr/>
        <w:t>公司因处置部分股权投资等原因丧失了对原有子公司控制权的，在合并财务报表中，对于剩余股权， </w:t>
      </w:r>
      <w:r>
        <w:rPr>
          <w:spacing w:val="-1"/>
        </w:rPr>
        <w:t>按照其在丧失控制权日的公允价值进行重新计量。处置股权取得的对价和剩余股权公允价值之和，减去按</w:t>
      </w:r>
      <w:r>
        <w:rPr>
          <w:spacing w:val="-81"/>
        </w:rPr>
        <w:t> </w:t>
      </w:r>
      <w:r>
        <w:rPr>
          <w:spacing w:val="-81"/>
        </w:rPr>
      </w:r>
      <w:r>
        <w:rPr>
          <w:spacing w:val="-1"/>
        </w:rPr>
        <w:t>原持股比例计算应享有原有子公司自购买日或合并日开始持续计算的净资产的份额之间的差额，计入丧失</w:t>
      </w:r>
      <w:r>
        <w:rPr>
          <w:spacing w:val="-81"/>
        </w:rPr>
        <w:t> </w:t>
      </w:r>
      <w:r>
        <w:rPr>
          <w:spacing w:val="-81"/>
        </w:rPr>
      </w:r>
      <w:r>
        <w:rPr>
          <w:spacing w:val="-1"/>
        </w:rPr>
        <w:t>控制权当期的投资收益，同时冲减商誉。与原有子公司股权投资相关的其他综合收益、其他所有者权益变</w:t>
      </w:r>
      <w:r>
        <w:rPr>
          <w:spacing w:val="-83"/>
        </w:rPr>
        <w:t> </w:t>
      </w:r>
      <w:r>
        <w:rPr>
          <w:spacing w:val="-83"/>
        </w:rPr>
      </w:r>
      <w:r>
        <w:rPr>
          <w:spacing w:val="-1"/>
        </w:rPr>
        <w:t>动，在丧失控制权时转为当期投资收益，由于被投资方重新计量设定受益计划净负债或净资产变动而产生</w:t>
      </w:r>
      <w:r>
        <w:rPr>
          <w:spacing w:val="-81"/>
        </w:rPr>
        <w:t> </w:t>
      </w:r>
      <w:r>
        <w:rPr>
          <w:spacing w:val="-81"/>
        </w:rPr>
      </w:r>
      <w:r>
        <w:rPr/>
        <w:t>的其他综合收益除外。</w:t>
      </w:r>
    </w:p>
    <w:p>
      <w:pPr>
        <w:pStyle w:val="BodyText"/>
        <w:spacing w:line="273" w:lineRule="auto"/>
        <w:ind w:left="574" w:right="1117"/>
        <w:jc w:val="left"/>
      </w:pPr>
      <w:r>
        <w:rPr>
          <w:rFonts w:ascii="宋体" w:hAnsi="宋体" w:cs="宋体" w:eastAsia="宋体" w:hint="default"/>
        </w:rPr>
        <w:t>B.</w:t>
      </w:r>
      <w:r>
        <w:rPr/>
        <w:t>分步处置股权至丧失控制权 </w:t>
      </w:r>
      <w:r>
        <w:rPr>
          <w:spacing w:val="-1"/>
        </w:rPr>
        <w:t>企业通过多次交易分步处置对子公司股权投资直至丧失控制权的，如果处置对子公司股权投资直至丧</w:t>
      </w:r>
    </w:p>
    <w:p>
      <w:pPr>
        <w:pStyle w:val="BodyText"/>
        <w:spacing w:line="273" w:lineRule="auto"/>
        <w:ind w:right="1131"/>
        <w:jc w:val="both"/>
      </w:pPr>
      <w:r>
        <w:rPr>
          <w:spacing w:val="-1"/>
        </w:rPr>
        <w:t>失控制权的各项交易属于一揽子交易的，应当将各项交易作为一项处置子公司并丧失控制权的交易进行会</w:t>
      </w:r>
      <w:r>
        <w:rPr>
          <w:spacing w:val="-81"/>
        </w:rPr>
        <w:t> </w:t>
      </w:r>
      <w:r>
        <w:rPr>
          <w:spacing w:val="-81"/>
        </w:rPr>
      </w:r>
      <w:r>
        <w:rPr>
          <w:spacing w:val="-1"/>
        </w:rPr>
        <w:t>计处理；但是，在丧失控制权之前每一次处置价款与处置投资对应的享有该子公司净资产份额的差额，在</w:t>
      </w:r>
      <w:r>
        <w:rPr>
          <w:spacing w:val="-83"/>
        </w:rPr>
        <w:t> </w:t>
      </w:r>
      <w:r>
        <w:rPr>
          <w:spacing w:val="-83"/>
        </w:rPr>
      </w:r>
      <w:r>
        <w:rPr/>
        <w:t>合并财务报表中确认为其他综合收益，在丧失控制权时一并转入丧失控制权当期的损益。</w:t>
      </w:r>
    </w:p>
    <w:p>
      <w:pPr>
        <w:pStyle w:val="BodyText"/>
        <w:spacing w:line="273" w:lineRule="auto"/>
        <w:ind w:right="1131" w:firstLine="420"/>
        <w:jc w:val="both"/>
      </w:pPr>
      <w:r>
        <w:rPr>
          <w:spacing w:val="-1"/>
        </w:rPr>
        <w:t>处置对子公司股权投资的各项交易的条款、条件以及经济影响符合下列一种或多种情况，通常表明应</w:t>
      </w:r>
      <w:r>
        <w:rPr/>
        <w:t> 将多次交易事项作为一揽子交易进行会计处理：</w:t>
      </w:r>
    </w:p>
    <w:p>
      <w:pPr>
        <w:pStyle w:val="BodyText"/>
        <w:spacing w:line="240" w:lineRule="auto"/>
        <w:ind w:left="574" w:right="1117"/>
        <w:jc w:val="left"/>
      </w:pPr>
      <w:r>
        <w:rPr/>
        <w:t>（</w:t>
      </w:r>
      <w:r>
        <w:rPr>
          <w:rFonts w:ascii="宋体" w:hAnsi="宋体" w:cs="宋体" w:eastAsia="宋体" w:hint="default"/>
        </w:rPr>
        <w:t>A</w:t>
      </w:r>
      <w:r>
        <w:rPr/>
        <w:t>）这些交易是同时或者在考虑了彼此影响的情况下订立的；</w:t>
      </w:r>
    </w:p>
    <w:p>
      <w:pPr>
        <w:pStyle w:val="BodyText"/>
        <w:spacing w:line="240" w:lineRule="auto" w:before="37"/>
        <w:ind w:left="574" w:right="1117"/>
        <w:jc w:val="left"/>
      </w:pPr>
      <w:r>
        <w:rPr/>
        <w:t>（</w:t>
      </w:r>
      <w:r>
        <w:rPr>
          <w:rFonts w:ascii="宋体" w:hAnsi="宋体" w:cs="宋体" w:eastAsia="宋体" w:hint="default"/>
        </w:rPr>
        <w:t>B</w:t>
      </w:r>
      <w:r>
        <w:rPr/>
        <w:t>）这些交易整体才能达成一项完整的商业结果；</w:t>
      </w:r>
    </w:p>
    <w:p>
      <w:pPr>
        <w:pStyle w:val="BodyText"/>
        <w:spacing w:line="240" w:lineRule="auto" w:before="37"/>
        <w:ind w:left="574" w:right="1117"/>
        <w:jc w:val="left"/>
      </w:pPr>
      <w:r>
        <w:rPr/>
        <w:t>（</w:t>
      </w:r>
      <w:r>
        <w:rPr>
          <w:rFonts w:ascii="宋体" w:hAnsi="宋体" w:cs="宋体" w:eastAsia="宋体" w:hint="default"/>
        </w:rPr>
        <w:t>C</w:t>
      </w:r>
      <w:r>
        <w:rPr/>
        <w:t>）一项交易的发生取决于其他至少一项交易的发生；</w:t>
      </w:r>
    </w:p>
    <w:p>
      <w:pPr>
        <w:pStyle w:val="BodyText"/>
        <w:spacing w:line="240" w:lineRule="auto" w:before="37"/>
        <w:ind w:left="574" w:right="1117"/>
        <w:jc w:val="left"/>
      </w:pPr>
      <w:r>
        <w:rPr/>
        <w:t>（</w:t>
      </w:r>
      <w:r>
        <w:rPr>
          <w:rFonts w:ascii="宋体" w:hAnsi="宋体" w:cs="宋体" w:eastAsia="宋体" w:hint="default"/>
        </w:rPr>
        <w:t>D</w:t>
      </w:r>
      <w:r>
        <w:rPr/>
        <w:t>）一项交易单独考虑时是不经济的，但是和其他交易一并考虑时是经济的。</w:t>
      </w:r>
    </w:p>
    <w:p>
      <w:pPr>
        <w:pStyle w:val="BodyText"/>
        <w:spacing w:line="273" w:lineRule="auto" w:before="37"/>
        <w:ind w:left="574" w:right="1117"/>
        <w:jc w:val="left"/>
      </w:pPr>
      <w:r>
        <w:rPr/>
        <w:t>（</w:t>
      </w:r>
      <w:r>
        <w:rPr>
          <w:rFonts w:ascii="宋体" w:hAnsi="宋体" w:cs="宋体" w:eastAsia="宋体"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240" w:lineRule="auto"/>
        <w:ind w:right="0"/>
        <w:jc w:val="both"/>
      </w:pPr>
      <w:r>
        <w:rPr/>
        <w:t>并日）开始持续计算的可辨认净资产份额之间的差额，调整合并资产负债表中的资本公积中的资本溢价或</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117"/>
        <w:jc w:val="left"/>
      </w:pPr>
      <w:r>
        <w:rPr/>
        <w:t>股本溢价，资本公积中的资本溢价或股本溢价不足冲减的，调整留存收益。</w:t>
      </w:r>
    </w:p>
    <w:p>
      <w:pPr>
        <w:pStyle w:val="BodyText"/>
        <w:spacing w:line="273" w:lineRule="auto" w:before="37"/>
        <w:ind w:left="574" w:right="1117"/>
        <w:jc w:val="left"/>
      </w:pPr>
      <w:r>
        <w:rPr/>
        <w:t>（</w:t>
      </w:r>
      <w:r>
        <w:rPr>
          <w:rFonts w:ascii="宋体" w:hAnsi="宋体" w:cs="宋体" w:eastAsia="宋体"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273" w:lineRule="auto"/>
        <w:ind w:right="1117"/>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7、合营安排分类及共同经营会计处理方法" w:id="183"/>
      <w:bookmarkEnd w:id="18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092"/>
        <w:jc w:val="left"/>
      </w:pPr>
      <w:r>
        <w:rPr/>
        <w:t>合营安排是指一项由两个或两个以上的参与方共同控制的安排。合营安排分为共同经营和合营企业。 </w:t>
      </w:r>
      <w:r>
        <w:rPr>
          <w:rFonts w:ascii="宋体" w:hAnsi="宋体" w:cs="宋体" w:eastAsia="宋体" w:hint="default"/>
          <w:spacing w:val="-1"/>
        </w:rPr>
        <w:t>1.</w:t>
      </w:r>
      <w:r>
        <w:rPr>
          <w:spacing w:val="-1"/>
        </w:rPr>
        <w:t>共同经营是指本公司享有该安排相关资产且承担该安排相关负债的合营安排。本公司确认与共同经</w:t>
      </w:r>
    </w:p>
    <w:p>
      <w:pPr>
        <w:pStyle w:val="BodyText"/>
        <w:spacing w:line="240" w:lineRule="auto"/>
        <w:ind w:right="1117"/>
        <w:jc w:val="left"/>
      </w:pPr>
      <w:r>
        <w:rPr/>
        <w:t>营中利益份额相关的下列项目：</w:t>
      </w:r>
    </w:p>
    <w:p>
      <w:pPr>
        <w:pStyle w:val="BodyText"/>
        <w:spacing w:line="240" w:lineRule="auto" w:before="37"/>
        <w:ind w:left="574" w:right="1117"/>
        <w:jc w:val="left"/>
      </w:pPr>
      <w:r>
        <w:rPr/>
        <w:t>（</w:t>
      </w:r>
      <w:r>
        <w:rPr>
          <w:rFonts w:ascii="宋体" w:hAnsi="宋体" w:cs="宋体" w:eastAsia="宋体" w:hint="default"/>
        </w:rPr>
        <w:t>1</w:t>
      </w:r>
      <w:r>
        <w:rPr/>
        <w:t>）确认单独所持有的资产，以及按其份额确认共同持有的资产；</w:t>
      </w:r>
    </w:p>
    <w:p>
      <w:pPr>
        <w:pStyle w:val="BodyText"/>
        <w:spacing w:line="240" w:lineRule="auto" w:before="37"/>
        <w:ind w:left="574" w:right="1117"/>
        <w:jc w:val="left"/>
      </w:pPr>
      <w:r>
        <w:rPr/>
        <w:t>（</w:t>
      </w:r>
      <w:r>
        <w:rPr>
          <w:rFonts w:ascii="宋体" w:hAnsi="宋体" w:cs="宋体" w:eastAsia="宋体" w:hint="default"/>
        </w:rPr>
        <w:t>2</w:t>
      </w:r>
      <w:r>
        <w:rPr/>
        <w:t>）确认单独所承担的负债，以及按其份额确认共同承担的负债；</w:t>
      </w:r>
    </w:p>
    <w:p>
      <w:pPr>
        <w:pStyle w:val="BodyText"/>
        <w:spacing w:line="240" w:lineRule="auto" w:before="37"/>
        <w:ind w:left="574" w:right="1117"/>
        <w:jc w:val="left"/>
      </w:pPr>
      <w:r>
        <w:rPr/>
        <w:t>（</w:t>
      </w:r>
      <w:r>
        <w:rPr>
          <w:rFonts w:ascii="宋体" w:hAnsi="宋体" w:cs="宋体" w:eastAsia="宋体" w:hint="default"/>
        </w:rPr>
        <w:t>3</w:t>
      </w:r>
      <w:r>
        <w:rPr/>
        <w:t>）确认出售其享有的共同经营产出份额所产生的收入；</w:t>
      </w:r>
    </w:p>
    <w:p>
      <w:pPr>
        <w:pStyle w:val="BodyText"/>
        <w:spacing w:line="240" w:lineRule="auto" w:before="37"/>
        <w:ind w:left="574" w:right="1117"/>
        <w:jc w:val="left"/>
      </w:pPr>
      <w:r>
        <w:rPr/>
        <w:t>（</w:t>
      </w:r>
      <w:r>
        <w:rPr>
          <w:rFonts w:ascii="宋体" w:hAnsi="宋体" w:cs="宋体" w:eastAsia="宋体" w:hint="default"/>
        </w:rPr>
        <w:t>4</w:t>
      </w:r>
      <w:r>
        <w:rPr/>
        <w:t>）按其份额确认共同经营因出售产出所产生的收入；</w:t>
      </w:r>
    </w:p>
    <w:p>
      <w:pPr>
        <w:pStyle w:val="BodyText"/>
        <w:spacing w:line="240" w:lineRule="auto" w:before="37"/>
        <w:ind w:left="574" w:right="1117"/>
        <w:jc w:val="left"/>
      </w:pPr>
      <w:r>
        <w:rPr/>
        <w:t>（</w:t>
      </w:r>
      <w:r>
        <w:rPr>
          <w:rFonts w:ascii="宋体" w:hAnsi="宋体" w:cs="宋体" w:eastAsia="宋体" w:hint="default"/>
        </w:rPr>
        <w:t>5</w:t>
      </w:r>
      <w:r>
        <w:rPr/>
        <w:t>）确认单独所发生的费用，以及按其份额确认共同经营发生的费用。</w:t>
      </w:r>
    </w:p>
    <w:p>
      <w:pPr>
        <w:pStyle w:val="BodyText"/>
        <w:tabs>
          <w:tab w:pos="994" w:val="left" w:leader="none"/>
        </w:tabs>
        <w:spacing w:line="273" w:lineRule="auto" w:before="37"/>
        <w:ind w:right="1131" w:firstLine="420"/>
        <w:jc w:val="left"/>
      </w:pPr>
      <w:r>
        <w:rPr>
          <w:rFonts w:ascii="宋体" w:hAnsi="宋体" w:cs="宋体" w:eastAsia="宋体" w:hint="default"/>
        </w:rPr>
        <w:t>2.</w:t>
        <w:tab/>
      </w:r>
      <w:r>
        <w:rPr>
          <w:spacing w:val="-1"/>
        </w:rPr>
        <w:t>合营企业是指本公司仅对该安排的净资产享有权利的合营安排。本公司按照长期股权投资有关权</w:t>
      </w:r>
      <w:r>
        <w:rPr/>
        <w:t> 益法核算的规定对合营企业的投资进行会计处理。</w:t>
      </w:r>
    </w:p>
    <w:p>
      <w:pPr>
        <w:spacing w:line="590" w:lineRule="atLeast" w:before="9"/>
        <w:ind w:left="574" w:right="1117" w:hanging="420"/>
        <w:jc w:val="left"/>
        <w:rPr>
          <w:rFonts w:ascii="宋体" w:hAnsi="宋体" w:cs="宋体" w:eastAsia="宋体" w:hint="default"/>
          <w:sz w:val="21"/>
          <w:szCs w:val="21"/>
        </w:rPr>
      </w:pPr>
      <w:bookmarkStart w:name="8、现金及现金等价物的确定标准" w:id="184"/>
      <w:bookmarkEnd w:id="18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公司在编制现金流量表时，将本公司库存现金以及可以随时用于支付的存款确认为现金。将同时具备</w:t>
      </w:r>
    </w:p>
    <w:p>
      <w:pPr>
        <w:pStyle w:val="BodyText"/>
        <w:spacing w:line="273" w:lineRule="auto" w:before="37"/>
        <w:ind w:right="1023"/>
        <w:jc w:val="left"/>
      </w:pPr>
      <w:r>
        <w:rPr>
          <w:spacing w:val="-3"/>
        </w:rPr>
        <w:t>期限短（一般指从购买日起三个月内到期）、流动性强、易于转换为已知现金、价值变动风险很小的投资，</w:t>
      </w:r>
      <w:r>
        <w:rPr>
          <w:spacing w:val="-94"/>
        </w:rPr>
        <w:t> </w:t>
      </w:r>
      <w:r>
        <w:rPr>
          <w:spacing w:val="-94"/>
        </w:rPr>
      </w:r>
      <w:r>
        <w:rPr/>
        <w:t>确定为现金等价物。受到限制的银行存款，不作为现金流量表中的现金及现金等价物。</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9、外币业务和外币报表折算" w:id="185"/>
      <w:bookmarkEnd w:id="18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117"/>
        <w:jc w:val="left"/>
      </w:pPr>
      <w:r>
        <w:rPr>
          <w:rFonts w:ascii="宋体" w:hAnsi="宋体" w:cs="宋体" w:eastAsia="宋体" w:hint="default"/>
        </w:rPr>
        <w:t>1.</w:t>
      </w:r>
      <w:r>
        <w:rPr/>
        <w:t>外币业务 </w:t>
      </w:r>
      <w:r>
        <w:rPr>
          <w:spacing w:val="-1"/>
        </w:rPr>
        <w:t>发生外币业务时，外币金额按交易发生日的即期汇率折算为人民币入账，期末按照下列方法对外币货</w:t>
      </w:r>
    </w:p>
    <w:p>
      <w:pPr>
        <w:pStyle w:val="BodyText"/>
        <w:spacing w:line="240" w:lineRule="auto"/>
        <w:ind w:right="1117"/>
        <w:jc w:val="left"/>
      </w:pPr>
      <w:r>
        <w:rPr/>
        <w:t>币性项目和外币非货币性项目进行处理：</w:t>
      </w:r>
    </w:p>
    <w:p>
      <w:pPr>
        <w:pStyle w:val="BodyText"/>
        <w:spacing w:line="273" w:lineRule="auto" w:before="37"/>
        <w:ind w:right="1117" w:firstLine="420"/>
        <w:jc w:val="left"/>
      </w:pPr>
      <w:r>
        <w:rPr/>
        <w:t>（</w:t>
      </w:r>
      <w:r>
        <w:rPr>
          <w:rFonts w:ascii="宋体" w:hAnsi="宋体" w:cs="宋体" w:eastAsia="宋体" w:hint="default"/>
        </w:rPr>
        <w:t>1</w:t>
      </w:r>
      <w:r>
        <w:rPr/>
        <w:t>）外币货币性项目，采用资产负债表日即期汇率折算。因资产负债表日即期汇率与初始确认或者 前一资产负债表日即期汇率不同而产生的汇兑差额，计入当期损益。</w:t>
      </w:r>
    </w:p>
    <w:p>
      <w:pPr>
        <w:pStyle w:val="BodyText"/>
        <w:spacing w:line="273" w:lineRule="auto"/>
        <w:ind w:right="1117" w:firstLine="420"/>
        <w:jc w:val="left"/>
      </w:pPr>
      <w:r>
        <w:rPr/>
        <w:t>（</w:t>
      </w:r>
      <w:r>
        <w:rPr>
          <w:rFonts w:ascii="宋体" w:hAnsi="宋体" w:cs="宋体" w:eastAsia="宋体" w:hint="default"/>
        </w:rPr>
        <w:t>2</w:t>
      </w:r>
      <w:r>
        <w:rPr/>
        <w:t>）以历史成本计量的外币非货币性项目，仍采用交易发生日的即期汇率折算，不改变其记账本位 币金额。</w:t>
      </w:r>
    </w:p>
    <w:p>
      <w:pPr>
        <w:pStyle w:val="BodyText"/>
        <w:spacing w:line="273" w:lineRule="auto"/>
        <w:ind w:right="1117" w:firstLine="420"/>
        <w:jc w:val="left"/>
      </w:pPr>
      <w:r>
        <w:rPr/>
        <w:t>（</w:t>
      </w:r>
      <w:r>
        <w:rPr>
          <w:rFonts w:ascii="宋体" w:hAnsi="宋体" w:cs="宋体" w:eastAsia="宋体" w:hint="default"/>
        </w:rPr>
        <w:t>3</w:t>
      </w:r>
      <w:r>
        <w:rPr/>
        <w:t>）对以公允价值计量的外币非货币性项目，按公允价值确定日即期汇率折算，由此产生的汇兑损 益计入当期损益或其他综合收益。</w:t>
      </w:r>
    </w:p>
    <w:p>
      <w:pPr>
        <w:pStyle w:val="BodyText"/>
        <w:spacing w:line="273" w:lineRule="auto"/>
        <w:ind w:right="1117" w:firstLine="420"/>
        <w:jc w:val="left"/>
      </w:pPr>
      <w:r>
        <w:rPr/>
        <w:t>（</w:t>
      </w:r>
      <w:r>
        <w:rPr>
          <w:rFonts w:ascii="宋体" w:hAnsi="宋体" w:cs="宋体" w:eastAsia="宋体" w:hint="default"/>
        </w:rPr>
        <w:t>4</w:t>
      </w:r>
      <w:r>
        <w:rPr/>
        <w:t>）外币汇兑损益除与购建或者生产符合资本化条件的资产有关的外币专门借款产生的汇兑损益， 在资产达到预定可使用或者可销售状态前计入符合资本化条件的资产的成本，其余均计入当期损益。</w:t>
      </w:r>
    </w:p>
    <w:p>
      <w:pPr>
        <w:pStyle w:val="BodyText"/>
        <w:spacing w:line="240" w:lineRule="auto"/>
        <w:ind w:left="574" w:right="1117"/>
        <w:jc w:val="left"/>
      </w:pPr>
      <w:r>
        <w:rPr>
          <w:rFonts w:ascii="宋体" w:hAnsi="宋体" w:cs="宋体" w:eastAsia="宋体" w:hint="default"/>
        </w:rPr>
        <w:t>2.</w:t>
      </w:r>
      <w:r>
        <w:rPr/>
        <w:t>外币财务报表的折算</w:t>
      </w:r>
    </w:p>
    <w:p>
      <w:pPr>
        <w:pStyle w:val="BodyText"/>
        <w:spacing w:line="273" w:lineRule="auto" w:before="37"/>
        <w:ind w:right="1117" w:firstLine="420"/>
        <w:jc w:val="left"/>
      </w:pPr>
      <w:r>
        <w:rPr/>
        <w:t>（</w:t>
      </w:r>
      <w:r>
        <w:rPr>
          <w:rFonts w:ascii="宋体" w:hAnsi="宋体" w:cs="宋体" w:eastAsia="宋体" w:hint="default"/>
        </w:rPr>
        <w:t>1</w:t>
      </w:r>
      <w:r>
        <w:rPr/>
        <w:t>）资产负债表中的资产和负债项目，采用资产负债表日的即期汇率折算；所有者权益项目除“未 分配利润”项目外，其他项目采用发生时的即期汇率折算。</w:t>
      </w:r>
    </w:p>
    <w:p>
      <w:pPr>
        <w:pStyle w:val="BodyText"/>
        <w:spacing w:line="240" w:lineRule="auto"/>
        <w:ind w:left="574" w:right="1117"/>
        <w:jc w:val="left"/>
      </w:pPr>
      <w:r>
        <w:rPr/>
        <w:t>（</w:t>
      </w:r>
      <w:r>
        <w:rPr>
          <w:rFonts w:ascii="宋体" w:hAnsi="宋体" w:cs="宋体" w:eastAsia="宋体" w:hint="default"/>
        </w:rPr>
        <w:t>2</w:t>
      </w:r>
      <w:r>
        <w:rPr/>
        <w:t>）利润表中的收入和费用项目，采用交易发生日的即期汇率折算。</w:t>
      </w:r>
    </w:p>
    <w:p>
      <w:pPr>
        <w:pStyle w:val="BodyText"/>
        <w:spacing w:line="273" w:lineRule="auto" w:before="37"/>
        <w:ind w:right="1117" w:firstLine="420"/>
        <w:jc w:val="left"/>
      </w:pPr>
      <w:r>
        <w:rPr/>
        <w:t>（</w:t>
      </w:r>
      <w:r>
        <w:rPr>
          <w:rFonts w:ascii="宋体" w:hAnsi="宋体" w:cs="宋体" w:eastAsia="宋体" w:hint="default"/>
        </w:rPr>
        <w:t>3</w:t>
      </w:r>
      <w:r>
        <w:rPr/>
        <w:t>）按照上述折算产生的外币财务报表折算差额，计入其他综合收益。处置境外经营时，将与该境 外经营相关的外币财务报表折算差额，自所有者权益项目转入处置当期损益。</w:t>
      </w:r>
    </w:p>
    <w:p>
      <w:pPr>
        <w:pStyle w:val="BodyText"/>
        <w:spacing w:line="240" w:lineRule="auto"/>
        <w:ind w:left="574" w:right="1117"/>
        <w:jc w:val="left"/>
      </w:pPr>
      <w:r>
        <w:rPr/>
        <w:t>（</w:t>
      </w:r>
      <w:r>
        <w:rPr>
          <w:rFonts w:ascii="宋体" w:hAnsi="宋体" w:cs="宋体" w:eastAsia="宋体" w:hint="default"/>
        </w:rPr>
        <w:t>4</w:t>
      </w:r>
      <w:r>
        <w:rPr/>
        <w:t>）现金流量表采用现金流量发生日的即期汇率折算。汇率变动对现金的影响额作为调节项目，在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117"/>
        <w:jc w:val="left"/>
      </w:pPr>
      <w:r>
        <w:rPr/>
        <w:t>现金流量表中单独列示。</w:t>
      </w:r>
    </w:p>
    <w:p>
      <w:pPr>
        <w:spacing w:line="240" w:lineRule="auto" w:before="11"/>
        <w:rPr>
          <w:rFonts w:ascii="宋体" w:hAnsi="宋体" w:cs="宋体" w:eastAsia="宋体" w:hint="default"/>
          <w:sz w:val="25"/>
          <w:szCs w:val="25"/>
        </w:rPr>
      </w:pPr>
    </w:p>
    <w:p>
      <w:pPr>
        <w:pStyle w:val="Heading4"/>
        <w:spacing w:line="240" w:lineRule="auto"/>
        <w:ind w:right="1117"/>
        <w:jc w:val="left"/>
        <w:rPr>
          <w:b w:val="0"/>
          <w:bCs w:val="0"/>
        </w:rPr>
      </w:pPr>
      <w:bookmarkStart w:name="10、金融工具" w:id="186"/>
      <w:bookmarkEnd w:id="18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1117"/>
        <w:jc w:val="left"/>
      </w:pPr>
      <w:r>
        <w:rPr>
          <w:rFonts w:ascii="宋体" w:hAnsi="宋体" w:cs="宋体" w:eastAsia="宋体" w:hint="default"/>
        </w:rPr>
        <w:t>1.</w:t>
      </w:r>
      <w:r>
        <w:rPr/>
        <w:t>金融工具分为下列五类</w:t>
      </w:r>
    </w:p>
    <w:p>
      <w:pPr>
        <w:pStyle w:val="BodyText"/>
        <w:spacing w:line="273" w:lineRule="auto" w:before="37"/>
        <w:ind w:right="1133" w:firstLine="420"/>
        <w:jc w:val="both"/>
      </w:pPr>
      <w:r>
        <w:rPr/>
        <w:t>（</w:t>
      </w:r>
      <w:r>
        <w:rPr>
          <w:rFonts w:ascii="宋体" w:hAnsi="宋体" w:cs="宋体" w:eastAsia="宋体" w:hint="default"/>
        </w:rPr>
        <w:t>1</w:t>
      </w:r>
      <w:r>
        <w:rPr/>
        <w:t>）以公允价值计量且其变动计入当期损益的金融资产或金融负债，包括交易性金融资产或金融负 债和直接指定为以公允价值计量且其变动计入当期损益的金融资产或金融负债；</w:t>
      </w:r>
    </w:p>
    <w:p>
      <w:pPr>
        <w:pStyle w:val="BodyText"/>
        <w:spacing w:line="240" w:lineRule="auto"/>
        <w:ind w:left="574" w:right="1117"/>
        <w:jc w:val="left"/>
      </w:pPr>
      <w:r>
        <w:rPr/>
        <w:t>（</w:t>
      </w:r>
      <w:r>
        <w:rPr>
          <w:rFonts w:ascii="宋体" w:hAnsi="宋体" w:cs="宋体" w:eastAsia="宋体" w:hint="default"/>
        </w:rPr>
        <w:t>2</w:t>
      </w:r>
      <w:r>
        <w:rPr/>
        <w:t>）持有至到期投资；</w:t>
      </w:r>
    </w:p>
    <w:p>
      <w:pPr>
        <w:pStyle w:val="BodyText"/>
        <w:spacing w:line="240" w:lineRule="auto" w:before="37"/>
        <w:ind w:left="574" w:right="1117"/>
        <w:jc w:val="left"/>
      </w:pPr>
      <w:r>
        <w:rPr/>
        <w:t>（</w:t>
      </w:r>
      <w:r>
        <w:rPr>
          <w:rFonts w:ascii="宋体" w:hAnsi="宋体" w:cs="宋体" w:eastAsia="宋体" w:hint="default"/>
        </w:rPr>
        <w:t>3</w:t>
      </w:r>
      <w:r>
        <w:rPr/>
        <w:t>）贷款和应收款项；</w:t>
      </w:r>
    </w:p>
    <w:p>
      <w:pPr>
        <w:pStyle w:val="BodyText"/>
        <w:spacing w:line="240" w:lineRule="auto" w:before="37"/>
        <w:ind w:left="574" w:right="1117"/>
        <w:jc w:val="left"/>
      </w:pPr>
      <w:r>
        <w:rPr/>
        <w:t>（</w:t>
      </w:r>
      <w:r>
        <w:rPr>
          <w:rFonts w:ascii="宋体" w:hAnsi="宋体" w:cs="宋体" w:eastAsia="宋体" w:hint="default"/>
        </w:rPr>
        <w:t>4</w:t>
      </w:r>
      <w:r>
        <w:rPr/>
        <w:t>）可供出售金融资产；</w:t>
      </w:r>
    </w:p>
    <w:p>
      <w:pPr>
        <w:pStyle w:val="BodyText"/>
        <w:spacing w:line="273" w:lineRule="auto" w:before="37"/>
        <w:ind w:left="574" w:right="8232"/>
        <w:jc w:val="left"/>
      </w:pPr>
      <w:r>
        <w:rPr/>
        <w:t>（</w:t>
      </w:r>
      <w:r>
        <w:rPr>
          <w:rFonts w:ascii="宋体" w:hAnsi="宋体" w:cs="宋体" w:eastAsia="宋体" w:hint="default"/>
        </w:rPr>
        <w:t>5</w:t>
      </w:r>
      <w:r>
        <w:rPr/>
        <w:t>）其他金融负债。 </w:t>
      </w:r>
      <w:r>
        <w:rPr>
          <w:rFonts w:ascii="宋体" w:hAnsi="宋体" w:cs="宋体" w:eastAsia="宋体" w:hint="default"/>
        </w:rPr>
        <w:t>2.</w:t>
      </w:r>
      <w:r>
        <w:rPr/>
        <w:t>确认依据和计量方法</w:t>
      </w:r>
    </w:p>
    <w:p>
      <w:pPr>
        <w:pStyle w:val="BodyText"/>
        <w:spacing w:line="273" w:lineRule="auto"/>
        <w:ind w:left="574" w:right="1302"/>
        <w:jc w:val="left"/>
      </w:pPr>
      <w:r>
        <w:rPr/>
        <w:t>金融工具的确认依据：当公司成为金融工具合同的一方时，确认与之相关的金融资产或金融负债。 金融工具的计量方法：</w:t>
      </w:r>
    </w:p>
    <w:p>
      <w:pPr>
        <w:pStyle w:val="BodyText"/>
        <w:spacing w:line="273" w:lineRule="auto"/>
        <w:ind w:right="1131" w:firstLine="420"/>
        <w:jc w:val="both"/>
      </w:pPr>
      <w:r>
        <w:rPr/>
        <w:t>（</w:t>
      </w:r>
      <w:r>
        <w:rPr>
          <w:rFonts w:ascii="宋体" w:hAnsi="宋体" w:cs="宋体" w:eastAsia="宋体" w:hint="default"/>
        </w:rPr>
        <w:t>1</w:t>
      </w:r>
      <w:r>
        <w:rPr/>
        <w:t>）以公允价值计量且其变动计入当期损益的金融资产或金融负债：按照取得时的公允价值作为初 </w:t>
      </w:r>
      <w:r>
        <w:rPr>
          <w:spacing w:val="-1"/>
        </w:rPr>
        <w:t>始确认金额，相关的交易费用在发生时计入当期损益。支付的价款中包含已宣告发放的现金股利或债券利</w:t>
      </w:r>
      <w:r>
        <w:rPr>
          <w:spacing w:val="-81"/>
        </w:rPr>
        <w:t> </w:t>
      </w:r>
      <w:r>
        <w:rPr>
          <w:spacing w:val="-81"/>
        </w:rPr>
      </w:r>
      <w:r>
        <w:rPr>
          <w:spacing w:val="-1"/>
        </w:rPr>
        <w:t>息，单独确认为应收项目。持有期间取得的利息或现金股利，确认为投资收益。资产负债表日，将其公允</w:t>
      </w:r>
      <w:r>
        <w:rPr>
          <w:spacing w:val="-83"/>
        </w:rPr>
        <w:t> </w:t>
      </w:r>
      <w:r>
        <w:rPr>
          <w:spacing w:val="-83"/>
        </w:rPr>
      </w:r>
      <w:r>
        <w:rPr>
          <w:spacing w:val="-1"/>
        </w:rPr>
        <w:t>价值变动计入当期损益。处置时，其公允价值与初始入账金额之间的差额确认为投资收益，同时调整公允</w:t>
      </w:r>
      <w:r>
        <w:rPr>
          <w:spacing w:val="-83"/>
        </w:rPr>
        <w:t> </w:t>
      </w:r>
      <w:r>
        <w:rPr>
          <w:spacing w:val="-83"/>
        </w:rPr>
      </w:r>
      <w:r>
        <w:rPr/>
        <w:t>价值变动损益。</w:t>
      </w:r>
    </w:p>
    <w:p>
      <w:pPr>
        <w:pStyle w:val="BodyText"/>
        <w:spacing w:line="273" w:lineRule="auto"/>
        <w:ind w:right="1131" w:firstLine="420"/>
        <w:jc w:val="both"/>
      </w:pPr>
      <w:r>
        <w:rPr/>
        <w:t>（</w:t>
      </w:r>
      <w:r>
        <w:rPr>
          <w:rFonts w:ascii="宋体" w:hAnsi="宋体" w:cs="宋体" w:eastAsia="宋体" w:hint="default"/>
        </w:rPr>
        <w:t>2</w:t>
      </w:r>
      <w:r>
        <w:rPr/>
        <w:t>）持有至到期投资：按取得时的公允价值和相关交易费用之和作为初始确认金额。支付的价款中 </w:t>
      </w:r>
      <w:r>
        <w:rPr>
          <w:spacing w:val="-1"/>
        </w:rPr>
        <w:t>包含已宣告发放债券利息的，单独确认为应收项目。持有期间按照实际利率法确认利息收入，计入投资收</w:t>
      </w:r>
      <w:r>
        <w:rPr>
          <w:spacing w:val="-83"/>
        </w:rPr>
        <w:t> </w:t>
      </w:r>
      <w:r>
        <w:rPr>
          <w:spacing w:val="-83"/>
        </w:rPr>
      </w:r>
      <w:r>
        <w:rPr>
          <w:spacing w:val="-1"/>
        </w:rPr>
        <w:t>益。实际利率与票面利率差别很小的，可按票面利率计算利息收入，计入投资收益。处置持有至到期投资</w:t>
      </w:r>
      <w:r>
        <w:rPr>
          <w:spacing w:val="-86"/>
        </w:rPr>
        <w:t> </w:t>
      </w:r>
      <w:r>
        <w:rPr>
          <w:spacing w:val="-86"/>
        </w:rPr>
      </w:r>
      <w:r>
        <w:rPr/>
        <w:t>时，将所取得价款与该投资账面价值之间的差额计入投资收益。</w:t>
      </w:r>
    </w:p>
    <w:p>
      <w:pPr>
        <w:pStyle w:val="BodyText"/>
        <w:spacing w:line="273" w:lineRule="auto"/>
        <w:ind w:right="1141" w:firstLine="420"/>
        <w:jc w:val="both"/>
      </w:pPr>
      <w:r>
        <w:rPr/>
        <w:t>（</w:t>
      </w:r>
      <w:r>
        <w:rPr>
          <w:rFonts w:ascii="宋体" w:hAnsi="宋体" w:cs="宋体" w:eastAsia="宋体" w:hint="default"/>
        </w:rPr>
        <w:t>3</w:t>
      </w:r>
      <w:r>
        <w:rPr/>
        <w:t>）应收款项：按从购货方应收的合同或协议价款作为初始入账金额。单项金额重大的应收款项持 有期间采用实际利率法，按摊余成本进行后续计量。</w:t>
      </w:r>
    </w:p>
    <w:p>
      <w:pPr>
        <w:pStyle w:val="BodyText"/>
        <w:spacing w:line="273" w:lineRule="auto"/>
        <w:ind w:right="1131" w:firstLine="420"/>
        <w:jc w:val="both"/>
      </w:pPr>
      <w:r>
        <w:rPr/>
        <w:t>（</w:t>
      </w:r>
      <w:r>
        <w:rPr>
          <w:rFonts w:ascii="宋体" w:hAnsi="宋体" w:cs="宋体" w:eastAsia="宋体" w:hint="default"/>
        </w:rPr>
        <w:t>4</w:t>
      </w:r>
      <w:r>
        <w:rPr/>
        <w:t>）可供出售金融资产：按取得该金融资产的公允价值和相关费用之和作为初始确认金额。支付的 </w:t>
      </w:r>
      <w:r>
        <w:rPr>
          <w:spacing w:val="-1"/>
        </w:rPr>
        <w:t>价款中包含了已宣告发放的债券利息或现金股利的，单独确认为应收项目。持有期间取得的利息或现金股</w:t>
      </w:r>
      <w:r>
        <w:rPr>
          <w:spacing w:val="-81"/>
        </w:rPr>
        <w:t> </w:t>
      </w:r>
      <w:r>
        <w:rPr>
          <w:spacing w:val="-81"/>
        </w:rPr>
      </w:r>
      <w:r>
        <w:rPr/>
        <w:t>利，计入投资收益。期末，可供出售金融资产以公允价值计量，且公允价值变动计入其他综合收益。</w:t>
      </w:r>
    </w:p>
    <w:p>
      <w:pPr>
        <w:pStyle w:val="BodyText"/>
        <w:spacing w:line="273" w:lineRule="auto"/>
        <w:ind w:right="1132" w:firstLine="420"/>
        <w:jc w:val="both"/>
      </w:pPr>
      <w:r>
        <w:rPr>
          <w:spacing w:val="-1"/>
        </w:rPr>
        <w:t>对于在活跃市场中没有报价且其公允价值不能可靠计量的权益工具投资，以及与该权益工具挂钩并须</w:t>
      </w:r>
      <w:r>
        <w:rPr/>
        <w:t> 通过交付该权益工具结算的衍生金融资产，按成本计量。</w:t>
      </w:r>
    </w:p>
    <w:p>
      <w:pPr>
        <w:pStyle w:val="BodyText"/>
        <w:spacing w:line="273" w:lineRule="auto"/>
        <w:ind w:right="1110" w:firstLine="420"/>
        <w:jc w:val="both"/>
      </w:pPr>
      <w:r>
        <w:rPr/>
        <w:t>处置可供出售金融资产时，将取得的价款与该金融资产账面价值之间的差额，计入当期损益；同时， 将原直接计入其他综合收益的公允价值变动累计额对应处置部分的金额转出，计入当期损益。</w:t>
      </w:r>
    </w:p>
    <w:p>
      <w:pPr>
        <w:pStyle w:val="BodyText"/>
        <w:spacing w:line="273" w:lineRule="auto"/>
        <w:ind w:right="1132" w:firstLine="420"/>
        <w:jc w:val="both"/>
      </w:pPr>
      <w:r>
        <w:rPr/>
        <w:t>（</w:t>
      </w:r>
      <w:r>
        <w:rPr>
          <w:rFonts w:ascii="宋体" w:hAnsi="宋体" w:cs="宋体" w:eastAsia="宋体" w:hint="default"/>
        </w:rPr>
        <w:t>5</w:t>
      </w:r>
      <w:r>
        <w:rPr/>
        <w:t>）其他金融负债：按其公允价值和相关交易费用之和作为初始入账金额，除《企业会计准则第</w:t>
      </w:r>
      <w:r>
        <w:rPr>
          <w:rFonts w:ascii="宋体" w:hAnsi="宋体" w:cs="宋体" w:eastAsia="宋体" w:hint="default"/>
        </w:rPr>
        <w:t>22</w:t>
      </w:r>
      <w:r>
        <w:rPr>
          <w:rFonts w:ascii="宋体" w:hAnsi="宋体" w:cs="宋体" w:eastAsia="宋体" w:hint="default"/>
          <w:spacing w:val="-1"/>
        </w:rPr>
        <w:t> </w:t>
      </w:r>
      <w:r>
        <w:rPr/>
        <w:t>号——金融工具确认与计量》第三十三条规定的三种情况外，按摊余成本进行后续计量。</w:t>
      </w:r>
    </w:p>
    <w:p>
      <w:pPr>
        <w:pStyle w:val="BodyText"/>
        <w:spacing w:line="273" w:lineRule="auto"/>
        <w:ind w:left="574" w:right="6762"/>
        <w:jc w:val="left"/>
      </w:pPr>
      <w:r>
        <w:rPr>
          <w:rFonts w:ascii="宋体" w:hAnsi="宋体" w:cs="宋体" w:eastAsia="宋体" w:hint="default"/>
        </w:rPr>
        <w:t>3.</w:t>
      </w:r>
      <w:r>
        <w:rPr/>
        <w:t>金融资产转移的确认依据和计量方法 金融资产转移的确认</w:t>
      </w:r>
    </w:p>
    <w:tbl>
      <w:tblPr>
        <w:tblW w:w="0" w:type="auto"/>
        <w:jc w:val="left"/>
        <w:tblInd w:w="144" w:type="dxa"/>
        <w:tblLayout w:type="fixed"/>
        <w:tblCellMar>
          <w:top w:w="0" w:type="dxa"/>
          <w:left w:w="0" w:type="dxa"/>
          <w:bottom w:w="0" w:type="dxa"/>
          <w:right w:w="0" w:type="dxa"/>
        </w:tblCellMar>
        <w:tblLook w:val="01E0"/>
      </w:tblPr>
      <w:tblGrid>
        <w:gridCol w:w="2823"/>
        <w:gridCol w:w="2392"/>
        <w:gridCol w:w="4022"/>
      </w:tblGrid>
      <w:tr>
        <w:trPr>
          <w:trHeight w:val="352" w:hRule="exact"/>
        </w:trPr>
        <w:tc>
          <w:tcPr>
            <w:tcW w:w="521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情形</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确认结果</w:t>
            </w:r>
          </w:p>
        </w:tc>
      </w:tr>
      <w:tr>
        <w:trPr>
          <w:trHeight w:val="353" w:hRule="exact"/>
        </w:trPr>
        <w:tc>
          <w:tcPr>
            <w:tcW w:w="521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已转移金融资产所有权上几乎所有的风险和报酬</w:t>
            </w:r>
          </w:p>
        </w:tc>
        <w:tc>
          <w:tcPr>
            <w:tcW w:w="4022" w:type="dxa"/>
            <w:vMerge w:val="restart"/>
            <w:tcBorders>
              <w:top w:val="single" w:sz="8" w:space="0" w:color="000000"/>
              <w:left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终止确认该金融资产</w:t>
            </w:r>
            <w:r>
              <w:rPr>
                <w:rFonts w:ascii="宋体" w:hAnsi="宋体" w:cs="宋体" w:eastAsia="宋体" w:hint="default"/>
                <w:sz w:val="18"/>
                <w:szCs w:val="18"/>
              </w:rPr>
              <w:t>(</w:t>
            </w:r>
            <w:r>
              <w:rPr>
                <w:rFonts w:ascii="宋体" w:hAnsi="宋体" w:cs="宋体" w:eastAsia="宋体" w:hint="default"/>
                <w:sz w:val="18"/>
                <w:szCs w:val="18"/>
              </w:rPr>
              <w:t>确认新资产</w:t>
            </w:r>
            <w:r>
              <w:rPr>
                <w:rFonts w:ascii="宋体" w:hAnsi="宋体" w:cs="宋体" w:eastAsia="宋体" w:hint="default"/>
                <w:sz w:val="18"/>
                <w:szCs w:val="18"/>
              </w:rPr>
              <w:t>/</w:t>
            </w:r>
            <w:r>
              <w:rPr>
                <w:rFonts w:ascii="宋体" w:hAnsi="宋体" w:cs="宋体" w:eastAsia="宋体" w:hint="default"/>
                <w:sz w:val="18"/>
                <w:szCs w:val="18"/>
              </w:rPr>
              <w:t>负债</w:t>
            </w:r>
            <w:r>
              <w:rPr>
                <w:rFonts w:ascii="宋体" w:hAnsi="宋体" w:cs="宋体" w:eastAsia="宋体" w:hint="default"/>
                <w:sz w:val="18"/>
                <w:szCs w:val="18"/>
              </w:rPr>
              <w:t>)</w:t>
            </w:r>
          </w:p>
        </w:tc>
      </w:tr>
      <w:tr>
        <w:trPr>
          <w:trHeight w:val="352" w:hRule="exact"/>
        </w:trPr>
        <w:tc>
          <w:tcPr>
            <w:tcW w:w="2823" w:type="dxa"/>
            <w:vMerge w:val="restart"/>
            <w:tcBorders>
              <w:top w:val="single" w:sz="8" w:space="0" w:color="000000"/>
              <w:left w:val="single" w:sz="8" w:space="0" w:color="000000"/>
              <w:right w:val="single" w:sz="8" w:space="0" w:color="000000"/>
            </w:tcBorders>
          </w:tcPr>
          <w:p>
            <w:pPr>
              <w:pStyle w:val="TableParagraph"/>
              <w:spacing w:line="316" w:lineRule="auto" w:before="21"/>
              <w:ind w:left="-1" w:right="101"/>
              <w:jc w:val="left"/>
              <w:rPr>
                <w:rFonts w:ascii="宋体" w:hAnsi="宋体" w:cs="宋体" w:eastAsia="宋体" w:hint="default"/>
                <w:sz w:val="18"/>
                <w:szCs w:val="18"/>
              </w:rPr>
            </w:pPr>
            <w:r>
              <w:rPr>
                <w:rFonts w:ascii="宋体" w:hAnsi="宋体" w:cs="宋体" w:eastAsia="宋体" w:hint="default"/>
                <w:sz w:val="18"/>
                <w:szCs w:val="18"/>
              </w:rPr>
              <w:t>既没有转移也没有保留金融资产所 有权上几乎所有的风险和报酬</w:t>
            </w:r>
          </w:p>
        </w:tc>
        <w:tc>
          <w:tcPr>
            <w:tcW w:w="2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放弃了对该金融资产控制</w:t>
            </w:r>
          </w:p>
        </w:tc>
        <w:tc>
          <w:tcPr>
            <w:tcW w:w="4022" w:type="dxa"/>
            <w:vMerge/>
            <w:tcBorders>
              <w:left w:val="single" w:sz="8" w:space="0" w:color="000000"/>
              <w:bottom w:val="single" w:sz="8" w:space="0" w:color="000000"/>
              <w:right w:val="single" w:sz="8" w:space="0" w:color="000000"/>
            </w:tcBorders>
          </w:tcPr>
          <w:p>
            <w:pPr/>
          </w:p>
        </w:tc>
      </w:tr>
      <w:tr>
        <w:trPr>
          <w:trHeight w:val="664" w:hRule="exact"/>
        </w:trPr>
        <w:tc>
          <w:tcPr>
            <w:tcW w:w="2823" w:type="dxa"/>
            <w:vMerge/>
            <w:tcBorders>
              <w:left w:val="single" w:sz="8" w:space="0" w:color="000000"/>
              <w:bottom w:val="single" w:sz="8" w:space="0" w:color="000000"/>
              <w:right w:val="single" w:sz="8" w:space="0" w:color="000000"/>
            </w:tcBorders>
          </w:tcPr>
          <w:p>
            <w:pPr/>
          </w:p>
        </w:tc>
        <w:tc>
          <w:tcPr>
            <w:tcW w:w="2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未放弃对该金融资产控制</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1"/>
              <w:ind w:right="40"/>
              <w:jc w:val="left"/>
              <w:rPr>
                <w:rFonts w:ascii="宋体" w:hAnsi="宋体" w:cs="宋体" w:eastAsia="宋体" w:hint="default"/>
                <w:sz w:val="18"/>
                <w:szCs w:val="18"/>
              </w:rPr>
            </w:pPr>
            <w:r>
              <w:rPr>
                <w:rFonts w:ascii="宋体" w:hAnsi="宋体" w:cs="宋体" w:eastAsia="宋体" w:hint="default"/>
                <w:sz w:val="18"/>
                <w:szCs w:val="18"/>
              </w:rPr>
              <w:t>按照继续涉入所转移金融资产的程度确认有关资产 和负债及任何保留权益</w:t>
            </w:r>
          </w:p>
        </w:tc>
      </w:tr>
      <w:tr>
        <w:trPr>
          <w:trHeight w:val="665" w:hRule="exact"/>
        </w:trPr>
        <w:tc>
          <w:tcPr>
            <w:tcW w:w="282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01"/>
              <w:jc w:val="left"/>
              <w:rPr>
                <w:rFonts w:ascii="宋体" w:hAnsi="宋体" w:cs="宋体" w:eastAsia="宋体" w:hint="default"/>
                <w:sz w:val="18"/>
                <w:szCs w:val="18"/>
              </w:rPr>
            </w:pPr>
            <w:r>
              <w:rPr>
                <w:rFonts w:ascii="宋体" w:hAnsi="宋体" w:cs="宋体" w:eastAsia="宋体" w:hint="default"/>
                <w:sz w:val="18"/>
                <w:szCs w:val="18"/>
              </w:rPr>
              <w:t>保留了金融资产所有权上几乎所有 的风险和报酬</w:t>
            </w:r>
          </w:p>
        </w:tc>
        <w:tc>
          <w:tcPr>
            <w:tcW w:w="641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继续确认该金融资产</w:t>
            </w:r>
            <w:r>
              <w:rPr>
                <w:rFonts w:ascii="宋体" w:hAnsi="宋体" w:cs="宋体" w:eastAsia="宋体" w:hint="default"/>
                <w:sz w:val="18"/>
                <w:szCs w:val="18"/>
              </w:rPr>
              <w:t>,</w:t>
            </w:r>
            <w:r>
              <w:rPr>
                <w:rFonts w:ascii="宋体" w:hAnsi="宋体" w:cs="宋体" w:eastAsia="宋体" w:hint="default"/>
                <w:sz w:val="18"/>
                <w:szCs w:val="18"/>
              </w:rPr>
              <w:t>并将收益确认为负债</w:t>
            </w:r>
          </w:p>
        </w:tc>
      </w:tr>
    </w:tbl>
    <w:p>
      <w:pPr>
        <w:pStyle w:val="BodyText"/>
        <w:spacing w:line="240" w:lineRule="auto"/>
        <w:ind w:left="574" w:right="1117"/>
        <w:jc w:val="left"/>
      </w:pPr>
      <w:r>
        <w:rPr/>
        <w:t>公司将金融资产转移区分为金融资产整体转移和部分转移。</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7" w:firstLine="420"/>
        <w:jc w:val="left"/>
      </w:pPr>
      <w:r>
        <w:rPr/>
        <w:t>（</w:t>
      </w:r>
      <w:r>
        <w:rPr>
          <w:rFonts w:ascii="宋体" w:hAnsi="宋体" w:cs="宋体" w:eastAsia="宋体" w:hint="default"/>
        </w:rPr>
        <w:t>1</w:t>
      </w:r>
      <w:r>
        <w:rPr/>
        <w:t>）金融资产整体转移满足终止确认条件的，应当将下列两项金额的差额计入当期损益：所转移金 融资产的账面价值；因转移而收到的对价，与原直接计入所有者权益的公允价值变动累计额之和。</w:t>
      </w:r>
    </w:p>
    <w:p>
      <w:pPr>
        <w:pStyle w:val="BodyText"/>
        <w:spacing w:line="273" w:lineRule="auto"/>
        <w:ind w:right="1023" w:firstLine="420"/>
        <w:jc w:val="left"/>
      </w:pPr>
      <w:r>
        <w:rPr/>
        <w:t>（</w:t>
      </w:r>
      <w:r>
        <w:rPr>
          <w:rFonts w:ascii="宋体" w:hAnsi="宋体" w:cs="宋体" w:eastAsia="宋体" w:hint="default"/>
        </w:rPr>
        <w:t>2</w:t>
      </w:r>
      <w:r>
        <w:rPr/>
        <w:t>）金融资产部分转移满足终止确认条件的，应当将所转移金融资产整体的账面价值，在终止确认 </w:t>
      </w:r>
      <w:r>
        <w:rPr>
          <w:spacing w:val="-3"/>
        </w:rPr>
        <w:t>部分和未终止确认部分之间，按照各自的相对公允价值进行分摊，并将下列两项金额的差额计入当期损益：</w:t>
      </w:r>
      <w:r>
        <w:rPr>
          <w:spacing w:val="-92"/>
        </w:rPr>
        <w:t> </w:t>
      </w:r>
      <w:r>
        <w:rPr>
          <w:spacing w:val="-92"/>
        </w:rPr>
      </w:r>
      <w:r>
        <w:rPr/>
        <w:t>终止确认部分的账面价值；终止确认部分的对价，与原直接计入所有者权益的公允价值变动累计额中对应</w:t>
      </w:r>
      <w:r>
        <w:rPr/>
        <w:t> 终止确认部分的金额之和。</w:t>
      </w:r>
    </w:p>
    <w:p>
      <w:pPr>
        <w:pStyle w:val="BodyText"/>
        <w:spacing w:line="273" w:lineRule="auto"/>
        <w:ind w:right="1117" w:firstLine="420"/>
        <w:jc w:val="left"/>
      </w:pPr>
      <w:r>
        <w:rPr>
          <w:spacing w:val="-1"/>
        </w:rPr>
        <w:t>金融资产转移不满足终止确认条件的，继续确认所转移的金融资产整体，并将收到的对价确认为一项</w:t>
      </w:r>
      <w:r>
        <w:rPr/>
        <w:t> 金融负债。</w:t>
      </w:r>
    </w:p>
    <w:p>
      <w:pPr>
        <w:pStyle w:val="BodyText"/>
        <w:spacing w:line="273" w:lineRule="auto"/>
        <w:ind w:left="574" w:right="1017"/>
        <w:jc w:val="left"/>
      </w:pPr>
      <w:r>
        <w:rPr>
          <w:rFonts w:ascii="宋体" w:hAnsi="宋体" w:cs="宋体" w:eastAsia="宋体" w:hint="default"/>
        </w:rPr>
        <w:t>4.</w:t>
      </w:r>
      <w:r>
        <w:rPr/>
        <w:t>金融负债的终止确认条件 </w:t>
      </w:r>
      <w:r>
        <w:rPr>
          <w:spacing w:val="-3"/>
        </w:rPr>
        <w:t>金融负债的现时义务全部或部分已经解除的，才能终止确认该金融负债或其一部分。如存在下列情况：</w:t>
      </w:r>
    </w:p>
    <w:p>
      <w:pPr>
        <w:pStyle w:val="BodyText"/>
        <w:spacing w:line="240" w:lineRule="auto"/>
        <w:ind w:left="574" w:right="1117"/>
        <w:jc w:val="left"/>
      </w:pPr>
      <w:r>
        <w:rPr/>
        <w:t>（</w:t>
      </w:r>
      <w:r>
        <w:rPr>
          <w:rFonts w:ascii="宋体" w:hAnsi="宋体" w:cs="宋体" w:eastAsia="宋体" w:hint="default"/>
        </w:rPr>
        <w:t>1</w:t>
      </w:r>
      <w:r>
        <w:rPr/>
        <w:t>）公司将用于偿付金融负债的资产转入某个机构或设立信托，不应当终止确认该金融负债。</w:t>
      </w:r>
    </w:p>
    <w:p>
      <w:pPr>
        <w:pStyle w:val="BodyText"/>
        <w:spacing w:line="273" w:lineRule="auto" w:before="37"/>
        <w:ind w:right="1131" w:firstLine="420"/>
        <w:jc w:val="both"/>
      </w:pPr>
      <w:r>
        <w:rPr/>
        <w:t>（</w:t>
      </w:r>
      <w:r>
        <w:rPr>
          <w:rFonts w:ascii="宋体" w:hAnsi="宋体" w:cs="宋体" w:eastAsia="宋体" w:hint="default"/>
        </w:rPr>
        <w:t>2</w:t>
      </w:r>
      <w:r>
        <w:rPr/>
        <w:t>）公司与债权人之间签订协议</w:t>
      </w:r>
      <w:r>
        <w:rPr>
          <w:rFonts w:ascii="宋体" w:hAnsi="宋体" w:cs="宋体" w:eastAsia="宋体" w:hint="default"/>
        </w:rPr>
        <w:t>(</w:t>
      </w:r>
      <w:r>
        <w:rPr/>
        <w:t>不涉及债务重组所指情形</w:t>
      </w:r>
      <w:r>
        <w:rPr>
          <w:rFonts w:ascii="宋体" w:hAnsi="宋体" w:cs="宋体" w:eastAsia="宋体" w:hint="default"/>
        </w:rPr>
        <w:t>)</w:t>
      </w:r>
      <w:r>
        <w:rPr/>
        <w:t>，以承担新金融负债方式替换现存金融 </w:t>
      </w:r>
      <w:r>
        <w:rPr>
          <w:spacing w:val="-1"/>
        </w:rPr>
        <w:t>负债，且新金融负债与现存金融负债的合同条款实质上不同的，应当终止确认现存金融负债，并同时确认</w:t>
      </w:r>
      <w:r>
        <w:rPr>
          <w:spacing w:val="-83"/>
        </w:rPr>
        <w:t> </w:t>
      </w:r>
      <w:r>
        <w:rPr>
          <w:spacing w:val="-83"/>
        </w:rPr>
      </w:r>
      <w:r>
        <w:rPr/>
        <w:t>新金融负债。</w:t>
      </w:r>
    </w:p>
    <w:p>
      <w:pPr>
        <w:pStyle w:val="BodyText"/>
        <w:spacing w:line="273" w:lineRule="auto"/>
        <w:ind w:left="574" w:right="1117"/>
        <w:jc w:val="left"/>
      </w:pPr>
      <w:r>
        <w:rPr>
          <w:rFonts w:ascii="宋体" w:hAnsi="宋体" w:cs="宋体" w:eastAsia="宋体" w:hint="default"/>
        </w:rPr>
        <w:t>5.</w:t>
      </w:r>
      <w:r>
        <w:rPr/>
        <w:t>金融资产和金融负债的公允价值确定方法 </w:t>
      </w:r>
      <w:r>
        <w:rPr>
          <w:spacing w:val="-1"/>
        </w:rPr>
        <w:t>存在活跃市场的金融工具，以活跃市场中的报价确定其公允价值。不存在活跃市场的金融工具，采用</w:t>
      </w:r>
    </w:p>
    <w:p>
      <w:pPr>
        <w:pStyle w:val="BodyText"/>
        <w:spacing w:line="273" w:lineRule="auto"/>
        <w:ind w:right="1110"/>
        <w:jc w:val="both"/>
      </w:pPr>
      <w:r>
        <w:rPr>
          <w:spacing w:val="-1"/>
        </w:rPr>
        <w:t>估值技术确定其公允价值。在估值时，本公司采用在当前情况下适用并且有足够可利用数据和其他信息支</w:t>
      </w:r>
      <w:r>
        <w:rPr>
          <w:spacing w:val="-80"/>
        </w:rPr>
        <w:t> </w:t>
      </w:r>
      <w:r>
        <w:rPr>
          <w:spacing w:val="-80"/>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BodyText"/>
        <w:spacing w:line="273" w:lineRule="auto"/>
        <w:ind w:left="574" w:right="1117"/>
        <w:jc w:val="left"/>
      </w:pPr>
      <w:r>
        <w:rPr>
          <w:rFonts w:ascii="宋体" w:hAnsi="宋体" w:cs="宋体" w:eastAsia="宋体" w:hint="default"/>
        </w:rPr>
        <w:t>6.</w:t>
      </w:r>
      <w:r>
        <w:rPr/>
        <w:t>金融资产（不含应收款项）减值测试方法及会计处理方法 以公允价值计量且其变动计入当期损益的金融资产不需要进行减值测试。 </w:t>
      </w:r>
      <w:r>
        <w:rPr>
          <w:spacing w:val="-1"/>
        </w:rPr>
        <w:t>期末，对持有至到期投资的账面价值进行检查，有客观证据表明其发生了减值的，根据其账面价值与</w:t>
      </w:r>
    </w:p>
    <w:p>
      <w:pPr>
        <w:pStyle w:val="BodyText"/>
        <w:spacing w:line="273" w:lineRule="auto"/>
        <w:ind w:right="1130"/>
        <w:jc w:val="both"/>
      </w:pPr>
      <w:r>
        <w:rPr>
          <w:spacing w:val="-1"/>
        </w:rPr>
        <w:t>预计未来现金流量现值之间差额计算确认减值损失；计提后如有证据表明其价值已恢复且客观上与确认该</w:t>
      </w:r>
      <w:r>
        <w:rPr>
          <w:spacing w:val="-80"/>
        </w:rPr>
        <w:t> </w:t>
      </w:r>
      <w:r>
        <w:rPr>
          <w:spacing w:val="-80"/>
        </w:rPr>
      </w:r>
      <w:r>
        <w:rPr>
          <w:spacing w:val="-1"/>
        </w:rPr>
        <w:t>损失后发生的事项有关，原确认的减值损失可予以转回，计入当期损益，但该转回的账面价值不超过假定</w:t>
      </w:r>
      <w:r>
        <w:rPr>
          <w:spacing w:val="-83"/>
        </w:rPr>
        <w:t> </w:t>
      </w:r>
      <w:r>
        <w:rPr>
          <w:spacing w:val="-83"/>
        </w:rPr>
      </w:r>
      <w:r>
        <w:rPr/>
        <w:t>不计提减值准备情况下该金融资产在转回日的摊余成本。</w:t>
      </w:r>
    </w:p>
    <w:p>
      <w:pPr>
        <w:pStyle w:val="BodyText"/>
        <w:spacing w:line="273" w:lineRule="auto"/>
        <w:ind w:right="1110" w:firstLine="420"/>
        <w:jc w:val="both"/>
      </w:pPr>
      <w:r>
        <w:rPr>
          <w:spacing w:val="-1"/>
        </w:rPr>
        <w:t>期末，如果可供出售金融资产的公允价值发生严重下降，或在综合考虑各种相关因素后，预期这种下</w:t>
      </w:r>
      <w:r>
        <w:rPr/>
        <w:t> </w:t>
      </w:r>
      <w:r>
        <w:rPr>
          <w:spacing w:val="-1"/>
        </w:rPr>
        <w:t>降趋势属于非暂时性的，认定该可供出售金融资产已发生减值，并确认减值损失。在确认减值损失时，将</w:t>
      </w:r>
      <w:r>
        <w:rPr>
          <w:spacing w:val="-85"/>
        </w:rPr>
        <w:t> </w:t>
      </w:r>
      <w:r>
        <w:rPr>
          <w:spacing w:val="-85"/>
        </w:rPr>
      </w:r>
      <w:r>
        <w:rPr/>
        <w:t>原直接计入其他综合收益的公允价值下降形成的累计损失一并转出，计入当期损失。该转出的累计损失， </w:t>
      </w:r>
      <w:r>
        <w:rPr>
          <w:spacing w:val="-1"/>
        </w:rPr>
        <w:t>为可供出售金融资产的初始取得成本扣除已收回本金和已摊销金额、当前公允价值和原已计入损益的减值</w:t>
      </w:r>
      <w:r>
        <w:rPr>
          <w:spacing w:val="-80"/>
        </w:rPr>
        <w:t> </w:t>
      </w:r>
      <w:r>
        <w:rPr>
          <w:spacing w:val="-80"/>
        </w:rPr>
      </w:r>
      <w:r>
        <w:rPr>
          <w:spacing w:val="-1"/>
        </w:rPr>
        <w:t>损失后的余额。对于已确认减值损失的可供出售债务工具，在随后的会计期间公允价值已上升且客观上与</w:t>
      </w:r>
      <w:r>
        <w:rPr>
          <w:spacing w:val="-81"/>
        </w:rPr>
        <w:t> </w:t>
      </w:r>
      <w:r>
        <w:rPr>
          <w:spacing w:val="-81"/>
        </w:rPr>
      </w:r>
      <w:r>
        <w:rPr>
          <w:spacing w:val="-1"/>
        </w:rPr>
        <w:t>确认原减值损失确认后发生的事项有关的，原确认的减值损失予以转回，计入当期损益。可供出售权益工</w:t>
      </w:r>
      <w:r>
        <w:rPr>
          <w:spacing w:val="-83"/>
        </w:rPr>
        <w:t> </w:t>
      </w:r>
      <w:r>
        <w:rPr>
          <w:spacing w:val="-83"/>
        </w:rPr>
      </w:r>
      <w:r>
        <w:rPr>
          <w:spacing w:val="-1"/>
        </w:rPr>
        <w:t>具投资发生的减值损失，不通过损益转回。同时，在活跃市场中没有报价且其公允价值不能可靠计量的权</w:t>
      </w:r>
      <w:r>
        <w:rPr>
          <w:spacing w:val="-83"/>
        </w:rPr>
        <w:t> </w:t>
      </w:r>
      <w:r>
        <w:rPr>
          <w:spacing w:val="-83"/>
        </w:rPr>
      </w:r>
      <w:r>
        <w:rPr>
          <w:spacing w:val="3"/>
        </w:rPr>
        <w:t>益工具投资或与该权益工具挂钩并须通过交付该权益工具结算的衍生金融资产发生的减值损失，不予转</w:t>
      </w:r>
      <w:r>
        <w:rPr>
          <w:spacing w:val="-82"/>
        </w:rPr>
        <w:t> </w:t>
      </w:r>
      <w:r>
        <w:rPr>
          <w:spacing w:val="-82"/>
        </w:rPr>
      </w:r>
      <w:r>
        <w:rPr/>
        <w:t>回。</w:t>
      </w:r>
    </w:p>
    <w:p>
      <w:pPr>
        <w:pStyle w:val="BodyText"/>
        <w:spacing w:line="273" w:lineRule="auto"/>
        <w:ind w:right="1023" w:firstLine="420"/>
        <w:jc w:val="left"/>
      </w:pPr>
      <w:r>
        <w:rPr/>
        <w:t>在活跃市场中没有报价且其公允价值不能可靠计量的可供出售权益工具投资，或与该权益工具挂钩并 须通过交付该权益工具结算的衍生金融资产发生减值时，本公司将该权益工具投资或衍生金融资产的账面 </w:t>
      </w:r>
      <w:r>
        <w:rPr>
          <w:spacing w:val="-3"/>
        </w:rPr>
        <w:t>价值，与按照类似金融资产当时市场收益率对未来现金流量折现确定的现值之间的差额，确认为减值损失，</w:t>
      </w:r>
      <w:r>
        <w:rPr>
          <w:spacing w:val="-92"/>
        </w:rPr>
        <w:t> </w:t>
      </w:r>
      <w:r>
        <w:rPr>
          <w:spacing w:val="-92"/>
        </w:rPr>
      </w:r>
      <w:r>
        <w:rPr/>
        <w:t>计入当期损益。</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17"/>
        <w:jc w:val="left"/>
        <w:rPr>
          <w:b w:val="0"/>
          <w:bCs w:val="0"/>
        </w:rPr>
      </w:pPr>
      <w:bookmarkStart w:name="11、应收票据及应收账款" w:id="187"/>
      <w:bookmarkEnd w:id="187"/>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单项金额重大并单独计提坏账准备的应收款项" w:id="188"/>
      <w:bookmarkEnd w:id="18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本公司将年末余额大于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万元的应收账款、年末余额大于</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万元的其他应收款，确定为单项金额重大的应收款项。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值的差额计提坏账准备。个别认定计提坏账准备，经减值测 试后不存在减值的，应当包括在具有类似风险组合特征的应 收款项中计提坏账准备。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117"/>
        <w:jc w:val="left"/>
        <w:rPr>
          <w:b w:val="0"/>
          <w:bCs w:val="0"/>
        </w:rPr>
      </w:pPr>
      <w:bookmarkStart w:name="（2）按信用风险特征组合计提坏账准备的应收款项" w:id="189"/>
      <w:bookmarkEnd w:id="18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保证金、押金与预存款性质及合并报表范围核算单位的应收 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保证金、押金与预存款性质及合并报表 范围核算单位的应收款项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3）单项金额不重大但单独计提坏账准备的应收款项" w:id="190"/>
      <w:bookmarkEnd w:id="19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117"/>
        <w:jc w:val="left"/>
        <w:rPr>
          <w:b w:val="0"/>
          <w:bCs w:val="0"/>
        </w:rPr>
      </w:pPr>
      <w:bookmarkStart w:name="12、存货" w:id="191"/>
      <w:bookmarkEnd w:id="19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0"/>
        <w:ind w:left="574" w:right="1117"/>
        <w:jc w:val="left"/>
      </w:pPr>
      <w:r>
        <w:rPr>
          <w:rFonts w:ascii="宋体" w:hAnsi="宋体" w:cs="宋体" w:eastAsia="宋体" w:hint="default"/>
        </w:rPr>
        <w:t>1.</w:t>
      </w:r>
      <w:r>
        <w:rPr/>
        <w:t>存货的分类 </w:t>
      </w:r>
      <w:r>
        <w:rPr>
          <w:spacing w:val="-1"/>
        </w:rPr>
        <w:t>公司存货是指在生产经营过程中持有以备销售，或者仍然处在生产过程，或者在生产或提供劳务过程</w:t>
      </w:r>
    </w:p>
    <w:p>
      <w:pPr>
        <w:pStyle w:val="BodyText"/>
        <w:spacing w:line="273" w:lineRule="auto"/>
        <w:ind w:left="574" w:right="1117" w:hanging="420"/>
        <w:jc w:val="left"/>
      </w:pPr>
      <w:r>
        <w:rPr/>
        <w:t>中将消耗的材料或物资等，包括各类原材料、包装物、低值易耗品、在产品、产成品（库存商品）等。 </w:t>
      </w:r>
      <w:r>
        <w:rPr>
          <w:rFonts w:ascii="宋体" w:hAnsi="宋体" w:cs="宋体" w:eastAsia="宋体" w:hint="default"/>
        </w:rPr>
        <w:t>2.</w:t>
      </w:r>
      <w:r>
        <w:rPr/>
        <w:t>存货取得和发出的计价方法 </w:t>
      </w:r>
      <w:r>
        <w:rPr>
          <w:spacing w:val="-1"/>
        </w:rPr>
        <w:t>存货按照成本进行初始计量。存货成本包括采购成本、加工成本和其他成本。应计入存货成本的借款</w:t>
      </w:r>
    </w:p>
    <w:p>
      <w:pPr>
        <w:pStyle w:val="BodyText"/>
        <w:spacing w:line="273" w:lineRule="auto"/>
        <w:ind w:right="1117"/>
        <w:jc w:val="left"/>
      </w:pPr>
      <w:r>
        <w:rPr>
          <w:spacing w:val="-1"/>
        </w:rPr>
        <w:t>费用，按照《企业会计准则第</w:t>
      </w:r>
      <w:r>
        <w:rPr>
          <w:rFonts w:ascii="宋体" w:hAnsi="宋体" w:cs="宋体" w:eastAsia="宋体" w:hint="default"/>
          <w:spacing w:val="-1"/>
        </w:rPr>
        <w:t>17</w:t>
      </w:r>
      <w:r>
        <w:rPr>
          <w:spacing w:val="-1"/>
        </w:rPr>
        <w:t>号——借款费用》处理。投资者投入存货的成本，应当按照投资合同或协</w:t>
      </w:r>
      <w:r>
        <w:rPr>
          <w:spacing w:val="-84"/>
        </w:rPr>
        <w:t> </w:t>
      </w:r>
      <w:r>
        <w:rPr>
          <w:spacing w:val="-84"/>
        </w:rPr>
      </w:r>
      <w:r>
        <w:rPr/>
        <w:t>议约定的价值确定，但合同或协议约定价值不公允的除外。</w:t>
      </w:r>
    </w:p>
    <w:p>
      <w:pPr>
        <w:pStyle w:val="BodyText"/>
        <w:spacing w:line="273" w:lineRule="auto"/>
        <w:ind w:left="574" w:right="6132"/>
        <w:jc w:val="left"/>
      </w:pPr>
      <w:r>
        <w:rPr/>
        <w:t>发出存货的计价方法：采用加权平均法核算。 </w:t>
      </w:r>
      <w:r>
        <w:rPr>
          <w:rFonts w:ascii="宋体" w:hAnsi="宋体" w:cs="宋体" w:eastAsia="宋体" w:hint="default"/>
        </w:rPr>
        <w:t>3.</w:t>
      </w:r>
      <w:r>
        <w:rPr/>
        <w:t>存货的盘存制度</w:t>
      </w:r>
    </w:p>
    <w:p>
      <w:pPr>
        <w:pStyle w:val="BodyText"/>
        <w:spacing w:line="240" w:lineRule="auto"/>
        <w:ind w:left="574" w:right="1117"/>
        <w:jc w:val="left"/>
      </w:pPr>
      <w:r>
        <w:rPr/>
        <w:t>采用永续盘存制。</w:t>
      </w:r>
    </w:p>
    <w:p>
      <w:pPr>
        <w:pStyle w:val="BodyText"/>
        <w:tabs>
          <w:tab w:pos="994" w:val="left" w:leader="none"/>
        </w:tabs>
        <w:spacing w:line="273" w:lineRule="auto" w:before="37"/>
        <w:ind w:left="574" w:right="5310"/>
        <w:jc w:val="left"/>
      </w:pPr>
      <w:r>
        <w:rPr>
          <w:rFonts w:ascii="宋体" w:hAnsi="宋体" w:cs="宋体" w:eastAsia="宋体" w:hint="default"/>
        </w:rPr>
        <w:t>4.</w:t>
        <w:tab/>
      </w:r>
      <w:r>
        <w:rPr/>
        <w:t>低值易耗品及包装物的摊销方法 采用“一次摊销法”核算。 </w:t>
      </w:r>
      <w:r>
        <w:rPr>
          <w:rFonts w:ascii="宋体" w:hAnsi="宋体" w:cs="宋体" w:eastAsia="宋体" w:hint="default"/>
        </w:rPr>
        <w:t>5.</w:t>
      </w:r>
      <w:r>
        <w:rPr/>
        <w:t>存货可变现净值的确定依据及存货跌价准备计提方法</w:t>
      </w:r>
    </w:p>
    <w:p>
      <w:pPr>
        <w:pStyle w:val="BodyText"/>
        <w:spacing w:line="273" w:lineRule="auto"/>
        <w:ind w:right="1131" w:firstLine="420"/>
        <w:jc w:val="both"/>
      </w:pPr>
      <w:r>
        <w:rPr>
          <w:spacing w:val="-1"/>
        </w:rPr>
        <w:t>期末存货按成本与可变现净值孰低计价，存货期末可变现净值低于账面成本的，按差额计提存货跌价</w:t>
      </w:r>
      <w:r>
        <w:rPr/>
        <w:t> </w:t>
      </w:r>
      <w:r>
        <w:rPr>
          <w:spacing w:val="-1"/>
        </w:rPr>
        <w:t>准备。可变现净值，是指在日常活动中，存货的估计售价减去至完工时估计将要发生的成本、估计的销售</w:t>
      </w:r>
      <w:r>
        <w:rPr>
          <w:spacing w:val="-85"/>
        </w:rPr>
        <w:t> </w:t>
      </w:r>
      <w:r>
        <w:rPr>
          <w:spacing w:val="-85"/>
        </w:rPr>
      </w:r>
      <w:r>
        <w:rPr/>
        <w:t>费用以及相关税费后的金额。</w:t>
      </w:r>
    </w:p>
    <w:p>
      <w:pPr>
        <w:pStyle w:val="BodyText"/>
        <w:spacing w:line="273" w:lineRule="auto"/>
        <w:ind w:right="1131" w:firstLine="420"/>
        <w:jc w:val="both"/>
      </w:pPr>
      <w:r>
        <w:rPr/>
        <w:t>（</w:t>
      </w:r>
      <w:r>
        <w:rPr>
          <w:rFonts w:ascii="宋体" w:hAnsi="宋体" w:cs="宋体" w:eastAsia="宋体" w:hint="default"/>
        </w:rPr>
        <w:t>1</w:t>
      </w:r>
      <w:r>
        <w:rPr/>
        <w:t>）存货可变现净值的确定依据：为生产而持有的材料等，用其生产的产成品的可变现净值高于成 </w:t>
      </w:r>
      <w:r>
        <w:rPr>
          <w:spacing w:val="-1"/>
        </w:rPr>
        <w:t>本的，该材料仍然按照成本计量；材料价格的下降表明产成品的可变现净值低于成本的，该材料应当按照</w:t>
      </w:r>
      <w:r>
        <w:rPr>
          <w:spacing w:val="-83"/>
        </w:rPr>
        <w:t> </w:t>
      </w:r>
      <w:r>
        <w:rPr>
          <w:spacing w:val="-83"/>
        </w:rPr>
      </w:r>
      <w:r>
        <w:rPr/>
        <w:t>可变现净值计量。</w:t>
      </w:r>
    </w:p>
    <w:p>
      <w:pPr>
        <w:pStyle w:val="BodyText"/>
        <w:spacing w:line="273" w:lineRule="auto"/>
        <w:ind w:right="1131" w:firstLine="420"/>
        <w:jc w:val="both"/>
      </w:pPr>
      <w:r>
        <w:rPr>
          <w:spacing w:val="-1"/>
        </w:rPr>
        <w:t>为执行销售合同或者劳务合同而持有的存货，其可变现净值应当以合同价格为基础计算。企业持有存</w:t>
      </w:r>
      <w:r>
        <w:rPr/>
        <w:t> 货的数量多于销售合同订购数量的，超出部分的存货的可变现净值以一般销售价格为基础计算。</w:t>
      </w:r>
    </w:p>
    <w:p>
      <w:pPr>
        <w:pStyle w:val="BodyText"/>
        <w:spacing w:line="273" w:lineRule="auto"/>
        <w:ind w:right="1133" w:firstLine="420"/>
        <w:jc w:val="both"/>
      </w:pPr>
      <w:r>
        <w:rPr/>
        <w:t>（</w:t>
      </w:r>
      <w:r>
        <w:rPr>
          <w:rFonts w:ascii="宋体" w:hAnsi="宋体" w:cs="宋体" w:eastAsia="宋体" w:hint="default"/>
        </w:rPr>
        <w:t>2</w:t>
      </w:r>
      <w:r>
        <w:rPr/>
        <w:t>）存货跌价准备的计提方法：按单个存货项目的成本与可变现净值孰低法计提存货跌价准备；但 对于数量繁多、单价较低的存货按存货类别计提存货跌价准备。</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13、持有待售资产" w:id="192"/>
      <w:bookmarkEnd w:id="19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BodyText"/>
        <w:spacing w:line="460" w:lineRule="auto" w:before="0"/>
        <w:ind w:left="574" w:right="2982"/>
        <w:jc w:val="left"/>
      </w:pPr>
      <w:r>
        <w:rPr>
          <w:rFonts w:ascii="宋体" w:hAnsi="宋体" w:cs="宋体" w:eastAsia="宋体" w:hint="default"/>
        </w:rPr>
        <w:t>1.</w:t>
      </w:r>
      <w:r>
        <w:rPr/>
        <w:t>划分为持有待售的依据 本公司将同时满足下列条件的组成部分（或非流动资产）确认为持有待售类别：</w:t>
      </w:r>
    </w:p>
    <w:p>
      <w:pPr>
        <w:pStyle w:val="BodyText"/>
        <w:spacing w:line="240" w:lineRule="auto" w:before="60"/>
        <w:ind w:left="574" w:right="1117"/>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5"/>
        <w:rPr>
          <w:rFonts w:ascii="宋体" w:hAnsi="宋体" w:cs="宋体" w:eastAsia="宋体" w:hint="default"/>
          <w:sz w:val="19"/>
          <w:szCs w:val="19"/>
        </w:rPr>
      </w:pPr>
    </w:p>
    <w:p>
      <w:pPr>
        <w:pStyle w:val="BodyText"/>
        <w:spacing w:line="273" w:lineRule="auto" w:before="0"/>
        <w:ind w:right="1141" w:firstLine="420"/>
        <w:jc w:val="both"/>
      </w:pPr>
      <w:r>
        <w:rPr/>
        <w:t>（</w:t>
      </w:r>
      <w:r>
        <w:rPr>
          <w:rFonts w:ascii="宋体" w:hAnsi="宋体" w:cs="宋体" w:eastAsia="宋体" w:hint="default"/>
        </w:rPr>
        <w:t>2</w:t>
      </w:r>
      <w:r>
        <w:rPr/>
        <w:t>）出售极可能发生，即企业已经就一项出售计划作出决议且获得确定的购买承诺，预计出售将在 一年内完成。有关规定要求企业相关权力机构或者监管部门批准后方可出售的，应当已经获得批准。</w:t>
      </w:r>
    </w:p>
    <w:p>
      <w:pPr>
        <w:spacing w:line="240" w:lineRule="auto" w:before="2"/>
        <w:rPr>
          <w:rFonts w:ascii="宋体" w:hAnsi="宋体" w:cs="宋体" w:eastAsia="宋体" w:hint="default"/>
          <w:sz w:val="17"/>
          <w:szCs w:val="17"/>
        </w:rPr>
      </w:pPr>
    </w:p>
    <w:p>
      <w:pPr>
        <w:pStyle w:val="BodyText"/>
        <w:spacing w:line="273" w:lineRule="auto" w:before="0"/>
        <w:ind w:right="1131" w:firstLine="420"/>
        <w:jc w:val="both"/>
      </w:pPr>
      <w:r>
        <w:rPr>
          <w:spacing w:val="-1"/>
        </w:rPr>
        <w:t>确定的购买承诺，是指企业与其他方签订的具有法律约束力的购买协议，该协议包含交易价格、时间</w:t>
      </w:r>
      <w:r>
        <w:rPr/>
        <w:t> 和足够严厉的违约惩罚等重要条款，使协议出现重大调整或者撤销的可能性极小。</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1117"/>
        <w:jc w:val="left"/>
      </w:pPr>
      <w:r>
        <w:rPr>
          <w:rFonts w:ascii="宋体" w:hAnsi="宋体" w:cs="宋体" w:eastAsia="宋体" w:hint="default"/>
        </w:rPr>
        <w:t>2.</w:t>
      </w:r>
      <w:r>
        <w:rPr/>
        <w:t>持有待售的会计处理方法</w:t>
      </w:r>
    </w:p>
    <w:p>
      <w:pPr>
        <w:spacing w:line="240" w:lineRule="auto" w:before="5"/>
        <w:rPr>
          <w:rFonts w:ascii="宋体" w:hAnsi="宋体" w:cs="宋体" w:eastAsia="宋体" w:hint="default"/>
          <w:sz w:val="19"/>
          <w:szCs w:val="19"/>
        </w:rPr>
      </w:pPr>
    </w:p>
    <w:p>
      <w:pPr>
        <w:pStyle w:val="BodyText"/>
        <w:spacing w:line="273" w:lineRule="auto" w:before="0"/>
        <w:ind w:right="1131" w:firstLine="420"/>
        <w:jc w:val="both"/>
      </w:pPr>
      <w:r>
        <w:rPr>
          <w:spacing w:val="-1"/>
        </w:rPr>
        <w:t>公司初始计量或在资产负债表日重新计量持有待售的非流动资产或处置组时，其账面价值高于公允价</w:t>
      </w:r>
      <w:r>
        <w:rPr/>
        <w:t> </w:t>
      </w:r>
      <w:r>
        <w:rPr>
          <w:spacing w:val="-1"/>
        </w:rPr>
        <w:t>值减去出售费用后的净额的，将账面价值减记至公允价值减去出售费用后的净额，减记的金额确认为资产</w:t>
      </w:r>
      <w:r>
        <w:rPr>
          <w:spacing w:val="-81"/>
        </w:rPr>
        <w:t> </w:t>
      </w:r>
      <w:r>
        <w:rPr>
          <w:spacing w:val="-81"/>
        </w:rPr>
      </w:r>
      <w:r>
        <w:rPr>
          <w:spacing w:val="-1"/>
        </w:rPr>
        <w:t>减值损失，计入当期损益，同时计提持有待售资产减值准备。后续资产负债表日持有待售的非流动资产公</w:t>
      </w:r>
      <w:r>
        <w:rPr>
          <w:spacing w:val="-83"/>
        </w:rPr>
        <w:t> </w:t>
      </w:r>
      <w:r>
        <w:rPr>
          <w:spacing w:val="-83"/>
        </w:rPr>
      </w:r>
      <w:r>
        <w:rPr>
          <w:spacing w:val="-1"/>
        </w:rPr>
        <w:t>允价值减去出售费用后的净额增加的，以前减记的金额予以恢复，并在划分为持有待售类别后确认的资产</w:t>
      </w:r>
      <w:r>
        <w:rPr>
          <w:spacing w:val="-81"/>
        </w:rPr>
        <w:t> </w:t>
      </w:r>
      <w:r>
        <w:rPr>
          <w:spacing w:val="-81"/>
        </w:rPr>
      </w:r>
      <w:r>
        <w:rPr/>
        <w:t>减值损失金额内转回，转回金额计入当期损益。划分为持有待售类别前确认的资产减值损失不得转回。</w:t>
      </w:r>
    </w:p>
    <w:p>
      <w:pPr>
        <w:spacing w:line="240" w:lineRule="auto" w:before="1"/>
        <w:rPr>
          <w:rFonts w:ascii="宋体" w:hAnsi="宋体" w:cs="宋体" w:eastAsia="宋体" w:hint="default"/>
          <w:sz w:val="17"/>
          <w:szCs w:val="17"/>
        </w:rPr>
      </w:pPr>
    </w:p>
    <w:p>
      <w:pPr>
        <w:pStyle w:val="BodyText"/>
        <w:spacing w:line="273" w:lineRule="auto" w:before="0"/>
        <w:ind w:right="1131" w:firstLine="420"/>
        <w:jc w:val="both"/>
      </w:pPr>
      <w:r>
        <w:rPr>
          <w:spacing w:val="-1"/>
        </w:rPr>
        <w:t>对于持有待售的处置组确认的资产减值损失金额，先抵减处置组中商誉的账面价值，再根据处置组中</w:t>
      </w:r>
      <w:r>
        <w:rPr/>
        <w:t> </w:t>
      </w:r>
      <w:r>
        <w:rPr>
          <w:spacing w:val="-1"/>
        </w:rPr>
        <w:t>各项非流动资产账面价值所占比重，按比例抵减其账面价值。持有待售的处置组确认的资产减值损失后续</w:t>
      </w:r>
      <w:r>
        <w:rPr>
          <w:spacing w:val="-81"/>
        </w:rPr>
        <w:t> </w:t>
      </w:r>
      <w:r>
        <w:rPr>
          <w:spacing w:val="-81"/>
        </w:rPr>
      </w:r>
      <w:r>
        <w:rPr/>
        <w:t>转回金额，根据处置组中除商誉外各项非流动资产账面价值所占比重，按比例增加其账面价值。</w:t>
      </w:r>
    </w:p>
    <w:p>
      <w:pPr>
        <w:spacing w:line="240" w:lineRule="auto" w:before="1"/>
        <w:rPr>
          <w:rFonts w:ascii="宋体" w:hAnsi="宋体" w:cs="宋体" w:eastAsia="宋体" w:hint="default"/>
          <w:sz w:val="17"/>
          <w:szCs w:val="17"/>
        </w:rPr>
      </w:pPr>
    </w:p>
    <w:p>
      <w:pPr>
        <w:pStyle w:val="BodyText"/>
        <w:spacing w:line="273" w:lineRule="auto" w:before="0"/>
        <w:ind w:right="1132" w:firstLine="420"/>
        <w:jc w:val="both"/>
      </w:pPr>
      <w:r>
        <w:rPr>
          <w:spacing w:val="-1"/>
        </w:rPr>
        <w:t>持有待售的非流动资产或处置组中的非流动资产不计提折旧或摊销，持有待售的处置组中负债的利息</w:t>
      </w:r>
      <w:r>
        <w:rPr/>
        <w:t> 和其他费用继续予以确认。</w:t>
      </w:r>
    </w:p>
    <w:p>
      <w:pPr>
        <w:pStyle w:val="BodyText"/>
        <w:spacing w:line="528" w:lineRule="exact" w:before="46"/>
        <w:ind w:left="574" w:right="1117"/>
        <w:jc w:val="left"/>
      </w:pPr>
      <w:r>
        <w:rPr/>
        <w:t>公司终止确认持有待售的非流动资产或处置组时，将尚未确认的利得或损失计入当期损益。 </w:t>
      </w:r>
      <w:r>
        <w:rPr>
          <w:spacing w:val="3"/>
        </w:rPr>
        <w:t>非流动资产或处置组因不再满足持有待售类别的划分条件而不再继续划分为持有待售类别或非流动</w:t>
      </w:r>
    </w:p>
    <w:p>
      <w:pPr>
        <w:pStyle w:val="BodyText"/>
        <w:spacing w:line="236" w:lineRule="exact" w:before="0"/>
        <w:ind w:right="0"/>
        <w:jc w:val="both"/>
      </w:pPr>
      <w:r>
        <w:rPr/>
        <w:t>资产从持有待售的处置组中移除时，按照以下两者孰低计量：</w:t>
      </w:r>
    </w:p>
    <w:p>
      <w:pPr>
        <w:spacing w:line="240" w:lineRule="auto" w:before="5"/>
        <w:rPr>
          <w:rFonts w:ascii="宋体" w:hAnsi="宋体" w:cs="宋体" w:eastAsia="宋体" w:hint="default"/>
          <w:sz w:val="19"/>
          <w:szCs w:val="19"/>
        </w:rPr>
      </w:pPr>
    </w:p>
    <w:p>
      <w:pPr>
        <w:pStyle w:val="BodyText"/>
        <w:spacing w:line="273" w:lineRule="auto" w:before="0"/>
        <w:ind w:right="1141" w:firstLine="420"/>
        <w:jc w:val="both"/>
      </w:pPr>
      <w:r>
        <w:rPr/>
        <w:t>（</w:t>
      </w:r>
      <w:r>
        <w:rPr>
          <w:rFonts w:ascii="宋体" w:hAnsi="宋体" w:cs="宋体" w:eastAsia="宋体" w:hint="default"/>
        </w:rPr>
        <w:t>1</w:t>
      </w:r>
      <w:r>
        <w:rPr/>
        <w:t>）划分为持有待售类别前的账面价值，按照假定不划分为持有待售类别情况下本应确认的折旧、 摊销或减值等进行调整后的金额；</w:t>
      </w:r>
    </w:p>
    <w:p>
      <w:pPr>
        <w:spacing w:line="240" w:lineRule="auto" w:before="1"/>
        <w:rPr>
          <w:rFonts w:ascii="宋体" w:hAnsi="宋体" w:cs="宋体" w:eastAsia="宋体" w:hint="default"/>
          <w:sz w:val="17"/>
          <w:szCs w:val="17"/>
        </w:rPr>
      </w:pPr>
    </w:p>
    <w:p>
      <w:pPr>
        <w:pStyle w:val="BodyText"/>
        <w:spacing w:line="240" w:lineRule="auto" w:before="0"/>
        <w:ind w:left="574" w:right="1117"/>
        <w:jc w:val="left"/>
      </w:pPr>
      <w:r>
        <w:rPr/>
        <w:t>（</w:t>
      </w:r>
      <w:r>
        <w:rPr>
          <w:rFonts w:ascii="宋体" w:hAnsi="宋体" w:cs="宋体" w:eastAsia="宋体" w:hint="default"/>
        </w:rPr>
        <w:t>2</w:t>
      </w:r>
      <w:r>
        <w:rPr/>
        <w:t>）可收回金额。</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bookmarkStart w:name="14、长期股权投资" w:id="193"/>
      <w:bookmarkEnd w:id="19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117"/>
        <w:jc w:val="left"/>
      </w:pPr>
      <w:r>
        <w:rPr>
          <w:rFonts w:ascii="宋体" w:hAnsi="宋体" w:cs="宋体" w:eastAsia="宋体" w:hint="default"/>
        </w:rPr>
        <w:t>1.</w:t>
      </w:r>
      <w:r>
        <w:rPr/>
        <w:t>确定对被投资单位具有共同控制、重大影响的依据 </w:t>
      </w:r>
      <w:r>
        <w:rPr>
          <w:spacing w:val="-1"/>
        </w:rPr>
        <w:t>共同控制是指按照相关约定对某项安排所共有的控制，并且该安排的相关活动必须经过分享控制权的</w:t>
      </w:r>
    </w:p>
    <w:p>
      <w:pPr>
        <w:pStyle w:val="BodyText"/>
        <w:spacing w:line="273" w:lineRule="auto"/>
        <w:ind w:right="1131"/>
        <w:jc w:val="both"/>
      </w:pPr>
      <w:r>
        <w:rPr>
          <w:spacing w:val="-1"/>
        </w:rPr>
        <w:t>参与方一致同意后才能决策。在判断是否存在共同控制时，首先判断所有参与方或参与方组合是否集体控</w:t>
      </w:r>
      <w:r>
        <w:rPr>
          <w:spacing w:val="-81"/>
        </w:rPr>
        <w:t> </w:t>
      </w:r>
      <w:r>
        <w:rPr>
          <w:spacing w:val="-81"/>
        </w:rPr>
      </w:r>
      <w:r>
        <w:rPr>
          <w:spacing w:val="-1"/>
        </w:rPr>
        <w:t>制该安排，如果所有参与方或一组参与方必须一致行动才能决定某项安排的相关活动，则认为所有参与方</w:t>
      </w:r>
      <w:r>
        <w:rPr>
          <w:spacing w:val="-81"/>
        </w:rPr>
        <w:t> </w:t>
      </w:r>
      <w:r>
        <w:rPr>
          <w:spacing w:val="-81"/>
        </w:rPr>
      </w:r>
      <w:r>
        <w:rPr>
          <w:spacing w:val="-1"/>
        </w:rPr>
        <w:t>或一组参与方集体控制该安排。其次再判断该安排相关活动的决策是否必须经过这些集体控制该安排的参</w:t>
      </w:r>
      <w:r>
        <w:rPr>
          <w:spacing w:val="-81"/>
        </w:rPr>
        <w:t> </w:t>
      </w:r>
      <w:r>
        <w:rPr>
          <w:spacing w:val="-81"/>
        </w:rPr>
      </w:r>
      <w:r>
        <w:rPr>
          <w:spacing w:val="-1"/>
        </w:rPr>
        <w:t>与方一致同意，当且仅当相关活动的决策要求集体控制该安排的参与方一致同意时，才形成共同控制。如</w:t>
      </w:r>
      <w:r>
        <w:rPr>
          <w:spacing w:val="-83"/>
        </w:rPr>
        <w:t> </w:t>
      </w:r>
      <w:r>
        <w:rPr>
          <w:spacing w:val="-83"/>
        </w:rPr>
      </w:r>
      <w:r>
        <w:rPr>
          <w:spacing w:val="-1"/>
        </w:rPr>
        <w:t>果存在两个或两个以上的参与方组合能够集体控制某项安排的，不构成共同控制。判断是否存在共同控制</w:t>
      </w:r>
      <w:r>
        <w:rPr>
          <w:spacing w:val="-81"/>
        </w:rPr>
        <w:t> </w:t>
      </w:r>
      <w:r>
        <w:rPr>
          <w:spacing w:val="-81"/>
        </w:rPr>
      </w:r>
      <w:r>
        <w:rPr/>
        <w:t>时，不考虑享有的保护性权利。</w:t>
      </w:r>
    </w:p>
    <w:p>
      <w:pPr>
        <w:pStyle w:val="BodyText"/>
        <w:spacing w:line="273" w:lineRule="auto"/>
        <w:ind w:right="1027" w:firstLine="420"/>
        <w:jc w:val="both"/>
      </w:pPr>
      <w:r>
        <w:rPr/>
        <w:t>重大影响是指投资方对被投资单位的财务和经营政策有参与决策的权力，但并不能够控制或者与其他 方一起共同控制这些政策的制定。在确定能否对被投资单位施加重大影响时，考虑投资方直接或间接持有 </w:t>
      </w:r>
      <w:r>
        <w:rPr>
          <w:spacing w:val="3"/>
        </w:rPr>
        <w:t>被投资单位的表决权股份以及投资方及其他方持有的当期可执行潜在表决权在假定转换为对被投资方单</w:t>
      </w:r>
      <w:r>
        <w:rPr>
          <w:spacing w:val="-82"/>
        </w:rPr>
        <w:t> </w:t>
      </w:r>
      <w:r>
        <w:rPr>
          <w:spacing w:val="-82"/>
        </w:rPr>
      </w:r>
      <w:r>
        <w:rPr/>
        <w:t>位的股权后产生的影响，包括被投资单位发行的当期可转换的认股权证、股份期权及可转换公司债券等的</w:t>
      </w:r>
      <w:r>
        <w:rPr/>
        <w:t> 影响。对外投资符合下列情况时，一般确定为对投资单位具有重大影响：①在被投资单位的董事会或类似 </w:t>
      </w:r>
      <w:r>
        <w:rPr>
          <w:spacing w:val="-3"/>
        </w:rPr>
        <w:t>权力机构中派有代表；②参与被投资单位财务和经营政策的制定过程；③与被投资单位之间发生重要交易；</w:t>
      </w:r>
    </w:p>
    <w:p>
      <w:pPr>
        <w:pStyle w:val="BodyText"/>
        <w:spacing w:line="273" w:lineRule="auto"/>
        <w:ind w:right="1131"/>
        <w:jc w:val="both"/>
      </w:pPr>
      <w:r>
        <w:rPr>
          <w:spacing w:val="-1"/>
        </w:rPr>
        <w:t>④向被投资单位派出管理人员；⑤向被投资单位提供关键技术资料。直接或通过子公司间接拥有被投资企</w:t>
      </w:r>
      <w:r>
        <w:rPr>
          <w:spacing w:val="-81"/>
        </w:rPr>
        <w:t> </w:t>
      </w:r>
      <w:r>
        <w:rPr>
          <w:spacing w:val="-81"/>
        </w:rPr>
      </w:r>
      <w:r>
        <w:rPr/>
        <w:t>业</w:t>
      </w:r>
      <w:r>
        <w:rPr>
          <w:rFonts w:ascii="宋体" w:hAnsi="宋体" w:cs="宋体" w:eastAsia="宋体" w:hint="default"/>
        </w:rPr>
        <w:t>20%</w:t>
      </w:r>
      <w:r>
        <w:rPr/>
        <w:t>以上但低于</w:t>
      </w:r>
      <w:r>
        <w:rPr>
          <w:rFonts w:ascii="宋体" w:hAnsi="宋体" w:cs="宋体" w:eastAsia="宋体" w:hint="default"/>
        </w:rPr>
        <w:t>50%</w:t>
      </w:r>
      <w:r>
        <w:rPr/>
        <w:t>的表决权股份时，一般认为对被投资单位具有重大影响。</w:t>
      </w:r>
    </w:p>
    <w:p>
      <w:pPr>
        <w:pStyle w:val="BodyText"/>
        <w:spacing w:line="240" w:lineRule="auto"/>
        <w:ind w:left="574" w:right="1117"/>
        <w:jc w:val="left"/>
      </w:pPr>
      <w:r>
        <w:rPr>
          <w:rFonts w:ascii="宋体" w:hAnsi="宋体" w:cs="宋体" w:eastAsia="宋体" w:hint="default"/>
        </w:rPr>
        <w:t>2.</w:t>
      </w:r>
      <w:r>
        <w:rPr/>
        <w:t>初始投资成本确定</w:t>
      </w:r>
    </w:p>
    <w:p>
      <w:pPr>
        <w:pStyle w:val="BodyText"/>
        <w:spacing w:line="273" w:lineRule="auto" w:before="37"/>
        <w:ind w:left="574" w:right="1117"/>
        <w:jc w:val="left"/>
      </w:pPr>
      <w:r>
        <w:rPr/>
        <w:t>（</w:t>
      </w:r>
      <w:r>
        <w:rPr>
          <w:rFonts w:ascii="宋体" w:hAnsi="宋体" w:cs="宋体" w:eastAsia="宋体" w:hint="default"/>
        </w:rPr>
        <w:t>1</w:t>
      </w:r>
      <w:r>
        <w:rPr/>
        <w:t>）企业合并形成的长期股权投资 </w:t>
      </w:r>
      <w:r>
        <w:rPr>
          <w:rFonts w:ascii="宋体" w:hAnsi="宋体" w:cs="宋体" w:eastAsia="宋体" w:hint="default"/>
        </w:rPr>
        <w:t>A.</w:t>
      </w:r>
      <w:r>
        <w:rPr/>
        <w:t>同一控制下的企业合并</w:t>
      </w:r>
      <w:r>
        <w:rPr>
          <w:rFonts w:ascii="宋体" w:hAnsi="宋体" w:cs="宋体" w:eastAsia="宋体" w:hint="default"/>
        </w:rPr>
        <w:t>,</w:t>
      </w:r>
      <w:r>
        <w:rPr/>
        <w:t>以支付现金、转让非现金资产或承担债务方式以及以发行权益性证券作为</w:t>
      </w:r>
    </w:p>
    <w:p>
      <w:pPr>
        <w:pStyle w:val="BodyText"/>
        <w:spacing w:line="240" w:lineRule="auto"/>
        <w:ind w:right="0"/>
        <w:jc w:val="both"/>
      </w:pPr>
      <w:r>
        <w:rPr/>
        <w:t>合并对价的，在合并日按照取得被合并方所有者权益在最终控制方合并财务报表中的账面价值的份额作为</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6"/>
        <w:jc w:val="both"/>
      </w:pPr>
      <w:r>
        <w:rPr/>
        <w:t>长期股权投资的初始投资成本。因追加投资等原因能够对同一控制下的被投资单位实施控制的，在合并日 根据合并后应享有被合并方净资产在最终控制方合并财务报表中的账面价值的份额，确定长期股权投资的 初始投资成本。合并日长期股权投资的初始投资成本，与达到合并前的长期股权投资账面价值加上合并日 </w:t>
      </w:r>
      <w:r>
        <w:rPr>
          <w:spacing w:val="-3"/>
        </w:rPr>
        <w:t>进一步取得股份新支付对价的账面价值之和的差额，调整股本溢价，股本溢价不足冲减的，冲减留存收益。</w:t>
      </w:r>
    </w:p>
    <w:p>
      <w:pPr>
        <w:pStyle w:val="BodyText"/>
        <w:spacing w:line="273" w:lineRule="auto" w:before="8"/>
        <w:ind w:right="1132" w:firstLine="420"/>
        <w:jc w:val="both"/>
      </w:pPr>
      <w:r>
        <w:rPr>
          <w:rFonts w:ascii="宋体" w:hAnsi="宋体" w:cs="宋体" w:eastAsia="宋体" w:hint="default"/>
        </w:rPr>
        <w:t>B.</w:t>
      </w:r>
      <w:r>
        <w:rPr/>
        <w:t>非同一控制下的企业合并</w:t>
      </w:r>
      <w:r>
        <w:rPr>
          <w:rFonts w:ascii="宋体" w:hAnsi="宋体" w:cs="宋体" w:eastAsia="宋体" w:hint="default"/>
        </w:rPr>
        <w:t>,</w:t>
      </w:r>
      <w:r>
        <w:rPr/>
        <w:t>在购买日按照《企业会计准则第</w:t>
      </w:r>
      <w:r>
        <w:rPr>
          <w:rFonts w:ascii="宋体" w:hAnsi="宋体" w:cs="宋体" w:eastAsia="宋体" w:hint="default"/>
        </w:rPr>
        <w:t>20</w:t>
      </w:r>
      <w:r>
        <w:rPr/>
        <w:t>号——企业合并》的相关规定确定的 </w:t>
      </w:r>
      <w:r>
        <w:rPr>
          <w:spacing w:val="-1"/>
        </w:rPr>
        <w:t>合并成本作为长期股权投资的初始投资成本。因追加投资等原因能够对非同一控制下的被投资单位实施控</w:t>
      </w:r>
      <w:r>
        <w:rPr>
          <w:spacing w:val="-81"/>
        </w:rPr>
        <w:t> </w:t>
      </w:r>
      <w:r>
        <w:rPr>
          <w:spacing w:val="-81"/>
        </w:rPr>
      </w:r>
      <w:r>
        <w:rPr/>
        <w:t>制的，按照原持有的股权投资账面价值加上新增投资成本之和，作为改按成本法核算的初始投资成本。</w:t>
      </w:r>
    </w:p>
    <w:p>
      <w:pPr>
        <w:pStyle w:val="BodyText"/>
        <w:spacing w:line="273" w:lineRule="auto"/>
        <w:ind w:right="1141" w:firstLine="420"/>
        <w:jc w:val="both"/>
      </w:pPr>
      <w:r>
        <w:rPr/>
        <w:t>（</w:t>
      </w:r>
      <w:r>
        <w:rPr>
          <w:rFonts w:ascii="宋体" w:hAnsi="宋体" w:cs="宋体" w:eastAsia="宋体" w:hint="default"/>
        </w:rPr>
        <w:t>2</w:t>
      </w:r>
      <w:r>
        <w:rPr/>
        <w:t>）除企业合并形成的长期股权投资以外，其他方式取得的长期股权投资，按照下列规定确定其初 始投资成本：</w:t>
      </w:r>
    </w:p>
    <w:p>
      <w:pPr>
        <w:pStyle w:val="BodyText"/>
        <w:spacing w:line="273" w:lineRule="auto"/>
        <w:ind w:right="1131" w:firstLine="420"/>
        <w:jc w:val="both"/>
      </w:pPr>
      <w:r>
        <w:rPr>
          <w:rFonts w:ascii="宋体" w:hAnsi="宋体" w:cs="宋体" w:eastAsia="宋体" w:hint="default"/>
          <w:spacing w:val="-1"/>
        </w:rPr>
        <w:t>A.</w:t>
      </w:r>
      <w:r>
        <w:rPr>
          <w:spacing w:val="-1"/>
        </w:rPr>
        <w:t>以支付现金取得的长期股权投资，应当按照实际支付的购买价款作为初始投资成本。初始投资成本</w:t>
      </w:r>
      <w:r>
        <w:rPr/>
        <w:t> 包括与取得长期股权投资直接相关的费用、税金及其他必要支出。</w:t>
      </w:r>
    </w:p>
    <w:p>
      <w:pPr>
        <w:pStyle w:val="BodyText"/>
        <w:spacing w:line="273" w:lineRule="auto"/>
        <w:ind w:left="574" w:right="1117"/>
        <w:jc w:val="left"/>
      </w:pPr>
      <w:r>
        <w:rPr>
          <w:rFonts w:ascii="宋体" w:hAnsi="宋体" w:cs="宋体" w:eastAsia="宋体" w:hint="default"/>
        </w:rPr>
        <w:t>B.</w:t>
      </w:r>
      <w:r>
        <w:rPr/>
        <w:t>以发行权益性证券取得的长期股权投资，按照发行权益性证券的公允价值作为初始投资成本。 </w:t>
      </w:r>
      <w:r>
        <w:rPr>
          <w:rFonts w:ascii="宋体" w:hAnsi="宋体" w:cs="宋体" w:eastAsia="宋体" w:hint="default"/>
        </w:rPr>
        <w:t>C.</w:t>
      </w:r>
      <w:r>
        <w:rPr/>
        <w:t>通过非货币性资产交换取得的长期股权投资，其初始投资成本按照《企业会计准则第</w:t>
      </w:r>
      <w:r>
        <w:rPr>
          <w:rFonts w:ascii="宋体" w:hAnsi="宋体" w:cs="宋体" w:eastAsia="宋体" w:hint="default"/>
        </w:rPr>
        <w:t>7</w:t>
      </w:r>
      <w:r>
        <w:rPr/>
        <w:t>号——非货</w:t>
      </w:r>
    </w:p>
    <w:p>
      <w:pPr>
        <w:pStyle w:val="BodyText"/>
        <w:spacing w:line="273" w:lineRule="auto"/>
        <w:ind w:left="574" w:right="1117" w:hanging="420"/>
        <w:jc w:val="left"/>
      </w:pPr>
      <w:r>
        <w:rPr/>
        <w:t>币性资产交换》确定。 </w:t>
      </w:r>
      <w:r>
        <w:rPr>
          <w:rFonts w:ascii="宋体" w:hAnsi="宋体" w:cs="宋体" w:eastAsia="宋体" w:hint="default"/>
          <w:spacing w:val="-1"/>
        </w:rPr>
        <w:t>D.</w:t>
      </w:r>
      <w:r>
        <w:rPr>
          <w:spacing w:val="-1"/>
        </w:rPr>
        <w:t>通过债务重组取得的长期股权投资，其初始投资成本按照《企业会计准则第</w:t>
      </w:r>
      <w:r>
        <w:rPr>
          <w:rFonts w:ascii="宋体" w:hAnsi="宋体" w:cs="宋体" w:eastAsia="宋体" w:hint="default"/>
          <w:spacing w:val="-1"/>
        </w:rPr>
        <w:t>12</w:t>
      </w:r>
      <w:r>
        <w:rPr>
          <w:spacing w:val="-1"/>
        </w:rPr>
        <w:t>号——债务重组》确</w:t>
      </w:r>
    </w:p>
    <w:p>
      <w:pPr>
        <w:pStyle w:val="BodyText"/>
        <w:spacing w:line="240" w:lineRule="auto"/>
        <w:ind w:right="0"/>
        <w:jc w:val="both"/>
      </w:pPr>
      <w:r>
        <w:rPr/>
        <w:t>定。</w:t>
      </w:r>
    </w:p>
    <w:p>
      <w:pPr>
        <w:pStyle w:val="BodyText"/>
        <w:spacing w:line="240" w:lineRule="auto" w:before="37"/>
        <w:ind w:left="574" w:right="1117"/>
        <w:jc w:val="left"/>
      </w:pPr>
      <w:r>
        <w:rPr>
          <w:rFonts w:ascii="宋体" w:hAnsi="宋体" w:cs="宋体" w:eastAsia="宋体" w:hint="default"/>
        </w:rPr>
        <w:t>3.</w:t>
      </w:r>
      <w:r>
        <w:rPr/>
        <w:t>后续计量和损益确认方法</w:t>
      </w:r>
    </w:p>
    <w:p>
      <w:pPr>
        <w:pStyle w:val="BodyText"/>
        <w:spacing w:line="273" w:lineRule="auto" w:before="37"/>
        <w:ind w:right="1131" w:firstLine="420"/>
        <w:jc w:val="both"/>
      </w:pPr>
      <w:r>
        <w:rPr/>
        <w:t>（</w:t>
      </w:r>
      <w:r>
        <w:rPr>
          <w:rFonts w:ascii="宋体" w:hAnsi="宋体" w:cs="宋体" w:eastAsia="宋体" w:hint="default"/>
        </w:rPr>
        <w:t>1</w:t>
      </w:r>
      <w:r>
        <w:rPr/>
        <w:t>）成本法核算：能够对被投资单位实施控制的长期股权投资，采用成本法核算。采用成本法核算 </w:t>
      </w:r>
      <w:r>
        <w:rPr>
          <w:spacing w:val="-1"/>
        </w:rPr>
        <w:t>时，追加或收回投资调整长期股权投资的成本。采用成本法核算的长期股权投资，除取得投资时实际支付</w:t>
      </w:r>
      <w:r>
        <w:rPr>
          <w:spacing w:val="-83"/>
        </w:rPr>
        <w:t> </w:t>
      </w:r>
      <w:r>
        <w:rPr>
          <w:spacing w:val="-83"/>
        </w:rPr>
      </w:r>
      <w:r>
        <w:rPr>
          <w:spacing w:val="-1"/>
        </w:rPr>
        <w:t>的价款或对价中包含的已宣告但尚未发放的现金股利或利润外，公司应当按照享有被投资单位宣告发放的</w:t>
      </w:r>
      <w:r>
        <w:rPr>
          <w:spacing w:val="-81"/>
        </w:rPr>
        <w:t> </w:t>
      </w:r>
      <w:r>
        <w:rPr>
          <w:spacing w:val="-81"/>
        </w:rPr>
      </w:r>
      <w:r>
        <w:rPr/>
        <w:t>现金股利或利润确认投资收益，不再划分是否属于投资前和投资后被投资单位实现的净利润。</w:t>
      </w:r>
    </w:p>
    <w:p>
      <w:pPr>
        <w:pStyle w:val="BodyText"/>
        <w:spacing w:line="273" w:lineRule="auto"/>
        <w:ind w:right="1023" w:firstLine="420"/>
        <w:jc w:val="left"/>
      </w:pPr>
      <w:r>
        <w:rPr>
          <w:spacing w:val="-1"/>
        </w:rPr>
        <w:t>（</w:t>
      </w:r>
      <w:r>
        <w:rPr>
          <w:rFonts w:ascii="宋体" w:hAnsi="宋体" w:cs="宋体" w:eastAsia="宋体" w:hint="default"/>
          <w:spacing w:val="-1"/>
        </w:rPr>
        <w:t>2</w:t>
      </w:r>
      <w:r>
        <w:rPr>
          <w:spacing w:val="-1"/>
        </w:rPr>
        <w:t>）权益法核算：对被投资单位共同控制或重大影响的长期股权投资，除对联营企业的权益性投资，</w:t>
      </w:r>
      <w:r>
        <w:rPr/>
        <w:t> 其中一部分通过风险投资机构、共同基金、信托公司或包括投连险基金在内的类似主体间接持有的，无论 以上主体是否对这部分投资具有重大影响，公司按照《企业会计准则第</w:t>
      </w:r>
      <w:r>
        <w:rPr>
          <w:rFonts w:ascii="宋体" w:hAnsi="宋体" w:cs="宋体" w:eastAsia="宋体" w:hint="default"/>
        </w:rPr>
        <w:t>22</w:t>
      </w:r>
      <w:r>
        <w:rPr/>
        <w:t>号——金融工具确认和计量》的 有关规定，对间接持有的该部分投资选择以公允价值计量且其变动计入损益外，采用权益法核算。采用权 益法核算时，公司取得长期股权投资后，按照应享有或应分担的被投资单位实现的净损益和其他综合收益 的份额，分别确认投资收益和其他综合收益，同时调整长期股权投资的账面价值；公司按照被投资单位宣 告分派的利润或现金股利计算应享有的部分，相应减少长期股权投资的账面价值；公司对于被投资单位除 净损益、其他综合收益和利润分配以外所有者权益的其他变动，应当调整长期股权投资的账面价值并计入 所有者权益。公司确认被投资单位发生的净亏损，以长期股权投资的账面价值以及其他实质上构成对被投 资单位净投资的长期权益减记至零为限，公司负有承担额外损失义务的除外。被投资单位以后实现净利润 的，公司在收益分享额弥补未确认的亏损分担额后，恢复确认收益分享额。公司在确认应享有被投资单位 净损益的份额时，以取得投资时被投资单位各项可辨认资产的公允价值为基础，对被投资单位的净利润进 </w:t>
      </w:r>
      <w:r>
        <w:rPr>
          <w:spacing w:val="-3"/>
        </w:rPr>
        <w:t>行调整，并且将公司与联营企业及合营企业之间发生的内部交易损益予以抵销，在此基础上确认投资损益。</w:t>
      </w:r>
      <w:r>
        <w:rPr>
          <w:spacing w:val="-92"/>
        </w:rPr>
        <w:t> </w:t>
      </w:r>
      <w:r>
        <w:rPr>
          <w:spacing w:val="-92"/>
        </w:rPr>
      </w:r>
      <w:r>
        <w:rPr/>
        <w:t>公司与被投资单位发生的内部交易损失，按照《企业会计准则第</w:t>
      </w:r>
      <w:r>
        <w:rPr>
          <w:rFonts w:ascii="宋体" w:hAnsi="宋体" w:cs="宋体" w:eastAsia="宋体" w:hint="default"/>
        </w:rPr>
        <w:t>8</w:t>
      </w:r>
      <w:r>
        <w:rPr/>
        <w:t>号——资产减值》等规定属于资产减值</w:t>
      </w:r>
      <w:r>
        <w:rPr>
          <w:spacing w:val="-30"/>
        </w:rPr>
        <w:t> </w:t>
      </w:r>
      <w:r>
        <w:rPr>
          <w:spacing w:val="-30"/>
        </w:rPr>
      </w:r>
      <w:r>
        <w:rPr/>
        <w:t>损失的则全额确认。如果被投资单位采用的会计政策及会计期间与公司不一致的，按照公司的会计政策及</w:t>
      </w:r>
      <w:r>
        <w:rPr/>
        <w:t> 会计期间对被投资单位的财务报表进行调整，并据以确认投资损益。</w:t>
      </w:r>
    </w:p>
    <w:p>
      <w:pPr>
        <w:pStyle w:val="BodyText"/>
        <w:spacing w:line="273" w:lineRule="auto"/>
        <w:ind w:right="1132" w:firstLine="420"/>
        <w:jc w:val="both"/>
      </w:pPr>
      <w:r>
        <w:rPr>
          <w:spacing w:val="-1"/>
        </w:rPr>
        <w:t>对于首次执行日之前已经持有的对联营企业和合营企业的长期股权投资，如存在与该投资相关的股权</w:t>
      </w:r>
      <w:r>
        <w:rPr/>
        <w:t> 投资借方差额，按原剩余期限直线法摊销，摊销金额计入当期损益。</w:t>
      </w:r>
    </w:p>
    <w:p>
      <w:pPr>
        <w:pStyle w:val="BodyText"/>
        <w:spacing w:line="273" w:lineRule="auto"/>
        <w:ind w:right="1131" w:firstLine="420"/>
        <w:jc w:val="both"/>
      </w:pPr>
      <w:r>
        <w:rPr/>
        <w:t>（</w:t>
      </w:r>
      <w:r>
        <w:rPr>
          <w:rFonts w:ascii="宋体" w:hAnsi="宋体" w:cs="宋体" w:eastAsia="宋体" w:hint="default"/>
        </w:rPr>
        <w:t>3</w:t>
      </w:r>
      <w:r>
        <w:rPr/>
        <w:t>）处置长期股权投资，其账面价值与实际取得价款差额，计入当期损益。采用权益法核算的长期 </w:t>
      </w:r>
      <w:r>
        <w:rPr>
          <w:spacing w:val="-1"/>
        </w:rPr>
        <w:t>股权投资，因被投资单位除净损益以外所有者权益的其他变动而计入所有者权益的，处置该项投资时将原</w:t>
      </w:r>
      <w:r>
        <w:rPr>
          <w:spacing w:val="-81"/>
        </w:rPr>
        <w:t> </w:t>
      </w:r>
      <w:r>
        <w:rPr>
          <w:spacing w:val="-81"/>
        </w:rPr>
      </w:r>
      <w:r>
        <w:rPr>
          <w:spacing w:val="-1"/>
        </w:rPr>
        <w:t>计入所有者权益的部分按相应比例转入当期损益，由于被投资方重新计量设定受益计划净负债或净资产变</w:t>
      </w:r>
      <w:r>
        <w:rPr>
          <w:spacing w:val="-81"/>
        </w:rPr>
        <w:t> </w:t>
      </w:r>
      <w:r>
        <w:rPr>
          <w:spacing w:val="-81"/>
        </w:rPr>
      </w:r>
      <w:r>
        <w:rPr/>
        <w:t>动而产生的其他综合收益除外。</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17"/>
        <w:jc w:val="left"/>
        <w:rPr>
          <w:b w:val="0"/>
          <w:bCs w:val="0"/>
        </w:rPr>
      </w:pPr>
      <w:bookmarkStart w:name="15、投资性房地产" w:id="194"/>
      <w:bookmarkEnd w:id="19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right="1117"/>
        <w:jc w:val="left"/>
        <w:rPr>
          <w:b w:val="0"/>
          <w:bCs w:val="0"/>
        </w:rPr>
      </w:pPr>
      <w:bookmarkStart w:name="16、固定资产" w:id="195"/>
      <w:bookmarkEnd w:id="19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固定资产系使用寿命超过一个会计年度，为生产商品、提供劳务、出租或经营管理所持有的有形资产。</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6.33%-9.50%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before="10"/>
        <w:ind w:left="154" w:right="0" w:firstLine="0"/>
        <w:jc w:val="both"/>
        <w:rPr>
          <w:rFonts w:ascii="宋体" w:hAnsi="宋体" w:cs="宋体" w:eastAsia="宋体" w:hint="default"/>
          <w:sz w:val="18"/>
          <w:szCs w:val="18"/>
        </w:rPr>
      </w:pPr>
      <w:r>
        <w:rPr>
          <w:rFonts w:ascii="宋体" w:hAnsi="宋体" w:cs="宋体" w:eastAsia="宋体" w:hint="default"/>
          <w:sz w:val="18"/>
          <w:szCs w:val="18"/>
        </w:rPr>
        <w:t>公司于每年年度终了，对固定资产的使用寿命、预计净残值和折旧方法进行复核。</w:t>
      </w:r>
    </w:p>
    <w:p>
      <w:pPr>
        <w:spacing w:line="590" w:lineRule="atLeast" w:before="53"/>
        <w:ind w:left="574" w:right="1122" w:hanging="420"/>
        <w:jc w:val="left"/>
        <w:rPr>
          <w:rFonts w:ascii="宋体" w:hAnsi="宋体" w:cs="宋体" w:eastAsia="宋体" w:hint="default"/>
          <w:sz w:val="21"/>
          <w:szCs w:val="21"/>
        </w:rPr>
      </w:pPr>
      <w:bookmarkStart w:name="（3）融资租入固定资产的认定依据、计价和折旧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公司租赁资产符合下列一项或数项标准的，认定为融资租赁固定资产：（</w:t>
      </w:r>
      <w:r>
        <w:rPr>
          <w:rFonts w:ascii="宋体" w:hAnsi="宋体" w:cs="宋体" w:eastAsia="宋体" w:hint="default"/>
          <w:spacing w:val="-3"/>
          <w:sz w:val="21"/>
          <w:szCs w:val="21"/>
        </w:rPr>
        <w:t>1</w:t>
      </w:r>
      <w:r>
        <w:rPr>
          <w:rFonts w:ascii="宋体" w:hAnsi="宋体" w:cs="宋体" w:eastAsia="宋体" w:hint="default"/>
          <w:spacing w:val="-3"/>
          <w:sz w:val="21"/>
          <w:szCs w:val="21"/>
        </w:rPr>
        <w:t>）在租赁期届满时，租赁资</w:t>
      </w:r>
    </w:p>
    <w:p>
      <w:pPr>
        <w:pStyle w:val="BodyText"/>
        <w:spacing w:line="273" w:lineRule="auto" w:before="37"/>
        <w:ind w:right="1111"/>
        <w:jc w:val="both"/>
      </w:pPr>
      <w:r>
        <w:rPr>
          <w:spacing w:val="-3"/>
        </w:rPr>
        <w:t>产的所有权转移给承租人；（</w:t>
      </w:r>
      <w:r>
        <w:rPr>
          <w:rFonts w:ascii="宋体" w:hAnsi="宋体" w:cs="宋体" w:eastAsia="宋体" w:hint="default"/>
          <w:spacing w:val="-3"/>
        </w:rPr>
        <w:t>2</w:t>
      </w:r>
      <w:r>
        <w:rPr>
          <w:spacing w:val="-3"/>
        </w:rPr>
        <w:t>）承租人有购买租赁资产的选择权，所订立的购买价款预计将远低于行使选</w:t>
      </w:r>
      <w:r>
        <w:rPr>
          <w:spacing w:val="-94"/>
        </w:rPr>
        <w:t> </w:t>
      </w:r>
      <w:r>
        <w:rPr>
          <w:spacing w:val="-94"/>
        </w:rPr>
      </w:r>
      <w:r>
        <w:rPr>
          <w:spacing w:val="-3"/>
        </w:rPr>
        <w:t>择权时租赁资产的公允价值，因而在租赁开始日就可以合理确定承租人将会行使这种选择权；（</w:t>
      </w:r>
      <w:r>
        <w:rPr>
          <w:rFonts w:ascii="宋体" w:hAnsi="宋体" w:cs="宋体" w:eastAsia="宋体" w:hint="default"/>
          <w:spacing w:val="-3"/>
        </w:rPr>
        <w:t>3</w:t>
      </w:r>
      <w:r>
        <w:rPr>
          <w:spacing w:val="-3"/>
        </w:rPr>
        <w:t>）即使资</w:t>
      </w:r>
      <w:r>
        <w:rPr>
          <w:spacing w:val="-92"/>
        </w:rPr>
        <w:t> </w:t>
      </w:r>
      <w:r>
        <w:rPr>
          <w:spacing w:val="-92"/>
        </w:rPr>
      </w:r>
      <w:r>
        <w:rPr/>
        <w:t>产的所有权不转移，但租赁期占租赁资产使用寿命的</w:t>
      </w:r>
      <w:r>
        <w:rPr>
          <w:spacing w:val="-45"/>
        </w:rPr>
        <w:t> </w:t>
      </w:r>
      <w:r>
        <w:rPr>
          <w:rFonts w:ascii="宋体" w:hAnsi="宋体" w:cs="宋体" w:eastAsia="宋体" w:hint="default"/>
          <w:spacing w:val="-5"/>
        </w:rPr>
        <w:t>75%</w:t>
      </w:r>
      <w:r>
        <w:rPr>
          <w:spacing w:val="-5"/>
        </w:rPr>
        <w:t>以上；（</w:t>
      </w:r>
      <w:r>
        <w:rPr>
          <w:rFonts w:ascii="宋体" w:hAnsi="宋体" w:cs="宋体" w:eastAsia="宋体" w:hint="default"/>
          <w:spacing w:val="-5"/>
        </w:rPr>
        <w:t>4</w:t>
      </w:r>
      <w:r>
        <w:rPr>
          <w:spacing w:val="-5"/>
        </w:rPr>
        <w:t>）承租人在租赁开始日的最低租赁付款</w:t>
      </w:r>
      <w:r>
        <w:rPr>
          <w:spacing w:val="-97"/>
        </w:rPr>
        <w:t> </w:t>
      </w:r>
      <w:r>
        <w:rPr>
          <w:spacing w:val="-97"/>
        </w:rPr>
      </w:r>
      <w:r>
        <w:rPr>
          <w:spacing w:val="-1"/>
        </w:rPr>
        <w:t>额现值，几乎相当于租赁开始日租赁资产公允价值；出租人在租赁开始日的最低租赁收款额现值，几乎相</w:t>
      </w:r>
      <w:r>
        <w:rPr>
          <w:spacing w:val="-83"/>
        </w:rPr>
        <w:t> </w:t>
      </w:r>
      <w:r>
        <w:rPr>
          <w:spacing w:val="-83"/>
        </w:rPr>
      </w:r>
      <w:r>
        <w:rPr>
          <w:spacing w:val="-3"/>
        </w:rPr>
        <w:t>当于租赁开始日租赁资产公允价值；（</w:t>
      </w:r>
      <w:r>
        <w:rPr>
          <w:rFonts w:ascii="宋体" w:hAnsi="宋体" w:cs="宋体" w:eastAsia="宋体" w:hint="default"/>
          <w:spacing w:val="-3"/>
        </w:rPr>
        <w:t>5</w:t>
      </w:r>
      <w:r>
        <w:rPr>
          <w:spacing w:val="-3"/>
        </w:rPr>
        <w:t>）租赁资产性质特殊，如果不作较大改造，只有承租人才能使用。</w:t>
      </w:r>
      <w:r>
        <w:rPr>
          <w:spacing w:val="-72"/>
        </w:rPr>
        <w:t> </w:t>
      </w:r>
      <w:r>
        <w:rPr>
          <w:spacing w:val="-72"/>
        </w:rPr>
      </w:r>
      <w:r>
        <w:rPr>
          <w:spacing w:val="-1"/>
        </w:rPr>
        <w:t>在租赁开始日，公司将租赁开始日租赁资产公允价值与最低租赁付款额现值两者中较低者作为租入资产的</w:t>
      </w:r>
      <w:r>
        <w:rPr>
          <w:spacing w:val="-81"/>
        </w:rPr>
        <w:t> </w:t>
      </w:r>
      <w:r>
        <w:rPr>
          <w:spacing w:val="-81"/>
        </w:rPr>
      </w:r>
      <w:r>
        <w:rPr>
          <w:spacing w:val="-1"/>
        </w:rPr>
        <w:t>入账价值，将最低租赁付款额作为长期应付款的入账价值，其差额作为未确认融资费用，融资租入固定资</w:t>
      </w:r>
      <w:r>
        <w:rPr>
          <w:spacing w:val="-83"/>
        </w:rPr>
        <w:t> </w:t>
      </w:r>
      <w:r>
        <w:rPr>
          <w:spacing w:val="-83"/>
        </w:rPr>
      </w:r>
      <w:r>
        <w:rPr/>
        <w:t>产的折旧政策与自有固定资产一致。</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bookmarkStart w:name="17、在建工程" w:id="199"/>
      <w:bookmarkEnd w:id="19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2"/>
        <w:ind w:right="1131" w:firstLine="420"/>
        <w:jc w:val="both"/>
      </w:pPr>
      <w:r>
        <w:rPr>
          <w:spacing w:val="-1"/>
        </w:rPr>
        <w:t>在建工程以实际成本计价。其中为工程建设项目而发生的借款利息支出和外币折算差额按照《企业会</w:t>
      </w:r>
      <w:r>
        <w:rPr/>
        <w:t> </w:t>
      </w:r>
      <w:r>
        <w:rPr>
          <w:spacing w:val="-1"/>
        </w:rPr>
        <w:t>计准则第</w:t>
      </w:r>
      <w:r>
        <w:rPr>
          <w:rFonts w:ascii="宋体" w:hAnsi="宋体" w:cs="宋体" w:eastAsia="宋体" w:hint="default"/>
          <w:spacing w:val="-1"/>
        </w:rPr>
        <w:t>17</w:t>
      </w:r>
      <w:r>
        <w:rPr>
          <w:spacing w:val="-1"/>
        </w:rPr>
        <w:t>号——借款费用》的有关规定资本化或计入当期损益。在建工程在达到预计使用状态之日起不</w:t>
      </w:r>
      <w:r>
        <w:rPr>
          <w:spacing w:val="-81"/>
        </w:rPr>
        <w:t> </w:t>
      </w:r>
      <w:r>
        <w:rPr>
          <w:spacing w:val="-81"/>
        </w:rPr>
      </w:r>
      <w:r>
        <w:rPr/>
        <w:t>论工程是否办理竣工决算均转入固定资产，对于未办理竣工决算手续的待办理完毕后再作调整。</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18、借款费用" w:id="200"/>
      <w:bookmarkEnd w:id="20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117"/>
        <w:jc w:val="left"/>
      </w:pPr>
      <w:r>
        <w:rPr>
          <w:rFonts w:ascii="宋体" w:hAnsi="宋体" w:cs="宋体" w:eastAsia="宋体" w:hint="default"/>
        </w:rPr>
        <w:t>1.</w:t>
      </w:r>
      <w:r>
        <w:rPr/>
        <w:t>借款费用资本化的确认原则</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17" w:firstLine="420"/>
        <w:jc w:val="left"/>
      </w:pPr>
      <w:r>
        <w:rPr>
          <w:spacing w:val="-3"/>
        </w:rPr>
        <w:t>借款费用包括因借款发生的利息、折价或溢价的摊销和辅助费用，以及因外币借款而发生的汇兑差额。</w:t>
      </w:r>
      <w:r>
        <w:rPr/>
        <w:t> 公司发生的借款费用，可直接归属于符合资本化条件的资产的购建或者生产的，应予以资本化，计入相关 资产成本；其他借款费用，在发生时根据其发生额确认为费用，计入当期损益。</w:t>
      </w:r>
    </w:p>
    <w:p>
      <w:pPr>
        <w:pStyle w:val="BodyText"/>
        <w:spacing w:line="273" w:lineRule="auto"/>
        <w:ind w:right="1132" w:firstLine="420"/>
        <w:jc w:val="both"/>
      </w:pPr>
      <w:r>
        <w:rPr>
          <w:spacing w:val="-1"/>
        </w:rPr>
        <w:t>符合资本化条件的资产，包括需要经过相当长时间的购建或者生产活动才能达到预定可使用或者可销</w:t>
      </w:r>
      <w:r>
        <w:rPr/>
        <w:t> 售状态的固定资产、投资性房地产和存货等资产。</w:t>
      </w:r>
    </w:p>
    <w:p>
      <w:pPr>
        <w:pStyle w:val="BodyText"/>
        <w:spacing w:line="240" w:lineRule="auto"/>
        <w:ind w:left="574" w:right="1117"/>
        <w:jc w:val="left"/>
      </w:pPr>
      <w:r>
        <w:rPr/>
        <w:t>借款费用同时满足下列条件，开始资本化：</w:t>
      </w:r>
    </w:p>
    <w:p>
      <w:pPr>
        <w:pStyle w:val="BodyText"/>
        <w:spacing w:line="273" w:lineRule="auto" w:before="37"/>
        <w:ind w:right="1141" w:firstLine="420"/>
        <w:jc w:val="both"/>
      </w:pPr>
      <w:r>
        <w:rPr/>
        <w:t>（</w:t>
      </w:r>
      <w:r>
        <w:rPr>
          <w:rFonts w:ascii="宋体" w:hAnsi="宋体" w:cs="宋体" w:eastAsia="宋体"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ind w:left="574" w:right="1117"/>
        <w:jc w:val="left"/>
      </w:pPr>
      <w:r>
        <w:rPr/>
        <w:t>（</w:t>
      </w:r>
      <w:r>
        <w:rPr>
          <w:rFonts w:ascii="宋体" w:hAnsi="宋体" w:cs="宋体" w:eastAsia="宋体" w:hint="default"/>
        </w:rPr>
        <w:t>2</w:t>
      </w:r>
      <w:r>
        <w:rPr/>
        <w:t>）借款费用已发生；</w:t>
      </w:r>
    </w:p>
    <w:p>
      <w:pPr>
        <w:pStyle w:val="BodyText"/>
        <w:tabs>
          <w:tab w:pos="994" w:val="left" w:leader="none"/>
        </w:tabs>
        <w:spacing w:line="273" w:lineRule="auto" w:before="37"/>
        <w:ind w:left="574" w:right="2475"/>
        <w:jc w:val="left"/>
      </w:pPr>
      <w:r>
        <w:rPr/>
        <w:t>（</w:t>
      </w:r>
      <w:r>
        <w:rPr>
          <w:rFonts w:ascii="宋体" w:hAnsi="宋体" w:cs="宋体" w:eastAsia="宋体" w:hint="default"/>
        </w:rPr>
        <w:t>3</w:t>
      </w:r>
      <w:r>
        <w:rPr/>
        <w:t>）为使资产达到预计可使用或者可销售状态所必要的购建或者生产活动已经开始。 </w:t>
      </w:r>
      <w:r>
        <w:rPr>
          <w:rFonts w:ascii="宋体" w:hAnsi="宋体" w:cs="宋体" w:eastAsia="宋体" w:hint="default"/>
        </w:rPr>
        <w:t>2.</w:t>
        <w:tab/>
      </w:r>
      <w:r>
        <w:rPr/>
        <w:t>借款费用资本化的期间</w:t>
      </w:r>
    </w:p>
    <w:p>
      <w:pPr>
        <w:pStyle w:val="BodyText"/>
        <w:spacing w:line="273" w:lineRule="auto"/>
        <w:ind w:right="1130" w:firstLine="420"/>
        <w:jc w:val="both"/>
      </w:pPr>
      <w:r>
        <w:rPr>
          <w:spacing w:val="-1"/>
        </w:rPr>
        <w:t>为购建或者生产符合资本化条件的资产发生的借款费用，满足上述资本化条件的，在该资产达到预定</w:t>
      </w:r>
      <w:r>
        <w:rPr/>
        <w:t> </w:t>
      </w:r>
      <w:r>
        <w:rPr>
          <w:spacing w:val="-1"/>
        </w:rPr>
        <w:t>可使用或者可销售状态前所发生的，计入该资产的成本，若资产的购建或者生产活动发生非正常中断，并</w:t>
      </w:r>
      <w:r>
        <w:rPr>
          <w:spacing w:val="-83"/>
        </w:rPr>
        <w:t> </w:t>
      </w:r>
      <w:r>
        <w:rPr>
          <w:spacing w:val="-83"/>
        </w:rPr>
      </w:r>
      <w:r>
        <w:rPr/>
        <w:t>且中断时间连续超过</w:t>
      </w:r>
      <w:r>
        <w:rPr>
          <w:rFonts w:ascii="宋体" w:hAnsi="宋体" w:cs="宋体" w:eastAsia="宋体" w:hint="default"/>
        </w:rPr>
        <w:t>3</w:t>
      </w:r>
      <w:r>
        <w:rPr/>
        <w:t>个月，暂停借款费用的资本化，将其确认为当期费用，直至资产的购建或者生产活</w:t>
      </w:r>
      <w:r>
        <w:rPr>
          <w:spacing w:val="-32"/>
        </w:rPr>
        <w:t> </w:t>
      </w:r>
      <w:r>
        <w:rPr>
          <w:spacing w:val="-32"/>
        </w:rPr>
      </w:r>
      <w:r>
        <w:rPr>
          <w:spacing w:val="-1"/>
        </w:rPr>
        <w:t>动重新开始；当所购建或生产的资产达到预定可使用或者销售状态时，停止其借款费用的资本化。在达到</w:t>
      </w:r>
      <w:r>
        <w:rPr>
          <w:spacing w:val="-82"/>
        </w:rPr>
        <w:t> </w:t>
      </w:r>
      <w:r>
        <w:rPr>
          <w:spacing w:val="-82"/>
        </w:rPr>
      </w:r>
      <w:r>
        <w:rPr/>
        <w:t>预定可使用或者可销售状态后所发生的借款费用，于发生当期直接计入财务费用。</w:t>
      </w:r>
    </w:p>
    <w:p>
      <w:pPr>
        <w:pStyle w:val="BodyText"/>
        <w:tabs>
          <w:tab w:pos="994" w:val="left" w:leader="none"/>
        </w:tabs>
        <w:spacing w:line="273" w:lineRule="auto"/>
        <w:ind w:left="574" w:right="1110"/>
        <w:jc w:val="left"/>
      </w:pPr>
      <w:r>
        <w:rPr>
          <w:rFonts w:ascii="宋体" w:hAnsi="宋体" w:cs="宋体" w:eastAsia="宋体" w:hint="default"/>
        </w:rPr>
        <w:t>3.</w:t>
        <w:tab/>
      </w:r>
      <w:r>
        <w:rPr/>
        <w:t>借款费用资本化金额的计算方法 在资本化期间内，每一会计期间的利息（包括折价或溢价的摊销）资本化金额，按照下列规定确定：</w:t>
      </w:r>
    </w:p>
    <w:p>
      <w:pPr>
        <w:pStyle w:val="BodyText"/>
        <w:spacing w:line="273" w:lineRule="auto"/>
        <w:ind w:right="1138" w:firstLine="420"/>
        <w:jc w:val="both"/>
      </w:pPr>
      <w:r>
        <w:rPr/>
        <w:t>（</w:t>
      </w:r>
      <w:r>
        <w:rPr>
          <w:rFonts w:ascii="宋体" w:hAnsi="宋体" w:cs="宋体" w:eastAsia="宋体" w:hint="default"/>
        </w:rPr>
        <w:t>1</w:t>
      </w:r>
      <w:r>
        <w:rPr/>
        <w:t>）为购建或者生产符合资本化条件的资产而借入专门借款的，以专门借款当期实际发生的利息费 </w:t>
      </w:r>
      <w:r>
        <w:rPr>
          <w:spacing w:val="3"/>
        </w:rPr>
        <w:t>用，减去将尚未动用的借款资金存入银行取得的利息收入或进行暂时性投资取得的投资收益后的金额确</w:t>
      </w:r>
      <w:r>
        <w:rPr>
          <w:spacing w:val="-82"/>
        </w:rPr>
        <w:t> </w:t>
      </w:r>
      <w:r>
        <w:rPr>
          <w:spacing w:val="-82"/>
        </w:rPr>
      </w:r>
      <w:r>
        <w:rPr/>
        <w:t>定。</w:t>
      </w:r>
    </w:p>
    <w:p>
      <w:pPr>
        <w:pStyle w:val="BodyText"/>
        <w:spacing w:line="273" w:lineRule="auto"/>
        <w:ind w:right="1111" w:firstLine="420"/>
        <w:jc w:val="both"/>
      </w:pPr>
      <w:r>
        <w:rPr/>
        <w:t>（</w:t>
      </w:r>
      <w:r>
        <w:rPr>
          <w:rFonts w:ascii="宋体" w:hAnsi="宋体" w:cs="宋体" w:eastAsia="宋体" w:hint="default"/>
        </w:rPr>
        <w:t>2</w:t>
      </w:r>
      <w:r>
        <w:rPr/>
        <w:t>）为购建或者生产符合资本化条件的资产而占用了一般借款的，根据累计资产支出超过专门借款 部分的资产支出加权平均数乘以所占用一般借款的资本化率，计算确定一般借款应予资本化的利息金额。</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19、生物资产" w:id="201"/>
      <w:bookmarkEnd w:id="20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line="520" w:lineRule="auto" w:before="0"/>
        <w:ind w:left="154" w:right="9488" w:firstLine="0"/>
        <w:jc w:val="left"/>
        <w:rPr>
          <w:rFonts w:ascii="宋体" w:hAnsi="宋体" w:cs="宋体" w:eastAsia="宋体" w:hint="default"/>
          <w:sz w:val="21"/>
          <w:szCs w:val="21"/>
        </w:rPr>
      </w:pPr>
      <w:bookmarkStart w:name="20、油气资产" w:id="202"/>
      <w:bookmarkEnd w:id="20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t>不适用 </w:t>
      </w:r>
      <w:bookmarkStart w:name="21、无形资产" w:id="203"/>
      <w:bookmarkEnd w:id="203"/>
      <w:r>
        <w:rPr>
          <w:rFonts w:ascii="宋体" w:hAnsi="宋体" w:cs="宋体" w:eastAsia="宋体" w:hint="default"/>
          <w:sz w:val="21"/>
          <w:szCs w:val="21"/>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50"/>
        <w:ind w:right="1117"/>
        <w:jc w:val="left"/>
        <w:rPr>
          <w:b w:val="0"/>
          <w:bCs w:val="0"/>
        </w:rPr>
      </w:pPr>
      <w:bookmarkStart w:name="（1）计价方法、使用寿命、减值测试" w:id="204"/>
      <w:bookmarkEnd w:id="20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29" w:firstLine="420"/>
        <w:jc w:val="both"/>
      </w:pPr>
      <w:r>
        <w:rPr>
          <w:spacing w:val="-1"/>
        </w:rPr>
        <w:t>无形资产按实际成本计量。外购的无形资产，其成本包括购买价款、相关税费以及直接归属于使该项</w:t>
      </w:r>
      <w:r>
        <w:rPr/>
        <w:t> </w:t>
      </w:r>
      <w:r>
        <w:rPr>
          <w:spacing w:val="-1"/>
        </w:rPr>
        <w:t>资产达到预定用途所发生的其他支出。采用分期付款方式购买无形资产，购买无形资产的价款超过正常信</w:t>
      </w:r>
      <w:r>
        <w:rPr>
          <w:spacing w:val="-81"/>
        </w:rPr>
        <w:t> </w:t>
      </w:r>
      <w:r>
        <w:rPr>
          <w:spacing w:val="-81"/>
        </w:rPr>
      </w:r>
      <w:r>
        <w:rPr>
          <w:spacing w:val="-1"/>
        </w:rPr>
        <w:t>用条件延期支付，实际上具有融资性质的，无形资产的成本为购买价款的现值。投资者投入的无形资产的</w:t>
      </w:r>
      <w:r>
        <w:rPr>
          <w:spacing w:val="-83"/>
        </w:rPr>
        <w:t> </w:t>
      </w:r>
      <w:r>
        <w:rPr>
          <w:spacing w:val="-83"/>
        </w:rPr>
      </w:r>
      <w:r>
        <w:rPr>
          <w:spacing w:val="-1"/>
        </w:rPr>
        <w:t>成本，应当按照投资合同或协议约定的价值确定，在投资合同或协议约定价值不公允的情况下，应按无形</w:t>
      </w:r>
      <w:r>
        <w:rPr>
          <w:spacing w:val="-82"/>
        </w:rPr>
        <w:t> </w:t>
      </w:r>
      <w:r>
        <w:rPr>
          <w:spacing w:val="-82"/>
        </w:rPr>
      </w:r>
      <w:r>
        <w:rPr/>
        <w:t>资产的公允价值入账。通过非货币性资产交换取得的无形资产，其初始投资成本按照《企业会计准则第</w:t>
      </w:r>
      <w:r>
        <w:rPr>
          <w:rFonts w:ascii="宋体" w:hAnsi="宋体" w:cs="宋体" w:eastAsia="宋体" w:hint="default"/>
        </w:rPr>
        <w:t>7</w:t>
      </w:r>
      <w:r>
        <w:rPr>
          <w:rFonts w:ascii="宋体" w:hAnsi="宋体" w:cs="宋体" w:eastAsia="宋体" w:hint="default"/>
          <w:spacing w:val="-24"/>
        </w:rPr>
        <w:t> </w:t>
      </w:r>
      <w:r>
        <w:rPr>
          <w:spacing w:val="-1"/>
        </w:rPr>
        <w:t>号——非货币性资产交换》确定。通过债务重组取得的无形资产，其初始投资成本按照《企业会计准则第</w:t>
      </w:r>
      <w:r>
        <w:rPr>
          <w:spacing w:val="-85"/>
        </w:rPr>
        <w:t> </w:t>
      </w:r>
      <w:r>
        <w:rPr>
          <w:spacing w:val="-85"/>
        </w:rPr>
      </w:r>
      <w:r>
        <w:rPr>
          <w:rFonts w:ascii="宋体" w:hAnsi="宋体" w:cs="宋体" w:eastAsia="宋体" w:hint="default"/>
          <w:spacing w:val="-1"/>
        </w:rPr>
        <w:t>12</w:t>
      </w:r>
      <w:r>
        <w:rPr>
          <w:spacing w:val="-1"/>
        </w:rPr>
        <w:t>号——债务重组》确定。以同一控制下的企业吸收合并方式取得的无形资产按被合并方的账面价值确定</w:t>
      </w:r>
      <w:r>
        <w:rPr>
          <w:spacing w:val="-82"/>
        </w:rPr>
        <w:t> </w:t>
      </w:r>
      <w:r>
        <w:rPr>
          <w:spacing w:val="-82"/>
        </w:rPr>
      </w:r>
      <w:r>
        <w:rPr/>
        <w:t>其入账价值；以非同一控制下的企业吸收合并方式取得的无形资产按公允价值确定其入账价值。</w:t>
      </w:r>
    </w:p>
    <w:p>
      <w:pPr>
        <w:pStyle w:val="BodyText"/>
        <w:spacing w:line="240" w:lineRule="auto"/>
        <w:ind w:left="574" w:right="0"/>
        <w:jc w:val="left"/>
      </w:pPr>
      <w:r>
        <w:rPr/>
        <w:t>公司于取得无形资产时分析判断其使用寿命。使用寿命有限的无形资产自无形资产可供使用时起，至</w:t>
      </w:r>
    </w:p>
    <w:p>
      <w:pPr>
        <w:spacing w:after="0" w:line="240" w:lineRule="auto"/>
        <w:jc w:val="left"/>
        <w:sectPr>
          <w:footerReference w:type="default" r:id="rId14"/>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7"/>
        <w:jc w:val="left"/>
      </w:pPr>
      <w:r>
        <w:rPr>
          <w:spacing w:val="-1"/>
        </w:rPr>
        <w:t>不再作为无形资产确认时止，采用直线法分期平均摊销，计入损益。对于使用寿命不确定的无形资产不进</w:t>
      </w:r>
      <w:r>
        <w:rPr>
          <w:spacing w:val="-83"/>
        </w:rPr>
        <w:t> </w:t>
      </w:r>
      <w:r>
        <w:rPr>
          <w:spacing w:val="-83"/>
        </w:rPr>
      </w:r>
      <w:r>
        <w:rPr/>
        <w:t>行摊销。</w:t>
      </w:r>
    </w:p>
    <w:p>
      <w:pPr>
        <w:pStyle w:val="BodyText"/>
        <w:spacing w:line="240" w:lineRule="auto"/>
        <w:ind w:left="574" w:right="1117"/>
        <w:jc w:val="left"/>
      </w:pPr>
      <w:r>
        <w:rPr/>
        <w:t>使用寿命有限的无形资产摊销方法如下：</w:t>
      </w:r>
    </w:p>
    <w:p>
      <w:pPr>
        <w:spacing w:line="240" w:lineRule="auto" w:before="6"/>
        <w:rPr>
          <w:rFonts w:ascii="宋体" w:hAnsi="宋体" w:cs="宋体" w:eastAsia="宋体" w:hint="default"/>
          <w:sz w:val="20"/>
          <w:szCs w:val="20"/>
        </w:rPr>
      </w:pPr>
    </w:p>
    <w:tbl>
      <w:tblPr>
        <w:tblW w:w="0" w:type="auto"/>
        <w:jc w:val="left"/>
        <w:tblInd w:w="137" w:type="dxa"/>
        <w:tblLayout w:type="fixed"/>
        <w:tblCellMar>
          <w:top w:w="0" w:type="dxa"/>
          <w:left w:w="0" w:type="dxa"/>
          <w:bottom w:w="0" w:type="dxa"/>
          <w:right w:w="0" w:type="dxa"/>
        </w:tblCellMar>
        <w:tblLook w:val="01E0"/>
      </w:tblPr>
      <w:tblGrid>
        <w:gridCol w:w="3732"/>
        <w:gridCol w:w="2816"/>
        <w:gridCol w:w="3111"/>
      </w:tblGrid>
      <w:tr>
        <w:trPr>
          <w:trHeight w:val="34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2"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7"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r>
      <w:tr>
        <w:trPr>
          <w:trHeight w:val="348" w:hRule="exact"/>
        </w:trPr>
        <w:tc>
          <w:tcPr>
            <w:tcW w:w="37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非专利技术、计算机软件</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r>
    </w:tbl>
    <w:p>
      <w:pPr>
        <w:pStyle w:val="BodyText"/>
        <w:spacing w:line="260" w:lineRule="exact" w:before="0"/>
        <w:ind w:right="0" w:firstLine="420"/>
        <w:jc w:val="left"/>
      </w:pPr>
      <w:r>
        <w:rPr/>
        <w:t>公司于每年年度终了，对使用寿命有限的无形资产的使用寿命及摊销方法进行复核。如果无形资产的</w:t>
      </w:r>
    </w:p>
    <w:p>
      <w:pPr>
        <w:pStyle w:val="BodyText"/>
        <w:spacing w:line="273" w:lineRule="auto" w:before="37"/>
        <w:ind w:right="1131"/>
        <w:jc w:val="both"/>
      </w:pPr>
      <w:r>
        <w:rPr>
          <w:spacing w:val="-1"/>
        </w:rPr>
        <w:t>使用寿命及摊销方法与以前估计不同的，改变摊销期限和摊销方法。公司在每个会计期间对使用寿命不确</w:t>
      </w:r>
      <w:r>
        <w:rPr>
          <w:spacing w:val="-81"/>
        </w:rPr>
        <w:t> </w:t>
      </w:r>
      <w:r>
        <w:rPr>
          <w:spacing w:val="-81"/>
        </w:rPr>
      </w:r>
      <w:r>
        <w:rPr>
          <w:spacing w:val="-1"/>
        </w:rPr>
        <w:t>定的无形资产的使用寿命进行复核。如果有证据表明无形资产的使用寿命是有限的，估计其使用寿命，并</w:t>
      </w:r>
      <w:r>
        <w:rPr>
          <w:spacing w:val="-83"/>
        </w:rPr>
        <w:t> </w:t>
      </w:r>
      <w:r>
        <w:rPr>
          <w:spacing w:val="-83"/>
        </w:rPr>
      </w:r>
      <w:r>
        <w:rPr/>
        <w:t>按上述规定处理。</w:t>
      </w:r>
    </w:p>
    <w:p>
      <w:pPr>
        <w:pStyle w:val="BodyText"/>
        <w:spacing w:line="240" w:lineRule="auto"/>
        <w:ind w:left="574" w:right="1117"/>
        <w:jc w:val="left"/>
      </w:pPr>
      <w:r>
        <w:rPr/>
        <w:t>无形资产的减值测试方法和减值准备计提方法详见二十二“长期资产减值”。</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2）内部研究开发支出会计政策" w:id="205"/>
      <w:bookmarkEnd w:id="20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117"/>
        <w:jc w:val="left"/>
      </w:pPr>
      <w:r>
        <w:rPr/>
        <w:t>本公司将内部研究开发项目的支出，区分为研究阶段支出和开发阶段支出。 研究阶段的支出，于发生时计入当期损益。 </w:t>
      </w:r>
      <w:r>
        <w:rPr>
          <w:spacing w:val="-1"/>
        </w:rPr>
        <w:t>开发阶段的支出，同时满足下列条件的，才能予以资本化，即：完成该无形资产以使其能够使用或出</w:t>
      </w:r>
    </w:p>
    <w:p>
      <w:pPr>
        <w:pStyle w:val="BodyText"/>
        <w:spacing w:line="273" w:lineRule="auto"/>
        <w:ind w:right="1131"/>
        <w:jc w:val="both"/>
      </w:pP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t>售该无形资产； 归属于该无形资产开发阶段的支出能够可靠地计量。</w:t>
      </w:r>
      <w:r>
        <w:rPr>
          <w:spacing w:val="-23"/>
        </w:rPr>
        <w:t> </w:t>
      </w:r>
      <w:r>
        <w:rPr/>
        <w:t>不满足上述条件的开发支出计入当</w:t>
      </w:r>
      <w:r>
        <w:rPr/>
        <w:t> 期损益。</w:t>
      </w:r>
    </w:p>
    <w:p>
      <w:pPr>
        <w:pStyle w:val="BodyText"/>
        <w:spacing w:line="273" w:lineRule="auto"/>
        <w:ind w:right="1131" w:firstLine="420"/>
        <w:jc w:val="both"/>
      </w:pPr>
      <w:r>
        <w:rPr>
          <w:spacing w:val="-1"/>
        </w:rPr>
        <w:t>本公司研究开发项目在满足上述条件，通过技术可行性及经济可行性研究，形成项目立项后，进入开</w:t>
      </w:r>
      <w:r>
        <w:rPr/>
        <w:t> 发阶段。</w:t>
      </w:r>
    </w:p>
    <w:p>
      <w:pPr>
        <w:pStyle w:val="BodyText"/>
        <w:spacing w:line="273" w:lineRule="auto"/>
        <w:ind w:right="1132" w:firstLine="420"/>
        <w:jc w:val="both"/>
      </w:pPr>
      <w:r>
        <w:rPr>
          <w:spacing w:val="-1"/>
        </w:rPr>
        <w:t>已资本化的开发阶段的支出在资产负债表上列示为开发支出，自该项目达到预定用途之日转为无形资</w:t>
      </w:r>
      <w:r>
        <w:rPr/>
        <w:t> 产。</w:t>
      </w:r>
    </w:p>
    <w:p>
      <w:pPr>
        <w:pStyle w:val="BodyText"/>
        <w:spacing w:line="590" w:lineRule="atLeast" w:before="9"/>
        <w:ind w:left="574" w:right="1117" w:hanging="420"/>
        <w:jc w:val="left"/>
      </w:pPr>
      <w:bookmarkStart w:name="22、长期资产减值" w:id="206"/>
      <w:bookmarkEnd w:id="206"/>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长期股权投资、固定资产、在建工程、无形资产等长期资产，于资产负债表日存在减值迹象的，进行</w:t>
      </w:r>
    </w:p>
    <w:p>
      <w:pPr>
        <w:pStyle w:val="BodyText"/>
        <w:spacing w:line="273" w:lineRule="auto" w:before="37"/>
        <w:ind w:right="1131"/>
        <w:jc w:val="both"/>
      </w:pPr>
      <w:r>
        <w:rPr>
          <w:spacing w:val="-1"/>
        </w:rPr>
        <w:t>减值测试。减值测试结果表明资产的可收回金额低于其账面价值的，按其差额计提减值准备并计入减值损</w:t>
      </w:r>
      <w:r>
        <w:rPr>
          <w:spacing w:val="-81"/>
        </w:rPr>
        <w:t> </w:t>
      </w:r>
      <w:r>
        <w:rPr>
          <w:spacing w:val="-81"/>
        </w:rPr>
      </w:r>
      <w:r>
        <w:rPr>
          <w:spacing w:val="-1"/>
        </w:rPr>
        <w:t>失。可收回金额为资产的公允价值减去处置费用后的净额与资产预计未来现金流量的现值两者之间的较高</w:t>
      </w:r>
      <w:r>
        <w:rPr>
          <w:spacing w:val="-81"/>
        </w:rPr>
        <w:t> </w:t>
      </w:r>
      <w:r>
        <w:rPr>
          <w:spacing w:val="-81"/>
        </w:rPr>
      </w:r>
      <w:r>
        <w:rPr>
          <w:spacing w:val="-1"/>
        </w:rPr>
        <w:t>者。资产减值准备按单项资产为基础计算并确认，如果难以对单项资产的可收回金额进行估计的，以该资</w:t>
      </w:r>
      <w:r>
        <w:rPr>
          <w:spacing w:val="-83"/>
        </w:rPr>
        <w:t> </w:t>
      </w:r>
      <w:r>
        <w:rPr>
          <w:spacing w:val="-83"/>
        </w:rPr>
      </w:r>
      <w:r>
        <w:rPr/>
        <w:t>产所属的资产组确定资产组的可收回金额。资产组是能够独立产生现金流入的最小资产组合。</w:t>
      </w:r>
    </w:p>
    <w:p>
      <w:pPr>
        <w:pStyle w:val="BodyText"/>
        <w:spacing w:line="273" w:lineRule="auto"/>
        <w:ind w:right="1130" w:firstLine="420"/>
        <w:jc w:val="both"/>
      </w:pPr>
      <w:r>
        <w:rPr>
          <w:spacing w:val="-1"/>
        </w:rPr>
        <w:t>商誉至少在每年年度终了进行减值测试。本公司进行商誉减值测试，对于因企业合并形成的商誉的账</w:t>
      </w:r>
      <w:r>
        <w:rPr/>
        <w:t> </w:t>
      </w:r>
      <w:r>
        <w:rPr>
          <w:spacing w:val="-1"/>
        </w:rPr>
        <w:t>面价值，自购买日起按照合理的方法分摊至相关的资产组；难以分摊至相关的资产组的，将其分摊至相关</w:t>
      </w:r>
      <w:r>
        <w:rPr>
          <w:spacing w:val="-83"/>
        </w:rPr>
        <w:t> </w:t>
      </w:r>
      <w:r>
        <w:rPr>
          <w:spacing w:val="-83"/>
        </w:rPr>
      </w:r>
      <w:r>
        <w:rPr>
          <w:spacing w:val="-1"/>
        </w:rPr>
        <w:t>的资产组组合。在将商誉的账面价值分摊至相关的资产组或者资产组组合时，按照各资产组或者资产组组</w:t>
      </w:r>
      <w:r>
        <w:rPr>
          <w:spacing w:val="-81"/>
        </w:rPr>
        <w:t> </w:t>
      </w:r>
      <w:r>
        <w:rPr>
          <w:spacing w:val="-81"/>
        </w:rPr>
      </w:r>
      <w:r>
        <w:rPr>
          <w:spacing w:val="-1"/>
        </w:rPr>
        <w:t>合的公允价值占相关资产组或者资产组组合公允价值总额的比例进行分摊。公允价值难以可靠计量的，按</w:t>
      </w:r>
      <w:r>
        <w:rPr>
          <w:spacing w:val="-81"/>
        </w:rPr>
        <w:t> </w:t>
      </w:r>
      <w:r>
        <w:rPr>
          <w:spacing w:val="-81"/>
        </w:rPr>
      </w:r>
      <w:r>
        <w:rPr>
          <w:spacing w:val="-1"/>
        </w:rPr>
        <w:t>照各资产组或者资产组组合的账面价值占相关资产组或者资产组组合账面价值总额的比例进行分摊。在对</w:t>
      </w:r>
      <w:r>
        <w:rPr>
          <w:spacing w:val="-81"/>
        </w:rPr>
        <w:t> </w:t>
      </w:r>
      <w:r>
        <w:rPr>
          <w:spacing w:val="-81"/>
        </w:rPr>
      </w:r>
      <w:r>
        <w:rPr>
          <w:spacing w:val="-1"/>
        </w:rPr>
        <w:t>包含商誉的相关资产组或者资产组组合进行减值测试时，如与商誉相关的资产组或者资产组组合存在减值</w:t>
      </w:r>
      <w:r>
        <w:rPr>
          <w:spacing w:val="-81"/>
        </w:rPr>
        <w:t> </w:t>
      </w:r>
      <w:r>
        <w:rPr>
          <w:spacing w:val="-81"/>
        </w:rPr>
      </w:r>
      <w:r>
        <w:rPr>
          <w:spacing w:val="-1"/>
        </w:rPr>
        <w:t>迹象的，先对不包含商誉的资产组或者资产组组合进行减值测试，计算可收回金额，并与相关账面价值相</w:t>
      </w:r>
      <w:r>
        <w:rPr>
          <w:spacing w:val="-83"/>
        </w:rPr>
        <w:t> </w:t>
      </w:r>
      <w:r>
        <w:rPr>
          <w:spacing w:val="-83"/>
        </w:rPr>
      </w:r>
      <w:r>
        <w:rPr>
          <w:spacing w:val="-1"/>
        </w:rPr>
        <w:t>比较，确认相应的减值损失。再对包含商誉的资产组或者资产组组合进行减值测试，比较这些相关资产组</w:t>
      </w:r>
      <w:r>
        <w:rPr>
          <w:spacing w:val="-82"/>
        </w:rPr>
        <w:t> </w:t>
      </w:r>
      <w:r>
        <w:rPr>
          <w:spacing w:val="-82"/>
        </w:rPr>
      </w:r>
      <w:r>
        <w:rPr>
          <w:spacing w:val="-1"/>
        </w:rPr>
        <w:t>或者资产组组合的账面价值（包括所分摊的商誉的账面价值部分）与其可收回金额，如相关资产组或者资</w:t>
      </w:r>
    </w:p>
    <w:p>
      <w:pPr>
        <w:spacing w:after="0" w:line="273" w:lineRule="auto"/>
        <w:jc w:val="both"/>
        <w:sectPr>
          <w:footerReference w:type="default" r:id="rId15"/>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73" w:lineRule="auto" w:before="35"/>
        <w:ind w:left="574" w:right="4662" w:hanging="420"/>
        <w:jc w:val="left"/>
      </w:pPr>
      <w:r>
        <w:rPr/>
        <w:t>产组组合的可收回金额低于其账面价值的，确认商誉的减值损失。 上述资产减值损失一经确认，在以后会计期间不予转回。</w:t>
      </w:r>
    </w:p>
    <w:p>
      <w:pPr>
        <w:pStyle w:val="BodyText"/>
        <w:spacing w:line="590" w:lineRule="atLeast" w:before="9"/>
        <w:ind w:left="574" w:right="1117" w:hanging="420"/>
        <w:jc w:val="left"/>
      </w:pPr>
      <w:bookmarkStart w:name="23、长期待摊费用" w:id="207"/>
      <w:bookmarkEnd w:id="207"/>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长期待摊费用是指公司已经发生但应由本期和以后各期负担的分摊期限在</w:t>
      </w:r>
      <w:r>
        <w:rPr>
          <w:rFonts w:ascii="宋体" w:hAnsi="宋体" w:cs="宋体" w:eastAsia="宋体" w:hint="default"/>
        </w:rPr>
        <w:t>1</w:t>
      </w:r>
      <w:r>
        <w:rPr/>
        <w:t>年以上的各项费用，包括</w:t>
      </w:r>
    </w:p>
    <w:p>
      <w:pPr>
        <w:pStyle w:val="BodyText"/>
        <w:spacing w:line="273" w:lineRule="auto" w:before="37"/>
        <w:ind w:left="574" w:right="1512" w:hanging="420"/>
        <w:jc w:val="left"/>
      </w:pPr>
      <w:r>
        <w:rPr/>
        <w:t>以经营租赁方式租入的固定资产发生的改良支出等。长期待摊费用在相关项目的受益期内平均摊销。 </w:t>
      </w:r>
      <w:r>
        <w:rPr>
          <w:rFonts w:ascii="宋体" w:hAnsi="宋体" w:cs="宋体" w:eastAsia="宋体" w:hint="default"/>
        </w:rPr>
        <w:t>2</w:t>
      </w:r>
      <w:r>
        <w:rPr/>
        <w:t>．摊销期限</w:t>
      </w:r>
    </w:p>
    <w:tbl>
      <w:tblPr>
        <w:tblW w:w="0" w:type="auto"/>
        <w:jc w:val="left"/>
        <w:tblInd w:w="146" w:type="dxa"/>
        <w:tblLayout w:type="fixed"/>
        <w:tblCellMar>
          <w:top w:w="0" w:type="dxa"/>
          <w:left w:w="0" w:type="dxa"/>
          <w:bottom w:w="0" w:type="dxa"/>
          <w:right w:w="0" w:type="dxa"/>
        </w:tblCellMar>
        <w:tblLook w:val="01E0"/>
      </w:tblPr>
      <w:tblGrid>
        <w:gridCol w:w="4681"/>
        <w:gridCol w:w="4682"/>
      </w:tblGrid>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摊销年限（年）</w:t>
            </w:r>
          </w:p>
        </w:tc>
      </w:tr>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固定资产改良费</w:t>
            </w:r>
          </w:p>
        </w:tc>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5-10</w:t>
            </w:r>
          </w:p>
        </w:tc>
      </w:tr>
      <w:tr>
        <w:trPr>
          <w:trHeight w:val="348"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4"/>
        <w:spacing w:line="240" w:lineRule="auto" w:before="35"/>
        <w:ind w:right="1117"/>
        <w:jc w:val="left"/>
        <w:rPr>
          <w:b w:val="0"/>
          <w:bCs w:val="0"/>
        </w:rPr>
      </w:pPr>
      <w:bookmarkStart w:name="24、职工薪酬" w:id="208"/>
      <w:bookmarkEnd w:id="208"/>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1117" w:hanging="420"/>
        <w:jc w:val="left"/>
        <w:rPr>
          <w:rFonts w:ascii="宋体" w:hAnsi="宋体" w:cs="宋体" w:eastAsia="宋体" w:hint="default"/>
          <w:sz w:val="21"/>
          <w:szCs w:val="21"/>
        </w:rPr>
      </w:pPr>
      <w:bookmarkStart w:name="（1）短期薪酬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职工薪酬是指公司为获得职工提供的服务或解除劳动关系而给予的各种形式的报酬或补偿。企业提供</w:t>
      </w:r>
    </w:p>
    <w:p>
      <w:pPr>
        <w:pStyle w:val="BodyText"/>
        <w:spacing w:line="273" w:lineRule="auto" w:before="37"/>
        <w:ind w:right="1117"/>
        <w:jc w:val="left"/>
      </w:pPr>
      <w:r>
        <w:rPr>
          <w:spacing w:val="-1"/>
        </w:rPr>
        <w:t>给职工配偶、子女、受赡养人、已故员工遗属及其他受益人等的福利，也属于职工薪酬。职工薪酬主要包</w:t>
      </w:r>
      <w:r>
        <w:rPr>
          <w:spacing w:val="-83"/>
        </w:rPr>
        <w:t> </w:t>
      </w:r>
      <w:r>
        <w:rPr>
          <w:spacing w:val="-83"/>
        </w:rPr>
      </w:r>
      <w:r>
        <w:rPr/>
        <w:t>括短期薪酬、离职后福利、辞退福利和其他长期职工福利。</w:t>
      </w:r>
    </w:p>
    <w:p>
      <w:pPr>
        <w:pStyle w:val="BodyText"/>
        <w:spacing w:line="273" w:lineRule="auto"/>
        <w:ind w:left="574" w:right="1117"/>
        <w:jc w:val="left"/>
      </w:pPr>
      <w:r>
        <w:rPr>
          <w:rFonts w:ascii="宋体" w:hAnsi="宋体" w:cs="宋体" w:eastAsia="宋体" w:hint="default"/>
        </w:rPr>
        <w:t>1.</w:t>
      </w:r>
      <w:r>
        <w:rPr/>
        <w:t>短期薪酬的会计处理方法 </w:t>
      </w:r>
      <w:r>
        <w:rPr>
          <w:spacing w:val="3"/>
        </w:rPr>
        <w:t>短期薪酬是指本公司在职工提供相关服务的年度报告期间结束后十二个月内需要全部予以支付的职</w:t>
      </w:r>
    </w:p>
    <w:p>
      <w:pPr>
        <w:pStyle w:val="BodyText"/>
        <w:spacing w:line="273" w:lineRule="auto" w:before="8"/>
        <w:ind w:right="1023"/>
        <w:jc w:val="left"/>
      </w:pPr>
      <w:r>
        <w:rPr>
          <w:spacing w:val="-3"/>
        </w:rPr>
        <w:t>工薪酬，离职后福利和辞退福利除外。本公司在职工提供服务的会计期间，将应付的短期薪酬确认为负债，</w:t>
      </w:r>
      <w:r>
        <w:rPr>
          <w:spacing w:val="-90"/>
        </w:rPr>
        <w:t> </w:t>
      </w:r>
      <w:r>
        <w:rPr>
          <w:spacing w:val="-90"/>
        </w:rPr>
      </w:r>
      <w:r>
        <w:rPr/>
        <w:t>并根据职工提供服务的受益对象计入相关资产成本和费用。</w:t>
      </w:r>
    </w:p>
    <w:p>
      <w:pPr>
        <w:spacing w:line="590" w:lineRule="atLeast" w:before="9"/>
        <w:ind w:left="574" w:right="1117" w:hanging="420"/>
        <w:jc w:val="left"/>
        <w:rPr>
          <w:rFonts w:ascii="宋体" w:hAnsi="宋体" w:cs="宋体" w:eastAsia="宋体" w:hint="default"/>
          <w:sz w:val="21"/>
          <w:szCs w:val="21"/>
        </w:rPr>
      </w:pPr>
      <w:bookmarkStart w:name="（2）离职后福利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离职后福利是指公司为获得职工提供的服务而在职工退休或与公司解除劳动关系后，提供的各种形式</w:t>
      </w:r>
    </w:p>
    <w:p>
      <w:pPr>
        <w:pStyle w:val="BodyText"/>
        <w:spacing w:line="273" w:lineRule="auto" w:before="37"/>
        <w:ind w:right="1131"/>
        <w:jc w:val="both"/>
      </w:pPr>
      <w:r>
        <w:rPr>
          <w:spacing w:val="-1"/>
        </w:rPr>
        <w:t>的报酬和福利，短期薪酬和辞退福利除外。离职后福利计划包括设定提存计划和设定受益计划。其中，设</w:t>
      </w:r>
      <w:r>
        <w:rPr>
          <w:spacing w:val="-85"/>
        </w:rPr>
        <w:t> </w:t>
      </w:r>
      <w:r>
        <w:rPr>
          <w:spacing w:val="-85"/>
        </w:rPr>
      </w:r>
      <w:r>
        <w:rPr>
          <w:spacing w:val="-1"/>
        </w:rPr>
        <w:t>定提存计划，是指向独立的基金缴存固定费用后，本公司不再承担进一步支付义务的离职后福利计划；设</w:t>
      </w:r>
      <w:r>
        <w:rPr>
          <w:spacing w:val="-83"/>
        </w:rPr>
        <w:t> </w:t>
      </w:r>
      <w:r>
        <w:rPr>
          <w:spacing w:val="-83"/>
        </w:rPr>
      </w:r>
      <w:r>
        <w:rPr/>
        <w:t>定受益计划，是指除设定提存计划以外的离职后福利计划。</w:t>
      </w:r>
    </w:p>
    <w:p>
      <w:pPr>
        <w:pStyle w:val="BodyText"/>
        <w:spacing w:line="273" w:lineRule="auto"/>
        <w:ind w:left="574" w:right="1117"/>
        <w:jc w:val="left"/>
      </w:pPr>
      <w:r>
        <w:rPr/>
        <w:t>（</w:t>
      </w:r>
      <w:r>
        <w:rPr>
          <w:rFonts w:ascii="宋体" w:hAnsi="宋体" w:cs="宋体" w:eastAsia="宋体" w:hint="default"/>
        </w:rPr>
        <w:t>1</w:t>
      </w:r>
      <w:r>
        <w:rPr/>
        <w:t>）设定提存计划 </w:t>
      </w:r>
      <w:r>
        <w:rPr>
          <w:spacing w:val="-1"/>
        </w:rPr>
        <w:t>设定提存计划包括基本养老保险、失业保险等。在职工为本公司提供服务的会计期间，按以当地规定</w:t>
      </w:r>
    </w:p>
    <w:p>
      <w:pPr>
        <w:pStyle w:val="BodyText"/>
        <w:spacing w:line="240" w:lineRule="auto"/>
        <w:ind w:right="1117"/>
        <w:jc w:val="left"/>
      </w:pPr>
      <w:r>
        <w:rPr/>
        <w:t>的缴纳基数和比例计算应缴纳金额，确认为负债，并计入当期损益或相关资产成本。</w:t>
      </w:r>
    </w:p>
    <w:p>
      <w:pPr>
        <w:pStyle w:val="BodyText"/>
        <w:spacing w:line="273" w:lineRule="auto" w:before="37"/>
        <w:ind w:left="574" w:right="1117"/>
        <w:jc w:val="left"/>
      </w:pPr>
      <w:r>
        <w:rPr/>
        <w:t>（</w:t>
      </w:r>
      <w:r>
        <w:rPr>
          <w:rFonts w:ascii="宋体" w:hAnsi="宋体" w:cs="宋体" w:eastAsia="宋体" w:hint="default"/>
        </w:rPr>
        <w:t>2</w:t>
      </w:r>
      <w:r>
        <w:rPr/>
        <w:t>）设定受益计划 </w:t>
      </w:r>
      <w:r>
        <w:rPr>
          <w:spacing w:val="3"/>
        </w:rPr>
        <w:t>本公司根据预期累计福利单位法确定的公式将设定受益计划产生的福利义务归属于职工提供服务的</w:t>
      </w:r>
    </w:p>
    <w:p>
      <w:pPr>
        <w:pStyle w:val="BodyText"/>
        <w:spacing w:line="273" w:lineRule="auto"/>
        <w:ind w:left="574" w:right="1117" w:hanging="420"/>
        <w:jc w:val="left"/>
      </w:pPr>
      <w:r>
        <w:rPr/>
        <w:t>期间，并计入当期损益或相关资产成本。本公司设定受益计划导致的职工薪酬成本包括下列组成部分： </w:t>
      </w:r>
      <w:r>
        <w:rPr>
          <w:rFonts w:ascii="宋体" w:hAnsi="宋体" w:cs="宋体" w:eastAsia="宋体" w:hint="default"/>
          <w:spacing w:val="-1"/>
        </w:rPr>
        <w:t>A.</w:t>
      </w:r>
      <w:r>
        <w:rPr>
          <w:spacing w:val="-1"/>
        </w:rPr>
        <w:t>服务成本，包括当期服务成本、过去服务成本和结算利得或损失。其中，当期服务成本，是指职工</w:t>
      </w:r>
    </w:p>
    <w:p>
      <w:pPr>
        <w:pStyle w:val="BodyText"/>
        <w:spacing w:line="273" w:lineRule="auto"/>
        <w:ind w:right="1117"/>
        <w:jc w:val="left"/>
      </w:pPr>
      <w:r>
        <w:rPr>
          <w:spacing w:val="-1"/>
        </w:rPr>
        <w:t>当期提供服务所导致的设定受益计划义务现值的增加额；过去服务成本，是指设定受益计划修改所导致的</w:t>
      </w:r>
      <w:r>
        <w:rPr>
          <w:spacing w:val="-81"/>
        </w:rPr>
        <w:t> </w:t>
      </w:r>
      <w:r>
        <w:rPr>
          <w:spacing w:val="-81"/>
        </w:rPr>
      </w:r>
      <w:r>
        <w:rPr/>
        <w:t>与以前期间职工服务相关的设定受益计划义务现值的增加或减少。</w:t>
      </w:r>
    </w:p>
    <w:p>
      <w:pPr>
        <w:pStyle w:val="BodyText"/>
        <w:spacing w:line="273" w:lineRule="auto" w:before="8"/>
        <w:ind w:right="1117" w:firstLine="420"/>
        <w:jc w:val="left"/>
      </w:pPr>
      <w:r>
        <w:rPr>
          <w:rFonts w:ascii="宋体" w:hAnsi="宋体" w:cs="宋体" w:eastAsia="宋体" w:hint="default"/>
          <w:spacing w:val="-1"/>
        </w:rPr>
        <w:t>B.</w:t>
      </w:r>
      <w:r>
        <w:rPr>
          <w:spacing w:val="-1"/>
        </w:rPr>
        <w:t>设定受益计划净负债或净资产的利息净额，包括计划资产的利息收益、设定受益计划义务的利息费</w:t>
      </w:r>
      <w:r>
        <w:rPr/>
        <w:t> 用以及资产上限影响的利息。</w:t>
      </w:r>
    </w:p>
    <w:p>
      <w:pPr>
        <w:pStyle w:val="BodyText"/>
        <w:spacing w:line="273" w:lineRule="auto"/>
        <w:ind w:left="574" w:right="1117"/>
        <w:jc w:val="left"/>
      </w:pPr>
      <w:r>
        <w:rPr>
          <w:rFonts w:ascii="宋体" w:hAnsi="宋体" w:cs="宋体" w:eastAsia="宋体" w:hint="default"/>
        </w:rPr>
        <w:t>C.</w:t>
      </w:r>
      <w:r>
        <w:rPr/>
        <w:t>重新计量设定受益计划净负债或净资产所产生的变动。 </w:t>
      </w:r>
      <w:r>
        <w:rPr>
          <w:spacing w:val="-1"/>
        </w:rPr>
        <w:t>除非其他会计准则要求或允许职工福利成本计入资产成本，本公司将上述第</w:t>
      </w:r>
      <w:r>
        <w:rPr>
          <w:rFonts w:ascii="宋体" w:hAnsi="宋体" w:cs="宋体" w:eastAsia="宋体" w:hint="default"/>
          <w:spacing w:val="-1"/>
        </w:rPr>
        <w:t>A</w:t>
      </w:r>
      <w:r>
        <w:rPr>
          <w:spacing w:val="-1"/>
        </w:rPr>
        <w:t>和</w:t>
      </w:r>
      <w:r>
        <w:rPr>
          <w:rFonts w:ascii="宋体" w:hAnsi="宋体" w:cs="宋体" w:eastAsia="宋体" w:hint="default"/>
          <w:spacing w:val="-1"/>
        </w:rPr>
        <w:t>B</w:t>
      </w:r>
      <w:r>
        <w:rPr>
          <w:spacing w:val="-1"/>
        </w:rPr>
        <w:t>项计入当期损益；第</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9"/>
        <w:jc w:val="both"/>
      </w:pPr>
      <w:r>
        <w:rPr>
          <w:rFonts w:ascii="宋体" w:hAnsi="宋体" w:cs="宋体" w:eastAsia="宋体" w:hint="default"/>
        </w:rPr>
        <w:t>C</w:t>
      </w:r>
      <w:r>
        <w:rPr/>
        <w:t>项计入其他综合收益且不会在后续会计期间转回至损益，但可以在权益范围内转移这些在其他综合收益</w:t>
      </w:r>
      <w:r>
        <w:rPr>
          <w:spacing w:val="-34"/>
        </w:rPr>
        <w:t> </w:t>
      </w:r>
      <w:r>
        <w:rPr>
          <w:spacing w:val="-34"/>
        </w:rPr>
      </w:r>
      <w:r>
        <w:rPr/>
        <w:t>中确认的金额。</w:t>
      </w:r>
    </w:p>
    <w:p>
      <w:pPr>
        <w:spacing w:line="590" w:lineRule="atLeast" w:before="9"/>
        <w:ind w:left="574" w:right="1117" w:hanging="420"/>
        <w:jc w:val="left"/>
        <w:rPr>
          <w:rFonts w:ascii="宋体" w:hAnsi="宋体" w:cs="宋体" w:eastAsia="宋体" w:hint="default"/>
          <w:sz w:val="21"/>
          <w:szCs w:val="21"/>
        </w:rPr>
      </w:pPr>
      <w:bookmarkStart w:name="（3）辞退福利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辞退福利是指公司在职工劳动合同到期之前解除与职工的劳动关系，或者为鼓励职工自愿接受裁减而</w:t>
      </w:r>
    </w:p>
    <w:p>
      <w:pPr>
        <w:pStyle w:val="BodyText"/>
        <w:spacing w:line="273" w:lineRule="auto" w:before="37"/>
        <w:ind w:right="1131"/>
        <w:jc w:val="both"/>
      </w:pPr>
      <w:r>
        <w:rPr>
          <w:spacing w:val="-1"/>
        </w:rPr>
        <w:t>给予职工的补偿。公司向职工提供辞退福利的，在下列两者孰早日确认辞退福利产生的职工薪酬负债，并</w:t>
      </w:r>
      <w:r>
        <w:rPr>
          <w:spacing w:val="-83"/>
        </w:rPr>
        <w:t> </w:t>
      </w:r>
      <w:r>
        <w:rPr>
          <w:spacing w:val="-83"/>
        </w:rPr>
      </w:r>
      <w:r>
        <w:rPr>
          <w:spacing w:val="-1"/>
        </w:rPr>
        <w:t>计入当期损益：公司不能单方面撤回因解除劳动关系计划或裁减建议所提供的辞退福利时；公司确认与涉</w:t>
      </w:r>
      <w:r>
        <w:rPr>
          <w:spacing w:val="-81"/>
        </w:rPr>
        <w:t> </w:t>
      </w:r>
      <w:r>
        <w:rPr>
          <w:spacing w:val="-81"/>
        </w:rPr>
      </w:r>
      <w:r>
        <w:rPr/>
        <w:t>及支付辞退福利的重组相关的成本或费用时。</w:t>
      </w:r>
    </w:p>
    <w:p>
      <w:pPr>
        <w:spacing w:line="590" w:lineRule="atLeast" w:before="9"/>
        <w:ind w:left="574" w:right="1117" w:hanging="420"/>
        <w:jc w:val="left"/>
        <w:rPr>
          <w:rFonts w:ascii="宋体" w:hAnsi="宋体" w:cs="宋体" w:eastAsia="宋体" w:hint="default"/>
          <w:sz w:val="21"/>
          <w:szCs w:val="21"/>
        </w:rPr>
      </w:pPr>
      <w:bookmarkStart w:name="（4）其他长期职工福利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其他长期职工福利，是指除短期薪酬、离职后福利、辞退福利之外所有的职工薪酬，包括长期带薪缺</w:t>
      </w:r>
    </w:p>
    <w:p>
      <w:pPr>
        <w:pStyle w:val="BodyText"/>
        <w:spacing w:line="273" w:lineRule="auto" w:before="37"/>
        <w:ind w:right="1131"/>
        <w:jc w:val="both"/>
      </w:pPr>
      <w:r>
        <w:rPr>
          <w:spacing w:val="-1"/>
        </w:rPr>
        <w:t>勤、长期残疾福利、长期利润分享计划等。本公司向职工提供的其他长期职工福利，符合设定提存计划条</w:t>
      </w:r>
      <w:r>
        <w:rPr>
          <w:spacing w:val="-86"/>
        </w:rPr>
        <w:t> </w:t>
      </w:r>
      <w:r>
        <w:rPr>
          <w:spacing w:val="-86"/>
        </w:rPr>
      </w:r>
      <w:r>
        <w:rPr>
          <w:spacing w:val="-1"/>
        </w:rPr>
        <w:t>件的，按照设定提存计划的有关规定进行处理；除上述情形外的其他长期职工福利，按照设定受益计划的</w:t>
      </w:r>
      <w:r>
        <w:rPr>
          <w:spacing w:val="-83"/>
        </w:rPr>
        <w:t> </w:t>
      </w:r>
      <w:r>
        <w:rPr>
          <w:spacing w:val="-83"/>
        </w:rPr>
      </w:r>
      <w:r>
        <w:rPr>
          <w:spacing w:val="-1"/>
        </w:rPr>
        <w:t>有关规定，确认和计量其他长期职工福利净负债或净资产。在报告期末，公司将其他长期职工福利产生的</w:t>
      </w:r>
      <w:r>
        <w:rPr>
          <w:spacing w:val="-83"/>
        </w:rPr>
        <w:t> </w:t>
      </w:r>
      <w:r>
        <w:rPr>
          <w:spacing w:val="-83"/>
        </w:rPr>
      </w:r>
      <w:r>
        <w:rPr/>
        <w:t>福利义务归属于职工提供服务期间，并计入当期损益或相关资产成本。</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5、预计负债" w:id="213"/>
      <w:bookmarkEnd w:id="21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0"/>
        <w:jc w:val="both"/>
      </w:pPr>
      <w:r>
        <w:rPr/>
        <w:t>公司如果与或有事项相关的义务同时符合以下条件，则将其确认为负债：（</w:t>
      </w:r>
      <w:r>
        <w:rPr>
          <w:rFonts w:ascii="宋体" w:hAnsi="宋体" w:cs="宋体" w:eastAsia="宋体" w:hint="default"/>
        </w:rPr>
        <w:t>1</w:t>
      </w:r>
      <w:r>
        <w:rPr/>
        <w:t>）该义务是公司承担的 现时义务；（</w:t>
      </w:r>
      <w:r>
        <w:rPr>
          <w:rFonts w:ascii="宋体" w:hAnsi="宋体" w:cs="宋体" w:eastAsia="宋体" w:hint="default"/>
        </w:rPr>
        <w:t>2</w:t>
      </w:r>
      <w:r>
        <w:rPr/>
        <w:t>）该义务的履行可能导致经济利益的流出；（</w:t>
      </w:r>
      <w:r>
        <w:rPr>
          <w:rFonts w:ascii="宋体" w:hAnsi="宋体" w:cs="宋体" w:eastAsia="宋体" w:hint="default"/>
        </w:rPr>
        <w:t>3</w:t>
      </w:r>
      <w:r>
        <w:rPr/>
        <w:t>）该义务的金额能够可靠地计量。</w:t>
      </w:r>
    </w:p>
    <w:p>
      <w:pPr>
        <w:pStyle w:val="BodyText"/>
        <w:spacing w:line="273" w:lineRule="auto" w:before="8"/>
        <w:ind w:right="1131" w:firstLine="420"/>
        <w:jc w:val="both"/>
      </w:pPr>
      <w:r>
        <w:rPr>
          <w:spacing w:val="-1"/>
        </w:rPr>
        <w:t>预计负债所需支出全部或部分预期由第三方或其他方补偿，并且补偿金额在基本确定能收到时，作为</w:t>
      </w:r>
      <w:r>
        <w:rPr/>
        <w:t> </w:t>
      </w:r>
      <w:r>
        <w:rPr>
          <w:spacing w:val="-1"/>
        </w:rPr>
        <w:t>资产单独确认，确认的补偿金额不超过所确认负债的账面价值。预计负债按照履行相关现时义务所需支出</w:t>
      </w:r>
      <w:r>
        <w:rPr>
          <w:spacing w:val="-81"/>
        </w:rPr>
        <w:t> </w:t>
      </w:r>
      <w:r>
        <w:rPr>
          <w:spacing w:val="-81"/>
        </w:rPr>
      </w:r>
      <w:r>
        <w:rPr>
          <w:spacing w:val="-1"/>
        </w:rPr>
        <w:t>的最佳估计数进行初始计量，并综合考虑与或有事项有关的风险、不确定性和货币时间价值等因素。货币</w:t>
      </w:r>
      <w:r>
        <w:rPr>
          <w:spacing w:val="-83"/>
        </w:rPr>
        <w:t> </w:t>
      </w:r>
      <w:r>
        <w:rPr>
          <w:spacing w:val="-83"/>
        </w:rPr>
      </w:r>
      <w:r>
        <w:rPr/>
        <w:t>时间价值影响重大的，通过对相关未来现金流出进行折现后确定最佳估计数。</w:t>
      </w:r>
    </w:p>
    <w:p>
      <w:pPr>
        <w:pStyle w:val="BodyText"/>
        <w:spacing w:line="273" w:lineRule="auto"/>
        <w:ind w:right="1131" w:firstLine="420"/>
        <w:jc w:val="both"/>
      </w:pPr>
      <w:r>
        <w:rPr>
          <w:spacing w:val="-1"/>
        </w:rPr>
        <w:t>在资产负债表日，公司对预计负债的账面价值进行复核，有确凿证据表明该账面价值不能真实反映当</w:t>
      </w:r>
      <w:r>
        <w:rPr/>
        <w:t> 前最佳估计数的，按照当前最佳估计数对该账面价值进行调整。</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6、股份支付" w:id="214"/>
      <w:bookmarkEnd w:id="21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3822"/>
        <w:jc w:val="left"/>
      </w:pPr>
      <w:r>
        <w:rPr>
          <w:rFonts w:ascii="宋体" w:hAnsi="宋体" w:cs="宋体" w:eastAsia="宋体" w:hint="default"/>
        </w:rPr>
        <w:t>1.</w:t>
      </w:r>
      <w:r>
        <w:rPr/>
        <w:t>股份支付的种类 公司的股份支付分为以现金结算的股份支付和以权益结算的股份支付。</w:t>
      </w:r>
    </w:p>
    <w:p>
      <w:pPr>
        <w:pStyle w:val="BodyText"/>
        <w:spacing w:line="273" w:lineRule="auto"/>
        <w:ind w:right="1131" w:firstLine="420"/>
        <w:jc w:val="both"/>
      </w:pPr>
      <w:r>
        <w:rPr>
          <w:spacing w:val="-1"/>
        </w:rPr>
        <w:t>以权益结算的股份支付，按授予职工权益工具的公允价值计量。授予后立即可行权的，在授予日按照</w:t>
      </w:r>
      <w:r>
        <w:rPr/>
        <w:t> </w:t>
      </w: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pStyle w:val="BodyText"/>
        <w:spacing w:line="273" w:lineRule="auto"/>
        <w:ind w:right="1131" w:firstLine="420"/>
        <w:jc w:val="both"/>
      </w:pPr>
      <w:r>
        <w:rPr>
          <w:spacing w:val="-1"/>
        </w:rPr>
        <w:t>以现金结算的股份支付，按照公司承担的以股份或其他权益工具为基础计算确定的负债的公允价值计</w:t>
      </w:r>
      <w:r>
        <w:rPr/>
        <w:t> </w:t>
      </w:r>
      <w:r>
        <w:rPr>
          <w:spacing w:val="-1"/>
        </w:rPr>
        <w:t>量。授予后立即可行权的，在授予日以公司承担负债的公允价值计入相关成本或费用，相应增加负债。在</w:t>
      </w:r>
      <w:r>
        <w:rPr>
          <w:spacing w:val="-85"/>
        </w:rPr>
        <w:t> </w:t>
      </w:r>
      <w:r>
        <w:rPr>
          <w:spacing w:val="-85"/>
        </w:rPr>
      </w:r>
      <w:r>
        <w:rPr>
          <w:spacing w:val="-1"/>
        </w:rPr>
        <w:t>完成等待期内的服务或达到规定业绩条件以后才可行权的以现金结算的股份支付，在等待期内的每个资产</w:t>
      </w:r>
      <w:r>
        <w:rPr>
          <w:spacing w:val="-81"/>
        </w:rPr>
        <w:t> </w:t>
      </w:r>
      <w:r>
        <w:rPr>
          <w:spacing w:val="-81"/>
        </w:rPr>
      </w:r>
      <w:r>
        <w:rPr>
          <w:spacing w:val="-1"/>
        </w:rPr>
        <w:t>负债表日，以对可行权情况的最佳估计为基础，按照公司承担负债的公允价值金额，将当期取得的服务计</w:t>
      </w:r>
      <w:r>
        <w:rPr>
          <w:spacing w:val="-83"/>
        </w:rPr>
        <w:t> </w:t>
      </w:r>
      <w:r>
        <w:rPr>
          <w:spacing w:val="-83"/>
        </w:rPr>
      </w:r>
      <w:r>
        <w:rPr>
          <w:spacing w:val="-1"/>
        </w:rPr>
        <w:t>入成本或费用和相应的负债。在相关负债结算前的每个资产负债表日以及结算日，对负债的公允价值重新</w:t>
      </w:r>
      <w:r>
        <w:rPr>
          <w:spacing w:val="-81"/>
        </w:rPr>
        <w:t> </w:t>
      </w:r>
      <w:r>
        <w:rPr>
          <w:spacing w:val="-81"/>
        </w:rPr>
      </w:r>
      <w:r>
        <w:rPr/>
        <w:t>计量，其变动计入当期损益。</w:t>
      </w:r>
    </w:p>
    <w:p>
      <w:pPr>
        <w:pStyle w:val="BodyText"/>
        <w:spacing w:line="240" w:lineRule="auto"/>
        <w:ind w:left="574" w:right="1117"/>
        <w:jc w:val="left"/>
      </w:pPr>
      <w:r>
        <w:rPr>
          <w:rFonts w:ascii="宋体" w:hAnsi="宋体" w:cs="宋体" w:eastAsia="宋体" w:hint="default"/>
        </w:rPr>
        <w:t>2.</w:t>
      </w:r>
      <w:r>
        <w:rPr/>
        <w:t>实施、修改、终止股份支付计划的相关会计处理</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无论已授予的权益工具的条款和条件如何修改，甚至取消权益工具的授予或结算该权益工具，公司都</w:t>
      </w:r>
      <w:r>
        <w:rPr/>
        <w:t> </w:t>
      </w:r>
      <w:r>
        <w:rPr>
          <w:spacing w:val="-1"/>
        </w:rPr>
        <w:t>应至少确认按照所授予的权益工具在授予日的公允价值来计量获取的相应的服务，除非因不能满足权益工</w:t>
      </w:r>
      <w:r>
        <w:rPr>
          <w:spacing w:val="-81"/>
        </w:rPr>
        <w:t> </w:t>
      </w:r>
      <w:r>
        <w:rPr>
          <w:spacing w:val="-81"/>
        </w:rPr>
      </w:r>
      <w:r>
        <w:rPr/>
        <w:t>具的可行权条件（除市场条件外）而无法可行权。</w:t>
      </w:r>
    </w:p>
    <w:p>
      <w:pPr>
        <w:pStyle w:val="BodyText"/>
        <w:spacing w:line="273" w:lineRule="auto"/>
        <w:ind w:right="1132" w:firstLine="420"/>
        <w:jc w:val="both"/>
      </w:pPr>
      <w:r>
        <w:rPr>
          <w:spacing w:val="-1"/>
        </w:rPr>
        <w:t>如果公司在等待期内取消了所授予的权益工具或结算了所授予的权益工具（因未满足可行权条件而被</w:t>
      </w:r>
      <w:r>
        <w:rPr/>
        <w:t> 取消的除外），处理如下：</w:t>
      </w:r>
    </w:p>
    <w:p>
      <w:pPr>
        <w:pStyle w:val="BodyText"/>
        <w:spacing w:line="240" w:lineRule="auto"/>
        <w:ind w:left="574" w:right="1117"/>
        <w:jc w:val="left"/>
      </w:pPr>
      <w:r>
        <w:rPr/>
        <w:t>（</w:t>
      </w:r>
      <w:r>
        <w:rPr>
          <w:rFonts w:ascii="宋体" w:hAnsi="宋体" w:cs="宋体" w:eastAsia="宋体" w:hint="default"/>
        </w:rPr>
        <w:t>1</w:t>
      </w:r>
      <w:r>
        <w:rPr/>
        <w:t>）将取消或结算作为加速可行权处理，立即确认原本应在剩余等待期内确认的金额。</w:t>
      </w:r>
    </w:p>
    <w:p>
      <w:pPr>
        <w:pStyle w:val="BodyText"/>
        <w:spacing w:line="273" w:lineRule="auto" w:before="37"/>
        <w:ind w:right="1141" w:firstLine="420"/>
        <w:jc w:val="both"/>
      </w:pPr>
      <w:r>
        <w:rPr/>
        <w:t>（</w:t>
      </w:r>
      <w:r>
        <w:rPr>
          <w:rFonts w:ascii="宋体" w:hAnsi="宋体" w:cs="宋体" w:eastAsia="宋体" w:hint="default"/>
        </w:rPr>
        <w:t>2</w:t>
      </w:r>
      <w:r>
        <w:rPr/>
        <w:t>）在取消或结算时支付给职工的所有款项均应作为权益的回购处理，回购支付的金额高于该权益 工具在回购日公允价值的部分，计入当期费用。</w:t>
      </w:r>
    </w:p>
    <w:p>
      <w:pPr>
        <w:pStyle w:val="BodyText"/>
        <w:spacing w:line="273" w:lineRule="auto"/>
        <w:ind w:right="1130" w:firstLine="420"/>
        <w:jc w:val="both"/>
      </w:pPr>
      <w:r>
        <w:rPr/>
        <w:t>（</w:t>
      </w:r>
      <w:r>
        <w:rPr>
          <w:rFonts w:ascii="宋体" w:hAnsi="宋体" w:cs="宋体" w:eastAsia="宋体" w:hint="default"/>
        </w:rPr>
        <w:t>3</w:t>
      </w:r>
      <w:r>
        <w:rPr/>
        <w:t>）如果向职工授予新的权益工具，并在新权益工具授予日认定所授予的新权益工具是用于替代被 </w:t>
      </w:r>
      <w:r>
        <w:rPr>
          <w:spacing w:val="-1"/>
        </w:rPr>
        <w:t>取消的权益工具的，公司应以处理原权益工具条款和条件修改相同的方式，对所授予的替代权益工具进行</w:t>
      </w:r>
      <w:r>
        <w:rPr>
          <w:spacing w:val="-80"/>
        </w:rPr>
        <w:t> </w:t>
      </w:r>
      <w:r>
        <w:rPr>
          <w:spacing w:val="-80"/>
        </w:rPr>
      </w:r>
      <w:r>
        <w:rPr/>
        <w:t>处理。</w:t>
      </w:r>
    </w:p>
    <w:p>
      <w:pPr>
        <w:spacing w:line="590" w:lineRule="atLeast" w:before="9"/>
        <w:ind w:left="574" w:right="1117" w:hanging="420"/>
        <w:jc w:val="left"/>
        <w:rPr>
          <w:rFonts w:ascii="宋体" w:hAnsi="宋体" w:cs="宋体" w:eastAsia="宋体" w:hint="default"/>
          <w:sz w:val="21"/>
          <w:szCs w:val="21"/>
        </w:rPr>
      </w:pPr>
      <w:bookmarkStart w:name="27、优先股、永续债等其他金融工具" w:id="215"/>
      <w:bookmarkEnd w:id="215"/>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b/>
          <w:bCs/>
          <w:w w:val="99"/>
          <w:sz w:val="21"/>
          <w:szCs w:val="21"/>
        </w:rPr>
        <w:t> </w:t>
      </w:r>
      <w:r>
        <w:rPr>
          <w:rFonts w:ascii="宋体" w:hAnsi="宋体" w:cs="宋体" w:eastAsia="宋体" w:hint="default"/>
          <w:spacing w:val="3"/>
          <w:sz w:val="21"/>
          <w:szCs w:val="21"/>
        </w:rPr>
        <w:t>公司发行的金融工具按照金融工具准则和金融负债和权益工具的区分及相关会计处理规定进行初始</w:t>
      </w:r>
    </w:p>
    <w:p>
      <w:pPr>
        <w:pStyle w:val="BodyText"/>
        <w:spacing w:line="273" w:lineRule="auto" w:before="37"/>
        <w:ind w:right="1023"/>
        <w:jc w:val="left"/>
      </w:pPr>
      <w:r>
        <w:rPr>
          <w:spacing w:val="-3"/>
        </w:rPr>
        <w:t>确认和计量。其后，公司以所发行金融工具的分类为基础，确定该工具利息支出或股利分配等的会计处理。</w:t>
      </w:r>
      <w:r>
        <w:rPr>
          <w:spacing w:val="-90"/>
        </w:rPr>
        <w:t> </w:t>
      </w:r>
      <w:r>
        <w:rPr>
          <w:spacing w:val="-90"/>
        </w:rPr>
      </w:r>
      <w:r>
        <w:rPr/>
        <w:t>对于归类为权益工具的金融工具，其利息支出或股利分配都作为发行企业的利润分配，其回购、注销等作</w:t>
      </w:r>
      <w:r>
        <w:rPr/>
        <w:t> 为权益的变动处理。对于归类为金融负债的金融工具，其利息支出或股利分配原则上按照借款费用进行处 理，其回购或赎回产生的利得或损失等计入当期损益。</w:t>
      </w:r>
    </w:p>
    <w:p>
      <w:pPr>
        <w:pStyle w:val="BodyText"/>
        <w:spacing w:line="273" w:lineRule="auto"/>
        <w:ind w:right="1109" w:firstLine="420"/>
        <w:jc w:val="both"/>
      </w:pPr>
      <w:r>
        <w:rPr/>
        <w:t>发行方发行金融工具，其发生的手续费、佣金等交易费用，如分类为债务工具且以摊余成本计量的， 计入所发行工具的初始计量金额；如分类为权益工具的，从权益中扣除。</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28、收入" w:id="216"/>
      <w:bookmarkEnd w:id="21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2"/>
        <w:ind w:left="574" w:right="1117"/>
        <w:jc w:val="left"/>
      </w:pPr>
      <w:r>
        <w:rPr>
          <w:rFonts w:ascii="宋体" w:hAnsi="宋体" w:cs="宋体" w:eastAsia="宋体" w:hint="default"/>
        </w:rPr>
        <w:t>1.</w:t>
      </w:r>
      <w:r>
        <w:rPr/>
        <w:t>销售商品 </w:t>
      </w:r>
      <w:r>
        <w:rPr>
          <w:spacing w:val="-1"/>
        </w:rPr>
        <w:t>在公司已将商品所有权上的主要风险和报酬转移给购货方；公司既没有保留通常与所有权相联系的继</w:t>
      </w:r>
    </w:p>
    <w:p>
      <w:pPr>
        <w:pStyle w:val="BodyText"/>
        <w:spacing w:line="273" w:lineRule="auto"/>
        <w:ind w:right="1117"/>
        <w:jc w:val="left"/>
      </w:pPr>
      <w:r>
        <w:rPr>
          <w:spacing w:val="-1"/>
        </w:rPr>
        <w:t>续管理权，也没有对已售出的商品实施有效控制；收入的金额能够可靠地计量；相关的经济利益很可能流</w:t>
      </w:r>
      <w:r>
        <w:rPr>
          <w:spacing w:val="-83"/>
        </w:rPr>
        <w:t> </w:t>
      </w:r>
      <w:r>
        <w:rPr>
          <w:spacing w:val="-83"/>
        </w:rPr>
      </w:r>
      <w:r>
        <w:rPr/>
        <w:t>入企业；相关的已发生或将发生的成本能够可靠地计量时，确认销售商品收入的实现。</w:t>
      </w:r>
    </w:p>
    <w:p>
      <w:pPr>
        <w:pStyle w:val="BodyText"/>
        <w:spacing w:line="273" w:lineRule="auto"/>
        <w:ind w:left="574" w:right="1117"/>
        <w:jc w:val="left"/>
      </w:pPr>
      <w:r>
        <w:rPr/>
        <w:t>集团收入确认的具体方法如下： </w:t>
      </w:r>
      <w:r>
        <w:rPr>
          <w:spacing w:val="-1"/>
        </w:rPr>
        <w:t>在同时满足上述收入确认原则的情况下，通常在公司根据合同将商品交付客户并经客户签收，且货款</w:t>
      </w:r>
    </w:p>
    <w:p>
      <w:pPr>
        <w:pStyle w:val="BodyText"/>
        <w:spacing w:line="273" w:lineRule="auto"/>
        <w:ind w:left="574" w:right="6342" w:hanging="420"/>
        <w:jc w:val="left"/>
      </w:pPr>
      <w:r>
        <w:rPr/>
        <w:t>已收或预计可以收回后确认相关商品销售收入。 </w:t>
      </w:r>
      <w:r>
        <w:rPr>
          <w:rFonts w:ascii="宋体" w:hAnsi="宋体" w:cs="宋体" w:eastAsia="宋体" w:hint="default"/>
        </w:rPr>
        <w:t>2.</w:t>
      </w:r>
      <w:r>
        <w:rPr/>
        <w:t>提供劳务</w:t>
      </w:r>
    </w:p>
    <w:p>
      <w:pPr>
        <w:pStyle w:val="BodyText"/>
        <w:spacing w:line="273" w:lineRule="auto"/>
        <w:ind w:left="574" w:right="1512"/>
        <w:jc w:val="left"/>
      </w:pPr>
      <w:r>
        <w:rPr/>
        <w:t>在资产负债表日提供劳务交易的结果能够可靠估计的，采用完工百分比法确认提供劳务的收入。 在资产负债表日提供劳务交易的结果不能够可靠估计的，分别下列情况处理：</w:t>
      </w:r>
    </w:p>
    <w:p>
      <w:pPr>
        <w:pStyle w:val="BodyText"/>
        <w:spacing w:line="273" w:lineRule="auto"/>
        <w:ind w:right="1117" w:firstLine="420"/>
        <w:jc w:val="left"/>
      </w:pPr>
      <w:r>
        <w:rPr/>
        <w:t>（</w:t>
      </w:r>
      <w:r>
        <w:rPr>
          <w:rFonts w:ascii="宋体" w:hAnsi="宋体" w:cs="宋体" w:eastAsia="宋体" w:hint="default"/>
        </w:rPr>
        <w:t>1</w:t>
      </w:r>
      <w:r>
        <w:rPr/>
        <w:t>）已经发生的劳务成本预计能够得到补偿的，按照已经发生的劳务成本金额确认提供劳务收入， 并按相同的金额结转劳务成本。</w:t>
      </w:r>
    </w:p>
    <w:p>
      <w:pPr>
        <w:pStyle w:val="BodyText"/>
        <w:spacing w:line="273" w:lineRule="auto"/>
        <w:ind w:right="1117" w:firstLine="420"/>
        <w:jc w:val="left"/>
      </w:pPr>
      <w:r>
        <w:rPr/>
        <w:t>（</w:t>
      </w:r>
      <w:r>
        <w:rPr>
          <w:rFonts w:ascii="宋体" w:hAnsi="宋体" w:cs="宋体" w:eastAsia="宋体" w:hint="default"/>
        </w:rPr>
        <w:t>2</w:t>
      </w:r>
      <w:r>
        <w:rPr/>
        <w:t>）已经发生的劳务成本预计不能够得到补偿的，应当将已经发生的劳务成本转入当期损益，不确 认提供劳务收入。</w:t>
      </w:r>
    </w:p>
    <w:p>
      <w:pPr>
        <w:pStyle w:val="BodyText"/>
        <w:spacing w:line="273" w:lineRule="auto" w:before="8"/>
        <w:ind w:left="574" w:right="1117"/>
        <w:jc w:val="left"/>
      </w:pPr>
      <w:r>
        <w:rPr>
          <w:rFonts w:ascii="宋体" w:hAnsi="宋体" w:cs="宋体" w:eastAsia="宋体" w:hint="default"/>
        </w:rPr>
        <w:t>3.</w:t>
      </w:r>
      <w:r>
        <w:rPr/>
        <w:t>让渡资产使用权 </w:t>
      </w:r>
      <w:r>
        <w:rPr>
          <w:spacing w:val="-1"/>
        </w:rPr>
        <w:t>提供资金的利息收入，按照他人使用公司货币资金的时间和实际利率计算确定；他人使用公司非现金</w:t>
      </w:r>
    </w:p>
    <w:p>
      <w:pPr>
        <w:pStyle w:val="BodyText"/>
        <w:spacing w:line="273" w:lineRule="auto"/>
        <w:ind w:right="1117"/>
        <w:jc w:val="left"/>
      </w:pPr>
      <w:r>
        <w:rPr>
          <w:spacing w:val="-1"/>
        </w:rPr>
        <w:t>资产，发生的使用费收入按照有关合同或协议约定的收费时间和方法计算确定。让渡资产使用权收入应同</w:t>
      </w:r>
      <w:r>
        <w:rPr>
          <w:spacing w:val="-81"/>
        </w:rPr>
        <w:t> </w:t>
      </w:r>
      <w:r>
        <w:rPr>
          <w:spacing w:val="-81"/>
        </w:rPr>
      </w:r>
      <w:r>
        <w:rPr/>
        <w:t>时满足下列条件的，予以确认：</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1117"/>
        <w:jc w:val="left"/>
      </w:pPr>
      <w:r>
        <w:rPr/>
        <w:t>（</w:t>
      </w:r>
      <w:r>
        <w:rPr>
          <w:rFonts w:ascii="宋体" w:hAnsi="宋体" w:cs="宋体" w:eastAsia="宋体" w:hint="default"/>
        </w:rPr>
        <w:t>1</w:t>
      </w:r>
      <w:r>
        <w:rPr/>
        <w:t>）相关的经济利益很可能流入企业；</w:t>
      </w:r>
    </w:p>
    <w:p>
      <w:pPr>
        <w:pStyle w:val="BodyText"/>
        <w:spacing w:line="240" w:lineRule="auto" w:before="37"/>
        <w:ind w:left="574" w:right="1117"/>
        <w:jc w:val="left"/>
      </w:pPr>
      <w:r>
        <w:rPr/>
        <w:t>（</w:t>
      </w:r>
      <w:r>
        <w:rPr>
          <w:rFonts w:ascii="宋体" w:hAnsi="宋体" w:cs="宋体" w:eastAsia="宋体" w:hint="default"/>
        </w:rPr>
        <w:t>2</w:t>
      </w:r>
      <w:r>
        <w:rPr/>
        <w:t>）收入的金额能够可靠地计量。</w:t>
      </w:r>
    </w:p>
    <w:p>
      <w:pPr>
        <w:spacing w:line="240" w:lineRule="auto" w:before="11"/>
        <w:rPr>
          <w:rFonts w:ascii="宋体" w:hAnsi="宋体" w:cs="宋体" w:eastAsia="宋体" w:hint="default"/>
          <w:sz w:val="25"/>
          <w:szCs w:val="25"/>
        </w:rPr>
      </w:pPr>
    </w:p>
    <w:p>
      <w:pPr>
        <w:pStyle w:val="Heading4"/>
        <w:spacing w:line="240" w:lineRule="auto"/>
        <w:ind w:right="1117"/>
        <w:jc w:val="left"/>
        <w:rPr>
          <w:b w:val="0"/>
          <w:bCs w:val="0"/>
        </w:rPr>
      </w:pPr>
      <w:bookmarkStart w:name="29、政府补助" w:id="217"/>
      <w:bookmarkEnd w:id="21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4" w:right="1117"/>
        <w:jc w:val="left"/>
      </w:pPr>
      <w:r>
        <w:rPr>
          <w:rFonts w:ascii="宋体" w:hAnsi="宋体" w:cs="宋体" w:eastAsia="宋体" w:hint="default"/>
        </w:rPr>
        <w:t>1.</w:t>
      </w:r>
      <w:r>
        <w:rPr/>
        <w:t>政府补助的类型 </w:t>
      </w:r>
      <w:r>
        <w:rPr>
          <w:spacing w:val="-1"/>
        </w:rPr>
        <w:t>政府补助，是指公司从政府无偿取得的货币性资产或非货币性资产，包括与资产相关的政府补助和与</w:t>
      </w:r>
    </w:p>
    <w:p>
      <w:pPr>
        <w:pStyle w:val="BodyText"/>
        <w:spacing w:line="273" w:lineRule="auto"/>
        <w:ind w:left="574" w:right="1722" w:hanging="420"/>
        <w:jc w:val="left"/>
      </w:pPr>
      <w:r>
        <w:rPr/>
        <w:t>收益相关的政府补助。 与资产相关的政府补助，是指公司取得的、用于购建或以其他方式形成长期资产的政府补助。 与收益相关的政府补助，是指除与资产相关的政府补助之外的政府补助。 </w:t>
      </w:r>
      <w:r>
        <w:rPr>
          <w:rFonts w:ascii="宋体" w:hAnsi="宋体" w:cs="宋体" w:eastAsia="宋体" w:hint="default"/>
        </w:rPr>
        <w:t>2.</w:t>
      </w:r>
      <w:r>
        <w:rPr/>
        <w:t>政府补助的确认原则和确认时点</w:t>
      </w:r>
    </w:p>
    <w:p>
      <w:pPr>
        <w:pStyle w:val="BodyText"/>
        <w:spacing w:line="240" w:lineRule="auto"/>
        <w:ind w:left="574" w:right="1117"/>
        <w:jc w:val="left"/>
      </w:pPr>
      <w:r>
        <w:rPr/>
        <w:t>政府补助的确认原则：</w:t>
      </w:r>
    </w:p>
    <w:p>
      <w:pPr>
        <w:pStyle w:val="BodyText"/>
        <w:spacing w:line="240" w:lineRule="auto" w:before="37"/>
        <w:ind w:left="574" w:right="1117"/>
        <w:jc w:val="left"/>
      </w:pPr>
      <w:r>
        <w:rPr/>
        <w:t>（</w:t>
      </w:r>
      <w:r>
        <w:rPr>
          <w:rFonts w:ascii="宋体" w:hAnsi="宋体" w:cs="宋体" w:eastAsia="宋体" w:hint="default"/>
        </w:rPr>
        <w:t>1</w:t>
      </w:r>
      <w:r>
        <w:rPr/>
        <w:t>）公司能够满足政府补助所附条件；</w:t>
      </w:r>
    </w:p>
    <w:p>
      <w:pPr>
        <w:pStyle w:val="BodyText"/>
        <w:spacing w:line="273" w:lineRule="auto" w:before="37"/>
        <w:ind w:left="574" w:right="6132"/>
        <w:jc w:val="left"/>
      </w:pPr>
      <w:r>
        <w:rPr/>
        <w:t>（</w:t>
      </w:r>
      <w:r>
        <w:rPr>
          <w:rFonts w:ascii="宋体" w:hAnsi="宋体" w:cs="宋体" w:eastAsia="宋体" w:hint="default"/>
        </w:rPr>
        <w:t>2</w:t>
      </w:r>
      <w:r>
        <w:rPr/>
        <w:t>）公司能够收到政府补助。 政府补助同时满足上述条件时才能予以确认。 </w:t>
      </w:r>
      <w:r>
        <w:rPr>
          <w:rFonts w:ascii="宋体" w:hAnsi="宋体" w:cs="宋体" w:eastAsia="宋体" w:hint="default"/>
        </w:rPr>
        <w:t>3.</w:t>
      </w:r>
      <w:r>
        <w:rPr/>
        <w:t>政府补助的计量</w:t>
      </w:r>
    </w:p>
    <w:p>
      <w:pPr>
        <w:pStyle w:val="BodyText"/>
        <w:spacing w:line="240" w:lineRule="auto"/>
        <w:ind w:left="574" w:right="1117"/>
        <w:jc w:val="left"/>
      </w:pPr>
      <w:r>
        <w:rPr/>
        <w:t>（</w:t>
      </w:r>
      <w:r>
        <w:rPr>
          <w:rFonts w:ascii="宋体" w:hAnsi="宋体" w:cs="宋体" w:eastAsia="宋体" w:hint="default"/>
        </w:rPr>
        <w:t>1</w:t>
      </w:r>
      <w:r>
        <w:rPr/>
        <w:t>）政府补助为货币性资产的，公司按照收到或应收的金额计量；</w:t>
      </w:r>
    </w:p>
    <w:p>
      <w:pPr>
        <w:pStyle w:val="BodyText"/>
        <w:spacing w:line="273" w:lineRule="auto" w:before="37"/>
        <w:ind w:right="1117" w:firstLine="420"/>
        <w:jc w:val="left"/>
      </w:pPr>
      <w:r>
        <w:rPr/>
        <w:t>（</w:t>
      </w:r>
      <w:r>
        <w:rPr>
          <w:rFonts w:ascii="宋体" w:hAnsi="宋体" w:cs="宋体" w:eastAsia="宋体" w:hint="default"/>
        </w:rPr>
        <w:t>2</w:t>
      </w:r>
      <w:r>
        <w:rPr/>
        <w:t>）政府补助为非货币性资产的，公司按照公允价值计量；公允价值不能可靠取得的，按照名义金 额计量（名义金额为人民币</w:t>
      </w:r>
      <w:r>
        <w:rPr>
          <w:rFonts w:ascii="宋体" w:hAnsi="宋体" w:cs="宋体" w:eastAsia="宋体" w:hint="default"/>
        </w:rPr>
        <w:t>1</w:t>
      </w:r>
      <w:r>
        <w:rPr/>
        <w:t>元）。</w:t>
      </w:r>
    </w:p>
    <w:p>
      <w:pPr>
        <w:pStyle w:val="BodyText"/>
        <w:spacing w:line="240" w:lineRule="auto"/>
        <w:ind w:left="574" w:right="1117"/>
        <w:jc w:val="left"/>
      </w:pPr>
      <w:r>
        <w:rPr>
          <w:rFonts w:ascii="宋体" w:hAnsi="宋体" w:cs="宋体" w:eastAsia="宋体" w:hint="default"/>
        </w:rPr>
        <w:t>4.</w:t>
      </w:r>
      <w:r>
        <w:rPr/>
        <w:t>政府补助的会计处理方法</w:t>
      </w:r>
    </w:p>
    <w:p>
      <w:pPr>
        <w:pStyle w:val="BodyText"/>
        <w:spacing w:line="273" w:lineRule="auto" w:before="37"/>
        <w:ind w:right="1133" w:firstLine="420"/>
        <w:jc w:val="both"/>
      </w:pPr>
      <w:r>
        <w:rPr/>
        <w:t>（</w:t>
      </w:r>
      <w:r>
        <w:rPr>
          <w:rFonts w:ascii="宋体" w:hAnsi="宋体" w:cs="宋体" w:eastAsia="宋体" w:hint="default"/>
        </w:rPr>
        <w:t>1</w:t>
      </w:r>
      <w:r>
        <w:rPr/>
        <w:t>）与资产相关的政府补助，在取得时冲减相关资产的账面价值或确认为递延收益。确认为递延收 </w:t>
      </w:r>
      <w:r>
        <w:rPr>
          <w:spacing w:val="-1"/>
        </w:rPr>
        <w:t>益的，在相关资产使用寿命内按照合理、系统的方法分期计入损益。按照名义金额计量的政府补助，直接</w:t>
      </w:r>
      <w:r>
        <w:rPr>
          <w:spacing w:val="-86"/>
        </w:rPr>
        <w:t> </w:t>
      </w:r>
      <w:r>
        <w:rPr>
          <w:spacing w:val="-86"/>
        </w:rPr>
      </w:r>
      <w:r>
        <w:rPr/>
        <w:t>计入当期损益。</w:t>
      </w:r>
    </w:p>
    <w:p>
      <w:pPr>
        <w:pStyle w:val="BodyText"/>
        <w:spacing w:line="273" w:lineRule="auto"/>
        <w:ind w:left="574" w:right="1117"/>
        <w:jc w:val="left"/>
      </w:pPr>
      <w:r>
        <w:rPr/>
        <w:t>（</w:t>
      </w:r>
      <w:r>
        <w:rPr>
          <w:rFonts w:ascii="宋体" w:hAnsi="宋体" w:cs="宋体" w:eastAsia="宋体" w:hint="default"/>
        </w:rPr>
        <w:t>2</w:t>
      </w:r>
      <w:r>
        <w:rPr/>
        <w:t>）与收益相关的政府补助，分别下列情况处理： </w:t>
      </w:r>
      <w:r>
        <w:rPr>
          <w:rFonts w:ascii="宋体" w:hAnsi="宋体" w:cs="宋体" w:eastAsia="宋体" w:hint="default"/>
          <w:spacing w:val="-1"/>
        </w:rPr>
        <w:t>A.</w:t>
      </w:r>
      <w:r>
        <w:rPr>
          <w:spacing w:val="-1"/>
        </w:rPr>
        <w:t>用于补偿公司以后期间的相关成本费用或损失的，在取得时确认为递延收益，并在确认相关成本费</w:t>
      </w:r>
    </w:p>
    <w:p>
      <w:pPr>
        <w:pStyle w:val="BodyText"/>
        <w:spacing w:line="273" w:lineRule="auto"/>
        <w:ind w:left="574" w:right="1512" w:hanging="420"/>
        <w:jc w:val="left"/>
      </w:pPr>
      <w:r>
        <w:rPr/>
        <w:t>用或损失的期间，计入当期损益或冲减相关成本。 </w:t>
      </w:r>
      <w:r>
        <w:rPr>
          <w:rFonts w:ascii="宋体" w:hAnsi="宋体" w:cs="宋体" w:eastAsia="宋体" w:hint="default"/>
        </w:rPr>
        <w:t>B.</w:t>
      </w:r>
      <w:r>
        <w:rPr/>
        <w:t>用于补偿公司已发生的相关成本费用或损失的，在取得时直接计入当期损益或冲减相关成本。</w:t>
      </w:r>
    </w:p>
    <w:p>
      <w:pPr>
        <w:pStyle w:val="BodyText"/>
        <w:spacing w:line="273" w:lineRule="auto"/>
        <w:ind w:right="1117" w:firstLine="420"/>
        <w:jc w:val="left"/>
      </w:pPr>
      <w:r>
        <w:rPr/>
        <w:t>（</w:t>
      </w:r>
      <w:r>
        <w:rPr>
          <w:rFonts w:ascii="宋体" w:hAnsi="宋体" w:cs="宋体" w:eastAsia="宋体" w:hint="default"/>
        </w:rPr>
        <w:t>3</w:t>
      </w:r>
      <w:r>
        <w:rPr/>
        <w:t>）对于同时包含于资产相关部分和与收益相关部分的政府补助，可以区分的，则分不同部分分别 进行会计处理；难以区分的，则整体归类为与收益相关的政府补助。</w:t>
      </w:r>
    </w:p>
    <w:p>
      <w:pPr>
        <w:pStyle w:val="BodyText"/>
        <w:spacing w:line="273" w:lineRule="auto"/>
        <w:ind w:right="1131" w:firstLine="420"/>
        <w:jc w:val="both"/>
      </w:pPr>
      <w:r>
        <w:rPr/>
        <w:t>（</w:t>
      </w:r>
      <w:r>
        <w:rPr>
          <w:rFonts w:ascii="宋体" w:hAnsi="宋体" w:cs="宋体" w:eastAsia="宋体" w:hint="default"/>
        </w:rPr>
        <w:t>4</w:t>
      </w:r>
      <w:r>
        <w:rPr/>
        <w:t>）与公司日常经营相关的政府补助，按照经济业务实质，计入其他收益或冲减相关成本费用。与 </w:t>
      </w:r>
      <w:r>
        <w:rPr>
          <w:spacing w:val="-1"/>
        </w:rPr>
        <w:t>公司日常活动无关的政府补助，计入营业外收支。财政将贴息资金直接拨付给公司的，公司将对应的贴息</w:t>
      </w:r>
      <w:r>
        <w:rPr>
          <w:spacing w:val="-83"/>
        </w:rPr>
        <w:t> </w:t>
      </w:r>
      <w:r>
        <w:rPr>
          <w:spacing w:val="-83"/>
        </w:rPr>
      </w:r>
      <w:r>
        <w:rPr/>
        <w:t>冲减相关借款费用。</w:t>
      </w:r>
    </w:p>
    <w:p>
      <w:pPr>
        <w:pStyle w:val="BodyText"/>
        <w:spacing w:line="273" w:lineRule="auto"/>
        <w:ind w:left="574" w:right="2982"/>
        <w:jc w:val="left"/>
      </w:pPr>
      <w:r>
        <w:rPr/>
        <w:t>（</w:t>
      </w:r>
      <w:r>
        <w:rPr>
          <w:rFonts w:ascii="宋体" w:hAnsi="宋体" w:cs="宋体" w:eastAsia="宋体" w:hint="default"/>
        </w:rPr>
        <w:t>5</w:t>
      </w:r>
      <w:r>
        <w:rPr/>
        <w:t>）已确认的政府补助需要退回的，分别下列情况处理： </w:t>
      </w:r>
      <w:r>
        <w:rPr>
          <w:rFonts w:ascii="宋体" w:hAnsi="宋体" w:cs="宋体" w:eastAsia="宋体" w:hint="default"/>
        </w:rPr>
        <w:t>A.</w:t>
      </w:r>
      <w:r>
        <w:rPr/>
        <w:t>初始确认时冲减相关资产账面价值的，调整资产账面价值。 </w:t>
      </w:r>
      <w:r>
        <w:rPr>
          <w:rFonts w:ascii="宋体" w:hAnsi="宋体" w:cs="宋体" w:eastAsia="宋体" w:hint="default"/>
        </w:rPr>
        <w:t>B.</w:t>
      </w:r>
      <w:r>
        <w:rPr/>
        <w:t>存在相关递延收益的，冲减相关递延收益账面金额，超出部分计入当期损益。 </w:t>
      </w:r>
      <w:r>
        <w:rPr>
          <w:rFonts w:ascii="宋体" w:hAnsi="宋体" w:cs="宋体" w:eastAsia="宋体" w:hint="default"/>
        </w:rPr>
        <w:t>C.</w:t>
      </w:r>
      <w:r>
        <w:rPr/>
        <w:t>属于其他情况的，直接计入当期损益。</w:t>
      </w:r>
    </w:p>
    <w:p>
      <w:pPr>
        <w:spacing w:line="590" w:lineRule="atLeast" w:before="9"/>
        <w:ind w:left="154" w:right="1117" w:firstLine="0"/>
        <w:jc w:val="left"/>
        <w:rPr>
          <w:rFonts w:ascii="宋体" w:hAnsi="宋体" w:cs="宋体" w:eastAsia="宋体" w:hint="default"/>
          <w:sz w:val="21"/>
          <w:szCs w:val="21"/>
        </w:rPr>
      </w:pPr>
      <w:bookmarkStart w:name="30、递延所得税资产/递延所得税负债" w:id="218"/>
      <w:bookmarkEnd w:id="218"/>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公司在取得资产、负债时，确定其计税基础。资产、负债的账面价值与其计税基础存在的暂时性差异，按</w:t>
      </w:r>
    </w:p>
    <w:p>
      <w:pPr>
        <w:pStyle w:val="BodyText"/>
        <w:spacing w:line="273" w:lineRule="auto" w:before="37"/>
        <w:ind w:right="5082" w:firstLine="420"/>
        <w:jc w:val="left"/>
      </w:pPr>
      <w:r>
        <w:rPr/>
        <w:t>照规定确认所产生的递延所得税资产或递延所得税负债。 </w:t>
      </w:r>
      <w:r>
        <w:rPr>
          <w:rFonts w:ascii="宋体" w:hAnsi="宋体" w:cs="宋体" w:eastAsia="宋体" w:hint="default"/>
        </w:rPr>
        <w:t>1.</w:t>
      </w:r>
      <w:r>
        <w:rPr/>
        <w:t>递延所得税资产的确认</w:t>
      </w:r>
    </w:p>
    <w:p>
      <w:pPr>
        <w:pStyle w:val="BodyText"/>
        <w:spacing w:line="273" w:lineRule="auto"/>
        <w:ind w:left="574" w:right="1117" w:hanging="420"/>
        <w:jc w:val="left"/>
      </w:pPr>
      <w:r>
        <w:rPr/>
        <w:t>（</w:t>
      </w:r>
      <w:r>
        <w:rPr>
          <w:rFonts w:ascii="宋体" w:hAnsi="宋体" w:cs="宋体" w:eastAsia="宋体" w:hint="default"/>
        </w:rPr>
        <w:t>1</w:t>
      </w:r>
      <w:r>
        <w:rPr/>
        <w:t>）公司以很可能取得用来抵扣可抵扣暂时性差异的应纳税所得额为限，确认由可抵扣暂时性差异产生</w:t>
      </w:r>
      <w:r>
        <w:rPr>
          <w:spacing w:val="-35"/>
        </w:rPr>
        <w:t> </w:t>
      </w:r>
      <w:r>
        <w:rPr>
          <w:spacing w:val="-35"/>
        </w:rPr>
      </w:r>
      <w:r>
        <w:rPr>
          <w:spacing w:val="-1"/>
        </w:rPr>
        <w:t>的递延所得税资产。但是，同时具有下列特征的交易中因资产或负债的初始确认所产生的递延所得税</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1117"/>
        <w:jc w:val="left"/>
      </w:pPr>
      <w:r>
        <w:rPr>
          <w:spacing w:val="-6"/>
        </w:rPr>
        <w:t>资产不予确认：①该项交易不是企业合并；②交易发生时既不影响会计利润也不影响应纳税所得额（或</w:t>
      </w:r>
      <w:r>
        <w:rPr>
          <w:spacing w:val="-66"/>
        </w:rPr>
        <w:t> </w:t>
      </w:r>
      <w:r>
        <w:rPr>
          <w:spacing w:val="-66"/>
        </w:rPr>
      </w:r>
      <w:r>
        <w:rPr/>
        <w:t>可抵扣亏损）。</w:t>
      </w:r>
    </w:p>
    <w:p>
      <w:pPr>
        <w:pStyle w:val="BodyText"/>
        <w:spacing w:line="273" w:lineRule="auto"/>
        <w:ind w:left="574" w:right="1131" w:hanging="420"/>
        <w:jc w:val="both"/>
      </w:pPr>
      <w:r>
        <w:rPr/>
        <w:t>（</w:t>
      </w:r>
      <w:r>
        <w:rPr>
          <w:rFonts w:ascii="宋体" w:hAnsi="宋体" w:cs="宋体" w:eastAsia="宋体" w:hint="default"/>
        </w:rPr>
        <w:t>2</w:t>
      </w:r>
      <w:r>
        <w:rPr/>
        <w:t>）公司对与子公司、联营公司及合营企业投资相关的可抵扣暂时性差异，同时满足下列条件的，确认</w:t>
      </w:r>
      <w:r>
        <w:rPr>
          <w:spacing w:val="-29"/>
        </w:rPr>
        <w:t> </w:t>
      </w:r>
      <w:r>
        <w:rPr>
          <w:spacing w:val="-29"/>
        </w:rPr>
      </w:r>
      <w:r>
        <w:rPr>
          <w:spacing w:val="-1"/>
        </w:rPr>
        <w:t>相应的递延所得税资产：①暂时性差异在可预见的未来很可能转回；②未来很可能获得用来抵扣可抵</w:t>
      </w:r>
      <w:r>
        <w:rPr/>
        <w:t> 扣暂时性差异的应纳税所得额。</w:t>
      </w:r>
    </w:p>
    <w:p>
      <w:pPr>
        <w:pStyle w:val="BodyText"/>
        <w:spacing w:line="273" w:lineRule="auto"/>
        <w:ind w:left="574" w:right="1117" w:hanging="420"/>
        <w:jc w:val="left"/>
      </w:pPr>
      <w:r>
        <w:rPr/>
        <w:t>（</w:t>
      </w:r>
      <w:r>
        <w:rPr>
          <w:rFonts w:ascii="宋体" w:hAnsi="宋体" w:cs="宋体" w:eastAsia="宋体" w:hint="default"/>
        </w:rPr>
        <w:t>3</w:t>
      </w:r>
      <w:r>
        <w:rPr/>
        <w:t>）对于按照税法规定可以结转以后年度的可抵扣亏损和税款抵减，视同可抵扣暂时性差异处理，以很</w:t>
      </w:r>
      <w:r>
        <w:rPr>
          <w:spacing w:val="-35"/>
        </w:rPr>
        <w:t> </w:t>
      </w:r>
      <w:r>
        <w:rPr>
          <w:spacing w:val="-35"/>
        </w:rPr>
      </w:r>
      <w:r>
        <w:rPr/>
        <w:t>可能获得用来抵扣可抵扣亏损和税款抵减的未来应纳税所得额为限，确认相应的递延所得税资产。</w:t>
      </w:r>
    </w:p>
    <w:p>
      <w:pPr>
        <w:pStyle w:val="BodyText"/>
        <w:tabs>
          <w:tab w:pos="573" w:val="left" w:leader="none"/>
        </w:tabs>
        <w:spacing w:line="240" w:lineRule="auto"/>
        <w:ind w:right="1117"/>
        <w:jc w:val="left"/>
      </w:pPr>
      <w:r>
        <w:rPr>
          <w:rFonts w:ascii="宋体" w:hAnsi="宋体" w:cs="宋体" w:eastAsia="宋体" w:hint="default"/>
        </w:rPr>
        <w:t>2.</w:t>
        <w:tab/>
      </w:r>
      <w:r>
        <w:rPr/>
        <w:t>递延所得税负债的确认</w:t>
      </w:r>
    </w:p>
    <w:p>
      <w:pPr>
        <w:pStyle w:val="BodyText"/>
        <w:spacing w:line="240" w:lineRule="auto" w:before="37"/>
        <w:ind w:right="0"/>
        <w:jc w:val="left"/>
      </w:pPr>
      <w:r>
        <w:rPr/>
        <w:t>（</w:t>
      </w:r>
      <w:r>
        <w:rPr>
          <w:rFonts w:ascii="宋体" w:hAnsi="宋体" w:cs="宋体" w:eastAsia="宋体" w:hint="default"/>
        </w:rPr>
        <w:t>1</w:t>
      </w:r>
      <w:r>
        <w:rPr/>
        <w:t>）除下列交易中产生的递延所得税负债以外，公司确认所有应纳税暂时性差异产生的递延所得税负债：</w:t>
      </w:r>
    </w:p>
    <w:p>
      <w:pPr>
        <w:pStyle w:val="BodyText"/>
        <w:spacing w:line="273" w:lineRule="auto" w:before="37"/>
        <w:ind w:left="574" w:right="1117"/>
        <w:jc w:val="left"/>
      </w:pPr>
      <w:r>
        <w:rPr>
          <w:spacing w:val="-1"/>
        </w:rPr>
        <w:t>①商誉的初始确认；②同时满足具有下列特征的交易中产生的资产或负债的初始确认：该项交易不是</w:t>
      </w:r>
      <w:r>
        <w:rPr>
          <w:spacing w:val="-83"/>
        </w:rPr>
        <w:t> </w:t>
      </w:r>
      <w:r>
        <w:rPr>
          <w:spacing w:val="-83"/>
        </w:rPr>
      </w:r>
      <w:r>
        <w:rPr/>
        <w:t>企业合并；交易发生时既不影响会计利润也不影响应纳税所得额（或可抵扣亏损）。</w:t>
      </w:r>
    </w:p>
    <w:p>
      <w:pPr>
        <w:pStyle w:val="BodyText"/>
        <w:spacing w:line="273" w:lineRule="auto"/>
        <w:ind w:left="574" w:right="0" w:hanging="420"/>
        <w:jc w:val="left"/>
      </w:pPr>
      <w:r>
        <w:rPr>
          <w:spacing w:val="-1"/>
        </w:rPr>
        <w:t>（</w:t>
      </w:r>
      <w:r>
        <w:rPr>
          <w:rFonts w:ascii="宋体" w:hAnsi="宋体" w:cs="宋体" w:eastAsia="宋体" w:hint="default"/>
          <w:spacing w:val="-1"/>
        </w:rPr>
        <w:t>2</w:t>
      </w:r>
      <w:r>
        <w:rPr>
          <w:spacing w:val="-1"/>
        </w:rPr>
        <w:t>）公司对与子公司、联营公司及合营企业投资相关的应纳税暂时性差异，确认相应的递延所得税负债。</w:t>
      </w:r>
      <w:r>
        <w:rPr>
          <w:spacing w:val="-84"/>
        </w:rPr>
        <w:t> </w:t>
      </w:r>
      <w:r>
        <w:rPr>
          <w:spacing w:val="-84"/>
        </w:rPr>
      </w:r>
      <w:r>
        <w:rPr/>
        <w:t>但是，同时满足下列条件的除外：①投资企业能够控制暂时性差异转回的时间；②该暂时性差异在可</w:t>
      </w:r>
      <w:r>
        <w:rPr/>
        <w:t> 预见的未来很可能不会转回。</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31、租赁" w:id="219"/>
      <w:bookmarkEnd w:id="219"/>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1117" w:hanging="420"/>
        <w:jc w:val="left"/>
        <w:rPr>
          <w:rFonts w:ascii="宋体" w:hAnsi="宋体" w:cs="宋体" w:eastAsia="宋体" w:hint="default"/>
          <w:sz w:val="21"/>
          <w:szCs w:val="21"/>
        </w:rPr>
      </w:pPr>
      <w:bookmarkStart w:name="（1）经营租赁的会计处理方法"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对于经营租赁的租金，出租人、承租人在租赁期内各个期间按照直线法确认为当期损益。出租人、承</w:t>
      </w:r>
    </w:p>
    <w:p>
      <w:pPr>
        <w:pStyle w:val="BodyText"/>
        <w:spacing w:line="240" w:lineRule="auto" w:before="37"/>
        <w:ind w:right="1117"/>
        <w:jc w:val="left"/>
      </w:pPr>
      <w:r>
        <w:rPr/>
        <w:t>租人发生的初始直接费用，计入当期损益。或有租金在实际发生时计入当期损益。</w:t>
      </w:r>
    </w:p>
    <w:p>
      <w:pPr>
        <w:spacing w:line="240" w:lineRule="auto" w:before="12"/>
        <w:rPr>
          <w:rFonts w:ascii="宋体" w:hAnsi="宋体" w:cs="宋体" w:eastAsia="宋体" w:hint="default"/>
          <w:sz w:val="25"/>
          <w:szCs w:val="25"/>
        </w:rPr>
      </w:pPr>
    </w:p>
    <w:p>
      <w:pPr>
        <w:pStyle w:val="Heading4"/>
        <w:spacing w:line="240" w:lineRule="auto"/>
        <w:ind w:right="1117"/>
        <w:jc w:val="left"/>
        <w:rPr>
          <w:b w:val="0"/>
          <w:bCs w:val="0"/>
        </w:rPr>
      </w:pPr>
      <w:bookmarkStart w:name="（2）融资租赁的会计处理方法" w:id="221"/>
      <w:bookmarkEnd w:id="22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1117"/>
        <w:jc w:val="left"/>
      </w:pPr>
      <w:r>
        <w:rPr/>
        <w:t>（</w:t>
      </w:r>
      <w:r>
        <w:rPr>
          <w:rFonts w:ascii="宋体" w:hAnsi="宋体" w:cs="宋体" w:eastAsia="宋体" w:hint="default"/>
        </w:rPr>
        <w:t>1</w:t>
      </w:r>
      <w:r>
        <w:rPr/>
        <w:t>）承租人的会计处理 </w:t>
      </w:r>
      <w:r>
        <w:rPr>
          <w:spacing w:val="-1"/>
        </w:rPr>
        <w:t>在租赁期开始日，将租赁开始日租赁资产公允价值与最低租赁付款额现值两者中较低者作为租入资产</w:t>
      </w:r>
    </w:p>
    <w:p>
      <w:pPr>
        <w:pStyle w:val="BodyText"/>
        <w:spacing w:line="273" w:lineRule="auto"/>
        <w:ind w:right="0"/>
        <w:jc w:val="left"/>
      </w:pPr>
      <w:r>
        <w:rPr/>
        <w:t>的入账价值，将最低租赁付款额作为长期应付款的入账价值，其差额作为未确认融资费用。在租赁谈判和 </w:t>
      </w:r>
      <w:r>
        <w:rPr>
          <w:spacing w:val="-8"/>
        </w:rPr>
        <w:t>签订租赁合同过程中发生的可归属于租赁项目的手续费、律师费、差旅费、印花税等初始直接费用（下同），</w:t>
      </w:r>
      <w:r>
        <w:rPr>
          <w:spacing w:val="-61"/>
        </w:rPr>
        <w:t> </w:t>
      </w:r>
      <w:r>
        <w:rPr>
          <w:spacing w:val="-61"/>
        </w:rPr>
      </w:r>
      <w:r>
        <w:rPr/>
        <w:t>计入租入资产价值。在计算最低租赁付款额的现值时，能够取得出租人租赁内含利率的，采用租赁内含利</w:t>
      </w:r>
      <w:r>
        <w:rPr/>
        <w:t> 率作为折现率；否则，采用租赁合同规定的利率作为折现率。无法取得出租人的租赁内含利率且租赁合同 没有规定利率的，采用同期银行贷款利率作为折现率。未确认融资费用在租赁期内按照实际利率法计算确 认当期的融资费用。</w:t>
      </w:r>
    </w:p>
    <w:p>
      <w:pPr>
        <w:pStyle w:val="BodyText"/>
        <w:spacing w:line="273" w:lineRule="auto"/>
        <w:ind w:right="1023" w:firstLine="420"/>
        <w:jc w:val="left"/>
      </w:pPr>
      <w:r>
        <w:rPr/>
        <w:t>公司采用与自有固定资产相一致的折旧政策计提租赁资产折旧。能够合理确定租赁期届满时取得租赁 </w:t>
      </w:r>
      <w:r>
        <w:rPr>
          <w:spacing w:val="-3"/>
        </w:rPr>
        <w:t>资产所有权的，在租赁资产使用寿命内计提折旧。无法合理确定租赁期届满时能够取得租赁资产所有权的，</w:t>
      </w:r>
      <w:r>
        <w:rPr>
          <w:spacing w:val="-92"/>
        </w:rPr>
        <w:t> </w:t>
      </w:r>
      <w:r>
        <w:rPr>
          <w:spacing w:val="-92"/>
        </w:rPr>
      </w:r>
      <w:r>
        <w:rPr/>
        <w:t>在租赁期与租赁资产使用寿命两者中较短的期间内计提折旧。或有租金在实际发生时计入当期损益。</w:t>
      </w:r>
    </w:p>
    <w:p>
      <w:pPr>
        <w:pStyle w:val="BodyText"/>
        <w:spacing w:line="273" w:lineRule="auto"/>
        <w:ind w:left="574" w:right="1117"/>
        <w:jc w:val="left"/>
      </w:pPr>
      <w:r>
        <w:rPr/>
        <w:t>（</w:t>
      </w:r>
      <w:r>
        <w:rPr>
          <w:rFonts w:ascii="宋体" w:hAnsi="宋体" w:cs="宋体" w:eastAsia="宋体" w:hint="default"/>
        </w:rPr>
        <w:t>2</w:t>
      </w:r>
      <w:r>
        <w:rPr/>
        <w:t>）出租人的会计处理 </w:t>
      </w:r>
      <w:r>
        <w:rPr>
          <w:spacing w:val="-1"/>
        </w:rPr>
        <w:t>在租赁期开始日，出租人将租赁开始日最低租赁收款额与初始直接费用之和作为应收融资租赁款的入</w:t>
      </w:r>
    </w:p>
    <w:p>
      <w:pPr>
        <w:pStyle w:val="BodyText"/>
        <w:spacing w:line="273" w:lineRule="auto"/>
        <w:ind w:right="1117"/>
        <w:jc w:val="left"/>
      </w:pPr>
      <w:r>
        <w:rPr>
          <w:spacing w:val="-1"/>
        </w:rPr>
        <w:t>账价值，同时记录未担保余值；将最低租赁收款额、初始直接费用及未担保余值之和与其现值之和的差额</w:t>
      </w:r>
      <w:r>
        <w:rPr>
          <w:spacing w:val="-83"/>
        </w:rPr>
        <w:t> </w:t>
      </w:r>
      <w:r>
        <w:rPr>
          <w:spacing w:val="-83"/>
        </w:rPr>
      </w:r>
      <w:r>
        <w:rPr/>
        <w:t>确认为未实现融资收益。</w:t>
      </w:r>
    </w:p>
    <w:p>
      <w:pPr>
        <w:pStyle w:val="BodyText"/>
        <w:spacing w:line="273" w:lineRule="auto"/>
        <w:ind w:left="574" w:right="3822"/>
        <w:jc w:val="left"/>
      </w:pPr>
      <w:r>
        <w:rPr/>
        <w:t>未实现融资收益在租赁期内按照实际利率法计算确认当期的融资收入。 或有租金在实际发生时计入当期损益。</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32、其他重要的会计政策和会计估计" w:id="222"/>
      <w:bookmarkEnd w:id="22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1"/>
        <w:rPr>
          <w:rFonts w:ascii="宋体" w:hAnsi="宋体" w:cs="宋体" w:eastAsia="宋体" w:hint="default"/>
          <w:b/>
          <w:bCs/>
          <w:sz w:val="25"/>
          <w:szCs w:val="25"/>
        </w:rPr>
      </w:pPr>
    </w:p>
    <w:p>
      <w:pPr>
        <w:pStyle w:val="Heading3"/>
        <w:spacing w:line="312" w:lineRule="exact"/>
        <w:ind w:left="634" w:right="1012"/>
        <w:jc w:val="left"/>
      </w:pPr>
      <w:r>
        <w:rPr>
          <w:rFonts w:ascii="宋体" w:hAnsi="宋体" w:cs="宋体" w:eastAsia="宋体" w:hint="default"/>
        </w:rPr>
        <w:t>1.</w:t>
      </w:r>
      <w:r>
        <w:rPr/>
        <w:t>回购本公司股份 公司回购自身权益工具支付的对价和交易费用，应当减少所有者权益。 </w:t>
      </w:r>
      <w:r>
        <w:rPr>
          <w:spacing w:val="-3"/>
        </w:rPr>
        <w:t>公司按法定程序报经批准采用收购本公司股票方式减资，按注销股票面值总额减少股本，</w:t>
      </w:r>
    </w:p>
    <w:p>
      <w:pPr>
        <w:pStyle w:val="Heading3"/>
        <w:spacing w:line="312" w:lineRule="exact"/>
        <w:ind w:right="1137"/>
        <w:jc w:val="both"/>
      </w:pPr>
      <w:r>
        <w:rPr/>
        <w:t>购回股票支付的价款（含交易费用）与股票面值的差额调整所有者权益，超过面值总额的部 分，依次冲减资本公积（股本溢价）、盈余公积和未分配利润；如低于面值总额的，低于面 值总额的部分增加资本公积（股本溢价）。公司回购自身权益工具，不确认利得或损失。</w:t>
      </w:r>
    </w:p>
    <w:p>
      <w:pPr>
        <w:pStyle w:val="Heading3"/>
        <w:spacing w:line="312" w:lineRule="exact"/>
        <w:ind w:right="1117" w:firstLine="480"/>
        <w:jc w:val="left"/>
      </w:pPr>
      <w:r>
        <w:rPr/>
        <w:t>公司回购的股份在注销或者转让之前，作为库存股管理，回购股份的全部支出转作库存 股成本，同时进行备查登记。</w:t>
      </w:r>
    </w:p>
    <w:p>
      <w:pPr>
        <w:pStyle w:val="Heading3"/>
        <w:spacing w:line="312" w:lineRule="exact"/>
        <w:ind w:right="1117" w:firstLine="480"/>
        <w:jc w:val="left"/>
      </w:pPr>
      <w:r>
        <w:rPr/>
        <w:t>库存股转让时，转让收入高于库存股成本的部分，增加资本公积</w:t>
      </w:r>
      <w:r>
        <w:rPr>
          <w:rFonts w:ascii="宋体" w:hAnsi="宋体" w:cs="宋体" w:eastAsia="宋体" w:hint="default"/>
        </w:rPr>
        <w:t>(</w:t>
      </w:r>
      <w:r>
        <w:rPr/>
        <w:t>股本溢价</w:t>
      </w:r>
      <w:r>
        <w:rPr>
          <w:rFonts w:ascii="宋体" w:hAnsi="宋体" w:cs="宋体" w:eastAsia="宋体" w:hint="default"/>
        </w:rPr>
        <w:t>)</w:t>
      </w:r>
      <w:r>
        <w:rPr/>
        <w:t>；低于库存 股成本的部分，依次冲减资本公积</w:t>
      </w:r>
      <w:r>
        <w:rPr>
          <w:rFonts w:ascii="宋体" w:hAnsi="宋体" w:cs="宋体" w:eastAsia="宋体" w:hint="default"/>
        </w:rPr>
        <w:t>(</w:t>
      </w:r>
      <w:r>
        <w:rPr/>
        <w:t>股本溢价</w:t>
      </w:r>
      <w:r>
        <w:rPr>
          <w:rFonts w:ascii="宋体" w:hAnsi="宋体" w:cs="宋体" w:eastAsia="宋体" w:hint="default"/>
        </w:rPr>
        <w:t>)</w:t>
      </w:r>
      <w:r>
        <w:rPr/>
        <w:t>、盈余公积、未分配利润。</w:t>
      </w:r>
    </w:p>
    <w:p>
      <w:pPr>
        <w:pStyle w:val="Heading3"/>
        <w:spacing w:line="312" w:lineRule="exact"/>
        <w:ind w:right="1117" w:firstLine="480"/>
        <w:jc w:val="left"/>
      </w:pPr>
      <w:r>
        <w:rPr/>
        <w:t>公司回购其普通股形成的库存股不参与公司利润分配，公司将其作为在资产负债表中所 有者权益的备抵项目列示。</w:t>
      </w:r>
    </w:p>
    <w:p>
      <w:pPr>
        <w:pStyle w:val="Heading3"/>
        <w:spacing w:line="312" w:lineRule="exact"/>
        <w:ind w:left="634" w:right="1117"/>
        <w:jc w:val="left"/>
      </w:pPr>
      <w:r>
        <w:rPr>
          <w:rFonts w:ascii="宋体" w:hAnsi="宋体" w:cs="宋体" w:eastAsia="宋体" w:hint="default"/>
        </w:rPr>
        <w:t>2.</w:t>
      </w:r>
      <w:r>
        <w:rPr/>
        <w:t>重大会计判断和估计 集团根据历史经验和其它因素，包括对未来事项的合理预期，对所采用的重要会计估计</w:t>
      </w:r>
    </w:p>
    <w:p>
      <w:pPr>
        <w:pStyle w:val="Heading3"/>
        <w:spacing w:line="312" w:lineRule="exact"/>
        <w:ind w:left="634" w:right="1117" w:hanging="480"/>
        <w:jc w:val="left"/>
      </w:pPr>
      <w:r>
        <w:rPr/>
        <w:t>和关键假设进行持续的评价。 很可能导致下一会计年度资产和负债的账面价值出现重大调整风险的重要会计估计和关</w:t>
      </w:r>
    </w:p>
    <w:p>
      <w:pPr>
        <w:pStyle w:val="Heading3"/>
        <w:spacing w:line="282" w:lineRule="exact"/>
        <w:ind w:right="0"/>
        <w:jc w:val="both"/>
      </w:pPr>
      <w:r>
        <w:rPr/>
        <w:t>键假设列示如下：</w:t>
      </w:r>
    </w:p>
    <w:p>
      <w:pPr>
        <w:pStyle w:val="Heading3"/>
        <w:spacing w:line="312" w:lineRule="exact" w:before="29"/>
        <w:ind w:left="634" w:right="1117"/>
        <w:jc w:val="left"/>
      </w:pPr>
      <w:r>
        <w:rPr/>
        <w:t>（</w:t>
      </w:r>
      <w:r>
        <w:rPr>
          <w:rFonts w:ascii="宋体" w:hAnsi="宋体" w:cs="宋体" w:eastAsia="宋体" w:hint="default"/>
        </w:rPr>
        <w:t>1</w:t>
      </w:r>
      <w:r>
        <w:rPr/>
        <w:t>）商誉减值 集团至少每年评估商誉是否发生减值。这要求对分配了商誉的资产组的使用价值进行估</w:t>
      </w:r>
    </w:p>
    <w:p>
      <w:pPr>
        <w:pStyle w:val="Heading3"/>
        <w:spacing w:line="283" w:lineRule="exact"/>
        <w:ind w:right="0"/>
        <w:jc w:val="both"/>
      </w:pPr>
      <w:r>
        <w:rPr/>
        <w:t>计。估计使用价值时，集团需要估计未来来自资产组的现金流量，同时选择恰当的折现率计</w:t>
      </w:r>
    </w:p>
    <w:p>
      <w:pPr>
        <w:pStyle w:val="Heading3"/>
        <w:spacing w:line="312" w:lineRule="exact"/>
        <w:ind w:right="0"/>
        <w:jc w:val="both"/>
      </w:pPr>
      <w:r>
        <w:rPr/>
        <w:t>算未来现金流量的现值。</w:t>
      </w:r>
    </w:p>
    <w:p>
      <w:pPr>
        <w:pStyle w:val="Heading3"/>
        <w:spacing w:line="312" w:lineRule="exact" w:before="29"/>
        <w:ind w:left="634" w:right="1117"/>
        <w:jc w:val="left"/>
      </w:pPr>
      <w:r>
        <w:rPr/>
        <w:t>（</w:t>
      </w:r>
      <w:r>
        <w:rPr>
          <w:rFonts w:ascii="宋体" w:hAnsi="宋体" w:cs="宋体" w:eastAsia="宋体" w:hint="default"/>
        </w:rPr>
        <w:t>2</w:t>
      </w:r>
      <w:r>
        <w:rPr/>
        <w:t>）退货准备金 子公司北京中科彩技术有限公司针对截至年末已出售但客户尚未最终对外销售的非包销</w:t>
      </w:r>
    </w:p>
    <w:p>
      <w:pPr>
        <w:pStyle w:val="Heading3"/>
        <w:spacing w:line="312" w:lineRule="exact"/>
        <w:ind w:right="1134"/>
        <w:jc w:val="both"/>
      </w:pPr>
      <w:r>
        <w:rPr/>
        <w:t>与非长线游戏的彩票，依据历史经验数据模型估算退货概率，按其销售毛利与概率的乘积计 提退货准备金。</w:t>
      </w:r>
      <w:r>
        <w:rPr>
          <w:rFonts w:ascii="宋体" w:hAnsi="宋体" w:cs="宋体" w:eastAsia="宋体" w:hint="default"/>
        </w:rPr>
        <w:t>2016</w:t>
      </w:r>
      <w:r>
        <w:rPr/>
        <w:t>年已签订新的销售合同，</w:t>
      </w:r>
      <w:r>
        <w:rPr>
          <w:rFonts w:ascii="宋体" w:hAnsi="宋体" w:cs="宋体" w:eastAsia="宋体" w:hint="default"/>
        </w:rPr>
        <w:t>2016</w:t>
      </w:r>
      <w:r>
        <w:rPr/>
        <w:t>年及以后的销售不再执行原有关退货条款</w:t>
      </w:r>
      <w:r>
        <w:rPr>
          <w:spacing w:val="-111"/>
        </w:rPr>
        <w:t> </w:t>
      </w:r>
      <w:r>
        <w:rPr>
          <w:spacing w:val="-111"/>
        </w:rPr>
      </w:r>
      <w:r>
        <w:rPr/>
        <w:t>的协议。</w:t>
      </w:r>
    </w:p>
    <w:p>
      <w:pPr>
        <w:pStyle w:val="Heading3"/>
        <w:spacing w:line="312" w:lineRule="exact"/>
        <w:ind w:left="634" w:right="1117"/>
        <w:jc w:val="left"/>
      </w:pPr>
      <w:r>
        <w:rPr/>
        <w:t>（</w:t>
      </w:r>
      <w:r>
        <w:rPr>
          <w:rFonts w:ascii="宋体" w:hAnsi="宋体" w:cs="宋体" w:eastAsia="宋体" w:hint="default"/>
        </w:rPr>
        <w:t>3</w:t>
      </w:r>
      <w:r>
        <w:rPr/>
        <w:t>）递延所得税资产 在很有可能有足够的应纳税利润来抵扣亏损的限度内，应就所有未利用的税务亏损确认</w:t>
      </w:r>
    </w:p>
    <w:p>
      <w:pPr>
        <w:pStyle w:val="Heading3"/>
        <w:spacing w:line="312" w:lineRule="exact"/>
        <w:ind w:right="1139"/>
        <w:jc w:val="both"/>
      </w:pPr>
      <w:r>
        <w:rPr/>
        <w:t>递延所得税资产。这需要管理层运用大量的判断来估计未来应纳税利润发生的时间和金额， 结合纳税筹划策略，以决定应确认的递延所得税资产的金额。</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33、重要会计政策和会计估计变更" w:id="223"/>
      <w:bookmarkEnd w:id="22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44"/>
        <w:ind w:left="0" w:right="1138" w:firstLine="0"/>
        <w:jc w:val="right"/>
        <w:rPr>
          <w:rFonts w:ascii="宋体" w:hAnsi="宋体" w:cs="宋体" w:eastAsia="宋体" w:hint="default"/>
          <w:sz w:val="18"/>
          <w:szCs w:val="18"/>
        </w:rPr>
      </w:pPr>
      <w:r>
        <w:rPr/>
        <w:pict>
          <v:shape style="position:absolute;margin-left:56.459999pt;margin-top:-66.778259pt;width:479.25pt;height:101.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1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月发布《关于修订印</w:t>
                        </w:r>
                      </w:p>
                      <w:p>
                        <w:pPr>
                          <w:pStyle w:val="TableParagraph"/>
                          <w:spacing w:line="300" w:lineRule="auto" w:before="62"/>
                          <w:ind w:left="22" w:right="21"/>
                          <w:jc w:val="both"/>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年度一般企业财务报表格式的通 </w:t>
                        </w:r>
                        <w:r>
                          <w:rPr>
                            <w:rFonts w:ascii="宋体" w:hAnsi="宋体" w:cs="宋体" w:eastAsia="宋体" w:hint="default"/>
                            <w:spacing w:val="-7"/>
                            <w:sz w:val="18"/>
                            <w:szCs w:val="18"/>
                          </w:rPr>
                          <w:t>知》（财会〔</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号），对企业财务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报表格式进行相应调整，将原</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公司第四届第十次董事会审议通过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w:t>
                        </w:r>
                        <w:r>
                          <w:rPr>
                            <w:rFonts w:ascii="宋体" w:hAnsi="宋体" w:cs="宋体" w:eastAsia="宋体" w:hint="default"/>
                            <w:spacing w:val="-3"/>
                            <w:sz w:val="18"/>
                            <w:szCs w:val="18"/>
                          </w:rPr>
                          <w:t> </w:t>
                        </w:r>
                        <w:r>
                          <w:rPr>
                            <w:rFonts w:ascii="宋体" w:hAnsi="宋体" w:cs="宋体" w:eastAsia="宋体" w:hint="default"/>
                            <w:sz w:val="18"/>
                            <w:szCs w:val="18"/>
                          </w:rPr>
                          <w:t>《关</w:t>
                        </w:r>
                        <w:r>
                          <w:rPr>
                            <w:rFonts w:ascii="宋体" w:hAnsi="宋体" w:cs="宋体" w:eastAsia="宋体" w:hint="default"/>
                            <w:w w:val="99"/>
                            <w:sz w:val="18"/>
                            <w:szCs w:val="18"/>
                          </w:rPr>
                          <w:t> </w:t>
                        </w:r>
                        <w:r>
                          <w:rPr>
                            <w:rFonts w:ascii="宋体" w:hAnsi="宋体" w:cs="宋体" w:eastAsia="宋体" w:hint="default"/>
                            <w:sz w:val="18"/>
                            <w:szCs w:val="18"/>
                          </w:rPr>
                          <w:t>于修订印发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w:t>
                        </w:r>
                        <w:r>
                          <w:rPr>
                            <w:rFonts w:ascii="宋体" w:hAnsi="宋体" w:cs="宋体" w:eastAsia="宋体" w:hint="default"/>
                            <w:spacing w:val="-1"/>
                            <w:sz w:val="18"/>
                            <w:szCs w:val="18"/>
                          </w:rPr>
                          <w:t> </w:t>
                        </w:r>
                        <w:r>
                          <w:rPr>
                            <w:rFonts w:ascii="宋体" w:hAnsi="宋体" w:cs="宋体" w:eastAsia="宋体" w:hint="default"/>
                            <w:sz w:val="18"/>
                            <w:szCs w:val="18"/>
                          </w:rPr>
                          <w:t>务</w:t>
                        </w:r>
                        <w:r>
                          <w:rPr>
                            <w:rFonts w:ascii="宋体" w:hAnsi="宋体" w:cs="宋体" w:eastAsia="宋体" w:hint="default"/>
                            <w:w w:val="99"/>
                            <w:sz w:val="18"/>
                            <w:szCs w:val="18"/>
                          </w:rPr>
                          <w:t> </w:t>
                        </w:r>
                        <w:r>
                          <w:rPr>
                            <w:rFonts w:ascii="宋体" w:hAnsi="宋体" w:cs="宋体" w:eastAsia="宋体" w:hint="default"/>
                            <w:spacing w:val="-6"/>
                            <w:w w:val="99"/>
                            <w:sz w:val="18"/>
                            <w:szCs w:val="18"/>
                          </w:rPr>
                          <w:t>报表格式的通知》（财会〔</w:t>
                        </w:r>
                        <w:r>
                          <w:rPr>
                            <w:rFonts w:ascii="Times New Roman" w:hAnsi="Times New Roman" w:cs="Times New Roman" w:eastAsia="Times New Roman" w:hint="default"/>
                            <w:spacing w:val="-6"/>
                            <w:w w:val="99"/>
                            <w:sz w:val="18"/>
                            <w:szCs w:val="18"/>
                          </w:rPr>
                          <w:t>2018</w:t>
                        </w:r>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15</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7"/>
                            <w:w w:val="99"/>
                            <w:sz w:val="18"/>
                            <w:szCs w:val="18"/>
                          </w:rPr>
                          <w:t> </w:t>
                        </w:r>
                        <w:r>
                          <w:rPr>
                            <w:rFonts w:ascii="宋体" w:hAnsi="宋体" w:cs="宋体" w:eastAsia="宋体" w:hint="default"/>
                            <w:w w:val="99"/>
                            <w:sz w:val="18"/>
                            <w:szCs w:val="18"/>
                          </w:rPr>
                          <w:t>号</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32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应收股利</w:t>
            </w:r>
          </w:p>
        </w:tc>
        <w:tc>
          <w:tcPr>
            <w:tcW w:w="3190" w:type="dxa"/>
            <w:vMerge w:val="restart"/>
            <w:tcBorders>
              <w:top w:val="single" w:sz="4" w:space="0" w:color="000000"/>
              <w:left w:val="single" w:sz="4" w:space="0" w:color="000000"/>
              <w:right w:val="single" w:sz="4" w:space="0" w:color="000000"/>
            </w:tcBorders>
          </w:tcPr>
          <w:p>
            <w:pPr/>
          </w:p>
        </w:tc>
        <w:tc>
          <w:tcPr>
            <w:tcW w:w="3189"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固定资产清理</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行项目归并至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工程物</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程</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；利润表中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分拆</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列报；利润表中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项目下增加</w:t>
            </w:r>
            <w:r>
              <w:rPr>
                <w:rFonts w:ascii="Times New Roman" w:hAnsi="Times New Roman" w:cs="Times New Roman" w:eastAsia="Times New Roman" w:hint="default"/>
                <w:sz w:val="18"/>
                <w:szCs w:val="18"/>
              </w:rPr>
              <w:t>"</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明细项目列报；</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13"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所有者权益变动表新增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w:t>
            </w:r>
          </w:p>
        </w:tc>
        <w:tc>
          <w:tcPr>
            <w:tcW w:w="3190" w:type="dxa"/>
            <w:vMerge/>
            <w:tcBorders>
              <w:left w:val="single" w:sz="4" w:space="0" w:color="000000"/>
              <w:right w:val="single" w:sz="4" w:space="0" w:color="000000"/>
            </w:tcBorders>
          </w:tcPr>
          <w:p>
            <w:pPr/>
          </w:p>
        </w:tc>
        <w:tc>
          <w:tcPr>
            <w:tcW w:w="3189" w:type="dxa"/>
            <w:vMerge/>
            <w:tcBorders>
              <w:left w:val="single" w:sz="4" w:space="0" w:color="000000"/>
              <w:right w:val="single" w:sz="4" w:space="0" w:color="000000"/>
            </w:tcBorders>
          </w:tcPr>
          <w:p>
            <w:pP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vMerge/>
            <w:tcBorders>
              <w:left w:val="single" w:sz="4" w:space="0" w:color="000000"/>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bl>
    <w:p>
      <w:pPr>
        <w:pStyle w:val="BodyText"/>
        <w:spacing w:line="260" w:lineRule="exact" w:before="0"/>
        <w:ind w:right="1117"/>
        <w:jc w:val="left"/>
      </w:pPr>
      <w:r>
        <w:rPr/>
        <w:t>公司对该项会计政策变更采用追溯调整法，对</w:t>
      </w:r>
      <w:r>
        <w:rPr>
          <w:rFonts w:ascii="宋体" w:hAnsi="宋体" w:cs="宋体" w:eastAsia="宋体" w:hint="default"/>
        </w:rPr>
        <w:t>2017</w:t>
      </w:r>
      <w:r>
        <w:rPr/>
        <w:t>年度的财务报表列报项目进行追溯调整具体如下：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40"/>
        <w:gridCol w:w="2340"/>
        <w:gridCol w:w="2340"/>
        <w:gridCol w:w="2340"/>
      </w:tblGrid>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2017.12.31/2017</w:t>
            </w:r>
            <w:r>
              <w:rPr>
                <w:rFonts w:ascii="宋体" w:hAnsi="宋体" w:cs="宋体" w:eastAsia="宋体" w:hint="default"/>
                <w:sz w:val="18"/>
                <w:szCs w:val="18"/>
              </w:rPr>
              <w:t>年度</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变动额</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97,558,290.15</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97,558,290.15</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5,060,762.32</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-5,060,762.32</w:t>
            </w:r>
          </w:p>
        </w:tc>
      </w:tr>
      <w:tr>
        <w:trPr>
          <w:trHeight w:val="348"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92,497,527.83</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-92,497,527.83</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81,601,517.58</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81,634,059.25</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32,541.67</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32,541.67</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-32,541.67</w:t>
            </w:r>
            <w:r>
              <w:rPr>
                <w:rFonts w:ascii="Times New Roman"/>
                <w:sz w:val="18"/>
              </w:rPr>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617,393,779.00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617,393,779.00</w:t>
            </w: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120,680,567.21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120,680,567.21</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18,089,349.47</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-18,089,349.47</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102,591,217.74</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-102,591,217.74</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73,305,810.59</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73,390,393.93</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84,583.34</w:t>
            </w:r>
          </w:p>
        </w:tc>
      </w:tr>
      <w:tr>
        <w:trPr>
          <w:trHeight w:val="348"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84,583.34</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-84,583.34</w:t>
            </w:r>
            <w:r>
              <w:rPr>
                <w:rFonts w:ascii="Times New Roman"/>
                <w:sz w:val="18"/>
              </w:rPr>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94,142,067.31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69,946,779.20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-24,195,288.11</w:t>
            </w:r>
          </w:p>
        </w:tc>
      </w:tr>
      <w:tr>
        <w:trPr>
          <w:trHeight w:val="348"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40"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24,195,288.11</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24,195,288.11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17"/>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34、其他" w:id="226"/>
      <w:bookmarkEnd w:id="226"/>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1117"/>
        <w:jc w:val="left"/>
        <w:rPr>
          <w:b w:val="0"/>
          <w:bCs w:val="0"/>
        </w:rPr>
      </w:pPr>
      <w:bookmarkStart w:name="六、税项" w:id="227"/>
      <w:bookmarkEnd w:id="22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主要税种及税率" w:id="228"/>
      <w:bookmarkEnd w:id="22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 增值额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应交增值税额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北京中科彩技术有限公司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鸿博昊天科技有限公司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重庆市鸿海印务有限公司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四川鸿海印务有限公司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鸿博（福建）数据网络科技股份有限公司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福州港龙贸易有限公司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福建鸿博致远信息科技有限公司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广州彩创网络技术有限公司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南昌彩翼通科技有限公司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博涛海丝（海南）贸易有限公司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鸿博彩票（海南）有限公司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海南鸿铂文化有限公司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北京昊天国彩印刷有限公司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北京科信盛彩投资有限公司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钻研（北京）国际文化传媒有限公司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四川玉屏池酒业有限公司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无锡双龙信息纸有限公司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无锡双龙物联网科技有限公司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2、税收优惠" w:id="229"/>
      <w:bookmarkEnd w:id="22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4" w:right="1117"/>
        <w:jc w:val="left"/>
      </w:pPr>
      <w:r>
        <w:rPr>
          <w:rFonts w:ascii="宋体" w:hAnsi="宋体" w:cs="宋体" w:eastAsia="宋体" w:hint="default"/>
        </w:rPr>
        <w:t>1.</w:t>
      </w:r>
      <w:r>
        <w:rPr/>
        <w:t>增值税优惠 </w:t>
      </w:r>
      <w:r>
        <w:rPr>
          <w:spacing w:val="-1"/>
        </w:rPr>
        <w:t>本公司鸿博股份为福利企业，根据财政部和国家税务总局《关于促进残疾人就业增值税优惠政策的通</w:t>
      </w:r>
    </w:p>
    <w:p>
      <w:pPr>
        <w:pStyle w:val="BodyText"/>
        <w:spacing w:line="273" w:lineRule="auto"/>
        <w:ind w:right="1131"/>
        <w:jc w:val="both"/>
      </w:pPr>
      <w:r>
        <w:rPr>
          <w:spacing w:val="-1"/>
        </w:rPr>
        <w:t>知》（财税［</w:t>
      </w:r>
      <w:r>
        <w:rPr>
          <w:rFonts w:ascii="宋体" w:hAnsi="宋体" w:cs="宋体" w:eastAsia="宋体" w:hint="default"/>
          <w:spacing w:val="-1"/>
        </w:rPr>
        <w:t>2016</w:t>
      </w:r>
      <w:r>
        <w:rPr>
          <w:spacing w:val="-1"/>
        </w:rPr>
        <w:t>］</w:t>
      </w:r>
      <w:r>
        <w:rPr>
          <w:rFonts w:ascii="宋体" w:hAnsi="宋体" w:cs="宋体" w:eastAsia="宋体" w:hint="default"/>
          <w:spacing w:val="-1"/>
        </w:rPr>
        <w:t>52</w:t>
      </w:r>
      <w:r>
        <w:rPr>
          <w:spacing w:val="-1"/>
        </w:rPr>
        <w:t>号）的规定，自</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w:t>
      </w:r>
      <w:r>
        <w:rPr>
          <w:spacing w:val="-1"/>
        </w:rPr>
        <w:t>日起实行由税务机关按纳税人安置残疾人的人数，限额</w:t>
      </w:r>
      <w:r>
        <w:rPr>
          <w:spacing w:val="-83"/>
        </w:rPr>
        <w:t> </w:t>
      </w:r>
      <w:r>
        <w:rPr>
          <w:spacing w:val="-83"/>
        </w:rPr>
      </w:r>
      <w:r>
        <w:rPr>
          <w:spacing w:val="-1"/>
        </w:rPr>
        <w:t>即征即退增值税的办法。安置的每位残疾人每月可退还的增值税具体限额，由县级以上税务机关根据纳税</w:t>
      </w:r>
      <w:r>
        <w:rPr>
          <w:spacing w:val="-81"/>
        </w:rPr>
        <w:t> </w:t>
      </w:r>
      <w:r>
        <w:rPr>
          <w:spacing w:val="-81"/>
        </w:rPr>
      </w:r>
      <w:r>
        <w:rPr>
          <w:spacing w:val="-1"/>
        </w:rPr>
        <w:t>人所在区县（含县级市、旗，下同）适用的经省（含自治区、直辖市、计划单列市，下同）人民政府批准</w:t>
      </w:r>
      <w:r>
        <w:rPr>
          <w:spacing w:val="-86"/>
        </w:rPr>
        <w:t> </w:t>
      </w:r>
      <w:r>
        <w:rPr>
          <w:spacing w:val="-86"/>
        </w:rPr>
      </w:r>
      <w:r>
        <w:rPr/>
        <w:t>的月最低工资标准的</w:t>
      </w:r>
      <w:r>
        <w:rPr>
          <w:rFonts w:ascii="宋体" w:hAnsi="宋体" w:cs="宋体" w:eastAsia="宋体" w:hint="default"/>
        </w:rPr>
        <w:t>4</w:t>
      </w:r>
      <w:r>
        <w:rPr/>
        <w:t>倍确定。</w:t>
      </w:r>
    </w:p>
    <w:p>
      <w:pPr>
        <w:pStyle w:val="BodyText"/>
        <w:spacing w:line="240" w:lineRule="auto"/>
        <w:ind w:left="574" w:right="1117"/>
        <w:jc w:val="left"/>
      </w:pPr>
      <w:r>
        <w:rPr>
          <w:rFonts w:ascii="宋体" w:hAnsi="宋体" w:cs="宋体" w:eastAsia="宋体" w:hint="default"/>
        </w:rPr>
        <w:t>2.</w:t>
      </w:r>
      <w:r>
        <w:rPr/>
        <w:t>企业所得税优惠</w:t>
      </w:r>
    </w:p>
    <w:p>
      <w:pPr>
        <w:pStyle w:val="BodyText"/>
        <w:spacing w:line="273" w:lineRule="auto" w:before="37"/>
        <w:ind w:right="1128" w:firstLine="420"/>
        <w:jc w:val="both"/>
      </w:pPr>
      <w:r>
        <w:rPr/>
        <w:t>（</w:t>
      </w:r>
      <w:r>
        <w:rPr>
          <w:rFonts w:ascii="宋体" w:hAnsi="宋体" w:cs="宋体" w:eastAsia="宋体" w:hint="default"/>
        </w:rPr>
        <w:t>1</w:t>
      </w:r>
      <w:r>
        <w:rPr/>
        <w:t>）根据《高新技术企业认定管理办法》及《中华人民共和国企业所得税法》等有关规定，本公司 </w:t>
      </w:r>
      <w:r>
        <w:rPr>
          <w:spacing w:val="2"/>
        </w:rPr>
        <w:t>鸿博股份有限公司于</w:t>
      </w:r>
      <w:r>
        <w:rPr>
          <w:rFonts w:ascii="宋体" w:hAnsi="宋体" w:cs="宋体" w:eastAsia="宋体" w:hint="default"/>
          <w:spacing w:val="2"/>
        </w:rPr>
        <w:t>2017</w:t>
      </w:r>
      <w:r>
        <w:rPr>
          <w:spacing w:val="2"/>
        </w:rPr>
        <w:t>年被认定为高新技术企业，并取得编号为“GR201735000502”高新技术企业证</w:t>
      </w:r>
      <w:r>
        <w:rPr>
          <w:spacing w:val="-54"/>
        </w:rPr>
        <w:t> </w:t>
      </w:r>
      <w:r>
        <w:rPr>
          <w:spacing w:val="-54"/>
        </w:rPr>
      </w:r>
      <w:r>
        <w:rPr/>
        <w:t>书，于</w:t>
      </w:r>
      <w:r>
        <w:rPr>
          <w:rFonts w:ascii="宋体" w:hAnsi="宋体" w:cs="宋体" w:eastAsia="宋体" w:hint="default"/>
        </w:rPr>
        <w:t>2017</w:t>
      </w:r>
      <w:r>
        <w:rPr/>
        <w:t>年至</w:t>
      </w:r>
      <w:r>
        <w:rPr>
          <w:rFonts w:ascii="宋体" w:hAnsi="宋体" w:cs="宋体" w:eastAsia="宋体" w:hint="default"/>
        </w:rPr>
        <w:t>2019</w:t>
      </w:r>
      <w:r>
        <w:rPr/>
        <w:t>年企业所得税按</w:t>
      </w:r>
      <w:r>
        <w:rPr>
          <w:rFonts w:ascii="宋体" w:hAnsi="宋体" w:cs="宋体" w:eastAsia="宋体" w:hint="default"/>
        </w:rPr>
        <w:t>15%</w:t>
      </w:r>
      <w:r>
        <w:rPr/>
        <w:t>的税率征收；孙公司北京中科彩技术有限公司于</w:t>
      </w:r>
      <w:r>
        <w:rPr>
          <w:rFonts w:ascii="宋体" w:hAnsi="宋体" w:cs="宋体" w:eastAsia="宋体" w:hint="default"/>
        </w:rPr>
        <w:t>2016</w:t>
      </w:r>
      <w:r>
        <w:rPr/>
        <w:t>年被认定为</w:t>
      </w:r>
      <w:r>
        <w:rPr>
          <w:spacing w:val="-28"/>
        </w:rPr>
        <w:t> </w:t>
      </w:r>
      <w:r>
        <w:rPr>
          <w:spacing w:val="-3"/>
        </w:rPr>
        <w:t>高新技术企业，并取得编号为“GR201611002718”高新技术企业证书，于</w:t>
      </w:r>
      <w:r>
        <w:rPr>
          <w:rFonts w:ascii="宋体" w:hAnsi="宋体" w:cs="宋体" w:eastAsia="宋体" w:hint="default"/>
          <w:spacing w:val="-3"/>
        </w:rPr>
        <w:t>2016</w:t>
      </w:r>
      <w:r>
        <w:rPr>
          <w:spacing w:val="-3"/>
        </w:rPr>
        <w:t>年至</w:t>
      </w:r>
      <w:r>
        <w:rPr>
          <w:rFonts w:ascii="宋体" w:hAnsi="宋体" w:cs="宋体" w:eastAsia="宋体" w:hint="default"/>
          <w:spacing w:val="-3"/>
        </w:rPr>
        <w:t>2018</w:t>
      </w:r>
      <w:r>
        <w:rPr>
          <w:spacing w:val="-3"/>
        </w:rPr>
        <w:t>年企业所得税按</w:t>
      </w:r>
      <w:r>
        <w:rPr>
          <w:rFonts w:ascii="宋体" w:hAnsi="宋体" w:cs="宋体" w:eastAsia="宋体" w:hint="default"/>
          <w:spacing w:val="-3"/>
        </w:rPr>
        <w:t>15%</w:t>
      </w:r>
      <w:r>
        <w:rPr>
          <w:rFonts w:ascii="宋体" w:hAnsi="宋体" w:cs="宋体" w:eastAsia="宋体" w:hint="default"/>
          <w:spacing w:val="-58"/>
        </w:rPr>
        <w:t> </w:t>
      </w:r>
      <w:r>
        <w:rPr/>
        <w:t>的</w:t>
      </w:r>
      <w:r>
        <w:rPr>
          <w:spacing w:val="-73"/>
        </w:rPr>
        <w:t> </w:t>
      </w:r>
      <w:r>
        <w:rPr/>
        <w:t>税</w:t>
      </w:r>
      <w:r>
        <w:rPr>
          <w:spacing w:val="-73"/>
        </w:rPr>
        <w:t> </w:t>
      </w:r>
      <w:r>
        <w:rPr/>
        <w:t>率</w:t>
      </w:r>
      <w:r>
        <w:rPr>
          <w:spacing w:val="-73"/>
        </w:rPr>
        <w:t> </w:t>
      </w:r>
      <w:r>
        <w:rPr/>
        <w:t>征</w:t>
      </w:r>
      <w:r>
        <w:rPr>
          <w:spacing w:val="-73"/>
        </w:rPr>
        <w:t> </w:t>
      </w:r>
      <w:r>
        <w:rPr/>
        <w:t>收</w:t>
      </w:r>
      <w:r>
        <w:rPr>
          <w:spacing w:val="-72"/>
        </w:rPr>
        <w:t> </w:t>
      </w:r>
      <w:r>
        <w:rPr/>
        <w:t>；</w:t>
      </w:r>
      <w:r>
        <w:rPr>
          <w:spacing w:val="-73"/>
        </w:rPr>
        <w:t> </w:t>
      </w:r>
      <w:r>
        <w:rPr/>
        <w:t>子</w:t>
      </w:r>
      <w:r>
        <w:rPr>
          <w:spacing w:val="-73"/>
        </w:rPr>
        <w:t> </w:t>
      </w:r>
      <w:r>
        <w:rPr/>
        <w:t>公</w:t>
      </w:r>
      <w:r>
        <w:rPr>
          <w:spacing w:val="-73"/>
        </w:rPr>
        <w:t> </w:t>
      </w:r>
      <w:r>
        <w:rPr/>
        <w:t>司</w:t>
      </w:r>
      <w:r>
        <w:rPr>
          <w:spacing w:val="-73"/>
        </w:rPr>
        <w:t> </w:t>
      </w:r>
      <w:r>
        <w:rPr/>
        <w:t>鸿</w:t>
      </w:r>
      <w:r>
        <w:rPr>
          <w:spacing w:val="-72"/>
        </w:rPr>
        <w:t> </w:t>
      </w:r>
      <w:r>
        <w:rPr/>
        <w:t>博</w:t>
      </w:r>
      <w:r>
        <w:rPr>
          <w:spacing w:val="-73"/>
        </w:rPr>
        <w:t> </w:t>
      </w:r>
      <w:r>
        <w:rPr/>
        <w:t>昊</w:t>
      </w:r>
      <w:r>
        <w:rPr>
          <w:spacing w:val="-73"/>
        </w:rPr>
        <w:t> </w:t>
      </w:r>
      <w:r>
        <w:rPr/>
        <w:t>天</w:t>
      </w:r>
      <w:r>
        <w:rPr>
          <w:spacing w:val="-73"/>
        </w:rPr>
        <w:t> </w:t>
      </w:r>
      <w:r>
        <w:rPr/>
        <w:t>科</w:t>
      </w:r>
      <w:r>
        <w:rPr>
          <w:spacing w:val="-73"/>
        </w:rPr>
        <w:t> </w:t>
      </w:r>
      <w:r>
        <w:rPr/>
        <w:t>技</w:t>
      </w:r>
      <w:r>
        <w:rPr>
          <w:spacing w:val="-72"/>
        </w:rPr>
        <w:t> </w:t>
      </w:r>
      <w:r>
        <w:rPr/>
        <w:t>有</w:t>
      </w:r>
      <w:r>
        <w:rPr>
          <w:spacing w:val="-73"/>
        </w:rPr>
        <w:t> </w:t>
      </w:r>
      <w:r>
        <w:rPr/>
        <w:t>限</w:t>
      </w:r>
      <w:r>
        <w:rPr>
          <w:spacing w:val="-73"/>
        </w:rPr>
        <w:t> </w:t>
      </w:r>
      <w:r>
        <w:rPr/>
        <w:t>公</w:t>
      </w:r>
      <w:r>
        <w:rPr>
          <w:spacing w:val="-73"/>
        </w:rPr>
        <w:t> </w:t>
      </w:r>
      <w:r>
        <w:rPr/>
        <w:t>司</w:t>
      </w:r>
      <w:r>
        <w:rPr>
          <w:spacing w:val="-73"/>
        </w:rPr>
        <w:t> </w:t>
      </w:r>
      <w:r>
        <w:rPr/>
        <w:t>于</w:t>
      </w:r>
      <w:r>
        <w:rPr>
          <w:spacing w:val="-66"/>
        </w:rPr>
        <w:t> </w:t>
      </w:r>
      <w:r>
        <w:rPr>
          <w:rFonts w:ascii="宋体" w:hAnsi="宋体" w:cs="宋体" w:eastAsia="宋体" w:hint="default"/>
        </w:rPr>
        <w:t>2017</w:t>
      </w:r>
      <w:r>
        <w:rPr>
          <w:rFonts w:ascii="宋体" w:hAnsi="宋体" w:cs="宋体" w:eastAsia="宋体" w:hint="default"/>
          <w:spacing w:val="-72"/>
        </w:rPr>
        <w:t> </w:t>
      </w:r>
      <w:r>
        <w:rPr>
          <w:spacing w:val="28"/>
        </w:rPr>
        <w:t>年被认定为高新技</w:t>
      </w:r>
      <w:r>
        <w:rPr>
          <w:spacing w:val="-72"/>
        </w:rPr>
        <w:t> </w:t>
      </w:r>
      <w:r>
        <w:rPr>
          <w:spacing w:val="25"/>
        </w:rPr>
        <w:t>术企业，并</w:t>
      </w:r>
      <w:r>
        <w:rPr>
          <w:spacing w:val="-72"/>
        </w:rPr>
        <w:t> </w:t>
      </w:r>
      <w:r>
        <w:rPr>
          <w:spacing w:val="24"/>
        </w:rPr>
        <w:t>取得编号</w:t>
      </w:r>
      <w:r>
        <w:rPr>
          <w:spacing w:val="-74"/>
        </w:rPr>
        <w:t> </w:t>
      </w:r>
      <w:r>
        <w:rPr/>
        <w:t>为</w:t>
      </w:r>
      <w:r>
        <w:rPr/>
        <w:t> “GR201711000836”高新技术企业证书，于</w:t>
      </w:r>
      <w:r>
        <w:rPr>
          <w:rFonts w:ascii="宋体" w:hAnsi="宋体" w:cs="宋体" w:eastAsia="宋体" w:hint="default"/>
        </w:rPr>
        <w:t>2017</w:t>
      </w:r>
      <w:r>
        <w:rPr/>
        <w:t>年至</w:t>
      </w:r>
      <w:r>
        <w:rPr>
          <w:rFonts w:ascii="宋体" w:hAnsi="宋体" w:cs="宋体" w:eastAsia="宋体" w:hint="default"/>
        </w:rPr>
        <w:t>2019</w:t>
      </w:r>
      <w:r>
        <w:rPr/>
        <w:t>年企业所得税按</w:t>
      </w:r>
      <w:r>
        <w:rPr>
          <w:rFonts w:ascii="宋体" w:hAnsi="宋体" w:cs="宋体" w:eastAsia="宋体" w:hint="default"/>
        </w:rPr>
        <w:t>15%</w:t>
      </w:r>
      <w:r>
        <w:rPr/>
        <w:t>的税率征收。</w:t>
      </w:r>
    </w:p>
    <w:p>
      <w:pPr>
        <w:pStyle w:val="BodyText"/>
        <w:spacing w:line="240" w:lineRule="auto"/>
        <w:ind w:left="574" w:right="0"/>
        <w:jc w:val="left"/>
      </w:pPr>
      <w:r>
        <w:rPr/>
        <w:t>根据财政部和国家税务总局《关于安置残疾人员就业有关企业所得税优惠政策问题的通知》（财税字</w:t>
      </w:r>
    </w:p>
    <w:p>
      <w:pPr>
        <w:pStyle w:val="BodyText"/>
        <w:spacing w:line="273" w:lineRule="auto" w:before="37"/>
        <w:ind w:right="1130"/>
        <w:jc w:val="both"/>
      </w:pPr>
      <w:r>
        <w:rPr>
          <w:spacing w:val="-5"/>
        </w:rPr>
        <w:t>［</w:t>
      </w:r>
      <w:r>
        <w:rPr>
          <w:rFonts w:ascii="宋体" w:hAnsi="宋体" w:cs="宋体" w:eastAsia="宋体" w:hint="default"/>
          <w:spacing w:val="-5"/>
        </w:rPr>
        <w:t>2009</w:t>
      </w:r>
      <w:r>
        <w:rPr>
          <w:spacing w:val="-5"/>
        </w:rPr>
        <w:t>］</w:t>
      </w:r>
      <w:r>
        <w:rPr>
          <w:rFonts w:ascii="宋体" w:hAnsi="宋体" w:cs="宋体" w:eastAsia="宋体" w:hint="default"/>
          <w:spacing w:val="-5"/>
        </w:rPr>
        <w:t>70</w:t>
      </w:r>
      <w:r>
        <w:rPr>
          <w:spacing w:val="-5"/>
        </w:rPr>
        <w:t>号）的规定，报告期本公司企业所得税的优惠政策为按在税前列支残疾人工资的基础上加计</w:t>
      </w:r>
      <w:r>
        <w:rPr>
          <w:rFonts w:ascii="宋体" w:hAnsi="宋体" w:cs="宋体" w:eastAsia="宋体" w:hint="default"/>
          <w:spacing w:val="-5"/>
        </w:rPr>
        <w:t>100%</w:t>
      </w:r>
      <w:r>
        <w:rPr>
          <w:rFonts w:ascii="宋体" w:hAnsi="宋体" w:cs="宋体" w:eastAsia="宋体" w:hint="default"/>
          <w:spacing w:val="-79"/>
        </w:rPr>
        <w:t> </w:t>
      </w:r>
      <w:r>
        <w:rPr/>
        <w:t>扣除。</w:t>
      </w:r>
    </w:p>
    <w:p>
      <w:pPr>
        <w:pStyle w:val="BodyText"/>
        <w:spacing w:line="273" w:lineRule="auto"/>
        <w:ind w:right="1131" w:firstLine="420"/>
        <w:jc w:val="both"/>
      </w:pPr>
      <w:r>
        <w:rPr/>
        <w:t>（</w:t>
      </w:r>
      <w:r>
        <w:rPr>
          <w:rFonts w:ascii="宋体" w:hAnsi="宋体" w:cs="宋体" w:eastAsia="宋体" w:hint="default"/>
        </w:rPr>
        <w:t>2</w:t>
      </w:r>
      <w:r>
        <w:rPr/>
        <w:t>）根据财政部、国家税务总局及海关总署联合发文的《关于深入实施西部大开发战略有关税收政 </w:t>
      </w:r>
      <w:r>
        <w:rPr>
          <w:spacing w:val="-1"/>
        </w:rPr>
        <w:t>策问题的通知》（财税［</w:t>
      </w:r>
      <w:r>
        <w:rPr>
          <w:rFonts w:ascii="宋体" w:hAnsi="宋体" w:cs="宋体" w:eastAsia="宋体" w:hint="default"/>
          <w:spacing w:val="-1"/>
        </w:rPr>
        <w:t>2011</w:t>
      </w:r>
      <w:r>
        <w:rPr>
          <w:spacing w:val="-1"/>
        </w:rPr>
        <w:t>］</w:t>
      </w:r>
      <w:r>
        <w:rPr>
          <w:rFonts w:ascii="宋体" w:hAnsi="宋体" w:cs="宋体" w:eastAsia="宋体" w:hint="default"/>
          <w:spacing w:val="-1"/>
        </w:rPr>
        <w:t>58</w:t>
      </w:r>
      <w:r>
        <w:rPr>
          <w:spacing w:val="-1"/>
        </w:rPr>
        <w:t>号）第二条的规定，子公司重庆市鸿海印务有限公司及孙公司四川鸿海</w:t>
      </w:r>
      <w:r>
        <w:rPr>
          <w:spacing w:val="-81"/>
        </w:rPr>
        <w:t> </w:t>
      </w:r>
      <w:r>
        <w:rPr>
          <w:spacing w:val="-81"/>
        </w:rPr>
      </w:r>
      <w:r>
        <w:rPr/>
        <w:t>印务有限公司</w:t>
      </w:r>
      <w:r>
        <w:rPr>
          <w:rFonts w:ascii="宋体" w:hAnsi="宋体" w:cs="宋体" w:eastAsia="宋体" w:hint="default"/>
        </w:rPr>
        <w:t>2011</w:t>
      </w:r>
      <w:r>
        <w:rPr/>
        <w:t>年至</w:t>
      </w:r>
      <w:r>
        <w:rPr>
          <w:rFonts w:ascii="宋体" w:hAnsi="宋体" w:cs="宋体" w:eastAsia="宋体" w:hint="default"/>
        </w:rPr>
        <w:t>2020</w:t>
      </w:r>
      <w:r>
        <w:rPr/>
        <w:t>年期间的企业所得税按</w:t>
      </w:r>
      <w:r>
        <w:rPr>
          <w:rFonts w:ascii="宋体" w:hAnsi="宋体" w:cs="宋体" w:eastAsia="宋体" w:hint="default"/>
        </w:rPr>
        <w:t>15%</w:t>
      </w:r>
      <w:r>
        <w:rPr/>
        <w:t>的税率征收。</w:t>
      </w:r>
    </w:p>
    <w:p>
      <w:pPr>
        <w:pStyle w:val="BodyText"/>
        <w:spacing w:line="273" w:lineRule="auto"/>
        <w:ind w:right="1017" w:firstLine="420"/>
        <w:jc w:val="left"/>
      </w:pPr>
      <w:r>
        <w:rPr>
          <w:spacing w:val="-5"/>
        </w:rPr>
        <w:t>（</w:t>
      </w:r>
      <w:r>
        <w:rPr>
          <w:rFonts w:ascii="宋体" w:hAnsi="宋体" w:cs="宋体" w:eastAsia="宋体" w:hint="default"/>
          <w:spacing w:val="-5"/>
        </w:rPr>
        <w:t>3</w:t>
      </w:r>
      <w:r>
        <w:rPr>
          <w:spacing w:val="-5"/>
        </w:rPr>
        <w:t>）根据《财政部税务总局关于进一步扩大小型微利企业所得税优惠政策范围的通知》（财税〔</w:t>
      </w:r>
      <w:r>
        <w:rPr>
          <w:rFonts w:ascii="宋体" w:hAnsi="宋体" w:cs="宋体" w:eastAsia="宋体" w:hint="default"/>
          <w:spacing w:val="-5"/>
        </w:rPr>
        <w:t>2018</w:t>
      </w:r>
      <w:r>
        <w:rPr>
          <w:spacing w:val="-5"/>
        </w:rPr>
        <w:t>〕</w:t>
      </w:r>
      <w:r>
        <w:rPr/>
        <w:t> </w:t>
      </w:r>
      <w:r>
        <w:rPr>
          <w:rFonts w:ascii="宋体" w:hAnsi="宋体" w:cs="宋体" w:eastAsia="宋体" w:hint="default"/>
        </w:rPr>
        <w:t>77</w:t>
      </w:r>
      <w:r>
        <w:rPr/>
        <w:t>号）规定，自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日，将小型微利企业的年应纳税所得额上限由</w:t>
      </w:r>
      <w:r>
        <w:rPr>
          <w:rFonts w:ascii="宋体" w:hAnsi="宋体" w:cs="宋体" w:eastAsia="宋体" w:hint="default"/>
        </w:rPr>
        <w:t>50</w:t>
      </w:r>
      <w:r>
        <w:rPr/>
        <w:t>万元提高至</w:t>
      </w:r>
    </w:p>
    <w:p>
      <w:pPr>
        <w:pStyle w:val="BodyText"/>
        <w:spacing w:line="273" w:lineRule="auto"/>
        <w:ind w:right="1132"/>
        <w:jc w:val="both"/>
      </w:pPr>
      <w:r>
        <w:rPr>
          <w:rFonts w:ascii="宋体" w:hAnsi="宋体" w:cs="宋体" w:eastAsia="宋体" w:hint="default"/>
          <w:spacing w:val="-1"/>
        </w:rPr>
        <w:t>100</w:t>
      </w:r>
      <w:r>
        <w:rPr>
          <w:spacing w:val="-1"/>
        </w:rPr>
        <w:t>万元，对年应纳税所得额低于</w:t>
      </w:r>
      <w:r>
        <w:rPr>
          <w:rFonts w:ascii="宋体" w:hAnsi="宋体" w:cs="宋体" w:eastAsia="宋体" w:hint="default"/>
          <w:spacing w:val="-1"/>
        </w:rPr>
        <w:t>100</w:t>
      </w:r>
      <w:r>
        <w:rPr>
          <w:spacing w:val="-1"/>
        </w:rPr>
        <w:t>万元（含</w:t>
      </w:r>
      <w:r>
        <w:rPr>
          <w:rFonts w:ascii="宋体" w:hAnsi="宋体" w:cs="宋体" w:eastAsia="宋体" w:hint="default"/>
          <w:spacing w:val="-1"/>
        </w:rPr>
        <w:t>100</w:t>
      </w:r>
      <w:r>
        <w:rPr>
          <w:spacing w:val="-1"/>
        </w:rPr>
        <w:t>万元）的小型微利企业，其所得减按</w:t>
      </w:r>
      <w:r>
        <w:rPr>
          <w:rFonts w:ascii="宋体" w:hAnsi="宋体" w:cs="宋体" w:eastAsia="宋体" w:hint="default"/>
          <w:spacing w:val="-1"/>
        </w:rPr>
        <w:t>50%</w:t>
      </w:r>
      <w:r>
        <w:rPr>
          <w:spacing w:val="-1"/>
        </w:rPr>
        <w:t>计入应纳税所得</w:t>
      </w:r>
      <w:r>
        <w:rPr>
          <w:spacing w:val="-84"/>
        </w:rPr>
        <w:t> </w:t>
      </w:r>
      <w:r>
        <w:rPr>
          <w:spacing w:val="-84"/>
        </w:rPr>
      </w:r>
      <w:r>
        <w:rPr/>
        <w:t>额，按</w:t>
      </w:r>
      <w:r>
        <w:rPr>
          <w:rFonts w:ascii="宋体" w:hAnsi="宋体" w:cs="宋体" w:eastAsia="宋体" w:hint="default"/>
        </w:rPr>
        <w:t>20%</w:t>
      </w:r>
      <w:r>
        <w:rPr/>
        <w:t>的税率缴纳企业所得税。子公司南昌彩翼通科技有限公司、博涛海丝（海南）贸易有限公司、</w:t>
      </w:r>
      <w:r>
        <w:rPr>
          <w:spacing w:val="-36"/>
        </w:rPr>
        <w:t> </w:t>
      </w:r>
      <w:r>
        <w:rPr>
          <w:spacing w:val="-36"/>
        </w:rPr>
      </w:r>
      <w:r>
        <w:rPr/>
        <w:t>海南鸿铂文化有限公司、四川玉屏池酒业有限公司适用该政策。</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3、其他" w:id="230"/>
      <w:bookmarkEnd w:id="23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合并财务报表项目注释" w:id="231"/>
      <w:bookmarkEnd w:id="231"/>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32"/>
      <w:bookmarkEnd w:id="23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49,825.92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25,694.23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822,139,411.42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736,957,117.39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2,143,341.44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6,774,184.85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824,332,578.78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743,756,996.47</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8"/>
          <w:szCs w:val="18"/>
        </w:rPr>
      </w:pPr>
    </w:p>
    <w:p>
      <w:pPr>
        <w:pStyle w:val="BodyText"/>
        <w:spacing w:line="273" w:lineRule="auto" w:before="0"/>
        <w:ind w:right="1092" w:firstLine="420"/>
        <w:jc w:val="left"/>
      </w:pPr>
      <w:r>
        <w:rPr/>
        <w:t>受限货币资金说明：期末其他货币资金包括：存出投资款</w:t>
      </w:r>
      <w:r>
        <w:rPr>
          <w:rFonts w:ascii="宋体" w:hAnsi="宋体" w:cs="宋体" w:eastAsia="宋体" w:hint="default"/>
        </w:rPr>
        <w:t>1,143,341.44</w:t>
      </w:r>
      <w:r>
        <w:rPr/>
        <w:t>元、保证金</w:t>
      </w:r>
      <w:r>
        <w:rPr>
          <w:rFonts w:ascii="宋体" w:hAnsi="宋体" w:cs="宋体" w:eastAsia="宋体" w:hint="default"/>
        </w:rPr>
        <w:t>1,000,000.00</w:t>
      </w:r>
      <w:r>
        <w:rPr/>
        <w:t>元。</w:t>
      </w:r>
      <w:r>
        <w:rPr>
          <w:spacing w:val="1"/>
        </w:rPr>
        <w:t> </w:t>
      </w:r>
      <w:r>
        <w:rPr/>
        <w:t>除其他货币资金受限外，银行存款中有保证金</w:t>
      </w:r>
      <w:r>
        <w:rPr>
          <w:rFonts w:ascii="宋体" w:hAnsi="宋体" w:cs="宋体" w:eastAsia="宋体" w:hint="default"/>
        </w:rPr>
        <w:t>9,349,025.32</w:t>
      </w:r>
      <w:r>
        <w:rPr/>
        <w:t>元、定期存款</w:t>
      </w:r>
      <w:r>
        <w:rPr>
          <w:rFonts w:ascii="宋体" w:hAnsi="宋体" w:cs="宋体" w:eastAsia="宋体" w:hint="default"/>
        </w:rPr>
        <w:t>3,000,000.00</w:t>
      </w:r>
      <w:r>
        <w:rPr/>
        <w:t>元系受限资金。</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2、以公允价值计量且其变动计入当期损益的金融资产" w:id="233"/>
      <w:bookmarkEnd w:id="23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衍生金融资产" w:id="234"/>
      <w:bookmarkEnd w:id="23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4、应收票据及应收账款" w:id="235"/>
      <w:bookmarkEnd w:id="235"/>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5,060,762.32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82,814,154.64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92,497,527.83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83,114,154.64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97,558,290.15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应收票据" w:id="236"/>
      <w:bookmarkEnd w:id="23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5,060,762.32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5,060,762.32</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1,187,604.25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16,591,501.05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1,187,604.25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16,591,501.05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应收账款" w:id="237"/>
      <w:bookmarkEnd w:id="23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92,779,0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71.06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11,159,3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81,619,72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102,368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,610.27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10,164,68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92,203,927.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6,554,15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5,359,72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1,194,430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4,754,5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43.93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4,460,943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293,600.00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99,333,2</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23.00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16,519,0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68.36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82,814,15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4.64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107,123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,154.20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14,625,62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92,497,527.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76,079,635.60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3,803,981.80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3,647,548.54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364,754.85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6,302,803.00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1,260,560.60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1,875,500.26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937,750.14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406,421.11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325,136.89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4,467,162.55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4,467,162.55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92,779,071.06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11,159,346.83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12.03%</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48" w:lineRule="auto" w:before="44"/>
        <w:ind w:left="154" w:right="1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2"/>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2,739,248.94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845,806.95</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北京启思睿德文科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354,559.14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北京国彩印刷有限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436,979.82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健鼎（无锡）电子有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25,996.49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中国农业银行如皋 分行进坏账农行业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中国农业银行嘉兴 南湖支行进坏账农 行业务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中国农业银行玉环 县支行进坏账农行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中国农业银行睢宁 分行进坏账农行业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广发银行台州分行 温岭支行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845,806.95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3130"/>
        <w:gridCol w:w="2294"/>
        <w:gridCol w:w="1595"/>
        <w:gridCol w:w="2711"/>
      </w:tblGrid>
      <w:tr>
        <w:trPr>
          <w:trHeight w:val="744"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2"/>
              <w:ind w:left="352" w:right="66" w:hanging="286"/>
              <w:jc w:val="left"/>
              <w:rPr>
                <w:rFonts w:ascii="宋体" w:hAnsi="宋体" w:cs="宋体" w:eastAsia="宋体" w:hint="default"/>
                <w:sz w:val="18"/>
                <w:szCs w:val="18"/>
              </w:rPr>
            </w:pPr>
            <w:r>
              <w:rPr>
                <w:rFonts w:ascii="宋体" w:hAnsi="宋体" w:cs="宋体" w:eastAsia="宋体" w:hint="default"/>
                <w:sz w:val="18"/>
                <w:szCs w:val="18"/>
              </w:rPr>
              <w:t>占应收账款余额的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626"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32"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7,978,604.50</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8.03</w:t>
            </w:r>
          </w:p>
        </w:tc>
        <w:tc>
          <w:tcPr>
            <w:tcW w:w="2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398,930.23</w:t>
            </w:r>
          </w:p>
        </w:tc>
      </w:tr>
      <w:tr>
        <w:trPr>
          <w:trHeight w:val="432"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4,541,931.90</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4.57</w:t>
            </w:r>
          </w:p>
        </w:tc>
        <w:tc>
          <w:tcPr>
            <w:tcW w:w="2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227,096.60</w:t>
            </w:r>
          </w:p>
        </w:tc>
      </w:tr>
      <w:tr>
        <w:trPr>
          <w:trHeight w:val="432"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3,996,000.00</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4.02</w:t>
            </w:r>
          </w:p>
        </w:tc>
        <w:tc>
          <w:tcPr>
            <w:tcW w:w="2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199,800.00</w:t>
            </w:r>
          </w:p>
        </w:tc>
      </w:tr>
      <w:tr>
        <w:trPr>
          <w:trHeight w:val="432"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3,734,592.78</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3.76</w:t>
            </w:r>
          </w:p>
        </w:tc>
        <w:tc>
          <w:tcPr>
            <w:tcW w:w="2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186,729.64</w:t>
            </w:r>
          </w:p>
        </w:tc>
      </w:tr>
      <w:tr>
        <w:trPr>
          <w:trHeight w:val="432"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3,085,565.98</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3.11</w:t>
            </w:r>
          </w:p>
        </w:tc>
        <w:tc>
          <w:tcPr>
            <w:tcW w:w="2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154,278.30</w:t>
            </w:r>
          </w:p>
        </w:tc>
      </w:tr>
      <w:tr>
        <w:trPr>
          <w:trHeight w:val="43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23,336,695.16</w:t>
            </w:r>
          </w:p>
        </w:tc>
        <w:tc>
          <w:tcPr>
            <w:tcW w:w="15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23.49</w:t>
            </w:r>
          </w:p>
        </w:tc>
        <w:tc>
          <w:tcPr>
            <w:tcW w:w="27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1,166,834.77</w:t>
            </w:r>
          </w:p>
        </w:tc>
      </w:tr>
    </w:tbl>
    <w:p>
      <w:pPr>
        <w:spacing w:line="240" w:lineRule="auto" w:before="5"/>
        <w:rPr>
          <w:rFonts w:ascii="宋体" w:hAnsi="宋体" w:cs="宋体" w:eastAsia="宋体" w:hint="default"/>
          <w:sz w:val="24"/>
          <w:szCs w:val="24"/>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2"/>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pStyle w:val="Heading4"/>
        <w:spacing w:line="240" w:lineRule="auto"/>
        <w:ind w:right="1117"/>
        <w:jc w:val="left"/>
        <w:rPr>
          <w:b w:val="0"/>
          <w:bCs w:val="0"/>
        </w:rPr>
      </w:pPr>
      <w:bookmarkStart w:name="5、预付款项" w:id="238"/>
      <w:bookmarkEnd w:id="23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预付款项按账龄列示" w:id="239"/>
      <w:bookmarkEnd w:id="23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11,655,304.07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17,207,448.77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3,524,104.40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1,240,739.84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90,527.90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233,468.54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1,677,277.90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15,269,936.37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20,358,935.05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082"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年且金额重要的预付款项主要系预付的购货款，不存在损失。</w:t>
      </w:r>
    </w:p>
    <w:p>
      <w:pPr>
        <w:spacing w:line="240" w:lineRule="auto" w:before="8"/>
        <w:rPr>
          <w:rFonts w:ascii="宋体" w:hAnsi="宋体" w:cs="宋体" w:eastAsia="宋体" w:hint="default"/>
          <w:sz w:val="19"/>
          <w:szCs w:val="19"/>
        </w:rPr>
      </w:pPr>
    </w:p>
    <w:p>
      <w:pPr>
        <w:pStyle w:val="Heading4"/>
        <w:spacing w:line="240" w:lineRule="auto"/>
        <w:ind w:right="1117"/>
        <w:jc w:val="left"/>
        <w:rPr>
          <w:b w:val="0"/>
          <w:bCs w:val="0"/>
        </w:rPr>
      </w:pPr>
      <w:bookmarkStart w:name="（2）按预付对象归集的期末余额前五名的预付款情况" w:id="240"/>
      <w:bookmarkEnd w:id="24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3034"/>
        <w:gridCol w:w="2838"/>
        <w:gridCol w:w="3857"/>
      </w:tblGrid>
      <w:tr>
        <w:trPr>
          <w:trHeight w:val="353"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38"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466" w:right="0"/>
              <w:jc w:val="left"/>
              <w:rPr>
                <w:rFonts w:ascii="宋体" w:hAnsi="宋体" w:cs="宋体" w:eastAsia="宋体" w:hint="default"/>
                <w:sz w:val="21"/>
                <w:szCs w:val="21"/>
              </w:rPr>
            </w:pPr>
            <w:r>
              <w:rPr>
                <w:rFonts w:ascii="宋体" w:hAnsi="宋体" w:cs="宋体" w:eastAsia="宋体" w:hint="default"/>
                <w:sz w:val="21"/>
                <w:szCs w:val="21"/>
              </w:rPr>
              <w:t>占预付账款合计数的比例（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泸州票亿包装材料有限公司</w:t>
            </w:r>
          </w:p>
        </w:tc>
        <w:tc>
          <w:tcPr>
            <w:tcW w:w="2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3,363,769.17</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22.03</w:t>
            </w:r>
          </w:p>
        </w:tc>
      </w:tr>
      <w:tr>
        <w:trPr>
          <w:trHeight w:val="352"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泸州众创空间网络科技有限公司</w:t>
            </w:r>
          </w:p>
        </w:tc>
        <w:tc>
          <w:tcPr>
            <w:tcW w:w="2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2,632,009.36</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17.24</w:t>
            </w:r>
          </w:p>
        </w:tc>
      </w:tr>
      <w:tr>
        <w:trPr>
          <w:trHeight w:val="353"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福建鸿博光电科技有限公司</w:t>
            </w:r>
          </w:p>
        </w:tc>
        <w:tc>
          <w:tcPr>
            <w:tcW w:w="2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2,474,676.00</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16.21</w:t>
            </w:r>
          </w:p>
        </w:tc>
      </w:tr>
      <w:tr>
        <w:trPr>
          <w:trHeight w:val="352"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上海森彩数码喷绘材料有限公司</w:t>
            </w:r>
          </w:p>
        </w:tc>
        <w:tc>
          <w:tcPr>
            <w:tcW w:w="2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6.55</w:t>
            </w:r>
          </w:p>
        </w:tc>
      </w:tr>
      <w:tr>
        <w:trPr>
          <w:trHeight w:val="352"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z w:val="21"/>
                <w:szCs w:val="21"/>
              </w:rPr>
              <w:t>厦门建发纸业有限公司</w:t>
            </w:r>
          </w:p>
        </w:tc>
        <w:tc>
          <w:tcPr>
            <w:tcW w:w="2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782,308.38</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5.12</w:t>
            </w:r>
          </w:p>
        </w:tc>
      </w:tr>
      <w:tr>
        <w:trPr>
          <w:trHeight w:val="353" w:hRule="exact"/>
        </w:trPr>
        <w:tc>
          <w:tcPr>
            <w:tcW w:w="3034"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10,252,762.91</w:t>
            </w:r>
          </w:p>
        </w:tc>
        <w:tc>
          <w:tcPr>
            <w:tcW w:w="3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67.15</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6、其他应收款" w:id="241"/>
      <w:bookmarkEnd w:id="241"/>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79,954.90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32,541.67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33,878,568.11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81,601,517.58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33,958,523.01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81,634,059.25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应收利息" w:id="242"/>
      <w:bookmarkEnd w:id="24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79,954.90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32,541.67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79,954.90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32,541.67</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应收股利" w:id="243"/>
      <w:bookmarkEnd w:id="24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其他应收款" w:id="244"/>
      <w:bookmarkEnd w:id="24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1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1,516,31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303,263.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1,213,055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41,251,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692.43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10,352,35</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9.94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30,899,332.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33,848,4</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66.42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1,182,95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32,665,51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52,632,</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827.94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1,930,642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50,702,185.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900,705.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122,360</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36,265,4</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92.12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2,386,92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33,878,56</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8.11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94,006,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880.37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12,405,36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81,601,517.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辽宁体彩中心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1,516,319.77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303,263.95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按预计损失金额计提坏 账</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1,516,319.77</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303,263.95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9,866,500.17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493,325.02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2,163,386.31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216,338.63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293,129.69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58,625.94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177,909.38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88,954.69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103,575.15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82,860.12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242,849.73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242,849.73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12,847,350.43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1,182,954.13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9.21%</w:t>
            </w: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38" w:lineRule="auto" w:before="44"/>
        <w:ind w:left="154" w:right="16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16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6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3"/>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702,586.74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915" w:space="29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9,315,852.04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项目合作款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福建日报社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北京国彩印刷有限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9,135,852.04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坏账无法收回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9,315,852.04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30,899,332.49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22,851,402.07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30,358,967.07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7,810,890.94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26,436,097.03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312,011.94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5,291,187.17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6,312,483.78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36,265,492.12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94,006,880.37</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pict>
          <v:group style="position:absolute;margin-left:217.520004pt;margin-top:58.341717pt;width:76.95pt;height:19.650pt;mso-position-horizontal-relative:page;mso-position-vertical-relative:paragraph;z-index:-1018456" coordorigin="4350,1167" coordsize="1539,393">
            <v:shape style="position:absolute;left:4350;top:1167;width:1539;height:393" coordorigin="4350,1167" coordsize="1539,393" path="m4350,1559l5889,1559,5889,1167,4350,1167,4350,1559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残疾人退税</w:t>
            </w:r>
          </w:p>
        </w:tc>
        <w:tc>
          <w:tcPr>
            <w:tcW w:w="159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往来款（政府补助</w:t>
            </w:r>
          </w:p>
        </w:tc>
        <w:tc>
          <w:tcPr>
            <w:tcW w:w="1594" w:type="dxa"/>
            <w:tcBorders>
              <w:top w:val="single" w:sz="4" w:space="0" w:color="000000"/>
              <w:left w:val="single" w:sz="13" w:space="0" w:color="FFFFFF"/>
              <w:bottom w:val="single" w:sz="4" w:space="0" w:color="000000"/>
              <w:right w:val="single" w:sz="4" w:space="0" w:color="000000"/>
            </w:tcBorders>
          </w:tcPr>
          <w:p>
            <w:pPr>
              <w:pStyle w:val="TableParagraph"/>
              <w:tabs>
                <w:tab w:pos="605" w:val="left" w:leader="none"/>
              </w:tabs>
              <w:spacing w:line="240" w:lineRule="auto" w:before="56"/>
              <w:ind w:left="-14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5,975,250.35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16.48%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298,762.52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中国人民财产保险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泸州老窖酿酒有限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辽宁体彩中心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1,516,319.77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303,263.95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泸州老窖博盛恒祥 酒类销售有限公司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13,907,570.12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602,026.47</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8"/>
              <w:jc w:val="left"/>
              <w:rPr>
                <w:rFonts w:ascii="宋体" w:hAnsi="宋体" w:cs="宋体" w:eastAsia="宋体" w:hint="default"/>
                <w:sz w:val="18"/>
                <w:szCs w:val="18"/>
              </w:rPr>
            </w:pPr>
            <w:r>
              <w:rPr>
                <w:rFonts w:ascii="宋体" w:hAnsi="宋体" w:cs="宋体" w:eastAsia="宋体" w:hint="default"/>
                <w:sz w:val="18"/>
                <w:szCs w:val="18"/>
              </w:rPr>
              <w:t>促进残疾人就业税收优 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5,975,250.35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2"/>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pStyle w:val="Heading4"/>
        <w:spacing w:line="240" w:lineRule="auto"/>
        <w:ind w:right="1117"/>
        <w:jc w:val="left"/>
        <w:rPr>
          <w:b w:val="0"/>
          <w:bCs w:val="0"/>
        </w:rPr>
      </w:pPr>
      <w:bookmarkStart w:name="7、存货" w:id="245"/>
      <w:bookmarkEnd w:id="245"/>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1117"/>
        <w:jc w:val="left"/>
        <w:rPr>
          <w:b w:val="0"/>
          <w:bCs w:val="0"/>
        </w:rPr>
      </w:pPr>
      <w:bookmarkStart w:name="（1）存货分类" w:id="246"/>
      <w:bookmarkEnd w:id="2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61,048,803.64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1,306,136.29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59,742,667.35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66,206,334.80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803,963.47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65,402,371.33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11,294,628.21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11,294,628.21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12,435,206.76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12,435,206.76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57,230,918.00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6,122,461.70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51,108,456.30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79,011,036.33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10,816,045.40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68,194,990.93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674,585.05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674,585.05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826,666.05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826,666.05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21,615,969.39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1,406,423.62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20,209,545.77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33,524,900.97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1,114,062.63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32,410,838.34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446,563.49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446,563.49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152,311,467.78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8,835,021.61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143,476,446.17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192,004,144.91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12,734,071.50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179,270,073.41</w:t>
            </w:r>
          </w:p>
        </w:tc>
      </w:tr>
    </w:tbl>
    <w:p>
      <w:pPr>
        <w:spacing w:line="338"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before="43"/>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存货跌价准备" w:id="247"/>
      <w:bookmarkEnd w:id="2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803,963.47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502,172.82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1,306,136.29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10,816,045.40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2,931,670.75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7,625,254.45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6,122,461.70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1,114,062.63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1,123,939.07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831,578.08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1,406,423.62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12,734,071.50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4,557,782.64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8,456,832.53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8,835,021.61</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3）存货期末余额含有借款费用资本化金额的说明" w:id="248"/>
      <w:bookmarkEnd w:id="24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4）期末建造合同形成的已完工未结算资产情况" w:id="249"/>
      <w:bookmarkEnd w:id="24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8、持有待售资产" w:id="250"/>
      <w:bookmarkEnd w:id="250"/>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9、一年内到期的非流动资产" w:id="251"/>
      <w:bookmarkEnd w:id="251"/>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10、其他流动资产" w:id="252"/>
      <w:bookmarkEnd w:id="252"/>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3,846,458.93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3,266,565.71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77,363.30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3,846,458.93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53,343,929.01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11、可供出售金融资产" w:id="253"/>
      <w:bookmarkEnd w:id="253"/>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可供出售金融资产情况" w:id="254"/>
      <w:bookmarkEnd w:id="25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143,815,265.00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143,815,265.00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158,815,265.00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158,815,265.00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143,815,265.00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143,815,265.00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158,815,265.00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158,815,265.00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143,815,265.00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143,815,265.00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158,815,265.00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158,815,265.00</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期末按公允价值计量的可供出售金融资产" w:id="255"/>
      <w:bookmarkEnd w:id="255"/>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3）期末按成本计量的可供出售金融资产" w:id="256"/>
      <w:bookmarkEnd w:id="256"/>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成都农村 商业银行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42,815,265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42,815,265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四川融圣 投资管理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泸州多成 供应链管 理有限公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中证信用 增进股份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华盖信诚 医疗健康 投资成都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
              <w:jc w:val="left"/>
              <w:rPr>
                <w:rFonts w:ascii="Times New Roman" w:hAnsi="Times New Roman" w:cs="Times New Roman" w:eastAsia="Times New Roman" w:hint="default"/>
                <w:sz w:val="18"/>
                <w:szCs w:val="18"/>
              </w:rPr>
            </w:pPr>
            <w:r>
              <w:rPr>
                <w:rFonts w:ascii="Times New Roman"/>
                <w:sz w:val="18"/>
              </w:rPr>
              <w:t>BLUESTO</w:t>
            </w:r>
            <w:r>
              <w:rPr>
                <w:rFonts w:ascii="Times New Roman"/>
                <w:w w:val="99"/>
                <w:sz w:val="18"/>
              </w:rPr>
              <w:t> </w:t>
            </w:r>
            <w:r>
              <w:rPr>
                <w:rFonts w:ascii="Times New Roman"/>
                <w:sz w:val="18"/>
              </w:rPr>
              <w:t>NE</w:t>
            </w:r>
            <w:r>
              <w:rPr>
                <w:rFonts w:ascii="Times New Roman"/>
                <w:w w:val="99"/>
                <w:sz w:val="18"/>
              </w:rPr>
              <w:t> </w:t>
            </w:r>
            <w:r>
              <w:rPr>
                <w:rFonts w:ascii="Times New Roman"/>
                <w:sz w:val="18"/>
              </w:rPr>
              <w:t>SOFT,INC</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158,815,26</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143,815,26</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4）报告期内可供出售金融资产减值的变动情况" w:id="257"/>
      <w:bookmarkEnd w:id="257"/>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5）可供出售权益工具期末公允价值严重下跌或非暂时性下跌但未计提减值准备的相关说" w:id="258"/>
      <w:bookmarkEnd w:id="258"/>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12、持有至到期投资" w:id="259"/>
      <w:bookmarkEnd w:id="259"/>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持有至到期投资情况" w:id="260"/>
      <w:bookmarkEnd w:id="26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期末重要的持有至到期投资" w:id="261"/>
      <w:bookmarkEnd w:id="26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3）本期重分类的持有至到期投资" w:id="262"/>
      <w:bookmarkEnd w:id="26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13、长期应收款" w:id="263"/>
      <w:bookmarkEnd w:id="263"/>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长期应收款情况" w:id="264"/>
      <w:bookmarkEnd w:id="26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2）因金融资产转移而终止确认的长期应收款" w:id="265"/>
      <w:bookmarkEnd w:id="26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3）转移长期应收款且继续涉入形成的资产、负债金额" w:id="266"/>
      <w:bookmarkEnd w:id="26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14、长期股权投资" w:id="267"/>
      <w:bookmarkEnd w:id="26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15、投资性房地产" w:id="268"/>
      <w:bookmarkEnd w:id="26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采用成本计量模式的投资性房地产" w:id="269"/>
      <w:bookmarkEnd w:id="26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2）采用公允价值计量模式的投资性房地产" w:id="270"/>
      <w:bookmarkEnd w:id="27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3）未办妥产权证书的投资性房地产情况" w:id="271"/>
      <w:bookmarkEnd w:id="27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16、固定资产" w:id="272"/>
      <w:bookmarkEnd w:id="27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596,705,806.29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617,393,779.00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596,705,806.29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617,393,779.00</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固定资产情况" w:id="273"/>
      <w:bookmarkEnd w:id="27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347,134,207.91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670,015,044.50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11,529,068.36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21,318,991.05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1,049,997,311.82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28,179,397.92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9,629,156.35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332,463.46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469,009.07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38,610,026.80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28,179,397.92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8,551,570.13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332,463.46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469,009.07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37,532,440.58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1,077,586.22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1,077,586.22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11,484,367.66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972,572.30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87,616.59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12,544,556.55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11,484,367.66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972,572.30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87,616.59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12,544,556.55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375,313,605.83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668,159,833.19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10,888,959.52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21,700,383.53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1,076,062,782.07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72,339,010.34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334,850,526.01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8,955,586.81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16,458,409.66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432,603,532.82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11,024,536.10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44,458,633.62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731,006.93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1,780,955.10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57,995,131.75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11,024,536.10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44,458,633.62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731,006.93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1,780,955.10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57,995,131.75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10,239,448.52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923,943.69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78,296.58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11,241,688.79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10,239,448.52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923,943.69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78,296.58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11,241,688.79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83,363,546.44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369,069,711.11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8,762,650.05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18,161,068.18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479,356,975.78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291,950,059.39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299,090,122.08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2,126,309.47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3,539,315.35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596,705,806.29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274,795,197.57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335,164,518.49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2,573,481.55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4,860,581.39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617,393,779.00</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暂时闲置的固定资产情况" w:id="274"/>
      <w:bookmarkEnd w:id="27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3）通过融资租赁租入的固定资产情况" w:id="275"/>
      <w:bookmarkEnd w:id="27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4）通过经营租赁租出的固定资产" w:id="276"/>
      <w:bookmarkEnd w:id="27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5）未办妥产权证书的固定资产情况" w:id="277"/>
      <w:bookmarkEnd w:id="27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梅岭观海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01-03</w:t>
            </w:r>
            <w:r>
              <w:rPr>
                <w:rFonts w:ascii="宋体" w:hAnsi="宋体" w:cs="宋体" w:eastAsia="宋体" w:hint="default"/>
                <w:sz w:val="18"/>
                <w:szCs w:val="18"/>
              </w:rPr>
              <w:t>、</w:t>
            </w:r>
            <w:r>
              <w:rPr>
                <w:rFonts w:ascii="Times New Roman" w:hAnsi="Times New Roman" w:cs="Times New Roman" w:eastAsia="Times New Roman" w:hint="default"/>
                <w:sz w:val="18"/>
                <w:szCs w:val="18"/>
              </w:rPr>
              <w:t>05-09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27,819,480.00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外购房产，尚未办理不动产权属证明</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6）固定资产清理" w:id="278"/>
      <w:bookmarkEnd w:id="27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17、在建工程" w:id="279"/>
      <w:bookmarkEnd w:id="27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948,275.86</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948,275.86</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在建工程情况" w:id="280"/>
      <w:bookmarkEnd w:id="28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信封邮封机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948,275.86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948,275.86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948,275.86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948,275.86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184,528.30</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重要在建工程项目本期变动情况" w:id="281"/>
      <w:bookmarkEnd w:id="28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信封邮 封机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2,025,86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1,077,58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部分已 验收</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2,025,86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1,077,58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3）本期计提在建工程减值准备情况" w:id="282"/>
      <w:bookmarkEnd w:id="28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4）工程物资" w:id="283"/>
      <w:bookmarkEnd w:id="28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33"/>
        <w:gridCol w:w="1317"/>
        <w:gridCol w:w="1329"/>
        <w:gridCol w:w="1196"/>
        <w:gridCol w:w="1196"/>
        <w:gridCol w:w="1196"/>
        <w:gridCol w:w="1179"/>
      </w:tblGrid>
      <w:tr>
        <w:trPr>
          <w:trHeight w:val="206"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2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3"/>
            <w:vMerge/>
            <w:tcBorders>
              <w:left w:val="single" w:sz="4" w:space="0" w:color="000000"/>
              <w:bottom w:val="single" w:sz="4" w:space="0" w:color="000000"/>
              <w:right w:val="single" w:sz="4" w:space="0" w:color="000000"/>
            </w:tcBorders>
            <w:shd w:val="clear" w:color="auto" w:fill="D2D2D2"/>
          </w:tcPr>
          <w:p>
            <w:pPr/>
          </w:p>
        </w:tc>
        <w:tc>
          <w:tcPr>
            <w:tcW w:w="357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133" w:type="dxa"/>
            <w:vMerge/>
            <w:tcBorders>
              <w:left w:val="single" w:sz="4" w:space="0" w:color="000000"/>
              <w:bottom w:val="nil" w:sz="6" w:space="0" w:color="auto"/>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7" w:type="dxa"/>
            <w:tcBorders>
              <w:top w:val="single" w:sz="4" w:space="0" w:color="000000"/>
              <w:left w:val="single" w:sz="13" w:space="0" w:color="D2D2D2"/>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18、生产性生物资产" w:id="284"/>
      <w:bookmarkEnd w:id="284"/>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采用成本计量模式的生产性生物资产" w:id="285"/>
      <w:bookmarkEnd w:id="28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2）采用公允价值计量模式的生产性生物资产" w:id="286"/>
      <w:bookmarkEnd w:id="28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19、油气资产" w:id="287"/>
      <w:bookmarkEnd w:id="287"/>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1117"/>
        <w:jc w:val="left"/>
        <w:rPr>
          <w:b w:val="0"/>
          <w:bCs w:val="0"/>
        </w:rPr>
      </w:pPr>
      <w:bookmarkStart w:name="20、无形资产" w:id="288"/>
      <w:bookmarkEnd w:id="288"/>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无形资产情况" w:id="289"/>
      <w:bookmarkEnd w:id="28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61,402,169.68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6,441,949.18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2,357,884.49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70,202,003.35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724,916.14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69,914.53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794,830.67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724,916.14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69,914.53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794,830.67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61,402,169.68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7,166,865.32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2,427,799.02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70,996,834.02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6,734,332.93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4,838,455.21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2,194,643.23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13,767,431.37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1,229,160.84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1,020,528.95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118,331.65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2,368,021.44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1,229,160.84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1,020,528.95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118,331.65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2,368,021.44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7,963,493.77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5,858,984.16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2,312,974.88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16,135,452.81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53,438,675.91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1,307,881.16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54,861,381.21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54,667,836.75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1,603,493.97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163,241.26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56,434,571.98</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未办妥产权证书的土地使用权情况" w:id="290"/>
      <w:bookmarkEnd w:id="29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357" w:lineRule="auto" w:before="51"/>
        <w:ind w:left="154" w:right="6702" w:firstLine="0"/>
        <w:jc w:val="left"/>
        <w:rPr>
          <w:rFonts w:ascii="宋体" w:hAnsi="宋体" w:cs="宋体" w:eastAsia="宋体" w:hint="default"/>
          <w:sz w:val="18"/>
          <w:szCs w:val="18"/>
        </w:rPr>
      </w:pPr>
      <w:r>
        <w:rPr>
          <w:rFonts w:ascii="宋体" w:hAnsi="宋体" w:cs="宋体" w:eastAsia="宋体" w:hint="default"/>
          <w:sz w:val="18"/>
          <w:szCs w:val="18"/>
        </w:rPr>
        <w:t>其他说明： 注</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：本期末无通过公司内部研发形成的无形资产。</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：期末无未办妥产权证书的土地使用权情况。</w:t>
      </w:r>
    </w:p>
    <w:p>
      <w:pPr>
        <w:spacing w:line="240" w:lineRule="auto" w:before="11"/>
        <w:rPr>
          <w:rFonts w:ascii="宋体" w:hAnsi="宋体" w:cs="宋体" w:eastAsia="宋体" w:hint="default"/>
          <w:sz w:val="25"/>
          <w:szCs w:val="25"/>
        </w:rPr>
      </w:pPr>
    </w:p>
    <w:p>
      <w:pPr>
        <w:pStyle w:val="Heading4"/>
        <w:spacing w:line="240" w:lineRule="auto"/>
        <w:ind w:right="1117"/>
        <w:jc w:val="left"/>
        <w:rPr>
          <w:b w:val="0"/>
          <w:bCs w:val="0"/>
        </w:rPr>
      </w:pPr>
      <w:bookmarkStart w:name="21、开发支出" w:id="291"/>
      <w:bookmarkEnd w:id="291"/>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2、商誉" w:id="292"/>
      <w:bookmarkEnd w:id="292"/>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商誉账面原值" w:id="293"/>
      <w:bookmarkEnd w:id="29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无锡双龙信息纸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17,790,965.08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17,790,965.08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广州彩创网络科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1,937,437.40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1,937,437.40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30,420,214.40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30,420,214.40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50,148,616.88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50,148,616.88</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商誉减值准备" w:id="294"/>
      <w:bookmarkEnd w:id="29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广州彩创网络技 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1,937,437.40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1,937,437.40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2,522,319.26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2,522,319.26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4,459,756.66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4,459,756.66</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73" w:lineRule="auto" w:before="89"/>
        <w:ind w:right="1302" w:firstLine="420"/>
        <w:jc w:val="left"/>
      </w:pPr>
      <w:r>
        <w:rPr/>
        <w:t>无锡双龙信息纸有限公司商誉所在资产组为无锡双龙信息纸有限公司受益于商誉的经营性相关资产 及负债，纳入资产组范围的各类资产及负债的账面价值为</w:t>
      </w:r>
      <w:r>
        <w:rPr>
          <w:rFonts w:ascii="宋体" w:hAnsi="宋体" w:cs="宋体" w:eastAsia="宋体" w:hint="default"/>
        </w:rPr>
        <w:t>6,029.12</w:t>
      </w:r>
      <w:r>
        <w:rPr/>
        <w:t>万元。</w:t>
      </w:r>
    </w:p>
    <w:p>
      <w:pPr>
        <w:pStyle w:val="BodyText"/>
        <w:spacing w:line="273" w:lineRule="auto"/>
        <w:ind w:right="1117" w:firstLine="420"/>
        <w:jc w:val="left"/>
      </w:pPr>
      <w:r>
        <w:rPr/>
        <w:t>公司通过收购北京科信盛彩投资有限公司</w:t>
      </w:r>
      <w:r>
        <w:rPr>
          <w:rFonts w:ascii="宋体" w:hAnsi="宋体" w:cs="宋体" w:eastAsia="宋体" w:hint="default"/>
        </w:rPr>
        <w:t>100%</w:t>
      </w:r>
      <w:r>
        <w:rPr/>
        <w:t>股权而持有北京中科彩技术有限公司</w:t>
      </w:r>
      <w:r>
        <w:rPr>
          <w:rFonts w:ascii="宋体" w:hAnsi="宋体" w:cs="宋体" w:eastAsia="宋体" w:hint="default"/>
        </w:rPr>
        <w:t>51%</w:t>
      </w:r>
      <w:r>
        <w:rPr/>
        <w:t>股权，北京科 </w:t>
      </w:r>
      <w:r>
        <w:rPr>
          <w:spacing w:val="-1"/>
        </w:rPr>
        <w:t>信盛彩投资有限公司除投资北京中科彩技术有限公司外，无其他经营业务，故北京科信盛彩投资有限公司</w:t>
      </w:r>
      <w:r>
        <w:rPr>
          <w:spacing w:val="-81"/>
        </w:rPr>
        <w:t> </w:t>
      </w:r>
      <w:r>
        <w:rPr>
          <w:spacing w:val="-81"/>
        </w:rPr>
      </w:r>
      <w:r>
        <w:rPr>
          <w:spacing w:val="-1"/>
        </w:rPr>
        <w:t>商誉资产组为北京中科彩技术有限公司受益于商誉的经营性相关资产及负债，纳入资产组范围的各类资产</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324" w:lineRule="auto" w:before="35"/>
        <w:ind w:left="154" w:right="1117" w:firstLine="0"/>
        <w:jc w:val="left"/>
        <w:rPr>
          <w:rFonts w:ascii="宋体" w:hAnsi="宋体" w:cs="宋体" w:eastAsia="宋体" w:hint="default"/>
          <w:sz w:val="18"/>
          <w:szCs w:val="18"/>
        </w:rPr>
      </w:pPr>
      <w:r>
        <w:rPr>
          <w:rFonts w:ascii="宋体" w:hAnsi="宋体" w:cs="宋体" w:eastAsia="宋体" w:hint="default"/>
          <w:sz w:val="21"/>
          <w:szCs w:val="21"/>
        </w:rPr>
        <w:t>及负债的账面价值为</w:t>
      </w:r>
      <w:r>
        <w:rPr>
          <w:rFonts w:ascii="宋体" w:hAnsi="宋体" w:cs="宋体" w:eastAsia="宋体" w:hint="default"/>
          <w:sz w:val="21"/>
          <w:szCs w:val="21"/>
        </w:rPr>
        <w:t>12,314.35</w:t>
      </w:r>
      <w:r>
        <w:rPr>
          <w:rFonts w:ascii="宋体" w:hAnsi="宋体" w:cs="宋体" w:eastAsia="宋体" w:hint="default"/>
          <w:sz w:val="21"/>
          <w:szCs w:val="21"/>
        </w:rPr>
        <w:t>万元。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73" w:lineRule="auto" w:before="27"/>
        <w:ind w:right="1131" w:firstLine="420"/>
        <w:jc w:val="both"/>
      </w:pPr>
      <w:r>
        <w:rPr/>
        <w:t>商誉的可收回金额按照相关资产组的预计未来现金流量现值计算，其预计现金流量根据公司批准的</w:t>
      </w:r>
      <w:r>
        <w:rPr>
          <w:rFonts w:ascii="宋体" w:hAnsi="宋体" w:cs="宋体" w:eastAsia="宋体" w:hint="default"/>
        </w:rPr>
        <w:t>5 </w:t>
      </w:r>
      <w:r>
        <w:rPr>
          <w:spacing w:val="-1"/>
        </w:rPr>
        <w:t>年期现金流量预测为基础，基于谨慎考虑业务在五年后已趋于稳定其现金流量增长率为零，增长率和同行</w:t>
      </w:r>
      <w:r>
        <w:rPr>
          <w:spacing w:val="-81"/>
        </w:rPr>
        <w:t> </w:t>
      </w:r>
      <w:r>
        <w:rPr>
          <w:spacing w:val="-81"/>
        </w:rPr>
      </w:r>
      <w:r>
        <w:rPr/>
        <w:t>业总体长期平均增长率相当。</w:t>
      </w:r>
    </w:p>
    <w:p>
      <w:pPr>
        <w:pStyle w:val="BodyText"/>
        <w:spacing w:line="273" w:lineRule="auto" w:before="46"/>
        <w:ind w:right="1132" w:firstLine="420"/>
        <w:jc w:val="both"/>
      </w:pPr>
      <w:r>
        <w:rPr>
          <w:spacing w:val="-1"/>
        </w:rPr>
        <w:t>减值测试中采用的其他关键数据包括：收入增长率、毛利率、成本费用率等。公司根据历史经验及对</w:t>
      </w:r>
      <w:r>
        <w:rPr/>
        <w:t> </w:t>
      </w:r>
      <w:r>
        <w:rPr>
          <w:spacing w:val="-1"/>
        </w:rPr>
        <w:t>市场发展的预测确定上述关键数据。公司采用的折现率是反映当前市场货币时间价值和相关资产组特定风</w:t>
      </w:r>
      <w:r>
        <w:rPr>
          <w:spacing w:val="-81"/>
        </w:rPr>
        <w:t> </w:t>
      </w:r>
      <w:r>
        <w:rPr>
          <w:spacing w:val="-81"/>
        </w:rPr>
      </w:r>
      <w:r>
        <w:rPr/>
        <w:t>险的税前利率。</w:t>
      </w:r>
    </w:p>
    <w:p>
      <w:pPr>
        <w:pStyle w:val="BodyText"/>
        <w:spacing w:line="240" w:lineRule="auto" w:before="46"/>
        <w:ind w:left="574" w:right="1117"/>
        <w:jc w:val="left"/>
      </w:pPr>
      <w:r>
        <w:rPr>
          <w:spacing w:val="3"/>
        </w:rPr>
        <w:t>本公司对无锡双龙信息纸有限公司商誉的减值测试，系根据北京中锋资产评估有限责任公司出具的</w:t>
      </w:r>
    </w:p>
    <w:p>
      <w:pPr>
        <w:pStyle w:val="BodyText"/>
        <w:spacing w:line="273" w:lineRule="auto" w:before="37"/>
        <w:ind w:right="1130"/>
        <w:jc w:val="both"/>
      </w:pPr>
      <w:r>
        <w:rPr>
          <w:spacing w:val="3"/>
        </w:rPr>
        <w:t>《鸿博股份有限公司拟进行商誉减值测试所涉及的无锡双龙信息纸有限公司资产组可回收金额评估项目</w:t>
      </w:r>
      <w:r>
        <w:rPr>
          <w:spacing w:val="-82"/>
        </w:rPr>
        <w:t> </w:t>
      </w:r>
      <w:r>
        <w:rPr>
          <w:spacing w:val="-82"/>
        </w:rPr>
      </w:r>
      <w:r>
        <w:rPr/>
        <w:t>资产评估报告》（中锋评报字（</w:t>
      </w:r>
      <w:r>
        <w:rPr>
          <w:rFonts w:ascii="宋体" w:hAnsi="宋体" w:cs="宋体" w:eastAsia="宋体" w:hint="default"/>
        </w:rPr>
        <w:t>2019</w:t>
      </w:r>
      <w:r>
        <w:rPr/>
        <w:t>）第</w:t>
      </w:r>
      <w:r>
        <w:rPr>
          <w:rFonts w:ascii="宋体" w:hAnsi="宋体" w:cs="宋体" w:eastAsia="宋体" w:hint="default"/>
        </w:rPr>
        <w:t>01047</w:t>
      </w:r>
      <w:r>
        <w:rPr/>
        <w:t>号）确定的无锡双龙信息纸有限公司截止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spacing w:val="-29"/>
        </w:rPr>
        <w:t> </w:t>
      </w:r>
      <w:r>
        <w:rPr>
          <w:spacing w:val="-1"/>
        </w:rPr>
        <w:t>资产组价值的评估结果为基础确定，计算未来现金流现值所采用的税前折现率为</w:t>
      </w:r>
      <w:r>
        <w:rPr>
          <w:rFonts w:ascii="宋体" w:hAnsi="宋体" w:cs="宋体" w:eastAsia="宋体" w:hint="default"/>
          <w:spacing w:val="-1"/>
        </w:rPr>
        <w:t>13.39%</w:t>
      </w:r>
      <w:r>
        <w:rPr>
          <w:spacing w:val="-1"/>
        </w:rPr>
        <w:t>，根据减值测试的</w:t>
      </w:r>
      <w:r>
        <w:rPr>
          <w:spacing w:val="-80"/>
        </w:rPr>
        <w:t> </w:t>
      </w:r>
      <w:r>
        <w:rPr>
          <w:spacing w:val="-80"/>
        </w:rPr>
      </w:r>
      <w:r>
        <w:rPr>
          <w:spacing w:val="-1"/>
        </w:rPr>
        <w:t>结果，无锡双龙信息纸有限公司的商誉未发生减值，故本期期末未对其计提减值准备（上期期末商誉未发</w:t>
      </w:r>
      <w:r>
        <w:rPr>
          <w:spacing w:val="-83"/>
        </w:rPr>
        <w:t> </w:t>
      </w:r>
      <w:r>
        <w:rPr>
          <w:spacing w:val="-83"/>
        </w:rPr>
      </w:r>
      <w:r>
        <w:rPr/>
        <w:t>生减值）。</w:t>
      </w:r>
    </w:p>
    <w:p>
      <w:pPr>
        <w:pStyle w:val="BodyText"/>
        <w:spacing w:line="240" w:lineRule="auto" w:before="47"/>
        <w:ind w:left="574" w:right="0"/>
        <w:jc w:val="left"/>
      </w:pPr>
      <w:r>
        <w:rPr/>
        <w:t>本公司对北京科信盛彩投资有限公司商誉的减值测试，系根据北京中锋资产评估有限责任公司出具的</w:t>
      </w:r>
    </w:p>
    <w:p>
      <w:pPr>
        <w:pStyle w:val="BodyText"/>
        <w:spacing w:line="273" w:lineRule="auto" w:before="37"/>
        <w:ind w:right="1109"/>
        <w:jc w:val="both"/>
      </w:pPr>
      <w:r>
        <w:rPr>
          <w:spacing w:val="3"/>
        </w:rPr>
        <w:t>《鸿博股份有限公司拟进行商誉减值测试所涉及的北京中科彩技术有限公司可回收金额评估项目资产评</w:t>
      </w:r>
      <w:r>
        <w:rPr>
          <w:spacing w:val="-82"/>
        </w:rPr>
        <w:t> </w:t>
      </w:r>
      <w:r>
        <w:rPr>
          <w:spacing w:val="-82"/>
        </w:rPr>
      </w:r>
      <w:r>
        <w:rPr/>
        <w:t>估报告》（中锋评报字（</w:t>
      </w:r>
      <w:r>
        <w:rPr>
          <w:rFonts w:ascii="宋体" w:hAnsi="宋体" w:cs="宋体" w:eastAsia="宋体" w:hint="default"/>
        </w:rPr>
        <w:t>2019</w:t>
      </w:r>
      <w:r>
        <w:rPr/>
        <w:t>）第</w:t>
      </w:r>
      <w:r>
        <w:rPr>
          <w:rFonts w:ascii="宋体" w:hAnsi="宋体" w:cs="宋体" w:eastAsia="宋体" w:hint="default"/>
        </w:rPr>
        <w:t>01048</w:t>
      </w:r>
      <w:r>
        <w:rPr/>
        <w:t>号）确定的北京中科彩技术有限公司截止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日资产组</w:t>
      </w:r>
      <w:r>
        <w:rPr>
          <w:spacing w:val="-31"/>
        </w:rPr>
        <w:t> </w:t>
      </w:r>
      <w:r>
        <w:rPr>
          <w:spacing w:val="-31"/>
        </w:rPr>
      </w:r>
      <w:r>
        <w:rPr/>
        <w:t>价值的评估结果为基础确定，计算未来现金流现值所采用的税前折现率为</w:t>
      </w:r>
      <w:r>
        <w:rPr>
          <w:rFonts w:ascii="宋体" w:hAnsi="宋体" w:cs="宋体" w:eastAsia="宋体" w:hint="default"/>
        </w:rPr>
        <w:t>11.81%</w:t>
      </w:r>
      <w:r>
        <w:rPr/>
        <w:t>，根据减值测试的结果， </w:t>
      </w:r>
      <w:r>
        <w:rPr>
          <w:spacing w:val="-1"/>
        </w:rPr>
        <w:t>北京科信盛彩投资有限公司的商誉未发生减值，故本期期末未对其计提减值准备（上期期末商誉已计提减</w:t>
      </w:r>
      <w:r>
        <w:rPr>
          <w:spacing w:val="-81"/>
        </w:rPr>
        <w:t> </w:t>
      </w:r>
      <w:r>
        <w:rPr>
          <w:spacing w:val="-81"/>
        </w:rPr>
      </w:r>
      <w:r>
        <w:rPr/>
        <w:t>值准备</w:t>
      </w:r>
      <w:r>
        <w:rPr>
          <w:rFonts w:ascii="宋体" w:hAnsi="宋体" w:cs="宋体" w:eastAsia="宋体" w:hint="default"/>
        </w:rPr>
        <w:t>2,522,319.26</w:t>
      </w:r>
      <w:r>
        <w:rPr/>
        <w:t>元）。</w:t>
      </w:r>
    </w:p>
    <w:p>
      <w:pPr>
        <w:pStyle w:val="BodyText"/>
        <w:spacing w:line="240" w:lineRule="auto" w:before="47"/>
        <w:ind w:left="574" w:right="0"/>
        <w:jc w:val="left"/>
      </w:pPr>
      <w:r>
        <w:rPr>
          <w:spacing w:val="-3"/>
        </w:rPr>
        <w:t>本公司对广州彩创网络技术有限公司的商誉，在</w:t>
      </w:r>
      <w:r>
        <w:rPr>
          <w:rFonts w:ascii="宋体" w:hAnsi="宋体" w:cs="宋体" w:eastAsia="宋体" w:hint="default"/>
          <w:spacing w:val="-3"/>
        </w:rPr>
        <w:t>2017</w:t>
      </w:r>
      <w:r>
        <w:rPr>
          <w:spacing w:val="-3"/>
        </w:rPr>
        <w:t>年度已全额计提商誉减值准备，故本期不再测试。</w:t>
      </w:r>
    </w:p>
    <w:p>
      <w:pPr>
        <w:spacing w:line="360" w:lineRule="auto" w:before="102"/>
        <w:ind w:left="154" w:right="8653"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23、长期待摊费用" w:id="295"/>
      <w:bookmarkEnd w:id="29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固定资产改良费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31,868,998.14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5,777,357.02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26,091,641.12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1,050,240.81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2,751,615.89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361,836.90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3,440,019.80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32,919,238.95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2,751,615.89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6,139,193.92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29,531,660.92</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4、递延所得税资产/递延所得税负债" w:id="296"/>
      <w:bookmarkEnd w:id="29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未经抵销的递延所得税资产" w:id="297"/>
      <w:bookmarkEnd w:id="29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18,160,607.67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2,805,159.98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24,491,693.77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3,830,497.51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6,741,952.93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1,011,292.94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2,086,662.34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312,999.35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80,797,734.12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14,020,645.08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73,217,003.16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12,811,022.14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11,475,981.79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2,536,300.35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10,377,223.89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2,389,429.48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经营租赁应付款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1,134,119.55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170,117.93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4,281,695.09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642,254.26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预提退货准备金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10,442,914.10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1,566,437.12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10,327,814.10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1,549,172.12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1,488,251.71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223,237.76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128,753,310.16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22,109,953.40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126,270,344.06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21,758,612.62</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未经抵销的递延所得税负债" w:id="298"/>
      <w:bookmarkEnd w:id="29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固定资产折旧年限差异 产生的递延所得税负债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23,518,094.61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3,527,714.19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17,093,983.02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2,564,097.45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23,518,094.61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3,527,714.19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17,093,983.02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2,564,097.45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3）以抵销后净额列示的递延所得税资产或负债" w:id="299"/>
      <w:bookmarkEnd w:id="29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22,109,953.40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21,758,612.62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3,527,714.19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2,564,097.45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4）未确认递延所得税资产明细" w:id="300"/>
      <w:bookmarkEnd w:id="30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9,580,406.31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15,273,366.89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53,445,566.83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76,926,991.49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63,025,973.14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92,200,358.38</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5）未确认递延所得税资产的可抵扣亏损将于以下年度到期" w:id="301"/>
      <w:bookmarkEnd w:id="30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4,960,311.24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15,085,760.93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18,497,320.99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12,035,961.86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21,214,716.05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13,172,019.82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20,347,263.62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7,887,326.47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11,907,379.59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5,264,497.75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53,445,566.83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76,926,991.49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5、其他非流动资产" w:id="302"/>
      <w:bookmarkEnd w:id="302"/>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678,231.00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858,231.00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1"/>
        <w:ind w:right="1131" w:firstLine="420"/>
        <w:jc w:val="both"/>
      </w:pP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6</w:t>
      </w:r>
      <w:r>
        <w:rPr>
          <w:spacing w:val="-1"/>
        </w:rPr>
        <w:t>日，公司与香港弗兰德科技有限公司于福州签署了《弗兰德科技（深圳）有限公司股权转</w:t>
      </w:r>
      <w:r>
        <w:rPr/>
        <w:t> </w:t>
      </w:r>
      <w:r>
        <w:rPr>
          <w:spacing w:val="-1"/>
        </w:rPr>
        <w:t>让框架协议书》，公司拟以现金</w:t>
      </w:r>
      <w:r>
        <w:rPr>
          <w:rFonts w:ascii="宋体" w:hAnsi="宋体" w:cs="宋体" w:eastAsia="宋体" w:hint="default"/>
          <w:spacing w:val="-1"/>
        </w:rPr>
        <w:t>3.45</w:t>
      </w:r>
      <w:r>
        <w:rPr>
          <w:spacing w:val="-1"/>
        </w:rPr>
        <w:t>亿元收购弗兰德科技</w:t>
      </w:r>
      <w:r>
        <w:rPr>
          <w:rFonts w:ascii="宋体" w:hAnsi="宋体" w:cs="宋体" w:eastAsia="宋体" w:hint="default"/>
          <w:spacing w:val="-1"/>
        </w:rPr>
        <w:t>30%</w:t>
      </w:r>
      <w:r>
        <w:rPr>
          <w:spacing w:val="-1"/>
        </w:rPr>
        <w:t>股权。公司已支付股权交易定金人民币</w:t>
      </w:r>
      <w:r>
        <w:rPr>
          <w:rFonts w:ascii="宋体" w:hAnsi="宋体" w:cs="宋体" w:eastAsia="宋体" w:hint="default"/>
          <w:spacing w:val="-1"/>
        </w:rPr>
        <w:t>6,900</w:t>
      </w:r>
      <w:r>
        <w:rPr>
          <w:rFonts w:ascii="宋体" w:hAnsi="宋体" w:cs="宋体" w:eastAsia="宋体" w:hint="default"/>
          <w:spacing w:val="-79"/>
        </w:rPr>
        <w:t> </w:t>
      </w:r>
      <w:r>
        <w:rPr>
          <w:rFonts w:ascii="宋体" w:hAnsi="宋体" w:cs="宋体" w:eastAsia="宋体" w:hint="default"/>
          <w:spacing w:val="-79"/>
        </w:rPr>
      </w:r>
      <w:r>
        <w:rPr/>
        <w:t>万元。本次股权交易事项详见本附注“十六、</w:t>
      </w:r>
      <w:r>
        <w:rPr>
          <w:rFonts w:ascii="宋体" w:hAnsi="宋体" w:cs="宋体" w:eastAsia="宋体" w:hint="default"/>
        </w:rPr>
        <w:t>7</w:t>
      </w:r>
      <w:r>
        <w:rPr/>
        <w:t>”。</w:t>
      </w:r>
    </w:p>
    <w:p>
      <w:pPr>
        <w:spacing w:line="240" w:lineRule="auto" w:before="6"/>
        <w:rPr>
          <w:rFonts w:ascii="宋体" w:hAnsi="宋体" w:cs="宋体" w:eastAsia="宋体" w:hint="default"/>
          <w:sz w:val="23"/>
          <w:szCs w:val="23"/>
        </w:rPr>
      </w:pPr>
    </w:p>
    <w:p>
      <w:pPr>
        <w:pStyle w:val="Heading4"/>
        <w:spacing w:line="240" w:lineRule="auto"/>
        <w:ind w:right="1117"/>
        <w:jc w:val="left"/>
        <w:rPr>
          <w:b w:val="0"/>
          <w:bCs w:val="0"/>
        </w:rPr>
      </w:pPr>
      <w:bookmarkStart w:name="26、短期借款" w:id="303"/>
      <w:bookmarkEnd w:id="303"/>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短期借款分类" w:id="304"/>
      <w:bookmarkEnd w:id="30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已逾期未偿还的短期借款情况" w:id="305"/>
      <w:bookmarkEnd w:id="305"/>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7、以公允价值计量且其变动计入当期损益的金融负债" w:id="306"/>
      <w:bookmarkEnd w:id="306"/>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8、衍生金融负债" w:id="307"/>
      <w:bookmarkEnd w:id="307"/>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29、应付票据及应付账款" w:id="308"/>
      <w:bookmarkEnd w:id="308"/>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29,481,751.06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18,089,349.47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103,351,486.26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102,591,217.74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132,833,237.32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120,680,567.21</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1）应付票据分类列示" w:id="309"/>
      <w:bookmarkEnd w:id="30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29,481,751.06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18,089,349.47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29,481,751.06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18,089,349.47</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应付账款列示" w:id="310"/>
      <w:bookmarkEnd w:id="31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75,600,916.37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90,655,007.12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1,058,702.39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9,918,042.83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22,118,991.75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1,098,021.89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4,572,875.75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920,145.90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103,351,486.26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102,591,217.74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17"/>
        <w:jc w:val="left"/>
        <w:rPr>
          <w:b w:val="0"/>
          <w:bCs w:val="0"/>
        </w:rPr>
      </w:pPr>
      <w:bookmarkStart w:name="（3）账龄超过1年的重要应付账款" w:id="311"/>
      <w:bookmarkEnd w:id="31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北京德鑫泉物联网科技有限公司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2,586,307.68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北京睿意佳彩文化有限公司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1,110,344.34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王子奇能特殊纸（上海）有限公司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1,011,816.00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北京华油联合燃气开发有限公司马驹桥 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江苏东厦建设工程有限公司无锡分公司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890,375.69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6,598,843.71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30、预收款项" w:id="312"/>
      <w:bookmarkEnd w:id="312"/>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预收款项列示" w:id="313"/>
      <w:bookmarkEnd w:id="31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10,220,224.53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11,681,961.05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10,220,224.53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11,681,961.05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账龄超过1年的重要预收款项"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3）期末建造合同形成的已结算未完工项目情况" w:id="315"/>
      <w:bookmarkEnd w:id="31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1、应付职工薪酬" w:id="316"/>
      <w:bookmarkEnd w:id="31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应付职工薪酬列示" w:id="317"/>
      <w:bookmarkEnd w:id="31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15,505,384.84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134,450,544.29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132,695,822.67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17,260,106.46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703,281.12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11,399,356.51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11,533,027.03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569,610.60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2,367,167.48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2,367,167.48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16,208,665.96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148,217,068.28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146,596,017.18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17,829,717.06</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短期薪酬列示" w:id="318"/>
      <w:bookmarkEnd w:id="31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14,253,194.01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117,867,656.65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115,608,302.92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16,512,547.74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3,902,888.79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3,902,888.79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684,554.67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7,376,047.48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7,777,836.98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282,765.17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590,852.32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6,519,162.49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6,871,408.91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238,605.90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62,662.02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401,482.18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433,100.78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31,043.42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455,402.81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473,327.29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13,115.85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4,390,859.40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4,281,740.40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268,520.00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408,235.16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913,091.97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1,125,053.58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196,273.55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15,505,384.84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134,450,544.29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132,695,822.67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17,260,106.46</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3）设定提存计划列示" w:id="319"/>
      <w:bookmarkEnd w:id="31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689,864.64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11,035,549.39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11,172,882.01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552,532.02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13,416.48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363,807.12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360,145.02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17,078.58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703,281.12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11,399,356.51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11,533,027.03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569,610.60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32、应交税费" w:id="320"/>
      <w:bookmarkEnd w:id="320"/>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8,190,443.67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7,715,417.76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2,112,708.25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3,749,079.92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257,360.91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380,177.10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421,062.66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234,142.52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教育费附加及地方教育费附加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300,735.04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166,891.41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269,882.17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298,160.27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11,552,192.70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12,543,868.98</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3、其他应付款" w:id="321"/>
      <w:bookmarkEnd w:id="321"/>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189,811.11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84,583.34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16,721,633.64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73,305,810.59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16,911,444.75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73,390,393.93</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应付利息" w:id="322"/>
      <w:bookmarkEnd w:id="32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189,811.11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84,583.34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189,811.11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84,583.34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应付股利" w:id="323"/>
      <w:bookmarkEnd w:id="32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3）其他应付款" w:id="324"/>
      <w:bookmarkEnd w:id="32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6,221,663.62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1,567,354.46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代扣员工个人社保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414,085.20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224,348.49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预提租赁费及物业费、水电费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3,460,594.69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6,263,272.22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2,971,972.52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4,225,130.81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应付中科彩原股东股利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31,365,854.39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3,653,317.61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6,113,850.22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16,721,633.64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73,305,810.59</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34、持有待售负债" w:id="325"/>
      <w:bookmarkEnd w:id="32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35、一年内到期的非流动负债" w:id="326"/>
      <w:bookmarkEnd w:id="32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36、其他流动负债" w:id="327"/>
      <w:bookmarkEnd w:id="32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7、长期借款" w:id="328"/>
      <w:bookmarkEnd w:id="32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长期借款分类" w:id="329"/>
      <w:bookmarkEnd w:id="32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
        <w:rPr>
          <w:rFonts w:ascii="宋体" w:hAnsi="宋体" w:cs="宋体" w:eastAsia="宋体" w:hint="default"/>
          <w:sz w:val="20"/>
          <w:szCs w:val="20"/>
        </w:rPr>
      </w:pPr>
    </w:p>
    <w:p>
      <w:pPr>
        <w:pStyle w:val="Heading4"/>
        <w:spacing w:line="240" w:lineRule="auto"/>
        <w:ind w:right="1117"/>
        <w:jc w:val="left"/>
        <w:rPr>
          <w:b w:val="0"/>
          <w:bCs w:val="0"/>
        </w:rPr>
      </w:pPr>
      <w:bookmarkStart w:name="38、应付债券" w:id="330"/>
      <w:bookmarkEnd w:id="330"/>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应付债券" w:id="331"/>
      <w:bookmarkEnd w:id="33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应付债券的增减变动（不包括划分为金融负债的优先股、永续债等其他金融工具）" w:id="332"/>
      <w:bookmarkEnd w:id="33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4"/>
        <w:spacing w:line="240" w:lineRule="auto" w:before="35"/>
        <w:ind w:right="1117"/>
        <w:jc w:val="left"/>
        <w:rPr>
          <w:b w:val="0"/>
          <w:bCs w:val="0"/>
        </w:rPr>
      </w:pPr>
      <w:bookmarkStart w:name="（3）可转换公司债券的转股条件、转股时间说明" w:id="333"/>
      <w:bookmarkEnd w:id="33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4）划分为金融负债的其他金融工具说明" w:id="334"/>
      <w:bookmarkEnd w:id="33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1117"/>
        <w:jc w:val="left"/>
        <w:rPr>
          <w:b w:val="0"/>
          <w:bCs w:val="0"/>
        </w:rPr>
      </w:pPr>
      <w:bookmarkStart w:name="39、长期应付款" w:id="335"/>
      <w:bookmarkEnd w:id="335"/>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按款项性质列示长期应付款" w:id="336"/>
      <w:bookmarkEnd w:id="33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专项应付款" w:id="337"/>
      <w:bookmarkEnd w:id="33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40、长期应付职工薪酬" w:id="338"/>
      <w:bookmarkEnd w:id="33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长期应付职工薪酬表" w:id="339"/>
      <w:bookmarkEnd w:id="33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2）设定受益计划变动情况" w:id="340"/>
      <w:bookmarkEnd w:id="34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41、预计负债" w:id="341"/>
      <w:bookmarkEnd w:id="341"/>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10,442,914.10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10,327,814.10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按历史经验预提</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10,442,914.10</w:t>
            </w: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10,327,814.10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73" w:lineRule="auto" w:before="90"/>
        <w:ind w:right="1131" w:firstLine="420"/>
        <w:jc w:val="both"/>
      </w:pPr>
      <w:r>
        <w:rPr>
          <w:spacing w:val="-1"/>
        </w:rPr>
        <w:t>预付负债期末余额系中科彩公司根据相关协议计提的退货准备金。中科彩公司针对截至年末已出售但</w:t>
      </w:r>
      <w:r>
        <w:rPr/>
        <w:t> </w:t>
      </w:r>
      <w:r>
        <w:rPr>
          <w:spacing w:val="-1"/>
        </w:rPr>
        <w:t>客户尚未最终对外销售的非包销与非长线游戏的彩票，依据历史经验数据模型估算退货概率，按其销售毛</w:t>
      </w:r>
      <w:r>
        <w:rPr>
          <w:spacing w:val="-81"/>
        </w:rPr>
        <w:t> </w:t>
      </w:r>
      <w:r>
        <w:rPr>
          <w:spacing w:val="-81"/>
        </w:rPr>
      </w:r>
      <w:r>
        <w:rPr>
          <w:spacing w:val="-1"/>
        </w:rPr>
        <w:t>利与概率的乘积计提退货准备金。</w:t>
      </w:r>
      <w:r>
        <w:rPr>
          <w:rFonts w:ascii="宋体" w:hAnsi="宋体" w:cs="宋体" w:eastAsia="宋体" w:hint="default"/>
          <w:spacing w:val="-1"/>
        </w:rPr>
        <w:t>2016</w:t>
      </w:r>
      <w:r>
        <w:rPr>
          <w:spacing w:val="-1"/>
        </w:rPr>
        <w:t>年已签订新的销售合同，</w:t>
      </w:r>
      <w:r>
        <w:rPr>
          <w:rFonts w:ascii="宋体" w:hAnsi="宋体" w:cs="宋体" w:eastAsia="宋体" w:hint="default"/>
          <w:spacing w:val="-1"/>
        </w:rPr>
        <w:t>2016</w:t>
      </w:r>
      <w:r>
        <w:rPr>
          <w:spacing w:val="-1"/>
        </w:rPr>
        <w:t>年及以后的销售不再执行原有关退货</w:t>
      </w:r>
      <w:r>
        <w:rPr>
          <w:spacing w:val="-80"/>
        </w:rPr>
        <w:t> </w:t>
      </w:r>
      <w:r>
        <w:rPr>
          <w:spacing w:val="-80"/>
        </w:rPr>
      </w:r>
      <w:r>
        <w:rPr/>
        <w:t>条款的协议。</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42、递延收益" w:id="342"/>
      <w:bookmarkEnd w:id="342"/>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10,377,223.89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588,842.09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11,475,981.80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9"/>
              <w:jc w:val="right"/>
              <w:rPr>
                <w:rFonts w:ascii="宋体" w:hAnsi="宋体" w:cs="宋体" w:eastAsia="宋体" w:hint="default"/>
                <w:sz w:val="18"/>
                <w:szCs w:val="18"/>
              </w:rPr>
            </w:pPr>
            <w:r>
              <w:rPr>
                <w:rFonts w:ascii="宋体" w:hAnsi="宋体" w:cs="宋体" w:eastAsia="宋体" w:hint="default"/>
                <w:sz w:val="18"/>
                <w:szCs w:val="18"/>
              </w:rPr>
              <w:t>受益期未满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10,377,223.89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588,842.09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11,475,981.80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31"/>
              <w:jc w:val="right"/>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进口设备贴 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2,048,764.94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372,502.67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1,676,262.27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北京市大兴 区财政局锅 炉补贴款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116,447.24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环保技改项 目预拨补助 </w:t>
            </w:r>
            <w:r>
              <w:rPr>
                <w:rFonts w:ascii="宋体" w:hAnsi="宋体" w:cs="宋体" w:eastAsia="宋体" w:hint="default"/>
                <w:spacing w:val="-13"/>
                <w:sz w:val="18"/>
                <w:szCs w:val="18"/>
              </w:rPr>
              <w:t>资金（废气治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理设施升级 改造）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436,857.14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环保技改项 目预拨补助 </w:t>
            </w:r>
            <w:r>
              <w:rPr>
                <w:rFonts w:ascii="宋体" w:hAnsi="宋体" w:cs="宋体" w:eastAsia="宋体" w:hint="default"/>
                <w:spacing w:val="-13"/>
                <w:sz w:val="18"/>
                <w:szCs w:val="18"/>
              </w:rPr>
              <w:t>资金（废气治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理设施升级 改造）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废气治理设 </w:t>
            </w:r>
            <w:r>
              <w:rPr>
                <w:rFonts w:ascii="宋体" w:hAnsi="宋体" w:cs="宋体" w:eastAsia="宋体" w:hint="default"/>
                <w:spacing w:val="-13"/>
                <w:sz w:val="18"/>
                <w:szCs w:val="18"/>
              </w:rPr>
              <w:t>施改造款（环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425,833.33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柴油叉车淘 汰项目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87,209.30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燃气锅炉低 氮改造项目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1,671.43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45,128.57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尾气处理系 统开放改造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8,672.52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188,627.48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污水净化处 理项目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7,914.28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130,585.72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无锡双龙发 展扶持资金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8,328,458.95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179,428.20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8,149,030.75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43、其他非流动负债" w:id="343"/>
      <w:bookmarkEnd w:id="343"/>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44、股本" w:id="344"/>
      <w:bookmarkEnd w:id="344"/>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502,647,213.00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-2,895,000.00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-2,895,000.00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499,752,213.00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3" w:firstLine="420"/>
        <w:jc w:val="both"/>
      </w:pPr>
      <w:r>
        <w:rPr>
          <w:spacing w:val="14"/>
        </w:rPr>
        <w:t>本期股本减少系（</w:t>
      </w:r>
      <w:r>
        <w:rPr>
          <w:rFonts w:ascii="宋体" w:hAnsi="宋体" w:cs="宋体" w:eastAsia="宋体" w:hint="default"/>
          <w:spacing w:val="14"/>
        </w:rPr>
        <w:t>1</w:t>
      </w:r>
      <w:r>
        <w:rPr>
          <w:spacing w:val="14"/>
        </w:rPr>
        <w:t>）公司回购不再符合激励条件的离职员工限制性股票</w:t>
      </w:r>
      <w:r>
        <w:rPr>
          <w:spacing w:val="-69"/>
        </w:rPr>
        <w:t> </w:t>
      </w:r>
      <w:r>
        <w:rPr>
          <w:rFonts w:ascii="宋体" w:hAnsi="宋体" w:cs="宋体" w:eastAsia="宋体" w:hint="default"/>
          <w:spacing w:val="8"/>
        </w:rPr>
        <w:t>131.1</w:t>
      </w:r>
      <w:r>
        <w:rPr>
          <w:spacing w:val="8"/>
        </w:rPr>
        <w:t>万股，冲减股本</w:t>
      </w:r>
      <w:r>
        <w:rPr/>
        <w:t> </w:t>
      </w:r>
      <w:r>
        <w:rPr>
          <w:rFonts w:ascii="宋体" w:hAnsi="宋体" w:cs="宋体" w:eastAsia="宋体" w:hint="default"/>
        </w:rPr>
        <w:t>1,311,000.00</w:t>
      </w:r>
      <w:r>
        <w:rPr/>
        <w:t>元。（</w:t>
      </w:r>
      <w:r>
        <w:rPr>
          <w:rFonts w:ascii="宋体" w:hAnsi="宋体" w:cs="宋体" w:eastAsia="宋体" w:hint="default"/>
        </w:rPr>
        <w:t>2</w:t>
      </w:r>
      <w:r>
        <w:rPr/>
        <w:t>）公司终止实施</w:t>
      </w:r>
      <w:r>
        <w:rPr>
          <w:rFonts w:ascii="宋体" w:hAnsi="宋体" w:cs="宋体" w:eastAsia="宋体" w:hint="default"/>
        </w:rPr>
        <w:t>2016</w:t>
      </w:r>
      <w:r>
        <w:rPr/>
        <w:t>年限制性股票激励计划并回购注销已授予但尚未解除限售的限</w:t>
      </w:r>
      <w:r>
        <w:rPr>
          <w:spacing w:val="-34"/>
        </w:rPr>
        <w:t> </w:t>
      </w:r>
      <w:r>
        <w:rPr>
          <w:spacing w:val="-34"/>
        </w:rPr>
      </w:r>
      <w:r>
        <w:rPr/>
        <w:t>制性股票</w:t>
      </w:r>
      <w:r>
        <w:rPr>
          <w:rFonts w:ascii="宋体" w:hAnsi="宋体" w:cs="宋体" w:eastAsia="宋体" w:hint="default"/>
        </w:rPr>
        <w:t>158.4</w:t>
      </w:r>
      <w:r>
        <w:rPr/>
        <w:t>万股，冲减股本</w:t>
      </w:r>
      <w:r>
        <w:rPr>
          <w:rFonts w:ascii="宋体" w:hAnsi="宋体" w:cs="宋体" w:eastAsia="宋体" w:hint="default"/>
        </w:rPr>
        <w:t>1,584,000.00</w:t>
      </w:r>
      <w:r>
        <w:rPr/>
        <w:t>元。</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45、其他权益工具" w:id="345"/>
      <w:bookmarkEnd w:id="345"/>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期末发行在外的优先股、永续债等其他金融工具基本情况" w:id="346"/>
      <w:bookmarkEnd w:id="34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2）期末发行在外的优先股、永续债等金融工具变动情况表" w:id="347"/>
      <w:bookmarkEnd w:id="34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1117"/>
        <w:jc w:val="left"/>
        <w:rPr>
          <w:b w:val="0"/>
          <w:bCs w:val="0"/>
        </w:rPr>
      </w:pPr>
      <w:bookmarkStart w:name="46、资本公积" w:id="348"/>
      <w:bookmarkEnd w:id="348"/>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901,300,118.34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20,438,700.00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880,861,418.34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678,660.29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2,166,912.00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902,788,370.05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678,660.29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20,438,700.00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883,028,330.34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90"/>
        <w:ind w:right="1128" w:firstLine="420"/>
        <w:jc w:val="both"/>
      </w:pPr>
      <w:r>
        <w:rPr>
          <w:rFonts w:ascii="宋体" w:hAnsi="宋体" w:cs="宋体" w:eastAsia="宋体" w:hint="default"/>
        </w:rPr>
        <w:t>1</w:t>
      </w:r>
      <w:r>
        <w:rPr/>
        <w:t>、本期资本溢价（股本溢价）减少系（</w:t>
      </w:r>
      <w:r>
        <w:rPr>
          <w:rFonts w:ascii="宋体" w:hAnsi="宋体" w:cs="宋体" w:eastAsia="宋体" w:hint="default"/>
        </w:rPr>
        <w:t>1</w:t>
      </w:r>
      <w:r>
        <w:rPr/>
        <w:t>）公司回购不再符合激励条件的离职员工限制性股票</w:t>
      </w:r>
      <w:r>
        <w:rPr>
          <w:rFonts w:ascii="宋体" w:hAnsi="宋体" w:cs="宋体" w:eastAsia="宋体" w:hint="default"/>
        </w:rPr>
        <w:t>131.1 </w:t>
      </w:r>
      <w:r>
        <w:rPr/>
        <w:t>万股，冲减股本</w:t>
      </w:r>
      <w:r>
        <w:rPr>
          <w:rFonts w:ascii="宋体" w:hAnsi="宋体" w:cs="宋体" w:eastAsia="宋体" w:hint="default"/>
        </w:rPr>
        <w:t>1,311,000.00</w:t>
      </w:r>
      <w:r>
        <w:rPr/>
        <w:t>元，冲减资本公积</w:t>
      </w:r>
      <w:r>
        <w:rPr>
          <w:rFonts w:ascii="宋体" w:hAnsi="宋体" w:cs="宋体" w:eastAsia="宋体" w:hint="default"/>
        </w:rPr>
        <w:t>(</w:t>
      </w:r>
      <w:r>
        <w:rPr/>
        <w:t>股本溢价</w:t>
      </w:r>
      <w:r>
        <w:rPr>
          <w:rFonts w:ascii="宋体" w:hAnsi="宋体" w:cs="宋体" w:eastAsia="宋体" w:hint="default"/>
        </w:rPr>
        <w:t>)9,255,660.00</w:t>
      </w:r>
      <w:r>
        <w:rPr/>
        <w:t>元。（</w:t>
      </w:r>
      <w:r>
        <w:rPr>
          <w:rFonts w:ascii="宋体" w:hAnsi="宋体" w:cs="宋体" w:eastAsia="宋体" w:hint="default"/>
        </w:rPr>
        <w:t>2</w:t>
      </w:r>
      <w:r>
        <w:rPr/>
        <w:t>）公司终止实施</w:t>
      </w:r>
      <w:r>
        <w:rPr>
          <w:rFonts w:ascii="宋体" w:hAnsi="宋体" w:cs="宋体" w:eastAsia="宋体" w:hint="default"/>
        </w:rPr>
        <w:t>2016</w:t>
      </w:r>
      <w:r>
        <w:rPr/>
        <w:t>年</w:t>
      </w:r>
      <w:r>
        <w:rPr>
          <w:spacing w:val="-34"/>
        </w:rPr>
        <w:t> </w:t>
      </w:r>
      <w:r>
        <w:rPr/>
        <w:t>限制性股票激励计划并回购注销已授予但尚未解除限售的限制性股票</w:t>
      </w:r>
      <w:r>
        <w:rPr>
          <w:rFonts w:ascii="宋体" w:hAnsi="宋体" w:cs="宋体" w:eastAsia="宋体" w:hint="default"/>
        </w:rPr>
        <w:t>158.4</w:t>
      </w:r>
      <w:r>
        <w:rPr/>
        <w:t>万股，冲减股本</w:t>
      </w:r>
      <w:r>
        <w:rPr>
          <w:rFonts w:ascii="宋体" w:hAnsi="宋体" w:cs="宋体" w:eastAsia="宋体" w:hint="default"/>
        </w:rPr>
        <w:t>1,584,000.00</w:t>
      </w:r>
      <w:r>
        <w:rPr>
          <w:rFonts w:ascii="宋体" w:hAnsi="宋体" w:cs="宋体" w:eastAsia="宋体" w:hint="default"/>
          <w:spacing w:val="-25"/>
        </w:rPr>
        <w:t> </w:t>
      </w:r>
      <w:r>
        <w:rPr/>
        <w:t>元，冲减资本公积</w:t>
      </w:r>
      <w:r>
        <w:rPr>
          <w:rFonts w:ascii="宋体" w:hAnsi="宋体" w:cs="宋体" w:eastAsia="宋体" w:hint="default"/>
        </w:rPr>
        <w:t>(</w:t>
      </w:r>
      <w:r>
        <w:rPr/>
        <w:t>股本溢价</w:t>
      </w:r>
      <w:r>
        <w:rPr>
          <w:rFonts w:ascii="宋体" w:hAnsi="宋体" w:cs="宋体" w:eastAsia="宋体" w:hint="default"/>
        </w:rPr>
        <w:t>)11,183,040.00</w:t>
      </w:r>
      <w:r>
        <w:rPr/>
        <w:t>元。</w:t>
      </w:r>
    </w:p>
    <w:p>
      <w:pPr>
        <w:pStyle w:val="BodyText"/>
        <w:spacing w:line="240" w:lineRule="auto" w:before="47"/>
        <w:ind w:left="574" w:right="1117"/>
        <w:jc w:val="left"/>
      </w:pPr>
      <w:r>
        <w:rPr>
          <w:rFonts w:ascii="宋体" w:hAnsi="宋体" w:cs="宋体" w:eastAsia="宋体" w:hint="default"/>
        </w:rPr>
        <w:t>2</w:t>
      </w:r>
      <w:r>
        <w:rPr/>
        <w:t>、其他资本公积增加系确认股权激励费用</w:t>
      </w:r>
      <w:r>
        <w:rPr>
          <w:rFonts w:ascii="宋体" w:hAnsi="宋体" w:cs="宋体" w:eastAsia="宋体" w:hint="default"/>
        </w:rPr>
        <w:t>678,660.29</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47、库存股" w:id="349"/>
      <w:bookmarkEnd w:id="349"/>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23,546,000.00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8,858,611.29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23,546,000.00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8,858,611.29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23,546,000.00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8,858,611.29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23,546,000.00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8,858,611.29</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0"/>
        <w:ind w:left="574" w:right="1117"/>
        <w:jc w:val="left"/>
      </w:pPr>
      <w:r>
        <w:rPr>
          <w:rFonts w:ascii="宋体" w:hAnsi="宋体" w:cs="宋体" w:eastAsia="宋体" w:hint="default"/>
        </w:rPr>
        <w:t>1</w:t>
      </w:r>
      <w:r>
        <w:rPr/>
        <w:t>、本期库存股增加系公司回购股份数量</w:t>
      </w:r>
      <w:r>
        <w:rPr>
          <w:rFonts w:ascii="宋体" w:hAnsi="宋体" w:cs="宋体" w:eastAsia="宋体" w:hint="default"/>
        </w:rPr>
        <w:t>1,407,950.00</w:t>
      </w:r>
      <w:r>
        <w:rPr/>
        <w:t>股，金额</w:t>
      </w:r>
      <w:r>
        <w:rPr>
          <w:rFonts w:ascii="宋体" w:hAnsi="宋体" w:cs="宋体" w:eastAsia="宋体" w:hint="default"/>
        </w:rPr>
        <w:t>8,858,611.29</w:t>
      </w:r>
      <w:r>
        <w:rPr/>
        <w:t>元（含交易费用）。</w:t>
      </w:r>
    </w:p>
    <w:p>
      <w:pPr>
        <w:pStyle w:val="BodyText"/>
        <w:spacing w:line="273" w:lineRule="auto" w:before="76"/>
        <w:ind w:right="1117" w:firstLine="420"/>
        <w:jc w:val="left"/>
      </w:pPr>
      <w:r>
        <w:rPr>
          <w:rFonts w:ascii="宋体" w:hAnsi="宋体" w:cs="宋体" w:eastAsia="宋体" w:hint="default"/>
        </w:rPr>
        <w:t>2</w:t>
      </w:r>
      <w:r>
        <w:rPr/>
        <w:t>、本期库存股减少系（</w:t>
      </w:r>
      <w:r>
        <w:rPr>
          <w:rFonts w:ascii="宋体" w:hAnsi="宋体" w:cs="宋体" w:eastAsia="宋体" w:hint="default"/>
        </w:rPr>
        <w:t>1</w:t>
      </w:r>
      <w:r>
        <w:rPr/>
        <w:t>）公司回购并注销不再符合激励条件的离职员工限制性股票</w:t>
      </w:r>
      <w:r>
        <w:rPr>
          <w:rFonts w:ascii="宋体" w:hAnsi="宋体" w:cs="宋体" w:eastAsia="宋体" w:hint="default"/>
        </w:rPr>
        <w:t>131.1</w:t>
      </w:r>
      <w:r>
        <w:rPr/>
        <w:t>万股，金 </w:t>
      </w:r>
      <w:r>
        <w:rPr>
          <w:spacing w:val="-1"/>
        </w:rPr>
        <w:t>额</w:t>
      </w:r>
      <w:r>
        <w:rPr>
          <w:rFonts w:ascii="宋体" w:hAnsi="宋体" w:cs="宋体" w:eastAsia="宋体" w:hint="default"/>
          <w:spacing w:val="-1"/>
        </w:rPr>
        <w:t>10,662,800.00</w:t>
      </w:r>
      <w:r>
        <w:rPr>
          <w:spacing w:val="-1"/>
        </w:rPr>
        <w:t>元。（</w:t>
      </w:r>
      <w:r>
        <w:rPr>
          <w:rFonts w:ascii="宋体" w:hAnsi="宋体" w:cs="宋体" w:eastAsia="宋体" w:hint="default"/>
          <w:spacing w:val="-1"/>
        </w:rPr>
        <w:t>2</w:t>
      </w:r>
      <w:r>
        <w:rPr>
          <w:spacing w:val="-1"/>
        </w:rPr>
        <w:t>）公司终止实施</w:t>
      </w:r>
      <w:r>
        <w:rPr>
          <w:rFonts w:ascii="宋体" w:hAnsi="宋体" w:cs="宋体" w:eastAsia="宋体" w:hint="default"/>
          <w:spacing w:val="-1"/>
        </w:rPr>
        <w:t>2016</w:t>
      </w:r>
      <w:r>
        <w:rPr>
          <w:spacing w:val="-1"/>
        </w:rPr>
        <w:t>年限制性股票激励计划并回购注销已授予但尚未解除限售的</w:t>
      </w:r>
      <w:r>
        <w:rPr>
          <w:spacing w:val="-76"/>
        </w:rPr>
        <w:t> </w:t>
      </w:r>
      <w:r>
        <w:rPr>
          <w:spacing w:val="-76"/>
        </w:rPr>
      </w:r>
      <w:r>
        <w:rPr/>
        <w:t>限制性股票</w:t>
      </w:r>
      <w:r>
        <w:rPr>
          <w:rFonts w:ascii="宋体" w:hAnsi="宋体" w:cs="宋体" w:eastAsia="宋体" w:hint="default"/>
        </w:rPr>
        <w:t>158.4</w:t>
      </w:r>
      <w:r>
        <w:rPr/>
        <w:t>万股，金额</w:t>
      </w:r>
      <w:r>
        <w:rPr>
          <w:rFonts w:ascii="宋体" w:hAnsi="宋体" w:cs="宋体" w:eastAsia="宋体" w:hint="default"/>
        </w:rPr>
        <w:t>12,883,200.00</w:t>
      </w:r>
      <w:r>
        <w:rPr/>
        <w:t>元。</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48、其他综合收益" w:id="350"/>
      <w:bookmarkEnd w:id="350"/>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49、专项储备" w:id="351"/>
      <w:bookmarkEnd w:id="35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50、盈余公积" w:id="352"/>
      <w:bookmarkEnd w:id="352"/>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43,521,824.46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7,462,474.75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50,984,299.21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43,521,824.46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7,462,474.75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50,984,299.21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89"/>
        <w:ind w:left="574" w:right="1117"/>
        <w:jc w:val="left"/>
      </w:pPr>
      <w:r>
        <w:rPr/>
        <w:t>盈余公积本年增加系根据公司章程规定，按本年净利润的</w:t>
      </w:r>
      <w:r>
        <w:rPr>
          <w:rFonts w:ascii="宋体" w:hAnsi="宋体" w:cs="宋体" w:eastAsia="宋体" w:hint="default"/>
        </w:rPr>
        <w:t>10%</w:t>
      </w:r>
      <w:r>
        <w:rPr/>
        <w:t>计提法定盈余公积。</w:t>
      </w:r>
    </w:p>
    <w:p>
      <w:pPr>
        <w:spacing w:line="240" w:lineRule="auto" w:before="12"/>
        <w:rPr>
          <w:rFonts w:ascii="宋体" w:hAnsi="宋体" w:cs="宋体" w:eastAsia="宋体" w:hint="default"/>
          <w:sz w:val="25"/>
          <w:szCs w:val="25"/>
        </w:rPr>
      </w:pPr>
    </w:p>
    <w:p>
      <w:pPr>
        <w:pStyle w:val="Heading4"/>
        <w:spacing w:line="240" w:lineRule="auto"/>
        <w:ind w:right="1117"/>
        <w:jc w:val="left"/>
        <w:rPr>
          <w:b w:val="0"/>
          <w:bCs w:val="0"/>
        </w:rPr>
      </w:pPr>
      <w:bookmarkStart w:name="51、未分配利润" w:id="353"/>
      <w:bookmarkEnd w:id="353"/>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213,421,056.80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209,998,408.66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213,421,056.80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209,998,408.66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5,143,116.58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10,760,151.47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7,462,474.75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2,309,981.20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30,158,832.78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5,027,522.13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180,942,865.85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213,421,056.80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52、营业收入和营业成本" w:id="354"/>
      <w:bookmarkEnd w:id="354"/>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701,233,272.71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552,363,389.32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691,917,629.15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527,652,347.99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4,403,899.71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1,390,542.70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3,104,566.10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160,359.50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705,637,172.42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553,753,932.02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695,022,195.25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527,812,707.49</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53、税金及附加" w:id="355"/>
      <w:bookmarkEnd w:id="355"/>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3,375,953.72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2,792,540.35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2,410,900.39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1,991,990.81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3,259,405.90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2,583,023.08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693,936.66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821,477.86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12,256.72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18,549.13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427,431.42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442,311.18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187,906.06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210,935.70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10,367,790.87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8,860,828.11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54、销售费用" w:id="356"/>
      <w:bookmarkEnd w:id="356"/>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15,357,307.73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19,877,656.25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19,983,856.83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19,967,768.40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8,016,656.57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7,815,342.80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3,702,775.52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1,977,876.27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2,161,519.49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3,207,463.64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987,252.54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1,331,785.60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209,280.73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1,781,072.54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641,389.10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190,556.51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227,761.30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1,348,515.28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34,244.88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13,684.56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51,322,044.69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57,511,721.85</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55、管理费用" w:id="357"/>
      <w:bookmarkEnd w:id="357"/>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40,702,835.39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37,713,726.40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8,944,113.71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9,570,774.35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4,729,520.25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3,362,567.55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2,238,293.42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3,271,405.96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2,156,701.81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1,783,778.08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库存商品报废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124,458.91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707,510.53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972,760.90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1,935,754.99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1,911,312.46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1,690,835.75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1,960,311.00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1,533,737.38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1,455,488.51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1,244,440.85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1,328,494.84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516,121.51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542,954.02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5,711,769.06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3,487,437.24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152,781.30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203,890.21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82,172.09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193,636.32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19,792.45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678,660.29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1,488,251.71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310,229.89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559,769.74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73,355,270.67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69,946,779.20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56、研发费用" w:id="358"/>
      <w:bookmarkEnd w:id="358"/>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10,525,831.29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12,550,962.52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2,764,598.99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3,623,146.28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直接投入费用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9,516,613.90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6,020,316.08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1,419,524.43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2,000,863.23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24,226,568.61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24,195,288.11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57、财务费用" w:id="359"/>
      <w:bookmarkEnd w:id="359"/>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6,378,754.06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9,498,419.56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-12,659,785.08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-5,731,751.46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44,983.91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12,793.13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241,792.65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299,580.84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-5,994,254.46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4,079,042.07</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58、资产减值损失" w:id="360"/>
      <w:bookmarkEnd w:id="360"/>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2,036,662.20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878,589.70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4,570,612.10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5,315,847.18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4,459,756.66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6,607,274.30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10,654,193.54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59、其他收益" w:id="361"/>
      <w:bookmarkEnd w:id="361"/>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9,649,200.00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12,947,296.36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高新企业奖励 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福州市财政局专利奖励与资助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福州市知识产权局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省第一季度专利 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年自主知识产权 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科技小巨人奖 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发展扶持资金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179,428.20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179,428.20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绿色印刷补偿款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229,584.00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372,502.67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372,502.68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年企业开拓市场 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科技小巨人奖 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年高新技术企业 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年开拓市场区级 配套奖励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44,676.21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北京市大兴区财政局锅炉补贴款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环保技改项目预拨补助资金（废气治理 设施升级改造）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3,142.86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废气治理设施改造款（环保项目）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柴油叉车淘汰项目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燃气锅炉低氮改造项目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1,671.43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尾气处理系统开放改造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8,672.52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污水净化处理项目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7,914.28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泸州市纳溪区丰乐镇人民政府扶持金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年度知识产权创造与运用（专利资 助）专项资金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7.580002pt;margin-top:530.019958pt;width:156.7pt;height:19.650pt;mso-position-horizontal-relative:page;mso-position-vertical-relative:page;z-index:-1018432" coordorigin="4352,10600" coordsize="3134,393">
            <v:shape style="position:absolute;left:4352;top:10600;width:3134;height:393" coordorigin="4352,10600" coordsize="3134,393" path="m4352,10993l7485,10993,7485,10600,4352,10600,4352,10993xe" filled="true" fillcolor="#ffffff" stroked="false">
              <v:path arrowok="t"/>
              <v:fill type="solid"/>
            </v:shape>
            <w10:wrap type="none"/>
          </v:group>
        </w:pict>
      </w:r>
      <w:r>
        <w:rPr/>
        <w:pict>
          <v:group style="position:absolute;margin-left:216.440002pt;margin-top:695.73999pt;width:159.050pt;height:23.45pt;mso-position-horizontal-relative:page;mso-position-vertical-relative:page;z-index:-1018408" coordorigin="4329,13915" coordsize="3181,469">
            <v:shape style="position:absolute;left:4329;top:13915;width:3181;height:469" coordorigin="4329,13915" coordsize="3181,469" path="m4329,14383l7509,14383,7509,13915,4329,13915,4329,1438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年度无锡市科技发展资金第三批科 技发展计划（知识产权专项）项目和经 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年度企业研究开发费用省级财政奖 励（苏科传发【</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研发加计扣除奖金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广州天河区财政局奖金补助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广州市企业研究开发机构建设专项补助 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福州市仓山区财政局项目经费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北京新闻出版广电局绿色认证奖励收入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29,808.00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重庆市长寿区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年度工业和信息化发 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129,800.00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泸州市纳溪区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年度白酒产业上档升 级、科技创新、飞地贡献企业奖励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年度绿色印刷扶持资助专项资金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月泸州市纳溪区质量技术监督 局质量提升奖励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重庆市长寿区工业园区党建补贴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47,169.81</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泸州市纳溪区质量技术监督局品牌建设 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泸州市纳溪区经济商务科技局工业企业 经济发展和科技创新贡献奖励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1026" w:hRule="exact"/>
        </w:trPr>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51"/>
              <w:ind w:left="22"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年度无锡市科技发展资金第十一批 科技发展计划项目经费（锡科计【</w:t>
            </w:r>
            <w:r>
              <w:rPr>
                <w:rFonts w:ascii="Times New Roman" w:hAnsi="Times New Roman" w:cs="Times New Roman" w:eastAsia="Times New Roman" w:hint="default"/>
                <w:sz w:val="18"/>
                <w:szCs w:val="18"/>
              </w:rPr>
              <w:t>2016 264 </w:t>
            </w:r>
            <w:r>
              <w:rPr>
                <w:rFonts w:ascii="宋体" w:hAnsi="宋体" w:cs="宋体" w:eastAsia="宋体" w:hint="default"/>
                <w:sz w:val="18"/>
                <w:szCs w:val="18"/>
              </w:rPr>
              <w:t>号、锡财工贸【</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无锡太湖国家旅游度假区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年度专利 奖励（锡太旅管【</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w:t>
            </w:r>
          </w:p>
        </w:tc>
      </w:tr>
      <w:tr>
        <w:trPr>
          <w:trHeight w:val="1026" w:hRule="exact"/>
        </w:trPr>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51"/>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年度知识产权创造与运用（专利资 助）专项资金（锡科计【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锡财工贸【</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1338" w:hRule="exact"/>
        </w:trPr>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51"/>
              <w:ind w:left="2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年度无锡市科发展资金第二批科技 </w:t>
            </w:r>
            <w:r>
              <w:rPr>
                <w:rFonts w:ascii="宋体" w:hAnsi="宋体" w:cs="宋体" w:eastAsia="宋体" w:hint="default"/>
                <w:spacing w:val="-6"/>
                <w:sz w:val="18"/>
                <w:szCs w:val="18"/>
              </w:rPr>
              <w:t>发展计划（知识产权专项）项目经费（锡</w:t>
            </w:r>
            <w:r>
              <w:rPr>
                <w:rFonts w:ascii="宋体" w:hAnsi="宋体" w:cs="宋体" w:eastAsia="宋体" w:hint="default"/>
                <w:sz w:val="18"/>
                <w:szCs w:val="18"/>
              </w:rPr>
              <w:t> 科计【</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号、锡财工贸【</w:t>
            </w:r>
            <w:r>
              <w:rPr>
                <w:rFonts w:ascii="Times New Roman" w:hAnsi="Times New Roman" w:cs="Times New Roman" w:eastAsia="Times New Roman" w:hint="default"/>
                <w:sz w:val="18"/>
                <w:szCs w:val="18"/>
              </w:rPr>
              <w:t>2017 45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天河区财政局知识产权证书奖励补助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企业研发经费投入后补助专项资金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年广东省科技发加计扣除补助穗科 创字【</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173,400.00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广州市企业研发经费投入后补助实施方 案（穗科信（</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60、投资收益" w:id="362"/>
      <w:bookmarkEnd w:id="362"/>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9,921,000.00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35,631.25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6,911,393.12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9,725,343.61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9,547,024.37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21,046,343.61</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61、公允价值变动收益" w:id="363"/>
      <w:bookmarkEnd w:id="363"/>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62、资产处置收益" w:id="364"/>
      <w:bookmarkEnd w:id="364"/>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-722,718.94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100,233.94</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63、营业外收入" w:id="365"/>
      <w:bookmarkEnd w:id="365"/>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217,796.00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152,677.61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217,796.00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3,805,097.38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193,208.81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3,805,097.38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81,091.58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81,091.58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理赔款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171,808.98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66,639.13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171,808.98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4,276,793.94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665,625.55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4,276,793.94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福州市仓山 区财政局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文化企 业十强奖励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福州市仓山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重庆市长寿 区就业和人 才服务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15,998.00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泸州市就业 局稳岗补贴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泸州市就业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75,177.61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64、营业外支出" w:id="366"/>
      <w:bookmarkEnd w:id="36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5,413.75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5,413.75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276,000.83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482,016.54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141,109.98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482,016.54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621,090.38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2,522,110.81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621,090.38</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65、所得税费用" w:id="367"/>
      <w:bookmarkEnd w:id="36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所得税费用表" w:id="368"/>
      <w:bookmarkEnd w:id="36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3,574,849.76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6,741,473.86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612,275.96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8,035,913.68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4,187,125.72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14,777,387.54</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2）会计利润与所得税费用调整过程" w:id="369"/>
      <w:bookmarkEnd w:id="36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18,170,706.01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2,725,605.90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-450,726.89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434,381.50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-390,000.00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2,137,417.24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-749,663.12</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1,914,676.85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残疾人加计扣除的纳税影响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-1,434,565.76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4,187,125.72</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66、其他综合收益" w:id="370"/>
      <w:bookmarkEnd w:id="370"/>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67、现金流量表项目" w:id="371"/>
      <w:bookmarkEnd w:id="371"/>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收到的其他与经营活动有关的现金" w:id="372"/>
      <w:bookmarkEnd w:id="37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12,612,371.89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5,731,751.46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253,766.46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3,467,878.55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21,613,574.53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5,440,467.78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收回保证金及备用金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18,571,113.33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3,588,687.36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244,723.15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5,527,605.21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58,823,154.57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18,228,785.15</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支付的其他与经营活动有关的现金" w:id="373"/>
      <w:bookmarkEnd w:id="37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39,638,177.62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65,973,210.21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23,357,584.73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支付经营租赁费用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12,652,475.89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支付保证金及备用金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14,572,257.53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7,103,799.79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3,191,058.42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2,375,842.40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捐赠赞助、罚款等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133,660.09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2,381,000.83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216,834.08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81,109,572.47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90,486,329.12</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收到的其他与投资活动有关的现金" w:id="374"/>
      <w:bookmarkEnd w:id="37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10,305,066.97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收回银行理财产品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160,305,066.97</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4）支付的其他与投资活动有关的现金" w:id="375"/>
      <w:bookmarkEnd w:id="37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投资事项中介费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298,984.00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80,298,984.00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5）收到的其他与筹资活动有关的现金" w:id="376"/>
      <w:bookmarkEnd w:id="37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6）支付的其他与筹资活动有关的现金" w:id="377"/>
      <w:bookmarkEnd w:id="37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偿还股东尤丽娟借款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收购少数股东权益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41,169,091.58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支付募集资金中介机构费用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回购库存股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32,192,311.29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852,600.00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32,192,311.29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53,617,691.58</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68、现金流量表补充资料" w:id="378"/>
      <w:bookmarkEnd w:id="37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现金流量表补充资料" w:id="379"/>
      <w:bookmarkEnd w:id="37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73"/>
      </w:tblGrid>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78" w:right="0"/>
              <w:jc w:val="left"/>
              <w:rPr>
                <w:rFonts w:ascii="Times New Roman" w:hAnsi="Times New Roman" w:cs="Times New Roman" w:eastAsia="Times New Roman" w:hint="default"/>
                <w:sz w:val="18"/>
                <w:szCs w:val="18"/>
              </w:rPr>
            </w:pPr>
            <w:r>
              <w:rPr>
                <w:rFonts w:ascii="Times New Roman"/>
                <w:sz w:val="18"/>
              </w:rPr>
              <w:t>13,983,580.29</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12,969,028.68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63.929993pt;width:151.25pt;height:40.9pt;mso-position-horizontal-relative:page;mso-position-vertical-relative:page;z-index:-1018384" coordorigin="4467,5279" coordsize="3025,818">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6,607,274.30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10,654,193.54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57,995,131.75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57,220,137.57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2,368,021.44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2,642,172.20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6,139,193.92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6,108,843.60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722,718.94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-100,233.94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5,279.65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6,529,757.69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9,511,212.69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-9,547,024.37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-21,046,343.61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-351,340.78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7,076,380.82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963,616.74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959,532.87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35,793,627.24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-15,345,948.13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52,333,271.07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14,048,522.99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-12,737,347.15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-16,912,929.42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160,805,760.73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67,784,569.86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809,840,212.02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736,982,811.62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736,982,811.62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941,001,210.17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72,857,400.40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-204,018,398.55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本期支付的取得子公司的现金净额" w:id="380"/>
      <w:bookmarkEnd w:id="380"/>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本期收到的处置子公司的现金净额" w:id="381"/>
      <w:bookmarkEnd w:id="381"/>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4）现金和现金等价物的构成" w:id="382"/>
      <w:bookmarkEnd w:id="382"/>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809,840,212.02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736,982,811.62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49,825.92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25,694.23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809,790,386.10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736,957,117.39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809,840,212.02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736,982,811.62</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83"/>
      <w:bookmarkEnd w:id="383"/>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84"/>
      <w:bookmarkEnd w:id="384"/>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14,492,366.76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保证金、定期存款、存出投资款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14,492,366.76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71、外币货币性项目" w:id="385"/>
      <w:bookmarkEnd w:id="385"/>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外币货币性项目" w:id="386"/>
      <w:bookmarkEnd w:id="38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51,948.20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356,530.89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1117"/>
        <w:jc w:val="left"/>
        <w:rPr>
          <w:b w:val="0"/>
          <w:bCs w:val="0"/>
        </w:rPr>
      </w:pPr>
      <w:bookmarkStart w:name="（2）境外经营实体说明，包括对于重要的境外经营实体，应披露其境外主要经营地、记账" w:id="387"/>
      <w:bookmarkEnd w:id="38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72、套期" w:id="388"/>
      <w:bookmarkEnd w:id="388"/>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73、政府补助" w:id="389"/>
      <w:bookmarkEnd w:id="389"/>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政府补助基本情况" w:id="390"/>
      <w:bookmarkEnd w:id="39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3,725,027.00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372,502.67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北京市大兴区财政局锅炉补 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552.76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环保技改项目预拨补助资金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（废气治理设施升级改造）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3,142.86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环保技改项目预拨补助资金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（废气治理设施升级改造）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废气治理设施改造款（环保项 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12,166.67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柴油叉车淘汰项目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2,790.70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燃气锅炉低氮改造项目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1,671.43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尾气处理系统开放改造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8,672.52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污水净化处理项目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7,914.28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无锡双龙发展扶持资金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8,971,410.00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179,428.20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促进残疾人就业税收优惠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9,649,200.00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9,649,200.00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 新企业奖励经费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福州市财政局专利奖励与资 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福州市知识产权局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省第 一季度专利资助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 业开拓市场奖励金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 技小巨人奖励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 主知识产权奖励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24,250.00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 新技术企业奖励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 拓市场区级配套奖励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 技小巨人奖励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绿色印刷补偿款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75,883.00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重庆市长寿区流动资金借款 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168,100.00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泸州市纳溪区丰乐镇人民政 府扶持金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年度知识产权创造与运 用（专利资助）专项资金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年度专利奖励金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年度无锡市科技发展资 金第三批科技发展计划（知识 产权专项）项目和经费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年度企业研究开发费用 省级财政奖励（苏科传发</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185,500.00</w:t>
            </w:r>
          </w:p>
        </w:tc>
      </w:tr>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年广东省科技发加计扣 除补助穗科创字【</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272,200.00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854"/>
        <w:gridCol w:w="1539"/>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3" w:type="dxa"/>
            <w:gridSpan w:val="2"/>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广州市企业研发经费投入后 </w:t>
            </w:r>
            <w:r>
              <w:rPr>
                <w:rFonts w:ascii="宋体" w:hAnsi="宋体" w:cs="宋体" w:eastAsia="宋体" w:hint="default"/>
                <w:spacing w:val="-7"/>
                <w:sz w:val="18"/>
                <w:szCs w:val="18"/>
              </w:rPr>
              <w:t>补助实施方案（穗科信（</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54"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5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1" w:right="0"/>
              <w:jc w:val="left"/>
              <w:rPr>
                <w:rFonts w:ascii="Times New Roman" w:hAnsi="Times New Roman" w:cs="Times New Roman" w:eastAsia="Times New Roman" w:hint="default"/>
                <w:sz w:val="18"/>
                <w:szCs w:val="18"/>
              </w:rPr>
            </w:pPr>
            <w:r>
              <w:rPr>
                <w:rFonts w:ascii="Times New Roman"/>
                <w:sz w:val="18"/>
              </w:rPr>
              <w:t>68,100.00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福州市仓山区财政局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 化企业十强奖励经费</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17,796.00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r>
        <w:rPr/>
        <w:pict>
          <v:group style="position:absolute;margin-left:177.740005pt;margin-top:-104.086334pt;width:116.8pt;height:19.650pt;mso-position-horizontal-relative:page;mso-position-vertical-relative:paragraph;z-index:-1018312" coordorigin="3555,-2082" coordsize="2336,393">
            <v:shape style="position:absolute;left:3555;top:-2082;width:2336;height:393" coordorigin="3555,-2082" coordsize="2336,393" path="m3555,-1689l5890,-1689,5890,-2082,3555,-2082,3555,-1689xe" filled="true" fillcolor="#ffffff" stroked="false">
              <v:path arrowok="t"/>
              <v:fill type="solid"/>
            </v:shape>
            <w10:wrap type="none"/>
          </v:group>
        </w:pict>
      </w:r>
      <w:bookmarkStart w:name="（2）政府补助退回情况" w:id="391"/>
      <w:bookmarkEnd w:id="39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2"/>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92"/>
      <w:bookmarkEnd w:id="392"/>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3"/>
      <w:bookmarkEnd w:id="39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1117"/>
        <w:jc w:val="left"/>
        <w:rPr>
          <w:b w:val="0"/>
          <w:bCs w:val="0"/>
        </w:rPr>
      </w:pPr>
      <w:bookmarkStart w:name="（1）本期发生的非同一控制下企业合并" w:id="395"/>
      <w:bookmarkEnd w:id="3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合并成本及商誉" w:id="396"/>
      <w:bookmarkEnd w:id="3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被购买方于购买日可辨认资产、负债" w:id="397"/>
      <w:bookmarkEnd w:id="3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其他说明：</w:t>
      </w:r>
    </w:p>
    <w:p>
      <w:pPr>
        <w:spacing w:line="240" w:lineRule="auto" w:before="1"/>
        <w:rPr>
          <w:rFonts w:ascii="宋体" w:hAnsi="宋体" w:cs="宋体" w:eastAsia="宋体" w:hint="default"/>
          <w:sz w:val="20"/>
          <w:szCs w:val="20"/>
        </w:rPr>
      </w:pPr>
    </w:p>
    <w:p>
      <w:pPr>
        <w:pStyle w:val="Heading4"/>
        <w:spacing w:line="240" w:lineRule="auto"/>
        <w:ind w:right="1117"/>
        <w:jc w:val="left"/>
        <w:rPr>
          <w:b w:val="0"/>
          <w:bCs w:val="0"/>
        </w:rPr>
      </w:pPr>
      <w:bookmarkStart w:name="（4）购买日之前持有的股权按照公允价值重新计量产生的利得或损失" w:id="398"/>
      <w:bookmarkEnd w:id="39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5）购买日或合并当期期末无法合理确定合并对价或被购买方可辨认资产、负债公允价值" w:id="399"/>
      <w:bookmarkEnd w:id="39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6）其他说明" w:id="400"/>
      <w:bookmarkEnd w:id="40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2、同一控制下企业合并" w:id="401"/>
      <w:bookmarkEnd w:id="40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本期发生的同一控制下企业合并" w:id="402"/>
      <w:bookmarkEnd w:id="40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合并成本" w:id="403"/>
      <w:bookmarkEnd w:id="40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001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001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pStyle w:val="Heading4"/>
        <w:spacing w:line="240" w:lineRule="auto"/>
        <w:ind w:right="1117"/>
        <w:jc w:val="left"/>
        <w:rPr>
          <w:b w:val="0"/>
          <w:bCs w:val="0"/>
        </w:rPr>
      </w:pPr>
      <w:bookmarkStart w:name="（3）合并日被合并方资产、负债的账面价值" w:id="404"/>
      <w:bookmarkEnd w:id="40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004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004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6"/>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2"/>
        <w:rPr>
          <w:rFonts w:ascii="宋体" w:hAnsi="宋体" w:cs="宋体" w:eastAsia="宋体" w:hint="default"/>
          <w:sz w:val="19"/>
          <w:szCs w:val="19"/>
        </w:rPr>
      </w:pPr>
    </w:p>
    <w:p>
      <w:pPr>
        <w:pStyle w:val="Heading4"/>
        <w:spacing w:line="240" w:lineRule="auto"/>
        <w:ind w:right="1117"/>
        <w:jc w:val="left"/>
        <w:rPr>
          <w:b w:val="0"/>
          <w:bCs w:val="0"/>
        </w:rPr>
      </w:pPr>
      <w:bookmarkStart w:name="3、反向购买" w:id="405"/>
      <w:bookmarkEnd w:id="40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1117"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4、处置子公司" w:id="406"/>
      <w:bookmarkEnd w:id="40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6"/>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5、其他原因的合并范围变动" w:id="407"/>
      <w:bookmarkEnd w:id="40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73" w:lineRule="auto" w:before="89"/>
        <w:ind w:right="1117" w:firstLine="420"/>
        <w:jc w:val="left"/>
      </w:pPr>
      <w:r>
        <w:rPr>
          <w:spacing w:val="-1"/>
        </w:rPr>
        <w:t>本公司报告期内新设子公司南昌彩翼通科技有限公司、海南鸿铂文化有限公司；同时注销深圳青石软</w:t>
      </w:r>
      <w:r>
        <w:rPr/>
        <w:t> 件有限公司、福建鸿博智能信息技术有限公司，导致合并范围发生变动。</w:t>
      </w:r>
    </w:p>
    <w:p>
      <w:pPr>
        <w:spacing w:line="240" w:lineRule="auto" w:before="8"/>
        <w:rPr>
          <w:rFonts w:ascii="宋体" w:hAnsi="宋体" w:cs="宋体" w:eastAsia="宋体" w:hint="default"/>
          <w:sz w:val="23"/>
          <w:szCs w:val="23"/>
        </w:rPr>
      </w:pPr>
    </w:p>
    <w:p>
      <w:pPr>
        <w:spacing w:line="487" w:lineRule="auto" w:before="0"/>
        <w:ind w:left="154" w:right="7692" w:firstLine="0"/>
        <w:jc w:val="left"/>
        <w:rPr>
          <w:rFonts w:ascii="宋体" w:hAnsi="宋体" w:cs="宋体" w:eastAsia="宋体" w:hint="default"/>
          <w:sz w:val="21"/>
          <w:szCs w:val="21"/>
        </w:rPr>
      </w:pPr>
      <w:bookmarkStart w:name="6、其他" w:id="408"/>
      <w:bookmarkEnd w:id="40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9"/>
      <w:bookmarkEnd w:id="40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0"/>
      <w:bookmarkEnd w:id="41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1117"/>
        <w:jc w:val="left"/>
        <w:rPr>
          <w:b w:val="0"/>
          <w:bCs w:val="0"/>
        </w:rPr>
      </w:pPr>
      <w:bookmarkStart w:name="（1）企业集团的构成" w:id="411"/>
      <w:bookmarkEnd w:id="4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福州港龙贸易有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鸿博（福建）数 据网络科技股份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福建鸿博致远信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广州彩创网络技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博涛海丝（海南</w:t>
            </w:r>
            <w:r>
              <w:rPr>
                <w:rFonts w:ascii="宋体" w:hAnsi="宋体" w:cs="宋体" w:eastAsia="宋体" w:hint="default"/>
                <w:sz w:val="18"/>
                <w:szCs w:val="18"/>
              </w:rPr>
              <w:t>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海南</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鸿博彩票（海南</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海南</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南昌彩翼通科技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海南鸿铂文化有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鸿博昊天科技有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北京昊天国彩印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钻研（北京）国 际文化传媒有限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北京中科彩技术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重庆市鸿海印务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四川鸿海印务有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四川玉屏池酒业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无锡双龙信息纸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无锡双龙物联网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right="1117"/>
        <w:jc w:val="left"/>
        <w:rPr>
          <w:b w:val="0"/>
          <w:bCs w:val="0"/>
        </w:rPr>
      </w:pPr>
      <w:bookmarkStart w:name="（2）重要的非全资子公司" w:id="412"/>
      <w:bookmarkEnd w:id="4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北京中科彩技术有限公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9,384,207.57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40,670,000.00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91,857,123.48</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4"/>
        <w:spacing w:line="240" w:lineRule="auto"/>
        <w:ind w:right="1117"/>
        <w:jc w:val="left"/>
        <w:rPr>
          <w:b w:val="0"/>
          <w:bCs w:val="0"/>
        </w:rPr>
      </w:pPr>
      <w:bookmarkStart w:name="（3）重要非全资子公司的主要财务信息" w:id="413"/>
      <w:bookmarkEnd w:id="4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科彩技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127,298,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851.84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103,427,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518.16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230,726,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370.00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28,973,0</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11.21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14,289,8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41.49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43,262,8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52.70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153,388,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985.10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127,922,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010.71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281,310,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995.81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48,024,1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41.21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12,891,9</w:t>
            </w:r>
          </w:p>
          <w:p>
            <w:pPr>
              <w:pStyle w:val="TableParagraph"/>
              <w:spacing w:line="240" w:lineRule="auto" w:before="106"/>
              <w:ind w:left="305" w:right="0"/>
              <w:jc w:val="left"/>
              <w:rPr>
                <w:rFonts w:ascii="Times New Roman" w:hAnsi="Times New Roman" w:cs="Times New Roman" w:eastAsia="Times New Roman" w:hint="default"/>
                <w:sz w:val="18"/>
                <w:szCs w:val="18"/>
              </w:rPr>
            </w:pPr>
            <w:r>
              <w:rPr>
                <w:rFonts w:ascii="Times New Roman"/>
                <w:sz w:val="18"/>
              </w:rPr>
              <w:t>11.55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60,916,0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52.76</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北京中科彩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124,628,168.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19,151,444.0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19,151,444.0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100,350,280.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113,175,722.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4,456,080.79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4,456,080.79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38,666,636.8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4）使用企业集团资产和清偿企业集团债务的重大限制" w:id="414"/>
      <w:bookmarkEnd w:id="41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5）向纳入合并财务报表范围的结构化主体提供的财务支持或其他支持" w:id="415"/>
      <w:bookmarkEnd w:id="41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在子公司的所有者权益份额发生变化且仍控制子公司的交易" w:id="416"/>
      <w:bookmarkEnd w:id="4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在子公司所有者权益份额发生变化的情况说明" w:id="417"/>
      <w:bookmarkEnd w:id="41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2）交易对于少数股东权益及归属于母公司所有者权益的影响" w:id="418"/>
      <w:bookmarkEnd w:id="41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group>
          </v:group>
        </w:pict>
      </w:r>
      <w:r>
        <w:rPr>
          <w:rFonts w:ascii="宋体" w:hAnsi="宋体" w:cs="宋体" w:eastAsia="宋体" w:hint="default"/>
          <w:position w:val="-7"/>
          <w:sz w:val="20"/>
          <w:szCs w:val="20"/>
        </w:rPr>
      </w:r>
    </w:p>
    <w:p>
      <w:pPr>
        <w:spacing w:before="47"/>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3、在合营安排或联营企业中的权益" w:id="419"/>
      <w:bookmarkEnd w:id="4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重要的合营企业或联营企业" w:id="420"/>
      <w:bookmarkEnd w:id="4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1117"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2）重要合营企业的主要财务信息" w:id="421"/>
      <w:bookmarkEnd w:id="4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3）重要联营企业的主要财务信息" w:id="422"/>
      <w:bookmarkEnd w:id="4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4）不重要的合营企业和联营企业的汇总财务信息" w:id="423"/>
      <w:bookmarkEnd w:id="4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5）合营企业或联营企业向本公司转移资金的能力存在重大限制的说明"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6）合营企业或联营企业发生的超额亏损" w:id="425"/>
      <w:bookmarkEnd w:id="42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7）与合营企业投资相关的未确认承诺" w:id="426"/>
      <w:bookmarkEnd w:id="42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8）与合营企业或联营企业投资相关的或有负债" w:id="427"/>
      <w:bookmarkEnd w:id="42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4、重要的共同经营" w:id="428"/>
      <w:bookmarkEnd w:id="42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318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82"/>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6、其他" w:id="430"/>
      <w:bookmarkEnd w:id="43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1"/>
      <w:bookmarkEnd w:id="431"/>
      <w:r>
        <w:rPr>
          <w:b w:val="0"/>
          <w:bCs w:val="0"/>
        </w:rPr>
      </w:r>
      <w:r>
        <w:rPr/>
        <w:t>十、与金融工具相关的风险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10" w:firstLine="420"/>
        <w:jc w:val="both"/>
      </w:pPr>
      <w:r>
        <w:rPr/>
        <w:t>集团的主要金融工具包括货币资金、应收账款、应收票据、应收利息、其他应收款、其他流动资产、 </w:t>
      </w:r>
      <w:r>
        <w:rPr>
          <w:spacing w:val="-1"/>
        </w:rPr>
        <w:t>可供出售金融资产、应付账款、应付利息、应付票据、其他应付款、短期借款。各项金融工具的详细情况</w:t>
      </w:r>
      <w:r>
        <w:rPr>
          <w:spacing w:val="-83"/>
        </w:rPr>
        <w:t> </w:t>
      </w:r>
      <w:r>
        <w:rPr>
          <w:spacing w:val="-83"/>
        </w:rPr>
      </w:r>
      <w:r>
        <w:rPr>
          <w:spacing w:val="-1"/>
        </w:rPr>
        <w:t>已于相关附注内披露。与这些金融工具有关的风险，以及集团为降低这些风险所采取的风险管理政策如下</w:t>
      </w:r>
      <w:r>
        <w:rPr>
          <w:spacing w:val="-81"/>
        </w:rPr>
        <w:t> </w:t>
      </w:r>
      <w:r>
        <w:rPr>
          <w:spacing w:val="-81"/>
        </w:rPr>
      </w:r>
      <w:r>
        <w:rPr/>
        <w:t>所述，集团管理层对这些风险敞口进行管理和监控以确保将上述风险控制在限定的范围之内。</w:t>
      </w:r>
    </w:p>
    <w:p>
      <w:pPr>
        <w:pStyle w:val="BodyText"/>
        <w:spacing w:line="307" w:lineRule="auto" w:before="47"/>
        <w:ind w:left="574" w:right="1117"/>
        <w:jc w:val="left"/>
      </w:pPr>
      <w:r>
        <w:rPr/>
        <w:t>（一）风险管理目标和政策 </w:t>
      </w:r>
      <w:r>
        <w:rPr>
          <w:spacing w:val="-1"/>
        </w:rPr>
        <w:t>集团从事风险管理的目标是在风险和收益之间取得适当的平衡，力求降低金融风险对本集团财务业绩</w:t>
      </w:r>
    </w:p>
    <w:p>
      <w:pPr>
        <w:pStyle w:val="BodyText"/>
        <w:spacing w:line="253" w:lineRule="exact" w:before="0"/>
        <w:ind w:right="0"/>
        <w:jc w:val="both"/>
      </w:pPr>
      <w:r>
        <w:rPr/>
        <w:t>的不利影响。基于该风险管理目标，集团已制定风险管理政策以辨别和分析本集团所面临的风险，设定适</w:t>
      </w:r>
    </w:p>
    <w:p>
      <w:pPr>
        <w:pStyle w:val="BodyText"/>
        <w:spacing w:line="273" w:lineRule="auto" w:before="37"/>
        <w:ind w:right="1131"/>
        <w:jc w:val="both"/>
      </w:pPr>
      <w:r>
        <w:rPr>
          <w:spacing w:val="-1"/>
        </w:rPr>
        <w:t>当的风险可接受水平并设计相应的内部控制程序，以监控本集团的风险水平。集团会定期审阅这些风险管</w:t>
      </w:r>
      <w:r>
        <w:rPr>
          <w:spacing w:val="-81"/>
        </w:rPr>
        <w:t> </w:t>
      </w:r>
      <w:r>
        <w:rPr>
          <w:spacing w:val="-81"/>
        </w:rPr>
      </w:r>
      <w:r>
        <w:rPr>
          <w:spacing w:val="-1"/>
        </w:rPr>
        <w:t>理政策及有关内部控制系统，以适应市场情况或本集团经营活动的改变。集团的内部审计部门也定期或随</w:t>
      </w:r>
      <w:r>
        <w:rPr>
          <w:spacing w:val="-81"/>
        </w:rPr>
        <w:t> </w:t>
      </w:r>
      <w:r>
        <w:rPr>
          <w:spacing w:val="-81"/>
        </w:rPr>
      </w:r>
      <w:r>
        <w:rPr/>
        <w:t>机检查内部控制系统的执行是否符合风险管理政策。</w:t>
      </w:r>
    </w:p>
    <w:p>
      <w:pPr>
        <w:pStyle w:val="BodyText"/>
        <w:spacing w:line="273" w:lineRule="auto" w:before="47"/>
        <w:ind w:right="1117" w:firstLine="420"/>
        <w:jc w:val="left"/>
      </w:pPr>
      <w:r>
        <w:rPr>
          <w:spacing w:val="-1"/>
        </w:rPr>
        <w:t>集团的金融工具导致的主要风险是信用风险、流动性风险、市场风险（包括利率风险、汇率风险和商</w:t>
      </w:r>
      <w:r>
        <w:rPr/>
        <w:t> 品价格风险</w:t>
      </w:r>
      <w:r>
        <w:rPr>
          <w:rFonts w:ascii="宋体" w:hAnsi="宋体" w:cs="宋体" w:eastAsia="宋体" w:hint="default"/>
        </w:rPr>
        <w:t>/</w:t>
      </w:r>
      <w:r>
        <w:rPr/>
        <w:t>权益工具价格风险）。</w:t>
      </w:r>
    </w:p>
    <w:p>
      <w:pPr>
        <w:pStyle w:val="BodyText"/>
        <w:spacing w:line="273" w:lineRule="auto" w:before="46"/>
        <w:ind w:right="1110" w:firstLine="420"/>
        <w:jc w:val="right"/>
      </w:pPr>
      <w:r>
        <w:rPr>
          <w:spacing w:val="-1"/>
        </w:rPr>
        <w:t>董事会负责规划并建立集团的风险管理架构，指定集团的风险管理政策和相关指引并监督风险管理措</w:t>
      </w:r>
      <w:r>
        <w:rPr/>
        <w:t> </w:t>
      </w:r>
      <w:r>
        <w:rPr>
          <w:spacing w:val="-1"/>
        </w:rPr>
        <w:t>施的执行情况。集团已制定风险管理政策以识别和分析集团所面临的风险，这些风险管理政策对特定风险</w:t>
      </w:r>
      <w:r>
        <w:rPr/>
        <w:t> </w:t>
      </w:r>
      <w:r>
        <w:rPr>
          <w:spacing w:val="-1"/>
        </w:rPr>
        <w:t>进行了明确规定，涵盖了信用风险、流动性风险和市场风险管理等诸多方面。集团定期评估市场环境及集</w:t>
      </w:r>
      <w:r>
        <w:rPr/>
        <w:t> </w:t>
      </w:r>
      <w:r>
        <w:rPr>
          <w:spacing w:val="-1"/>
        </w:rPr>
        <w:t>团经营活动的变化以决定是否对风险管理政策及系统进行更新。集团的风险管理由风险管理委员会按照董</w:t>
      </w:r>
      <w:r>
        <w:rPr/>
        <w:t> </w:t>
      </w:r>
      <w:r>
        <w:rPr>
          <w:spacing w:val="-1"/>
        </w:rPr>
        <w:t>事会批准的政策开展。风险管理委员会通过与本集团其他业务部门的紧密合作来识别、评价和规避相关风</w:t>
      </w:r>
      <w:r>
        <w:rPr/>
        <w:t> 险。集团内部审计部门就风险管理控制及程序进行定期的审核，并将审核结果上报本集团的审计委员会。</w:t>
      </w:r>
    </w:p>
    <w:p>
      <w:pPr>
        <w:pStyle w:val="BodyText"/>
        <w:spacing w:line="273" w:lineRule="auto" w:before="46"/>
        <w:ind w:right="1117" w:firstLine="420"/>
        <w:jc w:val="left"/>
      </w:pPr>
      <w:r>
        <w:rPr>
          <w:spacing w:val="-1"/>
        </w:rPr>
        <w:t>集团通过适当的多样化投资及业务组合来分散金融工具风险，并通过制定相应的风险管理政策减少集</w:t>
      </w:r>
      <w:r>
        <w:rPr/>
        <w:t> 中于任何单一行业、特定地区或特定交易对手方的风险。</w:t>
      </w:r>
    </w:p>
    <w:p>
      <w:pPr>
        <w:pStyle w:val="BodyText"/>
        <w:spacing w:line="307" w:lineRule="auto" w:before="48"/>
        <w:ind w:left="574" w:right="2562"/>
        <w:jc w:val="left"/>
      </w:pPr>
      <w:r>
        <w:rPr>
          <w:rFonts w:ascii="宋体" w:hAnsi="宋体" w:cs="宋体" w:eastAsia="宋体" w:hint="default"/>
        </w:rPr>
        <w:t>1</w:t>
      </w:r>
      <w:r>
        <w:rPr/>
        <w:t>、信用风险 信用风险，是指交易对手方未能履行合同义务而导致本集团产生财务损失的风险。 集团对信用风险按组合分类进行管理。信用风险主要产生于银行存款、应收款项等。</w:t>
      </w:r>
    </w:p>
    <w:p>
      <w:pPr>
        <w:pStyle w:val="BodyText"/>
        <w:spacing w:line="273" w:lineRule="auto" w:before="18"/>
        <w:ind w:right="1117" w:firstLine="420"/>
        <w:jc w:val="left"/>
      </w:pPr>
      <w:r>
        <w:rPr>
          <w:spacing w:val="-1"/>
        </w:rPr>
        <w:t>集团银行存款主要存放于声誉良好并拥有较高信用评级的金融机构，集团预期银行存款不存在重大的</w:t>
      </w:r>
      <w:r>
        <w:rPr/>
        <w:t> 信用风险。</w:t>
      </w:r>
    </w:p>
    <w:p>
      <w:pPr>
        <w:pStyle w:val="BodyText"/>
        <w:spacing w:line="273" w:lineRule="auto" w:before="46"/>
        <w:ind w:right="1017" w:firstLine="420"/>
        <w:jc w:val="left"/>
      </w:pPr>
      <w:r>
        <w:rPr>
          <w:spacing w:val="-3"/>
        </w:rPr>
        <w:t>对于应收款项，本集团设定相关政策以控制信用风险敞口。集团基于对债务人的财务状况、外部评级、</w:t>
      </w:r>
      <w:r>
        <w:rPr/>
        <w:t> 从第三方获取担保的可能性、信用记录及其它因素诸如目前市场状况等评估债务人的信用资质并设置相应 欠款额度与信用期限。集团已采取政策只与信用良好的交易对手方合作并在有必要时获取足够的抵押品， </w:t>
      </w:r>
      <w:r>
        <w:rPr>
          <w:spacing w:val="3"/>
        </w:rPr>
        <w:t>以此缓解因交易对手方未能履行合同义务而产生财务损失的风险。集团会定期对债务人信用记录进行监</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7"/>
        <w:jc w:val="left"/>
      </w:pPr>
      <w:r>
        <w:rPr>
          <w:spacing w:val="-1"/>
        </w:rPr>
        <w:t>控，对于信用记录不良的债务人，集团会采用书面催款、缩短信用期或取消信用期等方式，以确保本集团</w:t>
      </w:r>
      <w:r>
        <w:rPr>
          <w:spacing w:val="-86"/>
        </w:rPr>
        <w:t> </w:t>
      </w:r>
      <w:r>
        <w:rPr>
          <w:spacing w:val="-86"/>
        </w:rPr>
      </w:r>
      <w:r>
        <w:rPr/>
        <w:t>的整体信用风险在可控的范围内。</w:t>
      </w:r>
    </w:p>
    <w:p>
      <w:pPr>
        <w:pStyle w:val="BodyText"/>
        <w:spacing w:line="273" w:lineRule="auto" w:before="46"/>
        <w:ind w:right="1132" w:firstLine="420"/>
        <w:jc w:val="both"/>
      </w:pPr>
      <w:r>
        <w:rPr>
          <w:spacing w:val="-1"/>
        </w:rPr>
        <w:t>集团应收账款的债务人为分布于不同行业和地区的客户。集团持续对应收账款的财务状况实施信用评</w:t>
      </w:r>
      <w:r>
        <w:rPr/>
        <w:t> 估，并在适当时购买信用担保保险。</w:t>
      </w:r>
    </w:p>
    <w:p>
      <w:pPr>
        <w:pStyle w:val="BodyText"/>
        <w:spacing w:line="273" w:lineRule="auto" w:before="47"/>
        <w:ind w:right="1131" w:firstLine="420"/>
        <w:jc w:val="both"/>
      </w:pPr>
      <w:r>
        <w:rPr>
          <w:spacing w:val="-1"/>
        </w:rPr>
        <w:t>集团所承受的最大信用风险敞口为资产负债表中每项金融资产的账面金额。集团没有提供任何其他可</w:t>
      </w:r>
      <w:r>
        <w:rPr/>
        <w:t> 能令本集团承受信用风险的担保。</w:t>
      </w:r>
    </w:p>
    <w:p>
      <w:pPr>
        <w:pStyle w:val="BodyText"/>
        <w:spacing w:line="273" w:lineRule="auto" w:before="46"/>
        <w:ind w:right="1017" w:firstLine="420"/>
        <w:jc w:val="left"/>
      </w:pPr>
      <w:r>
        <w:rPr>
          <w:spacing w:val="-3"/>
        </w:rPr>
        <w:t>公司因应收账款和其他应收款产生的信用风险敞口的量化数据，参见附注五、（二）和附注五、（四）</w:t>
      </w:r>
      <w:r>
        <w:rPr/>
        <w:t> 的披露。</w:t>
      </w:r>
    </w:p>
    <w:p>
      <w:pPr>
        <w:pStyle w:val="BodyText"/>
        <w:spacing w:line="307" w:lineRule="auto" w:before="47"/>
        <w:ind w:left="574" w:right="1092"/>
        <w:jc w:val="left"/>
      </w:pPr>
      <w:r>
        <w:rPr>
          <w:rFonts w:ascii="宋体" w:hAnsi="宋体" w:cs="宋体" w:eastAsia="宋体" w:hint="default"/>
        </w:rPr>
        <w:t>2</w:t>
      </w:r>
      <w:r>
        <w:rPr/>
        <w:t>、流动性风险 流动性风险，是指集团在履行以交付现金或其他金融资产的方式结算的义务时发生资金短缺的风险。 </w:t>
      </w:r>
      <w:r>
        <w:rPr>
          <w:spacing w:val="-1"/>
        </w:rPr>
        <w:t>管理流动风险时，集团保持管理层认为充分的现金及现金等价物并对其进行监控，以满足集团经营需</w:t>
      </w:r>
    </w:p>
    <w:p>
      <w:pPr>
        <w:pStyle w:val="BodyText"/>
        <w:spacing w:line="253" w:lineRule="exact" w:before="0"/>
        <w:ind w:right="0"/>
        <w:jc w:val="left"/>
      </w:pPr>
      <w:r>
        <w:rPr/>
        <w:t>要，并降低现金流量波动的影响。集团管理层对银行借款的使用情况进行监控并确保遵守借款协议。同时</w:t>
      </w:r>
    </w:p>
    <w:p>
      <w:pPr>
        <w:pStyle w:val="BodyText"/>
        <w:spacing w:line="307" w:lineRule="auto" w:before="38"/>
        <w:ind w:left="574" w:right="1117" w:hanging="420"/>
        <w:jc w:val="left"/>
      </w:pPr>
      <w:r>
        <w:rPr/>
        <w:t>从主要金融机构获得提供足够备用资金的承诺，以满足短期和长期的资金需求。 </w:t>
      </w:r>
      <w:r>
        <w:rPr>
          <w:spacing w:val="-1"/>
        </w:rPr>
        <w:t>集团通过经营业务产生的资金及银行及其他借款来筹措营运资金。于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日，本集团尚未使</w:t>
      </w:r>
    </w:p>
    <w:p>
      <w:pPr>
        <w:pStyle w:val="BodyText"/>
        <w:spacing w:line="254" w:lineRule="exact" w:before="0"/>
        <w:ind w:right="1117"/>
        <w:jc w:val="left"/>
      </w:pPr>
      <w:r>
        <w:rPr/>
        <w:t>用的银行借款额度为人民币</w:t>
      </w:r>
      <w:r>
        <w:rPr>
          <w:rFonts w:ascii="宋体" w:hAnsi="宋体" w:cs="宋体" w:eastAsia="宋体" w:hint="default"/>
        </w:rPr>
        <w:t>26,300.00</w:t>
      </w:r>
      <w:r>
        <w:rPr/>
        <w:t>万元（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7,000.00</w:t>
      </w:r>
      <w:r>
        <w:rPr/>
        <w:t>万元）。</w:t>
      </w:r>
    </w:p>
    <w:p>
      <w:pPr>
        <w:pStyle w:val="BodyText"/>
        <w:spacing w:line="307" w:lineRule="auto" w:before="78"/>
        <w:ind w:left="574" w:right="1092"/>
        <w:jc w:val="left"/>
      </w:pPr>
      <w:r>
        <w:rPr>
          <w:rFonts w:ascii="宋体" w:hAnsi="宋体" w:cs="宋体" w:eastAsia="宋体" w:hint="default"/>
        </w:rPr>
        <w:t>3</w:t>
      </w:r>
      <w:r>
        <w:rPr/>
        <w:t>、市场风险 金融工具的市场风险，是指金融工具的公允价值或未来现金流量因市场价格变动而发生波动的风险，</w:t>
      </w:r>
    </w:p>
    <w:p>
      <w:pPr>
        <w:pStyle w:val="BodyText"/>
        <w:spacing w:line="254" w:lineRule="exact" w:before="0"/>
        <w:ind w:right="1117"/>
        <w:jc w:val="left"/>
      </w:pPr>
      <w:r>
        <w:rPr/>
        <w:t>包括利率风险、汇率风险和其他价格风险。</w:t>
      </w:r>
    </w:p>
    <w:p>
      <w:pPr>
        <w:pStyle w:val="BodyText"/>
        <w:spacing w:line="307" w:lineRule="auto" w:before="76"/>
        <w:ind w:left="574" w:right="1117"/>
        <w:jc w:val="left"/>
      </w:pPr>
      <w:r>
        <w:rPr/>
        <w:t>（</w:t>
      </w:r>
      <w:r>
        <w:rPr>
          <w:rFonts w:ascii="宋体" w:hAnsi="宋体" w:cs="宋体" w:eastAsia="宋体" w:hint="default"/>
        </w:rPr>
        <w:t>1</w:t>
      </w:r>
      <w:r>
        <w:rPr/>
        <w:t>）利率风险 </w:t>
      </w:r>
      <w:r>
        <w:rPr>
          <w:spacing w:val="-1"/>
        </w:rPr>
        <w:t>利率风险，是指金融工具的公允价值或未来现金流量因市场利率变动而发生波动的风险。利率风险可</w:t>
      </w:r>
    </w:p>
    <w:p>
      <w:pPr>
        <w:pStyle w:val="BodyText"/>
        <w:spacing w:line="254" w:lineRule="exact" w:before="0"/>
        <w:ind w:right="1117"/>
        <w:jc w:val="left"/>
      </w:pPr>
      <w:r>
        <w:rPr/>
        <w:t>源于已确认的计息金融工具和未确认的金融工具（如某些贷款承诺）。</w:t>
      </w:r>
    </w:p>
    <w:p>
      <w:pPr>
        <w:pStyle w:val="BodyText"/>
        <w:spacing w:line="273" w:lineRule="auto" w:before="76"/>
        <w:ind w:right="1132" w:firstLine="420"/>
        <w:jc w:val="both"/>
      </w:pPr>
      <w:r>
        <w:rPr>
          <w:spacing w:val="-1"/>
        </w:rPr>
        <w:t>集团的利率风险主要产生于银行借款等带息债务。固定利率的金融负债使本集团面临公允价值利率风</w:t>
      </w:r>
      <w:r>
        <w:rPr/>
        <w:t> 险。</w:t>
      </w:r>
    </w:p>
    <w:p>
      <w:pPr>
        <w:pStyle w:val="BodyText"/>
        <w:spacing w:line="273" w:lineRule="auto" w:before="46"/>
        <w:ind w:right="1131" w:firstLine="420"/>
        <w:jc w:val="both"/>
      </w:pPr>
      <w:r>
        <w:rPr>
          <w:spacing w:val="-1"/>
        </w:rPr>
        <w:t>集团密切关注利率变动对本集团利率风险的影响。集团目前并未采取利率对冲政策。但管理层负责监</w:t>
      </w:r>
      <w:r>
        <w:rPr/>
        <w:t> </w:t>
      </w:r>
      <w:r>
        <w:rPr>
          <w:spacing w:val="-1"/>
        </w:rPr>
        <w:t>控利率风险，并将于需要时考虑对冲重大利率风险。由于定期存款为短期存款，故银行存款的公允价值利</w:t>
      </w:r>
      <w:r>
        <w:rPr>
          <w:spacing w:val="-83"/>
        </w:rPr>
        <w:t> </w:t>
      </w:r>
      <w:r>
        <w:rPr>
          <w:spacing w:val="-83"/>
        </w:rPr>
      </w:r>
      <w:r>
        <w:rPr/>
        <w:t>率风险并不重大。</w:t>
      </w:r>
    </w:p>
    <w:p>
      <w:pPr>
        <w:pStyle w:val="BodyText"/>
        <w:spacing w:line="240" w:lineRule="auto" w:before="48"/>
        <w:ind w:left="574" w:right="1117"/>
        <w:jc w:val="left"/>
      </w:pPr>
      <w:r>
        <w:rPr/>
        <w:t>集团持有的计息金融工具参见附注五、（十六）的披露</w:t>
      </w:r>
    </w:p>
    <w:p>
      <w:pPr>
        <w:pStyle w:val="BodyText"/>
        <w:spacing w:line="307" w:lineRule="auto" w:before="76"/>
        <w:ind w:left="574" w:right="1117"/>
        <w:jc w:val="left"/>
      </w:pPr>
      <w:r>
        <w:rPr/>
        <w:t>（</w:t>
      </w:r>
      <w:r>
        <w:rPr>
          <w:rFonts w:ascii="宋体" w:hAnsi="宋体" w:cs="宋体" w:eastAsia="宋体" w:hint="default"/>
        </w:rPr>
        <w:t>2</w:t>
      </w:r>
      <w:r>
        <w:rPr/>
        <w:t>）汇率风险 </w:t>
      </w:r>
      <w:r>
        <w:rPr>
          <w:spacing w:val="-1"/>
        </w:rPr>
        <w:t>汇率风险，是指金融工具的公允价值或未来现金流量因外汇汇率变动而发生波动的风险。汇率风险可</w:t>
      </w:r>
    </w:p>
    <w:p>
      <w:pPr>
        <w:pStyle w:val="BodyText"/>
        <w:spacing w:line="254" w:lineRule="exact" w:before="0"/>
        <w:ind w:right="1117"/>
        <w:jc w:val="left"/>
      </w:pPr>
      <w:r>
        <w:rPr/>
        <w:t>源于以记账本位币之外的外币进行计价的金融工具。</w:t>
      </w:r>
    </w:p>
    <w:p>
      <w:pPr>
        <w:pStyle w:val="BodyText"/>
        <w:spacing w:line="273" w:lineRule="auto" w:before="76"/>
        <w:ind w:right="1131" w:firstLine="420"/>
        <w:jc w:val="both"/>
      </w:pPr>
      <w:r>
        <w:rPr>
          <w:spacing w:val="-1"/>
        </w:rPr>
        <w:t>集团的主要经营位于中国境内，主要业务以人民币结算。因此，本集团所承担的外汇变动市场风险不</w:t>
      </w:r>
      <w:r>
        <w:rPr/>
        <w:t> 重大。</w:t>
      </w:r>
    </w:p>
    <w:p>
      <w:pPr>
        <w:pStyle w:val="BodyText"/>
        <w:spacing w:line="307" w:lineRule="auto" w:before="47"/>
        <w:ind w:left="574" w:right="1117"/>
        <w:jc w:val="left"/>
      </w:pPr>
      <w:r>
        <w:rPr/>
        <w:t>（二）资本管理 </w:t>
      </w:r>
      <w:r>
        <w:rPr>
          <w:spacing w:val="-1"/>
        </w:rPr>
        <w:t>集团资本管理政策的目标是为了保障本集团能够持续经营，从而为股东提供回报，并使其他利益相关</w:t>
      </w:r>
    </w:p>
    <w:p>
      <w:pPr>
        <w:pStyle w:val="BodyText"/>
        <w:spacing w:line="254" w:lineRule="exact" w:before="0"/>
        <w:ind w:right="1117"/>
        <w:jc w:val="left"/>
      </w:pPr>
      <w:r>
        <w:rPr/>
        <w:t>者获益，同时维持最佳的资本结构以降低资本成本。</w:t>
      </w:r>
    </w:p>
    <w:p>
      <w:pPr>
        <w:pStyle w:val="BodyText"/>
        <w:spacing w:line="273" w:lineRule="auto" w:before="76"/>
        <w:ind w:right="1131" w:firstLine="420"/>
        <w:jc w:val="both"/>
      </w:pPr>
      <w:r>
        <w:rPr>
          <w:spacing w:val="-1"/>
        </w:rPr>
        <w:t>为了维持或调整资本结构，集团可能会调整支付给股东的股利金额、向股东返还资本、发行新股或出</w:t>
      </w:r>
      <w:r>
        <w:rPr/>
        <w:t> 售资产以减低债务。</w:t>
      </w:r>
    </w:p>
    <w:p>
      <w:pPr>
        <w:pStyle w:val="BodyText"/>
        <w:spacing w:line="273" w:lineRule="auto" w:before="46"/>
        <w:ind w:right="1132" w:firstLine="420"/>
        <w:jc w:val="both"/>
      </w:pPr>
      <w:r>
        <w:rPr>
          <w:spacing w:val="-1"/>
        </w:rPr>
        <w:t>集团以资产负债率（即总负债除以总资产）为基础对资本结构进行监控。于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日，集团的</w:t>
      </w:r>
      <w:r>
        <w:rPr/>
        <w:t> 资产负债率为</w:t>
      </w:r>
      <w:r>
        <w:rPr>
          <w:rFonts w:ascii="宋体" w:hAnsi="宋体" w:cs="宋体" w:eastAsia="宋体" w:hint="default"/>
        </w:rPr>
        <w:t>17.89%</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16.48%</w:t>
      </w:r>
      <w:r>
        <w:rPr/>
        <w:t>）。</w:t>
      </w:r>
    </w:p>
    <w:p>
      <w:pPr>
        <w:spacing w:after="0" w:line="273"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十一、公允价值的披露" w:id="432"/>
      <w:bookmarkEnd w:id="432"/>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2、持续和非持续第一层次公允价值计量项目市价的确定依据" w:id="434"/>
      <w:bookmarkEnd w:id="43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3、持续和非持续第二层次公允价值计量项目，采用的估值技术和重要参数的定性及定量信" w:id="435"/>
      <w:bookmarkEnd w:id="43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4、持续和非持续第三层次公允价值计量项目，采用的估值技术和重要参数的定性及定量信" w:id="436"/>
      <w:bookmarkEnd w:id="43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5、持续的第三层次公允价值计量项目，期初与期末账面价值间的调节信息及不可观察参数" w:id="437"/>
      <w:bookmarkEnd w:id="43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6、持续的公允价值计量项目，本期内发生各层级之间转换的，转换的原因及确定转换时点" w:id="438"/>
      <w:bookmarkEnd w:id="43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7、本期内发生的估值技术变更及变更原因" w:id="439"/>
      <w:bookmarkEnd w:id="43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8、不以公允价值计量的金融资产和金融负债的公允价值情况" w:id="440"/>
      <w:bookmarkEnd w:id="44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9、其他" w:id="441"/>
      <w:bookmarkEnd w:id="441"/>
      <w:r>
        <w:rPr>
          <w:b w:val="0"/>
          <w:bCs w:val="0"/>
        </w:rPr>
      </w:r>
      <w:r>
        <w:rPr>
          <w:rFonts w:ascii="Times New Roman" w:hAnsi="Times New Roman" w:cs="Times New Roman" w:eastAsia="Times New Roman" w:hint="default"/>
        </w:rPr>
        <w:t>9</w:t>
      </w:r>
      <w:r>
        <w:rPr/>
        <w:t>、其他</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615" w:right="5651"/>
        <w:jc w:val="center"/>
      </w:pPr>
      <w:r>
        <w:rPr/>
        <w:t>本报告期末公司无以公允价值计量的资产和负债。</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十二、关联方及关联交易" w:id="442"/>
      <w:bookmarkEnd w:id="442"/>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本企业的母公司情况" w:id="443"/>
      <w:bookmarkEnd w:id="44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1"/>
        <w:ind w:left="154" w:right="481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本企业最终控制方是尤丽娟、尤玉仙、尤友岳、尤友鸾、尤雪仙、章棉桃。 其他说明：</w:t>
      </w:r>
    </w:p>
    <w:p>
      <w:pPr>
        <w:spacing w:line="240" w:lineRule="auto" w:before="12"/>
        <w:rPr>
          <w:rFonts w:ascii="宋体" w:hAnsi="宋体" w:cs="宋体" w:eastAsia="宋体" w:hint="default"/>
          <w:sz w:val="19"/>
          <w:szCs w:val="19"/>
        </w:rPr>
      </w:pPr>
    </w:p>
    <w:p>
      <w:pPr>
        <w:pStyle w:val="Heading4"/>
        <w:spacing w:line="240" w:lineRule="auto"/>
        <w:ind w:right="1117"/>
        <w:jc w:val="left"/>
        <w:rPr>
          <w:b w:val="0"/>
          <w:bCs w:val="0"/>
        </w:rPr>
      </w:pPr>
      <w:bookmarkStart w:name="2、本企业的子公司情况" w:id="444"/>
      <w:bookmarkEnd w:id="44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r>
        <w:rPr>
          <w:rFonts w:ascii="宋体" w:hAnsi="宋体" w:cs="宋体" w:eastAsia="宋体" w:hint="default"/>
          <w:spacing w:val="-90"/>
          <w:sz w:val="18"/>
          <w:szCs w:val="18"/>
        </w:rPr>
        <w:t>、</w:t>
      </w:r>
      <w:r>
        <w:rPr>
          <w:rFonts w:ascii="宋体" w:hAnsi="宋体" w:cs="宋体" w:eastAsia="宋体" w:hint="default"/>
          <w:sz w:val="18"/>
          <w:szCs w:val="18"/>
        </w:rPr>
        <w:t>（一</w:t>
      </w:r>
      <w:r>
        <w:rPr>
          <w:rFonts w:ascii="宋体" w:hAnsi="宋体" w:cs="宋体" w:eastAsia="宋体" w:hint="default"/>
          <w:spacing w:val="-90"/>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3、本企业合营和联营企业情况" w:id="445"/>
      <w:bookmarkEnd w:id="44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福建鸿博光电科技有限公司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鸿博集团有限公司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广州联存医药科技股份有限公司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福建鸿博房地产开发有限公司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BLUESTONE </w:t>
            </w:r>
            <w:r>
              <w:rPr>
                <w:rFonts w:ascii="Times New Roman"/>
                <w:spacing w:val="-3"/>
                <w:sz w:val="18"/>
              </w:rPr>
              <w:t>SOFT,</w:t>
            </w:r>
            <w:r>
              <w:rPr>
                <w:rFonts w:ascii="Times New Roman"/>
                <w:spacing w:val="-6"/>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其他关联企业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购销商品、提供和接受劳务的关联交易" w:id="448"/>
      <w:bookmarkEnd w:id="4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福建鸿博房地产开 发有限公司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购买房产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27,819,480.00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27,819,480.00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福建鸿博房地产开发有限公司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11,487.18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福建鸿博光电科技有限公司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406,435.56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鸿博集团有限公司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14,509.40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广州联存医药科技股份有限公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12,205.13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3,589.74</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福建鸿博光电科技有限公司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310,668.00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4,553,613.00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4,707,291.75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4,553,613.00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4,707,291.75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1" w:firstLine="420"/>
        <w:jc w:val="both"/>
      </w:pP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22</w:t>
      </w:r>
      <w:r>
        <w:rPr>
          <w:spacing w:val="-1"/>
        </w:rPr>
        <w:t>日召开第四届董事会第七次会议审议通过了《鸿博股份有限公司关于向</w:t>
      </w:r>
      <w:r>
        <w:rPr>
          <w:rFonts w:ascii="宋体" w:hAnsi="宋体" w:cs="宋体" w:eastAsia="宋体" w:hint="default"/>
          <w:spacing w:val="-1"/>
        </w:rPr>
        <w:t>BLUESTONE</w:t>
      </w:r>
      <w:r>
        <w:rPr>
          <w:rFonts w:ascii="宋体" w:hAnsi="宋体" w:cs="宋体" w:eastAsia="宋体" w:hint="default"/>
        </w:rPr>
        <w:t> SOFT,</w:t>
      </w:r>
      <w:r>
        <w:rPr>
          <w:rFonts w:ascii="宋体" w:hAnsi="宋体" w:cs="宋体" w:eastAsia="宋体" w:hint="default"/>
          <w:spacing w:val="31"/>
        </w:rPr>
        <w:t> </w:t>
      </w:r>
      <w:r>
        <w:rPr>
          <w:rFonts w:ascii="宋体" w:hAnsi="宋体" w:cs="宋体" w:eastAsia="宋体" w:hint="default"/>
        </w:rPr>
        <w:t>INC.</w:t>
      </w:r>
      <w:r>
        <w:rPr/>
        <w:t>增资暨关联交易的议案》，同意公司对韩国</w:t>
      </w:r>
      <w:r>
        <w:rPr>
          <w:rFonts w:ascii="宋体" w:hAnsi="宋体" w:cs="宋体" w:eastAsia="宋体" w:hint="default"/>
        </w:rPr>
        <w:t>IP</w:t>
      </w:r>
      <w:r>
        <w:rPr/>
        <w:t>（</w:t>
      </w:r>
      <w:r>
        <w:rPr>
          <w:rFonts w:ascii="宋体" w:hAnsi="宋体" w:cs="宋体" w:eastAsia="宋体" w:hint="default"/>
        </w:rPr>
        <w:t>Intellectual</w:t>
      </w:r>
      <w:r>
        <w:rPr>
          <w:rFonts w:ascii="宋体" w:hAnsi="宋体" w:cs="宋体" w:eastAsia="宋体" w:hint="default"/>
          <w:spacing w:val="30"/>
        </w:rPr>
        <w:t> </w:t>
      </w:r>
      <w:r>
        <w:rPr>
          <w:rFonts w:ascii="宋体" w:hAnsi="宋体" w:cs="宋体" w:eastAsia="宋体" w:hint="default"/>
        </w:rPr>
        <w:t>Property</w:t>
      </w:r>
      <w:r>
        <w:rPr/>
        <w:t>，知识产权）运营和</w:t>
      </w:r>
      <w:r>
        <w:rPr>
          <w:spacing w:val="-100"/>
        </w:rPr>
        <w:t> </w:t>
      </w:r>
      <w:r>
        <w:rPr>
          <w:spacing w:val="-100"/>
        </w:rPr>
      </w:r>
      <w:r>
        <w:rPr/>
        <w:t>开发公司</w:t>
      </w:r>
      <w:r>
        <w:rPr>
          <w:rFonts w:ascii="宋体" w:hAnsi="宋体" w:cs="宋体" w:eastAsia="宋体" w:hint="default"/>
        </w:rPr>
        <w:t>BLUESTONE</w:t>
      </w:r>
      <w:r>
        <w:rPr/>
        <w:t>投资人民币</w:t>
      </w:r>
      <w:r>
        <w:rPr>
          <w:rFonts w:ascii="宋体" w:hAnsi="宋体" w:cs="宋体" w:eastAsia="宋体" w:hint="default"/>
        </w:rPr>
        <w:t>1,000</w:t>
      </w:r>
      <w:r>
        <w:rPr/>
        <w:t>万元，取得</w:t>
      </w:r>
      <w:r>
        <w:rPr>
          <w:rFonts w:ascii="宋体" w:hAnsi="宋体" w:cs="宋体" w:eastAsia="宋体" w:hint="default"/>
        </w:rPr>
        <w:t>BLUESTONE SOFT,</w:t>
      </w:r>
      <w:r>
        <w:rPr>
          <w:rFonts w:ascii="宋体" w:hAnsi="宋体" w:cs="宋体" w:eastAsia="宋体" w:hint="default"/>
          <w:spacing w:val="-6"/>
        </w:rPr>
        <w:t> </w:t>
      </w:r>
      <w:r>
        <w:rPr>
          <w:rFonts w:ascii="宋体" w:hAnsi="宋体" w:cs="宋体" w:eastAsia="宋体" w:hint="default"/>
        </w:rPr>
        <w:t>INC.</w:t>
      </w:r>
      <w:r>
        <w:rPr/>
        <w:t>总股本的</w:t>
      </w:r>
      <w:r>
        <w:rPr>
          <w:rFonts w:ascii="宋体" w:hAnsi="宋体" w:cs="宋体" w:eastAsia="宋体" w:hint="default"/>
        </w:rPr>
        <w:t>10.07%</w:t>
      </w:r>
      <w:r>
        <w:rPr/>
        <w:t>。</w:t>
      </w:r>
    </w:p>
    <w:p>
      <w:pPr>
        <w:pStyle w:val="BodyText"/>
        <w:spacing w:line="273" w:lineRule="auto" w:before="46"/>
        <w:ind w:right="1132" w:firstLine="420"/>
        <w:jc w:val="both"/>
      </w:pPr>
      <w:r>
        <w:rPr/>
        <w:t>投资协议签订时，</w:t>
      </w:r>
      <w:r>
        <w:rPr>
          <w:rFonts w:ascii="宋体" w:hAnsi="宋体" w:cs="宋体" w:eastAsia="宋体" w:hint="default"/>
        </w:rPr>
        <w:t>BLUESTONE SOFT,</w:t>
      </w:r>
      <w:r>
        <w:rPr>
          <w:rFonts w:ascii="宋体" w:hAnsi="宋体" w:cs="宋体" w:eastAsia="宋体" w:hint="default"/>
          <w:spacing w:val="-24"/>
        </w:rPr>
        <w:t> </w:t>
      </w:r>
      <w:r>
        <w:rPr>
          <w:rFonts w:ascii="宋体" w:hAnsi="宋体" w:cs="宋体" w:eastAsia="宋体" w:hint="default"/>
        </w:rPr>
        <w:t>INC.</w:t>
      </w:r>
      <w:r>
        <w:rPr/>
        <w:t>为本公司控股股东、实际控制人尤友岳、尤丽娟、尤友鸾控 股的公司，本次交易构成关联交易。</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6、关联方应收应付款项" w:id="456"/>
      <w:bookmarkEnd w:id="4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应收项目" w:id="457"/>
      <w:bookmarkEnd w:id="45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福建鸿博光电科技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355,924.85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57,970.22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福建鸿博房地产开 发有限公司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福建鸿博光电科技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2,474,676.00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117"/>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7、关联方承诺" w:id="459"/>
      <w:bookmarkEnd w:id="45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60"/>
      <w:bookmarkEnd w:id="4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1"/>
      <w:bookmarkEnd w:id="46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2"/>
      <w:bookmarkEnd w:id="4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激励计划草案公告前 </w:t>
            </w:r>
            <w:r>
              <w:rPr>
                <w:rFonts w:ascii="Times New Roman" w:hAnsi="Times New Roman" w:cs="Times New Roman" w:eastAsia="Times New Roman" w:hint="default"/>
                <w:sz w:val="18"/>
                <w:szCs w:val="18"/>
              </w:rPr>
              <w:t>60  </w:t>
            </w:r>
            <w:r>
              <w:rPr>
                <w:rFonts w:ascii="宋体" w:hAnsi="宋体" w:cs="宋体" w:eastAsia="宋体" w:hint="default"/>
                <w:sz w:val="18"/>
                <w:szCs w:val="18"/>
              </w:rPr>
              <w:t>个交易日的公司股票交易均价</w:t>
            </w:r>
          </w:p>
          <w:p>
            <w:pPr>
              <w:pStyle w:val="TableParagraph"/>
              <w:spacing w:line="302" w:lineRule="auto" w:before="63"/>
              <w:ind w:left="23" w:right="179"/>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60 </w:t>
            </w:r>
            <w:r>
              <w:rPr>
                <w:rFonts w:ascii="宋体" w:hAnsi="宋体" w:cs="宋体" w:eastAsia="宋体" w:hint="default"/>
                <w:sz w:val="18"/>
                <w:szCs w:val="18"/>
              </w:rPr>
              <w:t>个交易日股票交易总额</w:t>
            </w:r>
            <w:r>
              <w:rPr>
                <w:rFonts w:ascii="Times New Roman" w:hAnsi="Times New Roman" w:cs="Times New Roman" w:eastAsia="Times New Roman" w:hint="default"/>
                <w:sz w:val="18"/>
                <w:szCs w:val="18"/>
              </w:rPr>
              <w:t>/</w:t>
            </w:r>
            <w:r>
              <w:rPr>
                <w:rFonts w:ascii="宋体" w:hAnsi="宋体" w:cs="宋体" w:eastAsia="宋体" w:hint="default"/>
                <w:sz w:val="18"/>
                <w:szCs w:val="18"/>
              </w:rPr>
              <w:t>前 </w:t>
            </w:r>
            <w:r>
              <w:rPr>
                <w:rFonts w:ascii="Times New Roman" w:hAnsi="Times New Roman" w:cs="Times New Roman" w:eastAsia="Times New Roman" w:hint="default"/>
                <w:sz w:val="18"/>
                <w:szCs w:val="18"/>
              </w:rPr>
              <w:t>60 </w:t>
            </w:r>
            <w:r>
              <w:rPr>
                <w:rFonts w:ascii="宋体" w:hAnsi="宋体" w:cs="宋体" w:eastAsia="宋体" w:hint="default"/>
                <w:sz w:val="18"/>
                <w:szCs w:val="18"/>
              </w:rPr>
              <w:t>个交易日股票交 易总量）</w:t>
            </w:r>
            <w:r>
              <w:rPr>
                <w:rFonts w:ascii="Times New Roman" w:hAnsi="Times New Roman" w:cs="Times New Roman" w:eastAsia="Times New Roman" w:hint="default"/>
                <w:sz w:val="18"/>
                <w:szCs w:val="18"/>
              </w:rPr>
              <w:t>24.40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员工实际购买数量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公司终止实施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2,166,911.29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678,660.29</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4、股份支付的修改、终止情况" w:id="465"/>
      <w:bookmarkEnd w:id="46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215" w:firstLine="420"/>
        <w:jc w:val="both"/>
      </w:pPr>
      <w:r>
        <w:rPr>
          <w:rFonts w:ascii="宋体" w:hAnsi="宋体" w:cs="宋体" w:eastAsia="宋体" w:hint="default"/>
        </w:rPr>
        <w:t>2018</w:t>
      </w:r>
      <w:r>
        <w:rPr/>
        <w:t>年</w:t>
      </w:r>
      <w:r>
        <w:rPr>
          <w:rFonts w:ascii="宋体" w:hAnsi="宋体" w:cs="宋体" w:eastAsia="宋体" w:hint="default"/>
        </w:rPr>
        <w:t>4</w:t>
      </w:r>
      <w:r>
        <w:rPr/>
        <w:t>月经董事会及股东大会审批，公司回购注销部分因激励对象辞职的已获授权但尚未解锁的限 制性股票</w:t>
      </w:r>
      <w:r>
        <w:rPr>
          <w:rFonts w:ascii="宋体" w:hAnsi="宋体" w:cs="宋体" w:eastAsia="宋体" w:hint="default"/>
        </w:rPr>
        <w:t>1,311,000.00</w:t>
      </w:r>
      <w:r>
        <w:rPr>
          <w:rFonts w:ascii="宋体" w:hAnsi="宋体" w:cs="宋体" w:eastAsia="宋体" w:hint="default"/>
          <w:spacing w:val="-5"/>
        </w:rPr>
        <w:t> </w:t>
      </w:r>
      <w:r>
        <w:rPr/>
        <w:t>股。减少股本</w:t>
      </w:r>
      <w:r>
        <w:rPr>
          <w:rFonts w:ascii="宋体" w:hAnsi="宋体" w:cs="宋体" w:eastAsia="宋体" w:hint="default"/>
        </w:rPr>
        <w:t>1,311,000.00</w:t>
      </w:r>
      <w:r>
        <w:rPr/>
        <w:t>元，减少资本公积（股本溢价）</w:t>
      </w:r>
      <w:r>
        <w:rPr>
          <w:rFonts w:ascii="宋体" w:hAnsi="宋体" w:cs="宋体" w:eastAsia="宋体" w:hint="default"/>
        </w:rPr>
        <w:t>9,255,660.00</w:t>
      </w:r>
      <w:r>
        <w:rPr/>
        <w:t>元；减 少库存股</w:t>
      </w:r>
      <w:r>
        <w:rPr>
          <w:rFonts w:ascii="宋体" w:hAnsi="宋体" w:cs="宋体" w:eastAsia="宋体" w:hint="default"/>
        </w:rPr>
        <w:t>10,662,800.00</w:t>
      </w:r>
      <w:r>
        <w:rPr/>
        <w:t>元，其他应付款</w:t>
      </w:r>
      <w:r>
        <w:rPr>
          <w:rFonts w:ascii="宋体" w:hAnsi="宋体" w:cs="宋体" w:eastAsia="宋体" w:hint="default"/>
        </w:rPr>
        <w:t>-</w:t>
      </w:r>
      <w:r>
        <w:rPr/>
        <w:t>限制性股票回购义务</w:t>
      </w:r>
      <w:r>
        <w:rPr>
          <w:spacing w:val="-3"/>
        </w:rPr>
        <w:t> </w:t>
      </w:r>
      <w:r>
        <w:rPr>
          <w:rFonts w:ascii="宋体" w:hAnsi="宋体" w:cs="宋体" w:eastAsia="宋体" w:hint="default"/>
        </w:rPr>
        <w:t>10,662,800.00</w:t>
      </w:r>
      <w:r>
        <w:rPr/>
        <w:t>元。</w:t>
      </w:r>
    </w:p>
    <w:p>
      <w:pPr>
        <w:pStyle w:val="BodyText"/>
        <w:spacing w:line="273" w:lineRule="auto"/>
        <w:ind w:right="1108" w:firstLine="420"/>
        <w:jc w:val="left"/>
      </w:pPr>
      <w:r>
        <w:rPr/>
        <w:t>公司</w:t>
      </w:r>
      <w:r>
        <w:rPr>
          <w:rFonts w:ascii="宋体" w:hAnsi="宋体" w:cs="宋体" w:eastAsia="宋体" w:hint="default"/>
        </w:rPr>
        <w:t>2018</w:t>
      </w:r>
      <w:r>
        <w:rPr/>
        <w:t>年</w:t>
      </w:r>
      <w:r>
        <w:rPr>
          <w:rFonts w:ascii="宋体" w:hAnsi="宋体" w:cs="宋体" w:eastAsia="宋体" w:hint="default"/>
        </w:rPr>
        <w:t>9</w:t>
      </w:r>
      <w:r>
        <w:rPr/>
        <w:t>月召开第四届董事会</w:t>
      </w:r>
      <w:r>
        <w:rPr>
          <w:rFonts w:ascii="宋体" w:hAnsi="宋体" w:cs="宋体" w:eastAsia="宋体" w:hint="default"/>
        </w:rPr>
        <w:t>2018</w:t>
      </w:r>
      <w:r>
        <w:rPr/>
        <w:t>年第五次临时会议审议通过了《关于终止</w:t>
      </w:r>
      <w:r>
        <w:rPr>
          <w:rFonts w:ascii="宋体" w:hAnsi="宋体" w:cs="宋体" w:eastAsia="宋体" w:hint="default"/>
        </w:rPr>
        <w:t>2016</w:t>
      </w:r>
      <w:r>
        <w:rPr/>
        <w:t>年限制性股票激 </w:t>
      </w:r>
      <w:r>
        <w:rPr>
          <w:spacing w:val="-1"/>
        </w:rPr>
        <w:t>励计划暨回购注销已获授但尚未解除限售的限制性股票的议案》，同意公司终止实施</w:t>
      </w:r>
      <w:r>
        <w:rPr>
          <w:rFonts w:ascii="宋体" w:hAnsi="宋体" w:cs="宋体" w:eastAsia="宋体" w:hint="default"/>
          <w:spacing w:val="-1"/>
        </w:rPr>
        <w:t>2016</w:t>
      </w:r>
      <w:r>
        <w:rPr>
          <w:spacing w:val="-1"/>
        </w:rPr>
        <w:t>年限制性股票激</w:t>
      </w:r>
      <w:r>
        <w:rPr>
          <w:spacing w:val="-79"/>
        </w:rPr>
        <w:t> </w:t>
      </w:r>
      <w:r>
        <w:rPr>
          <w:spacing w:val="-79"/>
        </w:rPr>
      </w:r>
      <w:r>
        <w:rPr/>
        <w:t>励计划并回购注销已授予但尚未解除限售的限制性股票共计</w:t>
      </w:r>
      <w:r>
        <w:rPr>
          <w:rFonts w:ascii="宋体" w:hAnsi="宋体" w:cs="宋体" w:eastAsia="宋体" w:hint="default"/>
        </w:rPr>
        <w:t>1,584,000.00</w:t>
      </w:r>
      <w:r>
        <w:rPr/>
        <w:t>股。减少股本</w:t>
      </w:r>
      <w:r>
        <w:rPr>
          <w:rFonts w:ascii="宋体" w:hAnsi="宋体" w:cs="宋体" w:eastAsia="宋体" w:hint="default"/>
        </w:rPr>
        <w:t>1,584,000.00</w:t>
      </w:r>
      <w:r>
        <w:rPr/>
        <w:t>元，</w:t>
      </w:r>
      <w:r>
        <w:rPr>
          <w:spacing w:val="1"/>
        </w:rPr>
        <w:t> </w:t>
      </w:r>
      <w:r>
        <w:rPr/>
        <w:t>冲减资本公积</w:t>
      </w:r>
      <w:r>
        <w:rPr>
          <w:rFonts w:ascii="宋体" w:hAnsi="宋体" w:cs="宋体" w:eastAsia="宋体" w:hint="default"/>
        </w:rPr>
        <w:t>(</w:t>
      </w:r>
      <w:r>
        <w:rPr/>
        <w:t>股本溢价</w:t>
      </w:r>
      <w:r>
        <w:rPr>
          <w:rFonts w:ascii="宋体" w:hAnsi="宋体" w:cs="宋体" w:eastAsia="宋体" w:hint="default"/>
        </w:rPr>
        <w:t>)11,183,040.00</w:t>
      </w:r>
      <w:r>
        <w:rPr/>
        <w:t>元；减少库存股</w:t>
      </w:r>
      <w:r>
        <w:rPr>
          <w:rFonts w:ascii="宋体" w:hAnsi="宋体" w:cs="宋体" w:eastAsia="宋体" w:hint="default"/>
        </w:rPr>
        <w:t>12,883,200.00</w:t>
      </w:r>
      <w:r>
        <w:rPr/>
        <w:t>元，其他应付款</w:t>
      </w:r>
      <w:r>
        <w:rPr>
          <w:rFonts w:ascii="宋体" w:hAnsi="宋体" w:cs="宋体" w:eastAsia="宋体" w:hint="default"/>
        </w:rPr>
        <w:t>-</w:t>
      </w:r>
      <w:r>
        <w:rPr/>
        <w:t>限制性股票回购 义务</w:t>
      </w:r>
      <w:r>
        <w:rPr>
          <w:spacing w:val="-4"/>
        </w:rPr>
        <w:t> </w:t>
      </w:r>
      <w:r>
        <w:rPr>
          <w:rFonts w:ascii="宋体" w:hAnsi="宋体" w:cs="宋体" w:eastAsia="宋体" w:hint="default"/>
        </w:rPr>
        <w:t>12,883,200.00</w:t>
      </w:r>
      <w:r>
        <w:rPr/>
        <w:t>元；确认以权益结算的股份支付费用</w:t>
      </w:r>
      <w:r>
        <w:rPr>
          <w:rFonts w:ascii="宋体" w:hAnsi="宋体" w:cs="宋体" w:eastAsia="宋体" w:hint="default"/>
        </w:rPr>
        <w:t>678,660.29</w:t>
      </w:r>
      <w:r>
        <w:rPr/>
        <w:t>元，增加资本公积</w:t>
      </w:r>
      <w:r>
        <w:rPr>
          <w:rFonts w:ascii="宋体" w:hAnsi="宋体" w:cs="宋体" w:eastAsia="宋体" w:hint="default"/>
        </w:rPr>
        <w:t>-</w:t>
      </w:r>
      <w:r>
        <w:rPr/>
        <w:t>其他</w:t>
      </w:r>
      <w:r>
        <w:rPr>
          <w:rFonts w:ascii="宋体" w:hAnsi="宋体" w:cs="宋体" w:eastAsia="宋体" w:hint="default"/>
        </w:rPr>
        <w:t>678,660.29 </w:t>
      </w:r>
      <w:r>
        <w:rPr/>
        <w:t>元。</w:t>
      </w:r>
    </w:p>
    <w:p>
      <w:pPr>
        <w:spacing w:line="240" w:lineRule="auto" w:before="8"/>
        <w:rPr>
          <w:rFonts w:ascii="宋体" w:hAnsi="宋体" w:cs="宋体" w:eastAsia="宋体" w:hint="default"/>
          <w:sz w:val="23"/>
          <w:szCs w:val="23"/>
        </w:rPr>
      </w:pPr>
    </w:p>
    <w:p>
      <w:pPr>
        <w:spacing w:line="487" w:lineRule="auto" w:before="0"/>
        <w:ind w:left="154" w:right="8412" w:firstLine="0"/>
        <w:jc w:val="left"/>
        <w:rPr>
          <w:rFonts w:ascii="宋体" w:hAnsi="宋体" w:cs="宋体" w:eastAsia="宋体" w:hint="default"/>
          <w:sz w:val="21"/>
          <w:szCs w:val="21"/>
        </w:rPr>
      </w:pPr>
      <w:bookmarkStart w:name="5、其他"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7"/>
      <w:bookmarkEnd w:id="46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8"/>
      <w:bookmarkEnd w:id="468"/>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1117"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15"/>
          <w:szCs w:val="15"/>
        </w:rPr>
      </w:pPr>
    </w:p>
    <w:p>
      <w:pPr>
        <w:spacing w:line="506" w:lineRule="auto" w:before="0"/>
        <w:ind w:left="634" w:right="43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）经营租赁承诺 至资产负债表日止，本公司对外签订的不可撤销的经营租赁合约情况如下：</w:t>
      </w:r>
    </w:p>
    <w:p>
      <w:pPr>
        <w:spacing w:line="240" w:lineRule="auto" w:before="4"/>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4246"/>
        <w:gridCol w:w="2464"/>
        <w:gridCol w:w="2464"/>
      </w:tblGrid>
      <w:tr>
        <w:trPr>
          <w:trHeight w:val="432" w:hRule="exact"/>
        </w:trPr>
        <w:tc>
          <w:tcPr>
            <w:tcW w:w="4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32" w:hRule="exact"/>
        </w:trPr>
        <w:tc>
          <w:tcPr>
            <w:tcW w:w="4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10,624,307.35</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10,319,798.88</w:t>
            </w:r>
          </w:p>
        </w:tc>
      </w:tr>
      <w:tr>
        <w:trPr>
          <w:trHeight w:val="432" w:hRule="exact"/>
        </w:trPr>
        <w:tc>
          <w:tcPr>
            <w:tcW w:w="4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11,349,910.93</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10,319,798.88</w:t>
            </w:r>
          </w:p>
        </w:tc>
      </w:tr>
      <w:tr>
        <w:trPr>
          <w:trHeight w:val="432" w:hRule="exact"/>
        </w:trPr>
        <w:tc>
          <w:tcPr>
            <w:tcW w:w="4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pacing w:val="-1"/>
                <w:sz w:val="21"/>
              </w:rPr>
              <w:t>12,036,454.01</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11,093,783.80</w:t>
            </w:r>
          </w:p>
        </w:tc>
      </w:tr>
      <w:tr>
        <w:trPr>
          <w:trHeight w:val="432" w:hRule="exact"/>
        </w:trPr>
        <w:tc>
          <w:tcPr>
            <w:tcW w:w="4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18,084,646.27</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29,669,421.80</w:t>
            </w:r>
          </w:p>
        </w:tc>
      </w:tr>
      <w:tr>
        <w:trPr>
          <w:trHeight w:val="433" w:hRule="exact"/>
        </w:trPr>
        <w:tc>
          <w:tcPr>
            <w:tcW w:w="4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52,095,318.56</w:t>
            </w:r>
          </w:p>
        </w:tc>
        <w:tc>
          <w:tcPr>
            <w:tcW w:w="2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61,402,803.36</w:t>
            </w:r>
          </w:p>
        </w:tc>
      </w:tr>
    </w:tbl>
    <w:p>
      <w:pPr>
        <w:spacing w:line="240" w:lineRule="auto" w:before="5"/>
        <w:rPr>
          <w:rFonts w:ascii="宋体" w:hAnsi="宋体" w:cs="宋体" w:eastAsia="宋体" w:hint="default"/>
          <w:sz w:val="5"/>
          <w:szCs w:val="5"/>
        </w:rPr>
      </w:pPr>
    </w:p>
    <w:p>
      <w:pPr>
        <w:pStyle w:val="BodyText"/>
        <w:spacing w:line="240" w:lineRule="auto" w:before="35"/>
        <w:ind w:left="634" w:right="1117"/>
        <w:jc w:val="left"/>
      </w:pPr>
      <w:r>
        <w:rPr/>
        <w:t>（</w:t>
      </w:r>
      <w:r>
        <w:rPr>
          <w:rFonts w:ascii="Times New Roman" w:hAnsi="Times New Roman" w:cs="Times New Roman" w:eastAsia="Times New Roman" w:hint="default"/>
        </w:rPr>
        <w:t>2</w:t>
      </w:r>
      <w:r>
        <w:rPr/>
        <w:t>）股东或高管股权质押</w:t>
      </w:r>
    </w:p>
    <w:p>
      <w:pPr>
        <w:spacing w:line="240" w:lineRule="auto" w:before="4"/>
        <w:rPr>
          <w:rFonts w:ascii="宋体" w:hAnsi="宋体" w:cs="宋体" w:eastAsia="宋体" w:hint="default"/>
          <w:sz w:val="19"/>
          <w:szCs w:val="19"/>
        </w:rPr>
      </w:pPr>
    </w:p>
    <w:tbl>
      <w:tblPr>
        <w:tblW w:w="0" w:type="auto"/>
        <w:jc w:val="left"/>
        <w:tblInd w:w="144" w:type="dxa"/>
        <w:tblLayout w:type="fixed"/>
        <w:tblCellMar>
          <w:top w:w="0" w:type="dxa"/>
          <w:left w:w="0" w:type="dxa"/>
          <w:bottom w:w="0" w:type="dxa"/>
          <w:right w:w="0" w:type="dxa"/>
        </w:tblCellMar>
        <w:tblLook w:val="01E0"/>
      </w:tblPr>
      <w:tblGrid>
        <w:gridCol w:w="409"/>
        <w:gridCol w:w="814"/>
        <w:gridCol w:w="1349"/>
        <w:gridCol w:w="1350"/>
        <w:gridCol w:w="956"/>
        <w:gridCol w:w="671"/>
        <w:gridCol w:w="1520"/>
        <w:gridCol w:w="913"/>
        <w:gridCol w:w="1231"/>
      </w:tblGrid>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48" w:right="78"/>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814"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80" w:right="9"/>
              <w:jc w:val="left"/>
              <w:rPr>
                <w:rFonts w:ascii="宋体" w:hAnsi="宋体" w:cs="宋体" w:eastAsia="宋体" w:hint="default"/>
                <w:sz w:val="18"/>
                <w:szCs w:val="18"/>
              </w:rPr>
            </w:pPr>
            <w:r>
              <w:rPr>
                <w:rFonts w:ascii="宋体" w:hAnsi="宋体" w:cs="宋体" w:eastAsia="宋体" w:hint="default"/>
                <w:b/>
                <w:bCs/>
                <w:sz w:val="18"/>
                <w:szCs w:val="18"/>
              </w:rPr>
              <w:t>证券股东</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2"/>
              <w:jc w:val="right"/>
              <w:rPr>
                <w:rFonts w:ascii="宋体" w:hAnsi="宋体" w:cs="宋体" w:eastAsia="宋体" w:hint="default"/>
                <w:sz w:val="18"/>
                <w:szCs w:val="18"/>
              </w:rPr>
            </w:pPr>
            <w:r>
              <w:rPr>
                <w:rFonts w:ascii="宋体" w:hAnsi="宋体" w:cs="宋体" w:eastAsia="宋体" w:hint="default"/>
                <w:b/>
                <w:bCs/>
                <w:w w:val="95"/>
                <w:sz w:val="18"/>
                <w:szCs w:val="18"/>
              </w:rPr>
              <w:t>持股总数（股）</w:t>
            </w:r>
            <w:r>
              <w:rPr>
                <w:rFonts w:ascii="宋体" w:hAnsi="宋体" w:cs="宋体" w:eastAsia="宋体" w:hint="default"/>
                <w:sz w:val="18"/>
                <w:szCs w:val="18"/>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9"/>
              <w:jc w:val="right"/>
              <w:rPr>
                <w:rFonts w:ascii="宋体" w:hAnsi="宋体" w:cs="宋体" w:eastAsia="宋体" w:hint="default"/>
                <w:sz w:val="18"/>
                <w:szCs w:val="18"/>
              </w:rPr>
            </w:pPr>
            <w:r>
              <w:rPr>
                <w:rFonts w:ascii="宋体" w:hAnsi="宋体" w:cs="宋体" w:eastAsia="宋体" w:hint="default"/>
                <w:b/>
                <w:bCs/>
                <w:w w:val="95"/>
                <w:sz w:val="18"/>
                <w:szCs w:val="18"/>
              </w:rPr>
              <w:t>冻结股数（股）</w:t>
            </w:r>
            <w:r>
              <w:rPr>
                <w:rFonts w:ascii="宋体" w:hAnsi="宋体" w:cs="宋体" w:eastAsia="宋体" w:hint="default"/>
                <w:sz w:val="18"/>
                <w:szCs w:val="18"/>
              </w:rPr>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b/>
                <w:bCs/>
                <w:sz w:val="18"/>
                <w:szCs w:val="18"/>
              </w:rPr>
              <w:t>股份性质</w:t>
            </w:r>
            <w:r>
              <w:rPr>
                <w:rFonts w:ascii="宋体" w:hAnsi="宋体" w:cs="宋体" w:eastAsia="宋体" w:hint="default"/>
                <w:sz w:val="18"/>
                <w:szCs w:val="18"/>
              </w:rPr>
            </w:r>
          </w:p>
        </w:tc>
        <w:tc>
          <w:tcPr>
            <w:tcW w:w="671"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45" w:right="80"/>
              <w:jc w:val="left"/>
              <w:rPr>
                <w:rFonts w:ascii="宋体" w:hAnsi="宋体" w:cs="宋体" w:eastAsia="宋体" w:hint="default"/>
                <w:sz w:val="18"/>
                <w:szCs w:val="18"/>
              </w:rPr>
            </w:pPr>
            <w:r>
              <w:rPr>
                <w:rFonts w:ascii="宋体" w:hAnsi="宋体" w:cs="宋体" w:eastAsia="宋体" w:hint="default"/>
                <w:b/>
                <w:bCs/>
                <w:sz w:val="18"/>
                <w:szCs w:val="18"/>
              </w:rPr>
              <w:t>冻结类</w:t>
            </w:r>
            <w:r>
              <w:rPr>
                <w:rFonts w:ascii="宋体" w:hAnsi="宋体" w:cs="宋体" w:eastAsia="宋体" w:hint="default"/>
                <w:b/>
                <w:bCs/>
                <w:spacing w:val="1"/>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2" w:right="0"/>
              <w:jc w:val="left"/>
              <w:rPr>
                <w:rFonts w:ascii="宋体" w:hAnsi="宋体" w:cs="宋体" w:eastAsia="宋体" w:hint="default"/>
                <w:sz w:val="18"/>
                <w:szCs w:val="18"/>
              </w:rPr>
            </w:pPr>
            <w:r>
              <w:rPr>
                <w:rFonts w:ascii="宋体" w:hAnsi="宋体" w:cs="宋体" w:eastAsia="宋体" w:hint="default"/>
                <w:b/>
                <w:bCs/>
                <w:sz w:val="18"/>
                <w:szCs w:val="18"/>
              </w:rPr>
              <w:t>质权人名称</w:t>
            </w:r>
            <w:r>
              <w:rPr>
                <w:rFonts w:ascii="宋体" w:hAnsi="宋体" w:cs="宋体" w:eastAsia="宋体" w:hint="default"/>
                <w:sz w:val="18"/>
                <w:szCs w:val="18"/>
              </w:rPr>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冻结日期</w:t>
            </w:r>
            <w:r>
              <w:rPr>
                <w:rFonts w:ascii="宋体" w:hAnsi="宋体" w:cs="宋体" w:eastAsia="宋体" w:hint="default"/>
                <w:sz w:val="18"/>
                <w:szCs w:val="18"/>
              </w:rPr>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32"/>
              <w:jc w:val="right"/>
              <w:rPr>
                <w:rFonts w:ascii="宋体" w:hAnsi="宋体" w:cs="宋体" w:eastAsia="宋体" w:hint="default"/>
                <w:sz w:val="18"/>
                <w:szCs w:val="18"/>
              </w:rPr>
            </w:pPr>
            <w:r>
              <w:rPr>
                <w:rFonts w:ascii="宋体" w:hAnsi="宋体" w:cs="宋体" w:eastAsia="宋体" w:hint="default"/>
                <w:b/>
                <w:bCs/>
                <w:w w:val="95"/>
                <w:sz w:val="18"/>
                <w:szCs w:val="18"/>
              </w:rPr>
              <w:t>解冻日期</w:t>
            </w:r>
            <w:r>
              <w:rPr>
                <w:rFonts w:ascii="宋体" w:hAnsi="宋体" w:cs="宋体" w:eastAsia="宋体" w:hint="default"/>
                <w:sz w:val="18"/>
                <w:szCs w:val="18"/>
              </w:rPr>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1</w:t>
            </w:r>
          </w:p>
        </w:tc>
        <w:tc>
          <w:tcPr>
            <w:tcW w:w="81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74,715,000.00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10,500,000.00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82" w:right="49"/>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2016/9/12</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2019/9/12</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2</w:t>
            </w:r>
          </w:p>
        </w:tc>
        <w:tc>
          <w:tcPr>
            <w:tcW w:w="81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74,715,000.00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1,500,000.00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82" w:right="49"/>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2017/1/18</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2019/9/12</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3</w:t>
            </w:r>
          </w:p>
        </w:tc>
        <w:tc>
          <w:tcPr>
            <w:tcW w:w="81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74,715,000.00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1,800,000.00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319" w:lineRule="auto" w:before="21"/>
              <w:ind w:left="82" w:right="49"/>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2017/5/17</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2019/9/12</w:t>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4</w:t>
            </w:r>
          </w:p>
        </w:tc>
        <w:tc>
          <w:tcPr>
            <w:tcW w:w="81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4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74,715,000.00</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3,270,000.00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2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82" w:right="49"/>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2017/7/18</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2019/9/12</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1809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4" w:type="dxa"/>
        <w:tblLayout w:type="fixed"/>
        <w:tblCellMar>
          <w:top w:w="0" w:type="dxa"/>
          <w:left w:w="0" w:type="dxa"/>
          <w:bottom w:w="0" w:type="dxa"/>
          <w:right w:w="0" w:type="dxa"/>
        </w:tblCellMar>
        <w:tblLook w:val="01E0"/>
      </w:tblPr>
      <w:tblGrid>
        <w:gridCol w:w="409"/>
        <w:gridCol w:w="766"/>
        <w:gridCol w:w="1441"/>
        <w:gridCol w:w="1305"/>
        <w:gridCol w:w="956"/>
        <w:gridCol w:w="580"/>
        <w:gridCol w:w="1590"/>
        <w:gridCol w:w="958"/>
        <w:gridCol w:w="1208"/>
      </w:tblGrid>
      <w:tr>
        <w:trPr>
          <w:trHeight w:val="1001"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5</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1,900,000.00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2018/8/22</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2019/9/12</w:t>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6</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1,800,000.00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2018/9/12</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2019/9/12</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7</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15,000,000.00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2016/12/21</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2019/6/21</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8</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1,500,000.00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2017/1/13</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2019/6/21</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22"/>
              <w:jc w:val="right"/>
              <w:rPr>
                <w:rFonts w:ascii="宋体" w:hAnsi="宋体" w:cs="宋体" w:eastAsia="宋体" w:hint="default"/>
                <w:sz w:val="18"/>
                <w:szCs w:val="18"/>
              </w:rPr>
            </w:pPr>
            <w:r>
              <w:rPr>
                <w:rFonts w:ascii="宋体"/>
                <w:sz w:val="18"/>
              </w:rPr>
              <w:t>9</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1,920,000.00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2017/1/18</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2019/6/21</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10</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2,850,000.00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2017/5/17</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2019/6/21</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11</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2,730,000.00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2017/6/2</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2019/6/21</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12</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74,715,000.00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3,510,000.00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2018/8/22</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2019/6/21</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13</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9,000,000.00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2016/4/13</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2019/4/12</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14</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225,000.00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9"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2018/6/27</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2019/4/12</w:t>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15</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2,250,000.00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2018/7/11</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2019/4/12</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16</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9,000,000.00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2016/4/18</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2019/4/11</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17</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225,000.00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2018/6/27</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2019/4/11</w:t>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18</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2,250,000.00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2018/7/11</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2019/4/11</w:t>
            </w:r>
          </w:p>
        </w:tc>
      </w:tr>
      <w:tr>
        <w:trPr>
          <w:trHeight w:val="976"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19</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1,800,000.00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both"/>
              <w:rPr>
                <w:rFonts w:ascii="宋体" w:hAnsi="宋体" w:cs="宋体" w:eastAsia="宋体" w:hint="default"/>
                <w:sz w:val="18"/>
                <w:szCs w:val="18"/>
              </w:rPr>
            </w:pPr>
            <w:r>
              <w:rPr>
                <w:rFonts w:ascii="宋体" w:hAnsi="宋体" w:cs="宋体" w:eastAsia="宋体" w:hint="default"/>
                <w:spacing w:val="17"/>
                <w:sz w:val="18"/>
                <w:szCs w:val="18"/>
              </w:rPr>
              <w:t>华夏银行股份有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7"/>
                <w:sz w:val="18"/>
                <w:szCs w:val="18"/>
              </w:rPr>
              <w:t>限公司福州金融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街支行</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2016/4/18</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33"/>
              <w:jc w:val="right"/>
              <w:rPr>
                <w:rFonts w:ascii="宋体" w:hAnsi="宋体" w:cs="宋体" w:eastAsia="宋体" w:hint="default"/>
                <w:sz w:val="18"/>
                <w:szCs w:val="18"/>
              </w:rPr>
            </w:pPr>
            <w:r>
              <w:rPr>
                <w:rFonts w:ascii="宋体"/>
                <w:sz w:val="18"/>
              </w:rPr>
              <w:t>2019/4/1</w:t>
            </w:r>
          </w:p>
        </w:tc>
      </w:tr>
      <w:tr>
        <w:trPr>
          <w:trHeight w:val="976"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20</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4,500,000.00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both"/>
              <w:rPr>
                <w:rFonts w:ascii="宋体" w:hAnsi="宋体" w:cs="宋体" w:eastAsia="宋体" w:hint="default"/>
                <w:sz w:val="18"/>
                <w:szCs w:val="18"/>
              </w:rPr>
            </w:pPr>
            <w:r>
              <w:rPr>
                <w:rFonts w:ascii="宋体" w:hAnsi="宋体" w:cs="宋体" w:eastAsia="宋体" w:hint="default"/>
                <w:spacing w:val="17"/>
                <w:sz w:val="18"/>
                <w:szCs w:val="18"/>
              </w:rPr>
              <w:t>华夏银行股份有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7"/>
                <w:sz w:val="18"/>
                <w:szCs w:val="18"/>
              </w:rPr>
              <w:t>限公司福州金融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街支行</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2017/4/13</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33"/>
              <w:jc w:val="right"/>
              <w:rPr>
                <w:rFonts w:ascii="宋体" w:hAnsi="宋体" w:cs="宋体" w:eastAsia="宋体" w:hint="default"/>
                <w:sz w:val="18"/>
                <w:szCs w:val="18"/>
              </w:rPr>
            </w:pPr>
            <w:r>
              <w:rPr>
                <w:rFonts w:ascii="宋体"/>
                <w:sz w:val="18"/>
              </w:rPr>
              <w:t>2020/4/7</w:t>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21</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11,040,000.00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27"/>
              <w:jc w:val="left"/>
              <w:rPr>
                <w:rFonts w:ascii="宋体" w:hAnsi="宋体" w:cs="宋体" w:eastAsia="宋体" w:hint="default"/>
                <w:sz w:val="18"/>
                <w:szCs w:val="18"/>
              </w:rPr>
            </w:pPr>
            <w:r>
              <w:rPr>
                <w:rFonts w:ascii="宋体" w:hAnsi="宋体" w:cs="宋体" w:eastAsia="宋体" w:hint="default"/>
                <w:spacing w:val="17"/>
                <w:sz w:val="18"/>
                <w:szCs w:val="18"/>
              </w:rPr>
              <w:t>平安证券股份有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2017/11/2</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2019/11/2</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22</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500,000.00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平安证券股份有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2018/6/25</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2019/11/2</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23</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21" w:right="0"/>
              <w:jc w:val="center"/>
              <w:rPr>
                <w:rFonts w:ascii="宋体" w:hAnsi="宋体" w:cs="宋体" w:eastAsia="宋体" w:hint="default"/>
                <w:sz w:val="18"/>
                <w:szCs w:val="18"/>
              </w:rPr>
            </w:pPr>
            <w:r>
              <w:rPr>
                <w:rFonts w:ascii="宋体"/>
                <w:sz w:val="18"/>
              </w:rPr>
              <w:t>41,590,750.00</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800,000.00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590"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27"/>
              <w:jc w:val="left"/>
              <w:rPr>
                <w:rFonts w:ascii="宋体" w:hAnsi="宋体" w:cs="宋体" w:eastAsia="宋体" w:hint="default"/>
                <w:sz w:val="18"/>
                <w:szCs w:val="18"/>
              </w:rPr>
            </w:pPr>
            <w:r>
              <w:rPr>
                <w:rFonts w:ascii="宋体" w:hAnsi="宋体" w:cs="宋体" w:eastAsia="宋体" w:hint="default"/>
                <w:spacing w:val="17"/>
                <w:sz w:val="18"/>
                <w:szCs w:val="18"/>
              </w:rPr>
              <w:t>平安证券股份有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8"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2018/7/9</w:t>
            </w:r>
          </w:p>
        </w:tc>
        <w:tc>
          <w:tcPr>
            <w:tcW w:w="120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28" w:right="0"/>
              <w:jc w:val="left"/>
              <w:rPr>
                <w:rFonts w:ascii="宋体" w:hAnsi="宋体" w:cs="宋体" w:eastAsia="宋体" w:hint="default"/>
                <w:sz w:val="18"/>
                <w:szCs w:val="18"/>
              </w:rPr>
            </w:pPr>
            <w:r>
              <w:rPr>
                <w:rFonts w:ascii="宋体"/>
                <w:sz w:val="18"/>
              </w:rPr>
              <w:t>2019/11/2</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1807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4" w:type="dxa"/>
        <w:tblLayout w:type="fixed"/>
        <w:tblCellMar>
          <w:top w:w="0" w:type="dxa"/>
          <w:left w:w="0" w:type="dxa"/>
          <w:bottom w:w="0" w:type="dxa"/>
          <w:right w:w="0" w:type="dxa"/>
        </w:tblCellMar>
        <w:tblLook w:val="01E0"/>
      </w:tblPr>
      <w:tblGrid>
        <w:gridCol w:w="409"/>
        <w:gridCol w:w="766"/>
        <w:gridCol w:w="1486"/>
        <w:gridCol w:w="1260"/>
        <w:gridCol w:w="956"/>
        <w:gridCol w:w="580"/>
        <w:gridCol w:w="1612"/>
        <w:gridCol w:w="913"/>
        <w:gridCol w:w="1231"/>
      </w:tblGrid>
      <w:tr>
        <w:trPr>
          <w:trHeight w:val="1001"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24</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21,863,142.00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4,200,000.00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2017/3/30</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25</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21,863,142.00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1,800,000.00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2017/4/25</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26</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21,863,142.00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1,300,000.00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2018/2/14</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27</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21,863,142.00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700,000.00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2018/8/2</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28</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2,250,000.00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2016/9/21</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2019/9/20</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29</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330,000.00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2017/4/26</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2019/9/20</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30</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450,000.00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2018/2/9</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2019/9/20</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31</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240,000.00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2018/8/2</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2019/9/20</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32</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280,000.00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2018/8/3</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2019/9/20</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33</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140,000.00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2018/8/27</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2019/9/20</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34</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390,000.00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2018/8/31</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2019/9/20</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35</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3,000,000.00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2017/4/5</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2019/9/27</w:t>
            </w:r>
          </w:p>
        </w:tc>
      </w:tr>
      <w:tr>
        <w:trPr>
          <w:trHeight w:val="66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36</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420,000.00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2017/4/26</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37</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600,000.00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2017/6/2</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38</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450,000.00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2018/2/9</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39</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320,000.00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2018/8/2</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40</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360,000.00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2018/8/3</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41</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160,000.00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2018/8/27</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r>
        <w:trPr>
          <w:trHeight w:val="74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42</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530,000.00</w:t>
            </w:r>
          </w:p>
        </w:tc>
        <w:tc>
          <w:tcPr>
            <w:tcW w:w="95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8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9"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东方证券股份有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2018/8/31</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2019/9/27</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1804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4" w:type="dxa"/>
        <w:tblLayout w:type="fixed"/>
        <w:tblCellMar>
          <w:top w:w="0" w:type="dxa"/>
          <w:left w:w="0" w:type="dxa"/>
          <w:bottom w:w="0" w:type="dxa"/>
          <w:right w:w="0" w:type="dxa"/>
        </w:tblCellMar>
        <w:tblLook w:val="01E0"/>
      </w:tblPr>
      <w:tblGrid>
        <w:gridCol w:w="409"/>
        <w:gridCol w:w="766"/>
        <w:gridCol w:w="1486"/>
        <w:gridCol w:w="1260"/>
        <w:gridCol w:w="776"/>
        <w:gridCol w:w="760"/>
        <w:gridCol w:w="1612"/>
        <w:gridCol w:w="913"/>
        <w:gridCol w:w="1231"/>
      </w:tblGrid>
      <w:tr>
        <w:trPr>
          <w:trHeight w:val="1081"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43</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2,300,000.00</w:t>
            </w:r>
          </w:p>
        </w:tc>
        <w:tc>
          <w:tcPr>
            <w:tcW w:w="77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73"/>
              <w:jc w:val="righ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平安证券股份有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2018/7/26</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50" w:right="0"/>
              <w:jc w:val="left"/>
              <w:rPr>
                <w:rFonts w:ascii="宋体" w:hAnsi="宋体" w:cs="宋体" w:eastAsia="宋体" w:hint="default"/>
                <w:sz w:val="18"/>
                <w:szCs w:val="18"/>
              </w:rPr>
            </w:pPr>
            <w:r>
              <w:rPr>
                <w:rFonts w:ascii="宋体"/>
                <w:sz w:val="18"/>
              </w:rPr>
              <w:t>2019/11/2</w:t>
            </w:r>
          </w:p>
        </w:tc>
      </w:tr>
      <w:tr>
        <w:trPr>
          <w:trHeight w:val="744"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44</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80"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1"/>
              <w:jc w:val="center"/>
              <w:rPr>
                <w:rFonts w:ascii="宋体" w:hAnsi="宋体" w:cs="宋体" w:eastAsia="宋体" w:hint="default"/>
                <w:sz w:val="18"/>
                <w:szCs w:val="18"/>
              </w:rPr>
            </w:pPr>
            <w:r>
              <w:rPr>
                <w:rFonts w:ascii="宋体"/>
                <w:sz w:val="18"/>
              </w:rPr>
              <w:t>13,936,000.00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200,000.00</w:t>
            </w:r>
          </w:p>
        </w:tc>
        <w:tc>
          <w:tcPr>
            <w:tcW w:w="77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73"/>
              <w:jc w:val="righ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62"/>
              <w:ind w:left="173" w:right="49"/>
              <w:jc w:val="left"/>
              <w:rPr>
                <w:rFonts w:ascii="宋体" w:hAnsi="宋体" w:cs="宋体" w:eastAsia="宋体" w:hint="default"/>
                <w:sz w:val="18"/>
                <w:szCs w:val="18"/>
              </w:rPr>
            </w:pPr>
            <w:r>
              <w:rPr>
                <w:rFonts w:ascii="宋体" w:hAnsi="宋体" w:cs="宋体" w:eastAsia="宋体" w:hint="default"/>
                <w:spacing w:val="17"/>
                <w:sz w:val="18"/>
                <w:szCs w:val="18"/>
              </w:rPr>
              <w:t>平安证券股份有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2018/8/1</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2019/11/2</w:t>
            </w:r>
          </w:p>
        </w:tc>
      </w:tr>
      <w:tr>
        <w:trPr>
          <w:trHeight w:val="976"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45</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66" w:right="0"/>
              <w:jc w:val="center"/>
              <w:rPr>
                <w:rFonts w:ascii="宋体" w:hAnsi="宋体" w:cs="宋体" w:eastAsia="宋体" w:hint="default"/>
                <w:sz w:val="18"/>
                <w:szCs w:val="18"/>
              </w:rPr>
            </w:pPr>
            <w:r>
              <w:rPr>
                <w:rFonts w:ascii="宋体"/>
                <w:sz w:val="18"/>
              </w:rPr>
              <w:t>2,907,000.00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900,000.00</w:t>
            </w:r>
          </w:p>
        </w:tc>
        <w:tc>
          <w:tcPr>
            <w:tcW w:w="77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173"/>
              <w:jc w:val="righ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49"/>
              <w:jc w:val="both"/>
              <w:rPr>
                <w:rFonts w:ascii="宋体" w:hAnsi="宋体" w:cs="宋体" w:eastAsia="宋体" w:hint="default"/>
                <w:sz w:val="18"/>
                <w:szCs w:val="18"/>
              </w:rPr>
            </w:pPr>
            <w:r>
              <w:rPr>
                <w:rFonts w:ascii="宋体" w:hAnsi="宋体" w:cs="宋体" w:eastAsia="宋体" w:hint="default"/>
                <w:spacing w:val="17"/>
                <w:sz w:val="18"/>
                <w:szCs w:val="18"/>
              </w:rPr>
              <w:t>华夏银行股份有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7"/>
                <w:sz w:val="18"/>
                <w:szCs w:val="18"/>
              </w:rPr>
              <w:t>限公司福州金融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街支行</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2016/4/18</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33"/>
              <w:jc w:val="right"/>
              <w:rPr>
                <w:rFonts w:ascii="宋体" w:hAnsi="宋体" w:cs="宋体" w:eastAsia="宋体" w:hint="default"/>
                <w:sz w:val="18"/>
                <w:szCs w:val="18"/>
              </w:rPr>
            </w:pPr>
            <w:r>
              <w:rPr>
                <w:rFonts w:ascii="宋体"/>
                <w:sz w:val="18"/>
              </w:rPr>
              <w:t>2019/4/1</w:t>
            </w:r>
          </w:p>
        </w:tc>
      </w:tr>
      <w:tr>
        <w:trPr>
          <w:trHeight w:val="665" w:hRule="exact"/>
        </w:trPr>
        <w:tc>
          <w:tcPr>
            <w:tcW w:w="40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8"/>
              <w:jc w:val="right"/>
              <w:rPr>
                <w:rFonts w:ascii="宋体" w:hAnsi="宋体" w:cs="宋体" w:eastAsia="宋体" w:hint="default"/>
                <w:sz w:val="18"/>
                <w:szCs w:val="18"/>
              </w:rPr>
            </w:pPr>
            <w:r>
              <w:rPr>
                <w:rFonts w:ascii="宋体"/>
                <w:sz w:val="18"/>
              </w:rPr>
              <w:t>46</w:t>
            </w:r>
          </w:p>
        </w:tc>
        <w:tc>
          <w:tcPr>
            <w:tcW w:w="76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148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66" w:right="0"/>
              <w:jc w:val="center"/>
              <w:rPr>
                <w:rFonts w:ascii="宋体" w:hAnsi="宋体" w:cs="宋体" w:eastAsia="宋体" w:hint="default"/>
                <w:sz w:val="18"/>
                <w:szCs w:val="18"/>
              </w:rPr>
            </w:pPr>
            <w:r>
              <w:rPr>
                <w:rFonts w:ascii="宋体"/>
                <w:sz w:val="18"/>
              </w:rPr>
              <w:t>2,907,000.00</w:t>
            </w:r>
          </w:p>
        </w:tc>
        <w:tc>
          <w:tcPr>
            <w:tcW w:w="1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sz w:val="18"/>
              </w:rPr>
              <w:t>1,950,000.00</w:t>
            </w:r>
          </w:p>
        </w:tc>
        <w:tc>
          <w:tcPr>
            <w:tcW w:w="776"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760"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173"/>
              <w:jc w:val="right"/>
              <w:rPr>
                <w:rFonts w:ascii="宋体" w:hAnsi="宋体" w:cs="宋体" w:eastAsia="宋体" w:hint="default"/>
                <w:sz w:val="18"/>
                <w:szCs w:val="18"/>
              </w:rPr>
            </w:pPr>
            <w:r>
              <w:rPr>
                <w:rFonts w:ascii="宋体" w:hAnsi="宋体" w:cs="宋体" w:eastAsia="宋体" w:hint="default"/>
                <w:sz w:val="18"/>
                <w:szCs w:val="18"/>
              </w:rPr>
              <w:t>质押</w:t>
            </w:r>
          </w:p>
        </w:tc>
        <w:tc>
          <w:tcPr>
            <w:tcW w:w="1612" w:type="dxa"/>
            <w:tcBorders>
              <w:top w:val="single" w:sz="8" w:space="0" w:color="000000"/>
              <w:left w:val="nil" w:sz="6" w:space="0" w:color="auto"/>
              <w:bottom w:val="single" w:sz="8" w:space="0" w:color="000000"/>
              <w:right w:val="nil" w:sz="6" w:space="0" w:color="auto"/>
            </w:tcBorders>
          </w:tcPr>
          <w:p>
            <w:pPr>
              <w:pStyle w:val="TableParagraph"/>
              <w:spacing w:line="316" w:lineRule="auto" w:before="21"/>
              <w:ind w:left="173" w:right="49"/>
              <w:jc w:val="left"/>
              <w:rPr>
                <w:rFonts w:ascii="宋体" w:hAnsi="宋体" w:cs="宋体" w:eastAsia="宋体" w:hint="default"/>
                <w:sz w:val="18"/>
                <w:szCs w:val="18"/>
              </w:rPr>
            </w:pPr>
            <w:r>
              <w:rPr>
                <w:rFonts w:ascii="宋体" w:hAnsi="宋体" w:cs="宋体" w:eastAsia="宋体" w:hint="default"/>
                <w:spacing w:val="17"/>
                <w:sz w:val="18"/>
                <w:szCs w:val="18"/>
              </w:rPr>
              <w:t>平安银行股份有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限公司福州分行</w:t>
            </w:r>
          </w:p>
        </w:tc>
        <w:tc>
          <w:tcPr>
            <w:tcW w:w="91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2018/1/30</w:t>
            </w:r>
          </w:p>
        </w:tc>
        <w:tc>
          <w:tcPr>
            <w:tcW w:w="123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sz w:val="18"/>
              </w:rPr>
              <w:t>2019/7/15</w:t>
            </w:r>
          </w:p>
        </w:tc>
      </w:tr>
    </w:tbl>
    <w:p>
      <w:pPr>
        <w:spacing w:line="240" w:lineRule="auto" w:before="10"/>
        <w:rPr>
          <w:rFonts w:ascii="Times New Roman" w:hAnsi="Times New Roman" w:cs="Times New Roman" w:eastAsia="Times New Roman" w:hint="default"/>
          <w:sz w:val="29"/>
          <w:szCs w:val="29"/>
        </w:rPr>
      </w:pPr>
    </w:p>
    <w:p>
      <w:pPr>
        <w:pStyle w:val="BodyText"/>
        <w:spacing w:line="240" w:lineRule="auto" w:before="35"/>
        <w:ind w:left="634" w:right="1117"/>
        <w:jc w:val="left"/>
      </w:pPr>
      <w:r>
        <w:rPr/>
        <w:t>（</w:t>
      </w:r>
      <w:r>
        <w:rPr>
          <w:rFonts w:ascii="Times New Roman" w:hAnsi="Times New Roman" w:cs="Times New Roman" w:eastAsia="Times New Roman" w:hint="default"/>
        </w:rPr>
        <w:t>3</w:t>
      </w:r>
      <w:r>
        <w:rPr/>
        <w:t>）本报告期无其他应披露未披露的承诺事项。</w:t>
      </w:r>
    </w:p>
    <w:p>
      <w:pPr>
        <w:spacing w:line="240" w:lineRule="auto" w:before="6"/>
        <w:rPr>
          <w:rFonts w:ascii="宋体" w:hAnsi="宋体" w:cs="宋体" w:eastAsia="宋体" w:hint="default"/>
          <w:sz w:val="24"/>
          <w:szCs w:val="24"/>
        </w:rPr>
      </w:pPr>
    </w:p>
    <w:p>
      <w:pPr>
        <w:pStyle w:val="Heading4"/>
        <w:spacing w:line="240" w:lineRule="auto"/>
        <w:ind w:right="1117"/>
        <w:jc w:val="left"/>
        <w:rPr>
          <w:b w:val="0"/>
          <w:bCs w:val="0"/>
        </w:rPr>
      </w:pPr>
      <w:bookmarkStart w:name="2、或有事项" w:id="469"/>
      <w:bookmarkEnd w:id="46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资产负债表日存在的重要或有事项" w:id="470"/>
      <w:bookmarkEnd w:id="47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634" w:right="5022"/>
        <w:jc w:val="left"/>
      </w:pPr>
      <w:r>
        <w:rPr/>
        <w:t>为其他单位提供债务担保形成的或有负债及其财务影响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日，本集团为下列单位贷款提供保证：</w:t>
      </w:r>
    </w:p>
    <w:tbl>
      <w:tblPr>
        <w:tblW w:w="0" w:type="auto"/>
        <w:jc w:val="left"/>
        <w:tblInd w:w="146" w:type="dxa"/>
        <w:tblLayout w:type="fixed"/>
        <w:tblCellMar>
          <w:top w:w="0" w:type="dxa"/>
          <w:left w:w="0" w:type="dxa"/>
          <w:bottom w:w="0" w:type="dxa"/>
          <w:right w:w="0" w:type="dxa"/>
        </w:tblCellMar>
        <w:tblLook w:val="01E0"/>
      </w:tblPr>
      <w:tblGrid>
        <w:gridCol w:w="2752"/>
        <w:gridCol w:w="1833"/>
        <w:gridCol w:w="1834"/>
        <w:gridCol w:w="2061"/>
        <w:gridCol w:w="1376"/>
      </w:tblGrid>
      <w:tr>
        <w:trPr>
          <w:trHeight w:val="427" w:hRule="exact"/>
        </w:trPr>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被担保单位名称</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48"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  限</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40" w:hRule="exact"/>
        </w:trPr>
        <w:tc>
          <w:tcPr>
            <w:tcW w:w="2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重庆市鸿海印务有限公司</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35"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z w:val="18"/>
                <w:szCs w:val="18"/>
              </w:rPr>
              <w:t>万元</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2018-3-26</w:t>
            </w:r>
            <w:r>
              <w:rPr>
                <w:rFonts w:ascii="宋体" w:hAnsi="宋体" w:cs="宋体" w:eastAsia="宋体" w:hint="default"/>
                <w:sz w:val="18"/>
                <w:szCs w:val="18"/>
              </w:rPr>
              <w:t>至</w:t>
            </w:r>
            <w:r>
              <w:rPr>
                <w:rFonts w:ascii="宋体" w:hAnsi="宋体" w:cs="宋体" w:eastAsia="宋体" w:hint="default"/>
                <w:sz w:val="18"/>
                <w:szCs w:val="18"/>
              </w:rPr>
              <w:t>2019-3-16</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13"/>
                <w:sz w:val="18"/>
                <w:szCs w:val="18"/>
              </w:rPr>
              <w:t>合并报表范围内</w:t>
            </w:r>
            <w:r>
              <w:rPr>
                <w:rFonts w:ascii="宋体" w:hAnsi="宋体" w:cs="宋体" w:eastAsia="宋体" w:hint="default"/>
                <w:sz w:val="18"/>
                <w:szCs w:val="18"/>
              </w:rPr>
              <w:t> 的全资子公司</w:t>
            </w:r>
          </w:p>
        </w:tc>
      </w:tr>
    </w:tbl>
    <w:p>
      <w:pPr>
        <w:pStyle w:val="BodyText"/>
        <w:spacing w:line="240" w:lineRule="auto" w:before="36"/>
        <w:ind w:left="634" w:right="1117"/>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日，本集团不存在其他应披露的或有事项。</w:t>
      </w:r>
    </w:p>
    <w:p>
      <w:pPr>
        <w:spacing w:line="240" w:lineRule="auto" w:before="7"/>
        <w:rPr>
          <w:rFonts w:ascii="宋体" w:hAnsi="宋体" w:cs="宋体" w:eastAsia="宋体" w:hint="default"/>
          <w:sz w:val="24"/>
          <w:szCs w:val="24"/>
        </w:rPr>
      </w:pPr>
    </w:p>
    <w:p>
      <w:pPr>
        <w:pStyle w:val="Heading4"/>
        <w:spacing w:line="240" w:lineRule="auto"/>
        <w:ind w:right="1117"/>
        <w:jc w:val="left"/>
        <w:rPr>
          <w:b w:val="0"/>
          <w:bCs w:val="0"/>
        </w:rPr>
      </w:pPr>
      <w:bookmarkStart w:name="（2）公司没有需要披露的重要或有事项，也应予以说明" w:id="471"/>
      <w:bookmarkEnd w:id="47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72"/>
      <w:bookmarkEnd w:id="4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3"/>
      <w:bookmarkEnd w:id="47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4"/>
      <w:bookmarkEnd w:id="47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2、利润分配情况" w:id="475"/>
      <w:bookmarkEnd w:id="47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4"/>
        <w:spacing w:line="240" w:lineRule="auto" w:before="35"/>
        <w:ind w:right="0"/>
        <w:jc w:val="both"/>
        <w:rPr>
          <w:b w:val="0"/>
          <w:bCs w:val="0"/>
        </w:rPr>
      </w:pPr>
      <w:bookmarkStart w:name="3、销售退回" w:id="476"/>
      <w:bookmarkEnd w:id="47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4、其他资产负债表日后事项说明" w:id="477"/>
      <w:bookmarkEnd w:id="477"/>
      <w:r>
        <w:rPr>
          <w:b w:val="0"/>
          <w:bCs w:val="0"/>
        </w:rPr>
      </w:r>
      <w:r>
        <w:rPr>
          <w:rFonts w:ascii="Times New Roman" w:hAnsi="Times New Roman" w:cs="Times New Roman" w:eastAsia="Times New Roman" w:hint="default"/>
        </w:rPr>
        <w:t>4</w:t>
      </w:r>
      <w:r>
        <w:rPr/>
        <w:t>、其他资产负债表日后事项说明</w:t>
      </w:r>
      <w:r>
        <w:rPr>
          <w:b w:val="0"/>
          <w:bCs w:val="0"/>
        </w:rPr>
      </w:r>
    </w:p>
    <w:p>
      <w:pPr>
        <w:pStyle w:val="BodyText"/>
        <w:spacing w:line="530" w:lineRule="atLeast" w:before="66"/>
        <w:ind w:left="574" w:right="1117"/>
        <w:jc w:val="left"/>
        <w:rPr>
          <w:rFonts w:ascii="宋体" w:hAnsi="宋体" w:cs="宋体" w:eastAsia="宋体" w:hint="default"/>
        </w:rPr>
      </w:pPr>
      <w:r>
        <w:rPr/>
        <w:t>（</w:t>
      </w:r>
      <w:r>
        <w:rPr>
          <w:rFonts w:ascii="宋体" w:hAnsi="宋体" w:cs="宋体" w:eastAsia="宋体" w:hint="default"/>
        </w:rPr>
        <w:t>1</w:t>
      </w:r>
      <w:r>
        <w:rPr/>
        <w:t>）利润分配情况 </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日，经第四届董事会第十次会议审议决定，</w:t>
      </w:r>
      <w:r>
        <w:rPr>
          <w:rFonts w:ascii="宋体" w:hAnsi="宋体" w:cs="宋体" w:eastAsia="宋体" w:hint="default"/>
        </w:rPr>
        <w:t>2018</w:t>
      </w:r>
      <w:r>
        <w:rPr/>
        <w:t>年度利润分配预案为：以未来实施</w:t>
      </w:r>
      <w:r>
        <w:rPr>
          <w:rFonts w:ascii="宋体" w:hAnsi="宋体" w:cs="宋体" w:eastAsia="宋体" w:hint="default"/>
        </w:rPr>
        <w:t>2018</w:t>
      </w:r>
    </w:p>
    <w:p>
      <w:pPr>
        <w:pStyle w:val="BodyText"/>
        <w:spacing w:line="273" w:lineRule="auto" w:before="37"/>
        <w:ind w:right="1130"/>
        <w:jc w:val="both"/>
      </w:pPr>
      <w:r>
        <w:rPr>
          <w:spacing w:val="-1"/>
        </w:rPr>
        <w:t>年度利润分配方案的股权登记日的总股本减去公司回购专户股数为基数，向全体股东每</w:t>
      </w:r>
      <w:r>
        <w:rPr>
          <w:rFonts w:ascii="宋体" w:hAnsi="宋体" w:cs="宋体" w:eastAsia="宋体" w:hint="default"/>
          <w:spacing w:val="-1"/>
        </w:rPr>
        <w:t>10</w:t>
      </w:r>
      <w:r>
        <w:rPr>
          <w:spacing w:val="-1"/>
        </w:rPr>
        <w:t>股派发现金红利</w:t>
      </w:r>
      <w:r>
        <w:rPr>
          <w:spacing w:val="-81"/>
        </w:rPr>
        <w:t> </w:t>
      </w:r>
      <w:r>
        <w:rPr>
          <w:spacing w:val="-81"/>
        </w:rPr>
      </w:r>
      <w:r>
        <w:rPr>
          <w:rFonts w:ascii="宋体" w:hAnsi="宋体" w:cs="宋体" w:eastAsia="宋体" w:hint="default"/>
          <w:spacing w:val="-1"/>
        </w:rPr>
        <w:t>0.3</w:t>
      </w:r>
      <w:r>
        <w:rPr>
          <w:spacing w:val="-1"/>
        </w:rPr>
        <w:t>元（含税），共计派发现金红利</w:t>
      </w:r>
      <w:r>
        <w:rPr>
          <w:rFonts w:ascii="宋体" w:hAnsi="宋体" w:cs="宋体" w:eastAsia="宋体" w:hint="default"/>
          <w:spacing w:val="-1"/>
        </w:rPr>
        <w:t>14,950,327.89</w:t>
      </w:r>
      <w:r>
        <w:rPr>
          <w:spacing w:val="-1"/>
        </w:rPr>
        <w:t>元（含税），不以资本公积金转增股本，不以未分配利</w:t>
      </w:r>
      <w:r>
        <w:rPr>
          <w:spacing w:val="-78"/>
        </w:rPr>
        <w:t> </w:t>
      </w:r>
      <w:r>
        <w:rPr>
          <w:spacing w:val="-78"/>
        </w:rPr>
      </w:r>
      <w:r>
        <w:rPr/>
        <w:t>润送股。上述预案需经公司股东大会审议通过。</w:t>
      </w:r>
    </w:p>
    <w:p>
      <w:pPr>
        <w:spacing w:line="240" w:lineRule="auto" w:before="1"/>
        <w:rPr>
          <w:rFonts w:ascii="宋体" w:hAnsi="宋体" w:cs="宋体" w:eastAsia="宋体" w:hint="default"/>
          <w:sz w:val="17"/>
          <w:szCs w:val="17"/>
        </w:rPr>
      </w:pPr>
    </w:p>
    <w:p>
      <w:pPr>
        <w:pStyle w:val="BodyText"/>
        <w:spacing w:line="240" w:lineRule="auto" w:before="0"/>
        <w:ind w:left="574" w:right="1117"/>
        <w:jc w:val="left"/>
      </w:pPr>
      <w:r>
        <w:rPr/>
        <w:t>（</w:t>
      </w:r>
      <w:r>
        <w:rPr>
          <w:rFonts w:ascii="宋体" w:hAnsi="宋体" w:cs="宋体" w:eastAsia="宋体" w:hint="default"/>
        </w:rPr>
        <w:t>2</w:t>
      </w:r>
      <w:r>
        <w:rPr/>
        <w:t>）资产负债表日后至报告日股东或高管股权质押情况：</w:t>
      </w:r>
    </w:p>
    <w:p>
      <w:pPr>
        <w:spacing w:line="240" w:lineRule="auto" w:before="4"/>
        <w:rPr>
          <w:rFonts w:ascii="宋体" w:hAnsi="宋体" w:cs="宋体" w:eastAsia="宋体" w:hint="default"/>
          <w:sz w:val="26"/>
          <w:szCs w:val="26"/>
        </w:rPr>
      </w:pPr>
    </w:p>
    <w:tbl>
      <w:tblPr>
        <w:tblW w:w="0" w:type="auto"/>
        <w:jc w:val="left"/>
        <w:tblInd w:w="438" w:type="dxa"/>
        <w:tblLayout w:type="fixed"/>
        <w:tblCellMar>
          <w:top w:w="0" w:type="dxa"/>
          <w:left w:w="0" w:type="dxa"/>
          <w:bottom w:w="0" w:type="dxa"/>
          <w:right w:w="0" w:type="dxa"/>
        </w:tblCellMar>
        <w:tblLook w:val="01E0"/>
      </w:tblPr>
      <w:tblGrid>
        <w:gridCol w:w="610"/>
        <w:gridCol w:w="705"/>
        <w:gridCol w:w="1586"/>
        <w:gridCol w:w="1493"/>
        <w:gridCol w:w="793"/>
        <w:gridCol w:w="691"/>
        <w:gridCol w:w="1051"/>
        <w:gridCol w:w="1067"/>
        <w:gridCol w:w="1075"/>
      </w:tblGrid>
      <w:tr>
        <w:trPr>
          <w:trHeight w:val="578" w:hRule="exact"/>
        </w:trPr>
        <w:tc>
          <w:tcPr>
            <w:tcW w:w="610"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spacing w:val="90"/>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705" w:type="dxa"/>
            <w:tcBorders>
              <w:top w:val="nil" w:sz="6" w:space="0" w:color="auto"/>
              <w:left w:val="nil" w:sz="6" w:space="0" w:color="auto"/>
              <w:bottom w:val="single" w:sz="8" w:space="0" w:color="000000"/>
              <w:right w:val="nil" w:sz="6" w:space="0" w:color="auto"/>
            </w:tcBorders>
          </w:tcPr>
          <w:p>
            <w:pPr>
              <w:pStyle w:val="TableParagraph"/>
              <w:spacing w:line="180" w:lineRule="exact"/>
              <w:ind w:left="57" w:right="0"/>
              <w:jc w:val="left"/>
              <w:rPr>
                <w:rFonts w:ascii="宋体" w:hAnsi="宋体" w:cs="宋体" w:eastAsia="宋体" w:hint="default"/>
                <w:sz w:val="18"/>
                <w:szCs w:val="18"/>
              </w:rPr>
            </w:pPr>
            <w:r>
              <w:rPr>
                <w:rFonts w:ascii="宋体" w:hAnsi="宋体" w:cs="宋体" w:eastAsia="宋体" w:hint="default"/>
                <w:b/>
                <w:bCs/>
                <w:sz w:val="18"/>
                <w:szCs w:val="18"/>
              </w:rPr>
              <w:t>证券股</w:t>
            </w:r>
            <w:r>
              <w:rPr>
                <w:rFonts w:ascii="宋体" w:hAnsi="宋体" w:cs="宋体" w:eastAsia="宋体" w:hint="default"/>
                <w:sz w:val="18"/>
                <w:szCs w:val="18"/>
              </w:rPr>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b/>
                <w:bCs/>
                <w:sz w:val="18"/>
                <w:szCs w:val="18"/>
              </w:rPr>
              <w:t>东名称</w:t>
            </w:r>
            <w:r>
              <w:rPr>
                <w:rFonts w:ascii="宋体" w:hAnsi="宋体" w:cs="宋体" w:eastAsia="宋体" w:hint="default"/>
                <w:sz w:val="18"/>
                <w:szCs w:val="18"/>
              </w:rPr>
            </w:r>
          </w:p>
        </w:tc>
        <w:tc>
          <w:tcPr>
            <w:tcW w:w="1586" w:type="dxa"/>
            <w:tcBorders>
              <w:top w:val="nil" w:sz="6" w:space="0" w:color="auto"/>
              <w:left w:val="nil" w:sz="6" w:space="0" w:color="auto"/>
              <w:bottom w:val="single" w:sz="8" w:space="0" w:color="000000"/>
              <w:right w:val="nil" w:sz="6" w:space="0" w:color="auto"/>
            </w:tcBorders>
          </w:tcPr>
          <w:p>
            <w:pPr>
              <w:pStyle w:val="TableParagraph"/>
              <w:spacing w:line="180" w:lineRule="exact"/>
              <w:ind w:right="217"/>
              <w:jc w:val="right"/>
              <w:rPr>
                <w:rFonts w:ascii="宋体" w:hAnsi="宋体" w:cs="宋体" w:eastAsia="宋体" w:hint="default"/>
                <w:sz w:val="18"/>
                <w:szCs w:val="18"/>
              </w:rPr>
            </w:pPr>
            <w:r>
              <w:rPr>
                <w:rFonts w:ascii="宋体" w:hAnsi="宋体" w:cs="宋体" w:eastAsia="宋体" w:hint="default"/>
                <w:b/>
                <w:bCs/>
                <w:w w:val="95"/>
                <w:sz w:val="18"/>
                <w:szCs w:val="18"/>
              </w:rPr>
              <w:t>持股总数（股）</w:t>
            </w:r>
            <w:r>
              <w:rPr>
                <w:rFonts w:ascii="宋体" w:hAnsi="宋体" w:cs="宋体" w:eastAsia="宋体" w:hint="default"/>
                <w:sz w:val="18"/>
                <w:szCs w:val="18"/>
              </w:rPr>
            </w:r>
          </w:p>
        </w:tc>
        <w:tc>
          <w:tcPr>
            <w:tcW w:w="1493" w:type="dxa"/>
            <w:tcBorders>
              <w:top w:val="nil" w:sz="6" w:space="0" w:color="auto"/>
              <w:left w:val="nil" w:sz="6" w:space="0" w:color="auto"/>
              <w:bottom w:val="single" w:sz="8" w:space="0" w:color="000000"/>
              <w:right w:val="nil" w:sz="6" w:space="0" w:color="auto"/>
            </w:tcBorders>
          </w:tcPr>
          <w:p>
            <w:pPr>
              <w:pStyle w:val="TableParagraph"/>
              <w:spacing w:line="180" w:lineRule="exact"/>
              <w:ind w:right="9"/>
              <w:jc w:val="right"/>
              <w:rPr>
                <w:rFonts w:ascii="宋体" w:hAnsi="宋体" w:cs="宋体" w:eastAsia="宋体" w:hint="default"/>
                <w:sz w:val="18"/>
                <w:szCs w:val="18"/>
              </w:rPr>
            </w:pPr>
            <w:r>
              <w:rPr>
                <w:rFonts w:ascii="宋体" w:hAnsi="宋体" w:cs="宋体" w:eastAsia="宋体" w:hint="default"/>
                <w:b/>
                <w:bCs/>
                <w:w w:val="95"/>
                <w:sz w:val="18"/>
                <w:szCs w:val="18"/>
              </w:rPr>
              <w:t>冻结股数（股）</w:t>
            </w:r>
            <w:r>
              <w:rPr>
                <w:rFonts w:ascii="宋体" w:hAnsi="宋体" w:cs="宋体" w:eastAsia="宋体" w:hint="default"/>
                <w:sz w:val="18"/>
                <w:szCs w:val="18"/>
              </w:rPr>
            </w:r>
          </w:p>
        </w:tc>
        <w:tc>
          <w:tcPr>
            <w:tcW w:w="793" w:type="dxa"/>
            <w:tcBorders>
              <w:top w:val="nil" w:sz="6" w:space="0" w:color="auto"/>
              <w:left w:val="nil" w:sz="6" w:space="0" w:color="auto"/>
              <w:bottom w:val="single" w:sz="8" w:space="0" w:color="000000"/>
              <w:right w:val="nil" w:sz="6" w:space="0" w:color="auto"/>
            </w:tcBorders>
          </w:tcPr>
          <w:p>
            <w:pPr>
              <w:pStyle w:val="TableParagraph"/>
              <w:spacing w:line="180" w:lineRule="exact"/>
              <w:ind w:left="10" w:right="0"/>
              <w:jc w:val="left"/>
              <w:rPr>
                <w:rFonts w:ascii="宋体" w:hAnsi="宋体" w:cs="宋体" w:eastAsia="宋体" w:hint="default"/>
                <w:sz w:val="18"/>
                <w:szCs w:val="18"/>
              </w:rPr>
            </w:pPr>
            <w:r>
              <w:rPr>
                <w:rFonts w:ascii="宋体" w:hAnsi="宋体" w:cs="宋体" w:eastAsia="宋体" w:hint="default"/>
                <w:b/>
                <w:bCs/>
                <w:sz w:val="18"/>
                <w:szCs w:val="18"/>
              </w:rPr>
              <w:t>股份性质</w:t>
            </w:r>
            <w:r>
              <w:rPr>
                <w:rFonts w:ascii="宋体" w:hAnsi="宋体" w:cs="宋体" w:eastAsia="宋体" w:hint="default"/>
                <w:sz w:val="18"/>
                <w:szCs w:val="18"/>
              </w:rPr>
            </w:r>
          </w:p>
        </w:tc>
        <w:tc>
          <w:tcPr>
            <w:tcW w:w="691" w:type="dxa"/>
            <w:tcBorders>
              <w:top w:val="nil" w:sz="6" w:space="0" w:color="auto"/>
              <w:left w:val="nil" w:sz="6" w:space="0" w:color="auto"/>
              <w:bottom w:val="single" w:sz="8" w:space="0" w:color="000000"/>
              <w:right w:val="nil" w:sz="6" w:space="0" w:color="auto"/>
            </w:tcBorders>
          </w:tcPr>
          <w:p>
            <w:pPr>
              <w:pStyle w:val="TableParagraph"/>
              <w:spacing w:line="180" w:lineRule="exact"/>
              <w:ind w:left="60" w:right="0"/>
              <w:jc w:val="left"/>
              <w:rPr>
                <w:rFonts w:ascii="宋体" w:hAnsi="宋体" w:cs="宋体" w:eastAsia="宋体" w:hint="default"/>
                <w:sz w:val="18"/>
                <w:szCs w:val="18"/>
              </w:rPr>
            </w:pPr>
            <w:r>
              <w:rPr>
                <w:rFonts w:ascii="宋体" w:hAnsi="宋体" w:cs="宋体" w:eastAsia="宋体" w:hint="default"/>
                <w:b/>
                <w:bCs/>
                <w:sz w:val="18"/>
                <w:szCs w:val="18"/>
              </w:rPr>
              <w:t>冻结类</w:t>
            </w:r>
            <w:r>
              <w:rPr>
                <w:rFonts w:ascii="宋体" w:hAnsi="宋体" w:cs="宋体" w:eastAsia="宋体" w:hint="default"/>
                <w:sz w:val="18"/>
                <w:szCs w:val="18"/>
              </w:rPr>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b/>
                <w:bCs/>
                <w:w w:val="99"/>
                <w:sz w:val="18"/>
                <w:szCs w:val="18"/>
              </w:rPr>
              <w:t>型</w:t>
            </w:r>
            <w:r>
              <w:rPr>
                <w:rFonts w:ascii="宋体" w:hAnsi="宋体" w:cs="宋体" w:eastAsia="宋体" w:hint="default"/>
                <w:sz w:val="18"/>
                <w:szCs w:val="18"/>
              </w:rPr>
            </w:r>
          </w:p>
        </w:tc>
        <w:tc>
          <w:tcPr>
            <w:tcW w:w="1051" w:type="dxa"/>
            <w:tcBorders>
              <w:top w:val="nil" w:sz="6" w:space="0" w:color="auto"/>
              <w:left w:val="nil" w:sz="6" w:space="0" w:color="auto"/>
              <w:bottom w:val="single" w:sz="8" w:space="0" w:color="000000"/>
              <w:right w:val="nil" w:sz="6" w:space="0" w:color="auto"/>
            </w:tcBorders>
          </w:tcPr>
          <w:p>
            <w:pPr>
              <w:pStyle w:val="TableParagraph"/>
              <w:spacing w:line="180"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质权人名称</w:t>
            </w:r>
            <w:r>
              <w:rPr>
                <w:rFonts w:ascii="宋体" w:hAnsi="宋体" w:cs="宋体" w:eastAsia="宋体" w:hint="default"/>
                <w:sz w:val="18"/>
                <w:szCs w:val="18"/>
              </w:rPr>
            </w:r>
          </w:p>
        </w:tc>
        <w:tc>
          <w:tcPr>
            <w:tcW w:w="1067" w:type="dxa"/>
            <w:tcBorders>
              <w:top w:val="nil" w:sz="6" w:space="0" w:color="auto"/>
              <w:left w:val="nil" w:sz="6" w:space="0" w:color="auto"/>
              <w:bottom w:val="single" w:sz="8" w:space="0" w:color="000000"/>
              <w:right w:val="nil" w:sz="6" w:space="0" w:color="auto"/>
            </w:tcBorders>
          </w:tcPr>
          <w:p>
            <w:pPr>
              <w:pStyle w:val="TableParagraph"/>
              <w:spacing w:line="180"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冻结日期</w:t>
            </w:r>
            <w:r>
              <w:rPr>
                <w:rFonts w:ascii="宋体" w:hAnsi="宋体" w:cs="宋体" w:eastAsia="宋体" w:hint="default"/>
                <w:sz w:val="18"/>
                <w:szCs w:val="18"/>
              </w:rPr>
            </w:r>
          </w:p>
        </w:tc>
        <w:tc>
          <w:tcPr>
            <w:tcW w:w="1075" w:type="dxa"/>
            <w:tcBorders>
              <w:top w:val="nil" w:sz="6" w:space="0" w:color="auto"/>
              <w:left w:val="nil" w:sz="6" w:space="0" w:color="auto"/>
              <w:bottom w:val="single" w:sz="8" w:space="0" w:color="000000"/>
              <w:right w:val="nil" w:sz="6" w:space="0" w:color="auto"/>
            </w:tcBorders>
          </w:tcPr>
          <w:p>
            <w:pPr>
              <w:pStyle w:val="TableParagraph"/>
              <w:spacing w:line="180" w:lineRule="exact"/>
              <w:ind w:right="202"/>
              <w:jc w:val="right"/>
              <w:rPr>
                <w:rFonts w:ascii="宋体" w:hAnsi="宋体" w:cs="宋体" w:eastAsia="宋体" w:hint="default"/>
                <w:sz w:val="18"/>
                <w:szCs w:val="18"/>
              </w:rPr>
            </w:pPr>
            <w:r>
              <w:rPr>
                <w:rFonts w:ascii="宋体" w:hAnsi="宋体" w:cs="宋体" w:eastAsia="宋体" w:hint="default"/>
                <w:b/>
                <w:bCs/>
                <w:w w:val="95"/>
                <w:sz w:val="18"/>
                <w:szCs w:val="18"/>
              </w:rPr>
              <w:t>解冻日期</w:t>
            </w:r>
            <w:r>
              <w:rPr>
                <w:rFonts w:ascii="宋体" w:hAnsi="宋体" w:cs="宋体" w:eastAsia="宋体" w:hint="default"/>
                <w:sz w:val="18"/>
                <w:szCs w:val="18"/>
              </w:rPr>
            </w:r>
          </w:p>
        </w:tc>
      </w:tr>
      <w:tr>
        <w:trPr>
          <w:trHeight w:val="654"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尤丽娟</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74,715,000.00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27,510,000.00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86" w:right="62"/>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2018-12-28</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2019-6-21</w:t>
            </w:r>
          </w:p>
        </w:tc>
      </w:tr>
      <w:tr>
        <w:trPr>
          <w:trHeight w:val="654"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尤玉仙</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41,590,750.00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11,475,000.00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86" w:right="62"/>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2019-1-12</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2019-4-11</w:t>
            </w:r>
          </w:p>
        </w:tc>
      </w:tr>
      <w:tr>
        <w:trPr>
          <w:trHeight w:val="654"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3</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尤玉仙</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41,590,750.00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11,475,000.00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86" w:right="62"/>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2019-1-15</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2019-4-12</w:t>
            </w:r>
          </w:p>
        </w:tc>
      </w:tr>
      <w:tr>
        <w:trPr>
          <w:trHeight w:val="966"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4</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章棉桃</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2,907,000.00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1,950,000.00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9" w:lineRule="auto" w:before="10"/>
              <w:ind w:left="86" w:right="62"/>
              <w:jc w:val="both"/>
              <w:rPr>
                <w:rFonts w:ascii="宋体" w:hAnsi="宋体" w:cs="宋体" w:eastAsia="宋体" w:hint="default"/>
                <w:sz w:val="18"/>
                <w:szCs w:val="18"/>
              </w:rPr>
            </w:pPr>
            <w:r>
              <w:rPr>
                <w:rFonts w:ascii="宋体" w:hAnsi="宋体" w:cs="宋体" w:eastAsia="宋体" w:hint="default"/>
                <w:sz w:val="18"/>
                <w:szCs w:val="18"/>
              </w:rPr>
              <w:t>平安银行股 份有限公司 福州分行</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2019-1-31</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2019-7-15</w:t>
            </w:r>
          </w:p>
        </w:tc>
      </w:tr>
      <w:tr>
        <w:trPr>
          <w:trHeight w:val="654"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5</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尤丽娟</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74,715,000.00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20,770,000.00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86" w:right="62"/>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2019-3-12</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2019-9-12</w:t>
            </w:r>
          </w:p>
        </w:tc>
      </w:tr>
      <w:tr>
        <w:trPr>
          <w:trHeight w:val="654"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6</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尤友岳</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28,613,142.00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8,000,000.00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86" w:right="62"/>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2019-3-21</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2019-9-27</w:t>
            </w:r>
          </w:p>
        </w:tc>
      </w:tr>
      <w:tr>
        <w:trPr>
          <w:trHeight w:val="654"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7</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尤友鸾</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13,936,000.00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5,840,000.00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86" w:right="62"/>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2019-3-21</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2019-9-27</w:t>
            </w:r>
          </w:p>
        </w:tc>
      </w:tr>
      <w:tr>
        <w:trPr>
          <w:trHeight w:val="654" w:hRule="exact"/>
        </w:trPr>
        <w:tc>
          <w:tcPr>
            <w:tcW w:w="61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8</w:t>
            </w:r>
          </w:p>
        </w:tc>
        <w:tc>
          <w:tcPr>
            <w:tcW w:w="7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尤友鸾</w:t>
            </w:r>
          </w:p>
        </w:tc>
        <w:tc>
          <w:tcPr>
            <w:tcW w:w="1586"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15"/>
              <w:jc w:val="right"/>
              <w:rPr>
                <w:rFonts w:ascii="宋体" w:hAnsi="宋体" w:cs="宋体" w:eastAsia="宋体" w:hint="default"/>
                <w:sz w:val="18"/>
                <w:szCs w:val="18"/>
              </w:rPr>
            </w:pPr>
            <w:r>
              <w:rPr>
                <w:rFonts w:ascii="宋体"/>
                <w:sz w:val="18"/>
              </w:rPr>
              <w:t>13,936,000.00</w:t>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4,080,000.00</w:t>
            </w:r>
          </w:p>
        </w:tc>
        <w:tc>
          <w:tcPr>
            <w:tcW w:w="79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流通股</w:t>
            </w:r>
          </w:p>
        </w:tc>
        <w:tc>
          <w:tcPr>
            <w:tcW w:w="69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60" w:right="89"/>
              <w:jc w:val="left"/>
              <w:rPr>
                <w:rFonts w:ascii="宋体" w:hAnsi="宋体" w:cs="宋体" w:eastAsia="宋体" w:hint="default"/>
                <w:sz w:val="18"/>
                <w:szCs w:val="18"/>
              </w:rPr>
            </w:pPr>
            <w:r>
              <w:rPr>
                <w:rFonts w:ascii="宋体" w:hAnsi="宋体" w:cs="宋体" w:eastAsia="宋体" w:hint="default"/>
                <w:sz w:val="18"/>
                <w:szCs w:val="18"/>
              </w:rPr>
              <w:t>延长质 押期限</w:t>
            </w:r>
          </w:p>
        </w:tc>
        <w:tc>
          <w:tcPr>
            <w:tcW w:w="1051"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86" w:right="62"/>
              <w:jc w:val="left"/>
              <w:rPr>
                <w:rFonts w:ascii="宋体" w:hAnsi="宋体" w:cs="宋体" w:eastAsia="宋体" w:hint="default"/>
                <w:sz w:val="18"/>
                <w:szCs w:val="18"/>
              </w:rPr>
            </w:pPr>
            <w:r>
              <w:rPr>
                <w:rFonts w:ascii="宋体" w:hAnsi="宋体" w:cs="宋体" w:eastAsia="宋体" w:hint="default"/>
                <w:sz w:val="18"/>
                <w:szCs w:val="18"/>
              </w:rPr>
              <w:t>东方证券股 份有限公司</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49"/>
              <w:jc w:val="right"/>
              <w:rPr>
                <w:rFonts w:ascii="宋体" w:hAnsi="宋体" w:cs="宋体" w:eastAsia="宋体" w:hint="default"/>
                <w:sz w:val="18"/>
                <w:szCs w:val="18"/>
              </w:rPr>
            </w:pPr>
            <w:r>
              <w:rPr>
                <w:rFonts w:ascii="宋体"/>
                <w:sz w:val="18"/>
              </w:rPr>
              <w:t>2019-3-21</w:t>
            </w:r>
          </w:p>
        </w:tc>
        <w:tc>
          <w:tcPr>
            <w:tcW w:w="107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157"/>
              <w:jc w:val="right"/>
              <w:rPr>
                <w:rFonts w:ascii="宋体" w:hAnsi="宋体" w:cs="宋体" w:eastAsia="宋体" w:hint="default"/>
                <w:sz w:val="18"/>
                <w:szCs w:val="18"/>
              </w:rPr>
            </w:pPr>
            <w:r>
              <w:rPr>
                <w:rFonts w:ascii="宋体"/>
                <w:sz w:val="18"/>
              </w:rPr>
              <w:t>2019-9-20</w:t>
            </w:r>
          </w:p>
        </w:tc>
      </w:tr>
    </w:tbl>
    <w:p>
      <w:pPr>
        <w:spacing w:line="240" w:lineRule="auto" w:before="5"/>
        <w:rPr>
          <w:rFonts w:ascii="宋体" w:hAnsi="宋体" w:cs="宋体" w:eastAsia="宋体" w:hint="default"/>
          <w:sz w:val="5"/>
          <w:szCs w:val="5"/>
        </w:rPr>
      </w:pPr>
    </w:p>
    <w:p>
      <w:pPr>
        <w:pStyle w:val="BodyText"/>
        <w:spacing w:line="240" w:lineRule="auto" w:before="35"/>
        <w:ind w:left="405" w:right="1117"/>
        <w:jc w:val="left"/>
      </w:pPr>
      <w:r>
        <w:rPr/>
        <w:t>（</w:t>
      </w:r>
      <w:r>
        <w:rPr>
          <w:rFonts w:ascii="Times New Roman" w:hAnsi="Times New Roman" w:cs="Times New Roman" w:eastAsia="Times New Roman" w:hint="default"/>
        </w:rPr>
        <w:t>3</w:t>
      </w:r>
      <w:r>
        <w:rPr/>
        <w:t>）使用部分闲置募集资金购买理财产品及结构性存款</w:t>
      </w:r>
    </w:p>
    <w:p>
      <w:pPr>
        <w:spacing w:line="240" w:lineRule="auto" w:before="2"/>
        <w:rPr>
          <w:rFonts w:ascii="宋体" w:hAnsi="宋体" w:cs="宋体" w:eastAsia="宋体" w:hint="default"/>
          <w:sz w:val="18"/>
          <w:szCs w:val="18"/>
        </w:rPr>
      </w:pPr>
    </w:p>
    <w:p>
      <w:pPr>
        <w:pStyle w:val="BodyText"/>
        <w:spacing w:line="256" w:lineRule="auto" w:before="0"/>
        <w:ind w:right="1117" w:firstLine="252"/>
        <w:jc w:val="left"/>
      </w:pPr>
      <w:r>
        <w:rPr>
          <w:spacing w:val="-2"/>
        </w:rPr>
        <w:t>根据第四届董事会第二次会议和</w:t>
      </w:r>
      <w:r>
        <w:rPr>
          <w:rFonts w:ascii="Times New Roman" w:hAnsi="Times New Roman" w:cs="Times New Roman" w:eastAsia="Times New Roman" w:hint="default"/>
          <w:spacing w:val="-2"/>
        </w:rPr>
        <w:t>2016</w:t>
      </w:r>
      <w:r>
        <w:rPr>
          <w:spacing w:val="-2"/>
        </w:rPr>
        <w:t>年第四次临时股东大会决议，公司使用部分闲置募集资金购买理财</w:t>
      </w:r>
      <w:r>
        <w:rPr/>
        <w:t> 产品，具体情况如下：</w:t>
      </w:r>
    </w:p>
    <w:p>
      <w:pPr>
        <w:spacing w:line="240" w:lineRule="auto" w:before="3"/>
        <w:rPr>
          <w:rFonts w:ascii="宋体" w:hAnsi="宋体" w:cs="宋体" w:eastAsia="宋体" w:hint="default"/>
          <w:sz w:val="25"/>
          <w:szCs w:val="25"/>
        </w:rPr>
      </w:pPr>
    </w:p>
    <w:tbl>
      <w:tblPr>
        <w:tblW w:w="0" w:type="auto"/>
        <w:jc w:val="left"/>
        <w:tblInd w:w="438" w:type="dxa"/>
        <w:tblLayout w:type="fixed"/>
        <w:tblCellMar>
          <w:top w:w="0" w:type="dxa"/>
          <w:left w:w="0" w:type="dxa"/>
          <w:bottom w:w="0" w:type="dxa"/>
          <w:right w:w="0" w:type="dxa"/>
        </w:tblCellMar>
        <w:tblLook w:val="01E0"/>
      </w:tblPr>
      <w:tblGrid>
        <w:gridCol w:w="2805"/>
        <w:gridCol w:w="1886"/>
        <w:gridCol w:w="2265"/>
        <w:gridCol w:w="2115"/>
      </w:tblGrid>
      <w:tr>
        <w:trPr>
          <w:trHeight w:val="601" w:hRule="exact"/>
        </w:trPr>
        <w:tc>
          <w:tcPr>
            <w:tcW w:w="2805" w:type="dxa"/>
            <w:tcBorders>
              <w:top w:val="nil" w:sz="6" w:space="0" w:color="auto"/>
              <w:left w:val="nil" w:sz="6" w:space="0" w:color="auto"/>
              <w:bottom w:val="single" w:sz="8"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开  户</w:t>
            </w:r>
            <w:r>
              <w:rPr>
                <w:rFonts w:ascii="宋体" w:hAnsi="宋体" w:cs="宋体" w:eastAsia="宋体" w:hint="default"/>
                <w:b/>
                <w:bCs/>
                <w:spacing w:val="88"/>
                <w:sz w:val="18"/>
                <w:szCs w:val="18"/>
              </w:rPr>
              <w:t> </w:t>
            </w:r>
            <w:r>
              <w:rPr>
                <w:rFonts w:ascii="宋体" w:hAnsi="宋体" w:cs="宋体" w:eastAsia="宋体" w:hint="default"/>
                <w:b/>
                <w:bCs/>
                <w:sz w:val="18"/>
                <w:szCs w:val="18"/>
              </w:rPr>
              <w:t>行</w:t>
            </w:r>
            <w:r>
              <w:rPr>
                <w:rFonts w:ascii="宋体" w:hAnsi="宋体" w:cs="宋体" w:eastAsia="宋体" w:hint="default"/>
                <w:sz w:val="18"/>
                <w:szCs w:val="18"/>
              </w:rPr>
            </w:r>
          </w:p>
        </w:tc>
        <w:tc>
          <w:tcPr>
            <w:tcW w:w="1886"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right="164"/>
              <w:jc w:val="right"/>
              <w:rPr>
                <w:rFonts w:ascii="宋体" w:hAnsi="宋体" w:cs="宋体" w:eastAsia="宋体" w:hint="default"/>
                <w:sz w:val="18"/>
                <w:szCs w:val="18"/>
              </w:rPr>
            </w:pPr>
            <w:r>
              <w:rPr>
                <w:rFonts w:ascii="宋体" w:hAnsi="宋体" w:cs="宋体" w:eastAsia="宋体" w:hint="default"/>
                <w:b/>
                <w:bCs/>
                <w:w w:val="95"/>
                <w:sz w:val="18"/>
                <w:szCs w:val="18"/>
              </w:rPr>
              <w:t>金额（万元）</w:t>
            </w:r>
            <w:r>
              <w:rPr>
                <w:rFonts w:ascii="宋体" w:hAnsi="宋体" w:cs="宋体" w:eastAsia="宋体" w:hint="default"/>
                <w:sz w:val="18"/>
                <w:szCs w:val="18"/>
              </w:rPr>
            </w:r>
          </w:p>
        </w:tc>
        <w:tc>
          <w:tcPr>
            <w:tcW w:w="2265"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right="307"/>
              <w:jc w:val="center"/>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2115"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right="9"/>
              <w:jc w:val="right"/>
              <w:rPr>
                <w:rFonts w:ascii="宋体" w:hAnsi="宋体" w:cs="宋体" w:eastAsia="宋体" w:hint="default"/>
                <w:sz w:val="18"/>
                <w:szCs w:val="18"/>
              </w:rPr>
            </w:pPr>
            <w:r>
              <w:rPr>
                <w:rFonts w:ascii="宋体" w:hAnsi="宋体" w:cs="宋体" w:eastAsia="宋体" w:hint="default"/>
                <w:b/>
                <w:bCs/>
                <w:w w:val="95"/>
                <w:sz w:val="18"/>
                <w:szCs w:val="18"/>
              </w:rPr>
              <w:t>利率（人民币结算）</w:t>
            </w:r>
            <w:r>
              <w:rPr>
                <w:rFonts w:ascii="宋体" w:hAnsi="宋体" w:cs="宋体" w:eastAsia="宋体" w:hint="default"/>
                <w:sz w:val="18"/>
                <w:szCs w:val="18"/>
              </w:rPr>
            </w:r>
          </w:p>
        </w:tc>
      </w:tr>
      <w:tr>
        <w:trPr>
          <w:trHeight w:val="990" w:hRule="exact"/>
        </w:trPr>
        <w:tc>
          <w:tcPr>
            <w:tcW w:w="2805" w:type="dxa"/>
            <w:tcBorders>
              <w:top w:val="single" w:sz="8" w:space="0" w:color="000000"/>
              <w:left w:val="nil" w:sz="6" w:space="0" w:color="auto"/>
              <w:bottom w:val="single" w:sz="8" w:space="0" w:color="000000"/>
              <w:right w:val="nil" w:sz="6" w:space="0" w:color="auto"/>
            </w:tcBorders>
          </w:tcPr>
          <w:p>
            <w:pPr>
              <w:pStyle w:val="TableParagraph"/>
              <w:spacing w:line="319" w:lineRule="auto" w:before="131"/>
              <w:ind w:left="9" w:right="633"/>
              <w:jc w:val="left"/>
              <w:rPr>
                <w:rFonts w:ascii="宋体" w:hAnsi="宋体" w:cs="宋体" w:eastAsia="宋体" w:hint="default"/>
                <w:sz w:val="18"/>
                <w:szCs w:val="18"/>
              </w:rPr>
            </w:pPr>
            <w:r>
              <w:rPr>
                <w:rFonts w:ascii="宋体" w:hAnsi="宋体" w:cs="宋体" w:eastAsia="宋体" w:hint="default"/>
                <w:sz w:val="18"/>
                <w:szCs w:val="18"/>
              </w:rPr>
              <w:t>中国工商银行股份有限公司 福州城东支行</w:t>
            </w:r>
          </w:p>
        </w:tc>
        <w:tc>
          <w:tcPr>
            <w:tcW w:w="1886" w:type="dxa"/>
            <w:tcBorders>
              <w:top w:val="single" w:sz="8" w:space="0" w:color="000000"/>
              <w:left w:val="nil" w:sz="6" w:space="0" w:color="auto"/>
              <w:bottom w:val="single" w:sz="8" w:space="0" w:color="000000"/>
              <w:right w:val="nil" w:sz="6" w:space="0" w:color="auto"/>
            </w:tcBorders>
          </w:tcPr>
          <w:p>
            <w:pPr>
              <w:pStyle w:val="TableParagraph"/>
              <w:spacing w:line="240" w:lineRule="auto" w:before="131"/>
              <w:ind w:right="164"/>
              <w:jc w:val="right"/>
              <w:rPr>
                <w:rFonts w:ascii="宋体" w:hAnsi="宋体" w:cs="宋体" w:eastAsia="宋体" w:hint="default"/>
                <w:sz w:val="18"/>
                <w:szCs w:val="18"/>
              </w:rPr>
            </w:pPr>
            <w:r>
              <w:rPr>
                <w:rFonts w:ascii="宋体"/>
                <w:sz w:val="18"/>
              </w:rPr>
              <w:t>24,000.00</w:t>
            </w:r>
          </w:p>
        </w:tc>
        <w:tc>
          <w:tcPr>
            <w:tcW w:w="2265" w:type="dxa"/>
            <w:tcBorders>
              <w:top w:val="single" w:sz="8" w:space="0" w:color="000000"/>
              <w:left w:val="nil" w:sz="6" w:space="0" w:color="auto"/>
              <w:bottom w:val="single" w:sz="8" w:space="0" w:color="000000"/>
              <w:right w:val="nil" w:sz="6" w:space="0" w:color="auto"/>
            </w:tcBorders>
          </w:tcPr>
          <w:p>
            <w:pPr>
              <w:pStyle w:val="TableParagraph"/>
              <w:spacing w:line="240" w:lineRule="auto" w:before="131"/>
              <w:ind w:right="310"/>
              <w:jc w:val="center"/>
              <w:rPr>
                <w:rFonts w:ascii="宋体" w:hAnsi="宋体" w:cs="宋体" w:eastAsia="宋体" w:hint="default"/>
                <w:sz w:val="18"/>
                <w:szCs w:val="18"/>
              </w:rPr>
            </w:pPr>
            <w:r>
              <w:rPr>
                <w:rFonts w:ascii="宋体"/>
                <w:sz w:val="18"/>
              </w:rPr>
              <w:t>2019/1/3-2019/3/28</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131"/>
              <w:ind w:right="8"/>
              <w:jc w:val="right"/>
              <w:rPr>
                <w:rFonts w:ascii="宋体" w:hAnsi="宋体" w:cs="宋体" w:eastAsia="宋体" w:hint="default"/>
                <w:sz w:val="18"/>
                <w:szCs w:val="18"/>
              </w:rPr>
            </w:pPr>
            <w:r>
              <w:rPr>
                <w:rFonts w:ascii="宋体"/>
                <w:sz w:val="18"/>
              </w:rPr>
              <w:t>3.25%</w:t>
            </w:r>
          </w:p>
        </w:tc>
      </w:tr>
      <w:tr>
        <w:trPr>
          <w:trHeight w:val="679" w:hRule="exact"/>
        </w:trPr>
        <w:tc>
          <w:tcPr>
            <w:tcW w:w="2805" w:type="dxa"/>
            <w:tcBorders>
              <w:top w:val="single" w:sz="8" w:space="0" w:color="000000"/>
              <w:left w:val="nil" w:sz="6" w:space="0" w:color="auto"/>
              <w:bottom w:val="single" w:sz="8" w:space="0" w:color="000000"/>
              <w:right w:val="nil" w:sz="6" w:space="0" w:color="auto"/>
            </w:tcBorders>
          </w:tcPr>
          <w:p>
            <w:pPr>
              <w:pStyle w:val="TableParagraph"/>
              <w:spacing w:line="240" w:lineRule="auto" w:before="131"/>
              <w:ind w:left="9" w:right="0"/>
              <w:jc w:val="left"/>
              <w:rPr>
                <w:rFonts w:ascii="宋体" w:hAnsi="宋体" w:cs="宋体" w:eastAsia="宋体" w:hint="default"/>
                <w:sz w:val="18"/>
                <w:szCs w:val="18"/>
              </w:rPr>
            </w:pPr>
            <w:r>
              <w:rPr>
                <w:rFonts w:ascii="宋体" w:hAnsi="宋体" w:cs="宋体" w:eastAsia="宋体" w:hint="default"/>
                <w:sz w:val="18"/>
                <w:szCs w:val="18"/>
              </w:rPr>
              <w:t>招商银行股份有限公司福州</w:t>
            </w:r>
          </w:p>
        </w:tc>
        <w:tc>
          <w:tcPr>
            <w:tcW w:w="1886" w:type="dxa"/>
            <w:tcBorders>
              <w:top w:val="single" w:sz="8" w:space="0" w:color="000000"/>
              <w:left w:val="nil" w:sz="6" w:space="0" w:color="auto"/>
              <w:bottom w:val="single" w:sz="8" w:space="0" w:color="000000"/>
              <w:right w:val="nil" w:sz="6" w:space="0" w:color="auto"/>
            </w:tcBorders>
          </w:tcPr>
          <w:p>
            <w:pPr>
              <w:pStyle w:val="TableParagraph"/>
              <w:spacing w:line="240" w:lineRule="auto" w:before="131"/>
              <w:ind w:right="164"/>
              <w:jc w:val="right"/>
              <w:rPr>
                <w:rFonts w:ascii="宋体" w:hAnsi="宋体" w:cs="宋体" w:eastAsia="宋体" w:hint="default"/>
                <w:sz w:val="18"/>
                <w:szCs w:val="18"/>
              </w:rPr>
            </w:pPr>
            <w:r>
              <w:rPr>
                <w:rFonts w:ascii="宋体"/>
                <w:sz w:val="18"/>
              </w:rPr>
              <w:t>11,000.00</w:t>
            </w:r>
          </w:p>
        </w:tc>
        <w:tc>
          <w:tcPr>
            <w:tcW w:w="2265" w:type="dxa"/>
            <w:tcBorders>
              <w:top w:val="single" w:sz="8" w:space="0" w:color="000000"/>
              <w:left w:val="nil" w:sz="6" w:space="0" w:color="auto"/>
              <w:bottom w:val="single" w:sz="8" w:space="0" w:color="000000"/>
              <w:right w:val="nil" w:sz="6" w:space="0" w:color="auto"/>
            </w:tcBorders>
          </w:tcPr>
          <w:p>
            <w:pPr>
              <w:pStyle w:val="TableParagraph"/>
              <w:spacing w:line="240" w:lineRule="auto" w:before="131"/>
              <w:ind w:right="310"/>
              <w:jc w:val="center"/>
              <w:rPr>
                <w:rFonts w:ascii="宋体" w:hAnsi="宋体" w:cs="宋体" w:eastAsia="宋体" w:hint="default"/>
                <w:sz w:val="18"/>
                <w:szCs w:val="18"/>
              </w:rPr>
            </w:pPr>
            <w:r>
              <w:rPr>
                <w:rFonts w:ascii="宋体"/>
                <w:sz w:val="18"/>
              </w:rPr>
              <w:t>2019/1/3-2019/3/29</w:t>
            </w:r>
          </w:p>
        </w:tc>
        <w:tc>
          <w:tcPr>
            <w:tcW w:w="2115" w:type="dxa"/>
            <w:tcBorders>
              <w:top w:val="single" w:sz="8" w:space="0" w:color="000000"/>
              <w:left w:val="nil" w:sz="6" w:space="0" w:color="auto"/>
              <w:bottom w:val="single" w:sz="8" w:space="0" w:color="000000"/>
              <w:right w:val="nil" w:sz="6" w:space="0" w:color="auto"/>
            </w:tcBorders>
          </w:tcPr>
          <w:p>
            <w:pPr>
              <w:pStyle w:val="TableParagraph"/>
              <w:spacing w:line="240" w:lineRule="auto" w:before="131"/>
              <w:ind w:right="8"/>
              <w:jc w:val="right"/>
              <w:rPr>
                <w:rFonts w:ascii="宋体" w:hAnsi="宋体" w:cs="宋体" w:eastAsia="宋体" w:hint="default"/>
                <w:sz w:val="18"/>
                <w:szCs w:val="18"/>
              </w:rPr>
            </w:pPr>
            <w:r>
              <w:rPr>
                <w:rFonts w:ascii="宋体"/>
                <w:sz w:val="18"/>
              </w:rPr>
              <w:t>1.25%-3.11%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7"/>
        <w:gridCol w:w="2949"/>
        <w:gridCol w:w="1727"/>
        <w:gridCol w:w="2628"/>
        <w:gridCol w:w="1774"/>
        <w:gridCol w:w="314"/>
      </w:tblGrid>
      <w:tr>
        <w:trPr>
          <w:trHeight w:val="886" w:hRule="exact"/>
        </w:trPr>
        <w:tc>
          <w:tcPr>
            <w:tcW w:w="307" w:type="dxa"/>
            <w:tcBorders>
              <w:top w:val="single" w:sz="6" w:space="0" w:color="000000"/>
              <w:left w:val="nil" w:sz="6" w:space="0" w:color="auto"/>
              <w:bottom w:val="nil" w:sz="6" w:space="0" w:color="auto"/>
              <w:right w:val="nil" w:sz="6" w:space="0" w:color="auto"/>
            </w:tcBorders>
          </w:tcPr>
          <w:p>
            <w:pPr/>
          </w:p>
        </w:tc>
        <w:tc>
          <w:tcPr>
            <w:tcW w:w="2949" w:type="dxa"/>
            <w:tcBorders>
              <w:top w:val="single" w:sz="6"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古田支行</w:t>
            </w:r>
          </w:p>
        </w:tc>
        <w:tc>
          <w:tcPr>
            <w:tcW w:w="1727" w:type="dxa"/>
            <w:tcBorders>
              <w:top w:val="single" w:sz="6" w:space="0" w:color="000000"/>
              <w:left w:val="nil" w:sz="6" w:space="0" w:color="auto"/>
              <w:bottom w:val="single" w:sz="8" w:space="0" w:color="000000"/>
              <w:right w:val="nil" w:sz="6" w:space="0" w:color="auto"/>
            </w:tcBorders>
          </w:tcPr>
          <w:p>
            <w:pPr/>
          </w:p>
        </w:tc>
        <w:tc>
          <w:tcPr>
            <w:tcW w:w="2628" w:type="dxa"/>
            <w:tcBorders>
              <w:top w:val="single" w:sz="6" w:space="0" w:color="000000"/>
              <w:left w:val="nil" w:sz="6" w:space="0" w:color="auto"/>
              <w:bottom w:val="single" w:sz="8" w:space="0" w:color="000000"/>
              <w:right w:val="nil" w:sz="6" w:space="0" w:color="auto"/>
            </w:tcBorders>
          </w:tcPr>
          <w:p>
            <w:pPr/>
          </w:p>
        </w:tc>
        <w:tc>
          <w:tcPr>
            <w:tcW w:w="1774" w:type="dxa"/>
            <w:tcBorders>
              <w:top w:val="single" w:sz="6" w:space="0" w:color="000000"/>
              <w:left w:val="nil" w:sz="6" w:space="0" w:color="auto"/>
              <w:bottom w:val="single" w:sz="8" w:space="0" w:color="000000"/>
              <w:right w:val="nil" w:sz="6" w:space="0" w:color="auto"/>
            </w:tcBorders>
          </w:tcPr>
          <w:p>
            <w:pPr/>
          </w:p>
        </w:tc>
        <w:tc>
          <w:tcPr>
            <w:tcW w:w="314" w:type="dxa"/>
            <w:tcBorders>
              <w:top w:val="single" w:sz="6" w:space="0" w:color="000000"/>
              <w:left w:val="nil" w:sz="6" w:space="0" w:color="auto"/>
              <w:bottom w:val="nil" w:sz="6" w:space="0" w:color="auto"/>
              <w:right w:val="nil" w:sz="6" w:space="0" w:color="auto"/>
            </w:tcBorders>
          </w:tcPr>
          <w:p>
            <w:pPr/>
          </w:p>
        </w:tc>
      </w:tr>
      <w:tr>
        <w:trPr>
          <w:trHeight w:val="678" w:hRule="exact"/>
        </w:trPr>
        <w:tc>
          <w:tcPr>
            <w:tcW w:w="307" w:type="dxa"/>
            <w:tcBorders>
              <w:top w:val="nil" w:sz="6" w:space="0" w:color="auto"/>
              <w:left w:val="nil" w:sz="6" w:space="0" w:color="auto"/>
              <w:bottom w:val="nil" w:sz="6" w:space="0" w:color="auto"/>
              <w:right w:val="nil" w:sz="6" w:space="0" w:color="auto"/>
            </w:tcBorders>
          </w:tcPr>
          <w:p>
            <w:pPr/>
          </w:p>
        </w:tc>
        <w:tc>
          <w:tcPr>
            <w:tcW w:w="2949" w:type="dxa"/>
            <w:tcBorders>
              <w:top w:val="single" w:sz="8" w:space="0" w:color="000000"/>
              <w:left w:val="nil" w:sz="6" w:space="0" w:color="auto"/>
              <w:bottom w:val="single" w:sz="8" w:space="0" w:color="000000"/>
              <w:right w:val="nil" w:sz="6" w:space="0" w:color="auto"/>
            </w:tcBorders>
          </w:tcPr>
          <w:p>
            <w:pPr>
              <w:pStyle w:val="TableParagraph"/>
              <w:spacing w:line="240" w:lineRule="auto" w:before="130"/>
              <w:ind w:left="16" w:right="0"/>
              <w:jc w:val="left"/>
              <w:rPr>
                <w:rFonts w:ascii="宋体" w:hAnsi="宋体" w:cs="宋体" w:eastAsia="宋体" w:hint="default"/>
                <w:sz w:val="18"/>
                <w:szCs w:val="18"/>
              </w:rPr>
            </w:pPr>
            <w:r>
              <w:rPr>
                <w:rFonts w:ascii="宋体" w:hAnsi="宋体" w:cs="宋体" w:eastAsia="宋体" w:hint="default"/>
                <w:sz w:val="18"/>
                <w:szCs w:val="18"/>
              </w:rPr>
              <w:t>福建华通银行股份有限公司</w:t>
            </w:r>
          </w:p>
        </w:tc>
        <w:tc>
          <w:tcPr>
            <w:tcW w:w="1727" w:type="dxa"/>
            <w:tcBorders>
              <w:top w:val="single" w:sz="8" w:space="0" w:color="000000"/>
              <w:left w:val="nil" w:sz="6" w:space="0" w:color="auto"/>
              <w:bottom w:val="single" w:sz="8" w:space="0" w:color="000000"/>
              <w:right w:val="nil" w:sz="6" w:space="0" w:color="auto"/>
            </w:tcBorders>
          </w:tcPr>
          <w:p>
            <w:pPr>
              <w:pStyle w:val="TableParagraph"/>
              <w:spacing w:line="240" w:lineRule="auto" w:before="130"/>
              <w:ind w:left="772" w:right="0"/>
              <w:jc w:val="left"/>
              <w:rPr>
                <w:rFonts w:ascii="宋体" w:hAnsi="宋体" w:cs="宋体" w:eastAsia="宋体" w:hint="default"/>
                <w:sz w:val="18"/>
                <w:szCs w:val="18"/>
              </w:rPr>
            </w:pPr>
            <w:r>
              <w:rPr>
                <w:rFonts w:ascii="宋体"/>
                <w:sz w:val="18"/>
              </w:rPr>
              <w:t>10,000.00</w:t>
            </w:r>
          </w:p>
        </w:tc>
        <w:tc>
          <w:tcPr>
            <w:tcW w:w="2628" w:type="dxa"/>
            <w:tcBorders>
              <w:top w:val="single" w:sz="8" w:space="0" w:color="000000"/>
              <w:left w:val="nil" w:sz="6" w:space="0" w:color="auto"/>
              <w:bottom w:val="single" w:sz="8" w:space="0" w:color="000000"/>
              <w:right w:val="nil" w:sz="6" w:space="0" w:color="auto"/>
            </w:tcBorders>
          </w:tcPr>
          <w:p>
            <w:pPr>
              <w:pStyle w:val="TableParagraph"/>
              <w:spacing w:line="240" w:lineRule="auto" w:before="130"/>
              <w:ind w:left="143" w:right="0"/>
              <w:jc w:val="left"/>
              <w:rPr>
                <w:rFonts w:ascii="宋体" w:hAnsi="宋体" w:cs="宋体" w:eastAsia="宋体" w:hint="default"/>
                <w:sz w:val="18"/>
                <w:szCs w:val="18"/>
              </w:rPr>
            </w:pPr>
            <w:r>
              <w:rPr>
                <w:rFonts w:ascii="宋体"/>
                <w:sz w:val="18"/>
              </w:rPr>
              <w:t>2019/1/21-2019/3/29</w:t>
            </w:r>
          </w:p>
        </w:tc>
        <w:tc>
          <w:tcPr>
            <w:tcW w:w="1774" w:type="dxa"/>
            <w:tcBorders>
              <w:top w:val="single" w:sz="8" w:space="0" w:color="000000"/>
              <w:left w:val="nil" w:sz="6" w:space="0" w:color="auto"/>
              <w:bottom w:val="single" w:sz="8" w:space="0" w:color="000000"/>
              <w:right w:val="nil" w:sz="6" w:space="0" w:color="auto"/>
            </w:tcBorders>
          </w:tcPr>
          <w:p>
            <w:pPr>
              <w:pStyle w:val="TableParagraph"/>
              <w:spacing w:line="240" w:lineRule="auto" w:before="130"/>
              <w:ind w:left="773" w:right="0"/>
              <w:jc w:val="left"/>
              <w:rPr>
                <w:rFonts w:ascii="宋体" w:hAnsi="宋体" w:cs="宋体" w:eastAsia="宋体" w:hint="default"/>
                <w:sz w:val="18"/>
                <w:szCs w:val="18"/>
              </w:rPr>
            </w:pPr>
            <w:r>
              <w:rPr>
                <w:rFonts w:ascii="宋体"/>
                <w:sz w:val="18"/>
              </w:rPr>
              <w:t>1.25%-2.96%</w:t>
            </w:r>
          </w:p>
        </w:tc>
        <w:tc>
          <w:tcPr>
            <w:tcW w:w="314"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6"/>
          <w:szCs w:val="26"/>
        </w:rPr>
      </w:pPr>
    </w:p>
    <w:p>
      <w:pPr>
        <w:pStyle w:val="BodyText"/>
        <w:spacing w:line="240" w:lineRule="auto" w:before="35"/>
        <w:ind w:left="554" w:right="0"/>
        <w:jc w:val="left"/>
      </w:pPr>
      <w:r>
        <w:rPr/>
        <w:t>截至审计报告日，本集团不存在其他应披露的资产负债表日后事项</w:t>
      </w:r>
    </w:p>
    <w:p>
      <w:pPr>
        <w:spacing w:line="240" w:lineRule="auto" w:before="12"/>
        <w:rPr>
          <w:rFonts w:ascii="宋体" w:hAnsi="宋体" w:cs="宋体" w:eastAsia="宋体" w:hint="default"/>
          <w:sz w:val="23"/>
          <w:szCs w:val="23"/>
        </w:rPr>
      </w:pPr>
    </w:p>
    <w:p>
      <w:pPr>
        <w:pStyle w:val="Heading2"/>
        <w:spacing w:line="240" w:lineRule="auto"/>
        <w:ind w:left="134" w:right="0"/>
        <w:jc w:val="left"/>
        <w:rPr>
          <w:b w:val="0"/>
          <w:bCs w:val="0"/>
        </w:rPr>
      </w:pPr>
      <w:bookmarkStart w:name="十六、其他重要事项" w:id="478"/>
      <w:bookmarkEnd w:id="478"/>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4" w:right="0"/>
        <w:jc w:val="left"/>
        <w:rPr>
          <w:b w:val="0"/>
          <w:bCs w:val="0"/>
        </w:rPr>
      </w:pPr>
      <w:bookmarkStart w:name="1、前期会计差错更正" w:id="479"/>
      <w:bookmarkEnd w:id="47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0"/>
        <w:jc w:val="left"/>
        <w:rPr>
          <w:b w:val="0"/>
          <w:bCs w:val="0"/>
        </w:rPr>
      </w:pPr>
      <w:bookmarkStart w:name="（1）追溯重述法" w:id="480"/>
      <w:bookmarkEnd w:id="48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34" w:right="0"/>
        <w:jc w:val="left"/>
        <w:rPr>
          <w:b w:val="0"/>
          <w:bCs w:val="0"/>
        </w:rPr>
      </w:pPr>
      <w:bookmarkStart w:name="（2）未来适用法" w:id="481"/>
      <w:bookmarkEnd w:id="48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left="134" w:right="0"/>
        <w:jc w:val="left"/>
        <w:rPr>
          <w:b w:val="0"/>
          <w:bCs w:val="0"/>
        </w:rPr>
      </w:pPr>
      <w:bookmarkStart w:name="2、债务重组" w:id="482"/>
      <w:bookmarkEnd w:id="48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0"/>
        <w:jc w:val="left"/>
        <w:rPr>
          <w:b w:val="0"/>
          <w:bCs w:val="0"/>
        </w:rPr>
      </w:pPr>
      <w:bookmarkStart w:name="3、资产置换" w:id="483"/>
      <w:bookmarkEnd w:id="48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0"/>
        <w:jc w:val="left"/>
        <w:rPr>
          <w:b w:val="0"/>
          <w:bCs w:val="0"/>
        </w:rPr>
      </w:pPr>
      <w:bookmarkStart w:name="（1）非货币性资产交换" w:id="484"/>
      <w:bookmarkEnd w:id="48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4" w:right="0"/>
        <w:jc w:val="left"/>
        <w:rPr>
          <w:b w:val="0"/>
          <w:bCs w:val="0"/>
        </w:rPr>
      </w:pPr>
      <w:bookmarkStart w:name="（2）其他资产置换" w:id="485"/>
      <w:bookmarkEnd w:id="48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0"/>
        <w:jc w:val="left"/>
        <w:rPr>
          <w:b w:val="0"/>
          <w:bCs w:val="0"/>
        </w:rPr>
      </w:pPr>
      <w:bookmarkStart w:name="4、年金计划" w:id="486"/>
      <w:bookmarkEnd w:id="48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0"/>
        <w:jc w:val="left"/>
        <w:rPr>
          <w:b w:val="0"/>
          <w:bCs w:val="0"/>
        </w:rPr>
      </w:pPr>
      <w:bookmarkStart w:name="5、终止经营" w:id="487"/>
      <w:bookmarkEnd w:id="48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4"/>
        <w:spacing w:line="240" w:lineRule="auto" w:before="35"/>
        <w:ind w:right="1117"/>
        <w:jc w:val="left"/>
        <w:rPr>
          <w:b w:val="0"/>
          <w:bCs w:val="0"/>
        </w:rPr>
      </w:pPr>
      <w:bookmarkStart w:name="6、分部信息" w:id="488"/>
      <w:bookmarkEnd w:id="48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报告分部的确定依据与会计政策" w:id="489"/>
      <w:bookmarkEnd w:id="48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2）报告分部的财务信息" w:id="490"/>
      <w:bookmarkEnd w:id="49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3）公司无报告分部的，或者不能披露各报告分部的资产总额和负债总额的，应说明原因" w:id="491"/>
      <w:bookmarkEnd w:id="49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0"/>
        <w:jc w:val="both"/>
      </w:pPr>
      <w:r>
        <w:rPr>
          <w:spacing w:val="-1"/>
        </w:rPr>
        <w:t>集团</w:t>
      </w:r>
      <w:r>
        <w:rPr>
          <w:rFonts w:ascii="宋体" w:hAnsi="宋体" w:cs="宋体" w:eastAsia="宋体" w:hint="default"/>
          <w:spacing w:val="-1"/>
        </w:rPr>
        <w:t>2018</w:t>
      </w:r>
      <w:r>
        <w:rPr>
          <w:spacing w:val="-1"/>
        </w:rPr>
        <w:t>年度收入主要来自票证、包装装潢品印刷等业务，</w:t>
      </w:r>
      <w:r>
        <w:rPr>
          <w:rFonts w:ascii="宋体" w:hAnsi="宋体" w:cs="宋体" w:eastAsia="宋体" w:hint="default"/>
          <w:spacing w:val="-1"/>
        </w:rPr>
        <w:t>99.97%</w:t>
      </w:r>
      <w:r>
        <w:rPr>
          <w:spacing w:val="-1"/>
        </w:rPr>
        <w:t>的收入来源于中国境内，所有资产</w:t>
      </w:r>
      <w:r>
        <w:rPr/>
        <w:t> </w:t>
      </w:r>
      <w:r>
        <w:rPr>
          <w:spacing w:val="-1"/>
        </w:rPr>
        <w:t>均位于中国境内。同时，本集团在内部组织结构和管理要求方面不再对其业务进行区分，管理层在复核内</w:t>
      </w:r>
      <w:r>
        <w:rPr>
          <w:spacing w:val="-83"/>
        </w:rPr>
        <w:t> </w:t>
      </w:r>
      <w:r>
        <w:rPr>
          <w:spacing w:val="-83"/>
        </w:rPr>
      </w:r>
      <w:r>
        <w:rPr>
          <w:spacing w:val="-1"/>
        </w:rPr>
        <w:t>部报告、决定资源配置及业绩评价时，亦认为无需再对其业务的经营成果进行区分。故本集团无分部信息</w:t>
      </w:r>
      <w:r>
        <w:rPr>
          <w:spacing w:val="-83"/>
        </w:rPr>
        <w:t> </w:t>
      </w:r>
      <w:r>
        <w:rPr>
          <w:spacing w:val="-83"/>
        </w:rPr>
      </w:r>
      <w:r>
        <w:rPr/>
        <w:t>的相关披露。</w:t>
      </w:r>
    </w:p>
    <w:p>
      <w:pPr>
        <w:spacing w:line="240" w:lineRule="auto" w:before="8"/>
        <w:rPr>
          <w:rFonts w:ascii="宋体" w:hAnsi="宋体" w:cs="宋体" w:eastAsia="宋体" w:hint="default"/>
          <w:sz w:val="23"/>
          <w:szCs w:val="23"/>
        </w:rPr>
      </w:pPr>
    </w:p>
    <w:p>
      <w:pPr>
        <w:pStyle w:val="Heading4"/>
        <w:spacing w:line="240" w:lineRule="auto"/>
        <w:ind w:right="1117"/>
        <w:jc w:val="left"/>
        <w:rPr>
          <w:b w:val="0"/>
          <w:bCs w:val="0"/>
        </w:rPr>
      </w:pPr>
      <w:bookmarkStart w:name="（4）其他说明" w:id="492"/>
      <w:bookmarkEnd w:id="49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7、其他对投资者决策有影响的重要交易和事项" w:id="493"/>
      <w:bookmarkEnd w:id="49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117"/>
        <w:jc w:val="left"/>
      </w:pPr>
      <w:r>
        <w:rPr>
          <w:rFonts w:ascii="宋体" w:hAnsi="宋体" w:cs="宋体" w:eastAsia="宋体" w:hint="default"/>
        </w:rPr>
        <w:t>1</w:t>
      </w:r>
      <w:r>
        <w:rPr/>
        <w:t>、公司与香港弗兰德科技有限公司（以下简称香港弗兰德）关于转让弗兰德科技（深圳）有限公司</w:t>
      </w:r>
    </w:p>
    <w:p>
      <w:pPr>
        <w:pStyle w:val="BodyText"/>
        <w:spacing w:line="307" w:lineRule="auto" w:before="38"/>
        <w:ind w:left="574" w:right="1117" w:hanging="420"/>
        <w:jc w:val="left"/>
      </w:pPr>
      <w:r>
        <w:rPr/>
        <w:t>（以下简称弗兰德科技）</w:t>
      </w:r>
      <w:r>
        <w:rPr>
          <w:rFonts w:ascii="宋体" w:hAnsi="宋体" w:cs="宋体" w:eastAsia="宋体" w:hint="default"/>
        </w:rPr>
        <w:t>30%</w:t>
      </w:r>
      <w:r>
        <w:rPr/>
        <w:t>股权的交易事项。 </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6</w:t>
      </w:r>
      <w:r>
        <w:rPr>
          <w:spacing w:val="-1"/>
        </w:rPr>
        <w:t>日，经公司第四届董事会</w:t>
      </w:r>
      <w:r>
        <w:rPr>
          <w:rFonts w:ascii="宋体" w:hAnsi="宋体" w:cs="宋体" w:eastAsia="宋体" w:hint="default"/>
          <w:spacing w:val="-1"/>
        </w:rPr>
        <w:t>2018</w:t>
      </w:r>
      <w:r>
        <w:rPr>
          <w:spacing w:val="-1"/>
        </w:rPr>
        <w:t>年第五次临时会议审议批准，公司与香港弗兰德科技有限公</w:t>
      </w:r>
    </w:p>
    <w:p>
      <w:pPr>
        <w:pStyle w:val="BodyText"/>
        <w:spacing w:line="253" w:lineRule="exact" w:before="0"/>
        <w:ind w:right="0"/>
        <w:jc w:val="left"/>
      </w:pPr>
      <w:r>
        <w:rPr/>
        <w:t>司于福州签署了《弗兰德科技（深圳）有限公司股权转让框架协议书》，公司拟以现金</w:t>
      </w:r>
      <w:r>
        <w:rPr>
          <w:rFonts w:ascii="宋体" w:hAnsi="宋体" w:cs="宋体" w:eastAsia="宋体" w:hint="default"/>
        </w:rPr>
        <w:t>3.45</w:t>
      </w:r>
      <w:r>
        <w:rPr/>
        <w:t>亿元收购弗兰</w:t>
      </w:r>
    </w:p>
    <w:p>
      <w:pPr>
        <w:pStyle w:val="BodyText"/>
        <w:spacing w:line="273" w:lineRule="auto" w:before="37"/>
        <w:ind w:right="1126"/>
        <w:jc w:val="both"/>
      </w:pPr>
      <w:r>
        <w:rPr/>
        <w:t>德科技</w:t>
      </w:r>
      <w:r>
        <w:rPr>
          <w:rFonts w:ascii="宋体" w:hAnsi="宋体" w:cs="宋体" w:eastAsia="宋体" w:hint="default"/>
        </w:rPr>
        <w:t>30%</w:t>
      </w:r>
      <w:r>
        <w:rPr/>
        <w:t>股权。在香港弗兰德对标的公司未来三年业绩承诺的基础上，经协议各方友好协商，标的公司</w:t>
      </w:r>
      <w:r>
        <w:rPr>
          <w:spacing w:val="-36"/>
        </w:rPr>
        <w:t> </w:t>
      </w:r>
      <w:r>
        <w:rPr>
          <w:spacing w:val="-36"/>
        </w:rPr>
      </w:r>
      <w:r>
        <w:rPr>
          <w:rFonts w:ascii="宋体" w:hAnsi="宋体" w:cs="宋体" w:eastAsia="宋体" w:hint="default"/>
          <w:spacing w:val="-1"/>
        </w:rPr>
        <w:t>100%</w:t>
      </w:r>
      <w:r>
        <w:rPr>
          <w:spacing w:val="-1"/>
        </w:rPr>
        <w:t>股权估值为人民币</w:t>
      </w:r>
      <w:r>
        <w:rPr>
          <w:rFonts w:ascii="宋体" w:hAnsi="宋体" w:cs="宋体" w:eastAsia="宋体" w:hint="default"/>
          <w:spacing w:val="-1"/>
        </w:rPr>
        <w:t>115,000</w:t>
      </w:r>
      <w:r>
        <w:rPr>
          <w:spacing w:val="-1"/>
        </w:rPr>
        <w:t>万元（大写：拾壹亿伍仟万元整），本次交易标的公司</w:t>
      </w:r>
      <w:r>
        <w:rPr>
          <w:rFonts w:ascii="宋体" w:hAnsi="宋体" w:cs="宋体" w:eastAsia="宋体" w:hint="default"/>
          <w:spacing w:val="-1"/>
        </w:rPr>
        <w:t>30%</w:t>
      </w:r>
      <w:r>
        <w:rPr>
          <w:spacing w:val="-1"/>
        </w:rPr>
        <w:t>的股权转让价款</w:t>
      </w:r>
      <w:r>
        <w:rPr>
          <w:spacing w:val="-81"/>
        </w:rPr>
        <w:t> </w:t>
      </w:r>
      <w:r>
        <w:rPr>
          <w:spacing w:val="-81"/>
        </w:rPr>
      </w:r>
      <w:r>
        <w:rPr>
          <w:spacing w:val="-1"/>
        </w:rPr>
        <w:t>确定为人民币</w:t>
      </w:r>
      <w:r>
        <w:rPr>
          <w:rFonts w:ascii="宋体" w:hAnsi="宋体" w:cs="宋体" w:eastAsia="宋体" w:hint="default"/>
          <w:spacing w:val="-1"/>
        </w:rPr>
        <w:t>34,500</w:t>
      </w:r>
      <w:r>
        <w:rPr>
          <w:spacing w:val="-1"/>
        </w:rPr>
        <w:t>万元（大写：叁亿肆仟伍佰万元整）。第一期股权转让款：本框架协议经公司董事会</w:t>
      </w:r>
      <w:r>
        <w:rPr>
          <w:spacing w:val="-81"/>
        </w:rPr>
        <w:t> </w:t>
      </w:r>
      <w:r>
        <w:rPr>
          <w:spacing w:val="-81"/>
        </w:rPr>
      </w:r>
      <w:r>
        <w:rPr/>
        <w:t>审议通过后五个工作日内，公司应当向香港弗兰德支付本次股权转让款的</w:t>
      </w:r>
      <w:r>
        <w:rPr>
          <w:rFonts w:ascii="宋体" w:hAnsi="宋体" w:cs="宋体" w:eastAsia="宋体" w:hint="default"/>
        </w:rPr>
        <w:t>20%</w:t>
      </w:r>
      <w:r>
        <w:rPr/>
        <w:t>作为本次交易的定金，计人</w:t>
      </w:r>
      <w:r>
        <w:rPr>
          <w:spacing w:val="-28"/>
        </w:rPr>
        <w:t> </w:t>
      </w:r>
      <w:r>
        <w:rPr>
          <w:spacing w:val="-28"/>
        </w:rPr>
      </w:r>
      <w:r>
        <w:rPr/>
        <w:t>民币</w:t>
      </w:r>
      <w:r>
        <w:rPr>
          <w:rFonts w:ascii="宋体" w:hAnsi="宋体" w:cs="宋体" w:eastAsia="宋体" w:hint="default"/>
        </w:rPr>
        <w:t>6,900</w:t>
      </w:r>
      <w:r>
        <w:rPr/>
        <w:t>万元（大写：陆仟玖佰万元整）。第二期股权转让款：公司聘请的审计、评估机构完成审计评</w:t>
      </w:r>
      <w:r>
        <w:rPr>
          <w:spacing w:val="-37"/>
        </w:rPr>
        <w:t> </w:t>
      </w:r>
      <w:r>
        <w:rPr>
          <w:spacing w:val="-37"/>
        </w:rPr>
      </w:r>
      <w:r>
        <w:rPr>
          <w:spacing w:val="-1"/>
        </w:rPr>
        <w:t>估工作后，如有关报告认为本次股权转让不存在实质性障碍，双方签署正式股权转让协议，正式股权转让</w:t>
      </w:r>
      <w:r>
        <w:rPr>
          <w:spacing w:val="-83"/>
        </w:rPr>
        <w:t> </w:t>
      </w:r>
      <w:r>
        <w:rPr>
          <w:spacing w:val="-83"/>
        </w:rPr>
      </w:r>
      <w:r>
        <w:rPr/>
        <w:t>协议经公司股东大会审议通过后五个工作日内，公司应当向香港弗兰德支付本次股权转让款的</w:t>
      </w:r>
      <w:r>
        <w:rPr>
          <w:rFonts w:ascii="宋体" w:hAnsi="宋体" w:cs="宋体" w:eastAsia="宋体" w:hint="default"/>
        </w:rPr>
        <w:t>40%</w:t>
      </w:r>
      <w:r>
        <w:rPr/>
        <w:t>，计人</w:t>
      </w:r>
      <w:r>
        <w:rPr>
          <w:spacing w:val="-22"/>
        </w:rPr>
        <w:t> </w:t>
      </w:r>
      <w:r>
        <w:rPr>
          <w:spacing w:val="-1"/>
        </w:rPr>
        <w:t>民币</w:t>
      </w:r>
      <w:r>
        <w:rPr>
          <w:rFonts w:ascii="宋体" w:hAnsi="宋体" w:cs="宋体" w:eastAsia="宋体" w:hint="default"/>
          <w:spacing w:val="-1"/>
        </w:rPr>
        <w:t>13,800</w:t>
      </w:r>
      <w:r>
        <w:rPr>
          <w:spacing w:val="-1"/>
        </w:rPr>
        <w:t>万元（大写：壹亿叁仟捌佰万元整）。第三期股权转让款：在办理股权转让变更登记完成后五</w:t>
      </w:r>
      <w:r>
        <w:rPr>
          <w:spacing w:val="-80"/>
        </w:rPr>
        <w:t> </w:t>
      </w:r>
      <w:r>
        <w:rPr>
          <w:spacing w:val="-80"/>
        </w:rPr>
      </w:r>
      <w:r>
        <w:rPr/>
        <w:t>个工作日内，公司应当向香港弗兰德支付本次股权转让款的</w:t>
      </w:r>
      <w:r>
        <w:rPr>
          <w:rFonts w:ascii="宋体" w:hAnsi="宋体" w:cs="宋体" w:eastAsia="宋体" w:hint="default"/>
        </w:rPr>
        <w:t>40%</w:t>
      </w:r>
      <w:r>
        <w:rPr/>
        <w:t>，计人民币</w:t>
      </w:r>
      <w:r>
        <w:rPr>
          <w:rFonts w:ascii="宋体" w:hAnsi="宋体" w:cs="宋体" w:eastAsia="宋体" w:hint="default"/>
        </w:rPr>
        <w:t>13,800</w:t>
      </w:r>
      <w:r>
        <w:rPr/>
        <w:t>万元（大写：壹亿叁仟</w:t>
      </w:r>
      <w:r>
        <w:rPr>
          <w:spacing w:val="-29"/>
        </w:rPr>
        <w:t> </w:t>
      </w:r>
      <w:r>
        <w:rPr>
          <w:spacing w:val="-29"/>
        </w:rPr>
      </w:r>
      <w:r>
        <w:rPr/>
        <w:t>捌佰万元整）。</w:t>
      </w:r>
    </w:p>
    <w:p>
      <w:pPr>
        <w:pStyle w:val="BodyText"/>
        <w:spacing w:line="273" w:lineRule="auto" w:before="47"/>
        <w:ind w:right="1132" w:firstLine="420"/>
        <w:jc w:val="both"/>
      </w:pPr>
      <w:r>
        <w:rPr>
          <w:spacing w:val="-1"/>
        </w:rPr>
        <w:t>本公司已于</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14</w:t>
      </w:r>
      <w:r>
        <w:rPr>
          <w:spacing w:val="-1"/>
        </w:rPr>
        <w:t>日支付交易定金人民币</w:t>
      </w:r>
      <w:r>
        <w:rPr>
          <w:rFonts w:ascii="宋体" w:hAnsi="宋体" w:cs="宋体" w:eastAsia="宋体" w:hint="default"/>
          <w:spacing w:val="-1"/>
        </w:rPr>
        <w:t>6,900</w:t>
      </w:r>
      <w:r>
        <w:rPr>
          <w:spacing w:val="-1"/>
        </w:rPr>
        <w:t>万元。由于弗兰德科技外资转内资程序影响，交</w:t>
      </w:r>
      <w:r>
        <w:rPr/>
        <w:t> 易进程缓慢，公司出于谨慎考虑，需等待弗兰德科技</w:t>
      </w:r>
      <w:r>
        <w:rPr>
          <w:rFonts w:ascii="宋体" w:hAnsi="宋体" w:cs="宋体" w:eastAsia="宋体" w:hint="default"/>
        </w:rPr>
        <w:t>2018</w:t>
      </w:r>
      <w:r>
        <w:rPr/>
        <w:t>年年度报告审计后推进后续股权交易。</w:t>
      </w:r>
    </w:p>
    <w:p>
      <w:pPr>
        <w:spacing w:line="240" w:lineRule="auto" w:before="6"/>
        <w:rPr>
          <w:rFonts w:ascii="宋体" w:hAnsi="宋体" w:cs="宋体" w:eastAsia="宋体" w:hint="default"/>
          <w:sz w:val="23"/>
          <w:szCs w:val="23"/>
        </w:rPr>
      </w:pPr>
    </w:p>
    <w:p>
      <w:pPr>
        <w:spacing w:line="487" w:lineRule="auto" w:before="0"/>
        <w:ind w:left="154" w:right="6792" w:firstLine="0"/>
        <w:jc w:val="left"/>
        <w:rPr>
          <w:rFonts w:ascii="宋体" w:hAnsi="宋体" w:cs="宋体" w:eastAsia="宋体" w:hint="default"/>
          <w:sz w:val="21"/>
          <w:szCs w:val="21"/>
        </w:rPr>
      </w:pPr>
      <w:bookmarkStart w:name="8、其他" w:id="494"/>
      <w:bookmarkEnd w:id="49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5"/>
      <w:bookmarkEnd w:id="49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96"/>
      <w:bookmarkEnd w:id="496"/>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4,856,400.00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34,684,062.32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17,365,943.35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34,684,062.32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22,222,343.35</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应收票据" w:id="497"/>
      <w:bookmarkEnd w:id="49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4,856,400.00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4,856,400.00</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4)期末公司因出票人未履约而将其转应收账款的票据" w:id="498"/>
      <w:bookmarkEnd w:id="498"/>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2）应收账款" w:id="499"/>
      <w:bookmarkEnd w:id="49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35,713,2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30.90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1,029,16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34,684,06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17,934,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687.13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568,743.7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17,365,943.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35,713,2</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30.90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1,029,16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2.88%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34,684,06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17,934,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687.13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17,365,943.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15,008,172.72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750,408.64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873,602.17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87,360.22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302,506.37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60,501.27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50,805.06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25,402.53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10,157.00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8,125.60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97,370.32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97,370.32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16,342,613.64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1,029,168.58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60" w:lineRule="auto" w:before="51"/>
        <w:ind w:left="154" w:right="14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0" w:lineRule="auto" w:before="26"/>
        <w:ind w:left="154" w:right="17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460,424.80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915" w:space="29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111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3130"/>
        <w:gridCol w:w="1290"/>
        <w:gridCol w:w="2297"/>
        <w:gridCol w:w="2519"/>
      </w:tblGrid>
      <w:tr>
        <w:trPr>
          <w:trHeight w:val="664"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15"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36"/>
              <w:ind w:left="752" w:right="497" w:hanging="254"/>
              <w:jc w:val="left"/>
              <w:rPr>
                <w:rFonts w:ascii="宋体" w:hAnsi="宋体" w:cs="宋体" w:eastAsia="宋体" w:hint="default"/>
                <w:sz w:val="16"/>
                <w:szCs w:val="16"/>
              </w:rPr>
            </w:pPr>
            <w:r>
              <w:rPr>
                <w:rFonts w:ascii="宋体" w:hAnsi="宋体" w:cs="宋体" w:eastAsia="宋体" w:hint="default"/>
                <w:sz w:val="16"/>
                <w:szCs w:val="16"/>
              </w:rPr>
              <w:t>占应收账款余额的</w:t>
            </w:r>
            <w:r>
              <w:rPr>
                <w:rFonts w:ascii="宋体" w:hAnsi="宋体" w:cs="宋体" w:eastAsia="宋体" w:hint="default"/>
                <w:w w:val="99"/>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610" w:right="0"/>
              <w:jc w:val="left"/>
              <w:rPr>
                <w:rFonts w:ascii="宋体" w:hAnsi="宋体" w:cs="宋体" w:eastAsia="宋体" w:hint="default"/>
                <w:sz w:val="16"/>
                <w:szCs w:val="16"/>
              </w:rPr>
            </w:pPr>
            <w:r>
              <w:rPr>
                <w:rFonts w:ascii="宋体" w:hAnsi="宋体" w:cs="宋体" w:eastAsia="宋体" w:hint="default"/>
                <w:sz w:val="16"/>
                <w:szCs w:val="16"/>
              </w:rPr>
              <w:t>坏账准备期末余额</w:t>
            </w:r>
          </w:p>
        </w:tc>
      </w:tr>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19,000,000.00</w:t>
            </w:r>
            <w:r>
              <w:rPr>
                <w:rFonts w:ascii="Times New Roman"/>
                <w:sz w:val="16"/>
              </w:rPr>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53.20</w:t>
            </w:r>
            <w:r>
              <w:rPr>
                <w:rFonts w:ascii="Times New Roman"/>
                <w:sz w:val="16"/>
              </w:rPr>
            </w:r>
          </w:p>
        </w:tc>
        <w:tc>
          <w:tcPr>
            <w:tcW w:w="2519"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3,996,000.00</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11.19</w:t>
            </w:r>
            <w:r>
              <w:rPr>
                <w:rFonts w:ascii="Times New Roman"/>
                <w:sz w:val="16"/>
              </w:rPr>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199,800.00</w:t>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3130"/>
        <w:gridCol w:w="1290"/>
        <w:gridCol w:w="2297"/>
        <w:gridCol w:w="2519"/>
      </w:tblGrid>
      <w:tr>
        <w:trPr>
          <w:trHeight w:val="352"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2,657,358.00</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7.44</w:t>
            </w:r>
            <w:r>
              <w:rPr>
                <w:rFonts w:ascii="Times New Roman"/>
                <w:sz w:val="16"/>
              </w:rPr>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132,867.90</w:t>
            </w:r>
          </w:p>
        </w:tc>
      </w:tr>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1,733,040.00</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4.85</w:t>
            </w:r>
            <w:r>
              <w:rPr>
                <w:rFonts w:ascii="Times New Roman"/>
                <w:sz w:val="16"/>
              </w:rPr>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86,652.00</w:t>
            </w:r>
            <w:r>
              <w:rPr>
                <w:rFonts w:ascii="Times New Roman"/>
                <w:sz w:val="16"/>
              </w:rPr>
            </w:r>
          </w:p>
        </w:tc>
      </w:tr>
      <w:tr>
        <w:trPr>
          <w:trHeight w:val="352"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1,332,000.00</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3.73</w:t>
            </w:r>
            <w:r>
              <w:rPr>
                <w:rFonts w:ascii="Times New Roman"/>
                <w:sz w:val="16"/>
              </w:rPr>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66,600.00</w:t>
            </w:r>
            <w:r>
              <w:rPr>
                <w:rFonts w:ascii="Times New Roman"/>
                <w:sz w:val="16"/>
              </w:rPr>
            </w:r>
          </w:p>
        </w:tc>
      </w:tr>
      <w:tr>
        <w:trPr>
          <w:trHeight w:val="353" w:hRule="exact"/>
        </w:trPr>
        <w:tc>
          <w:tcPr>
            <w:tcW w:w="3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28,718,398.00</w:t>
            </w:r>
          </w:p>
        </w:tc>
        <w:tc>
          <w:tcPr>
            <w:tcW w:w="22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80.41</w:t>
            </w:r>
            <w:r>
              <w:rPr>
                <w:rFonts w:ascii="Times New Roman"/>
                <w:sz w:val="16"/>
              </w:rPr>
            </w:r>
          </w:p>
        </w:tc>
        <w:tc>
          <w:tcPr>
            <w:tcW w:w="2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485,919.90</w:t>
            </w:r>
            <w:r>
              <w:rPr>
                <w:rFonts w:ascii="Times New Roman"/>
                <w:sz w:val="16"/>
              </w:rPr>
            </w:r>
          </w:p>
        </w:tc>
      </w:tr>
    </w:tbl>
    <w:p>
      <w:pPr>
        <w:spacing w:line="240" w:lineRule="auto" w:before="5"/>
        <w:rPr>
          <w:rFonts w:ascii="宋体" w:hAnsi="宋体" w:cs="宋体" w:eastAsia="宋体" w:hint="default"/>
          <w:sz w:val="24"/>
          <w:szCs w:val="24"/>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pStyle w:val="Heading4"/>
        <w:spacing w:line="240" w:lineRule="auto"/>
        <w:ind w:right="1117"/>
        <w:jc w:val="left"/>
        <w:rPr>
          <w:b w:val="0"/>
          <w:bCs w:val="0"/>
        </w:rPr>
      </w:pPr>
      <w:bookmarkStart w:name="2、其他应收款" w:id="500"/>
      <w:bookmarkEnd w:id="50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142,941,411.97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250,295,831.33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142,941,411.97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250,295,831.33</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应收利息" w:id="501"/>
      <w:bookmarkEnd w:id="50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117"/>
        <w:jc w:val="left"/>
        <w:rPr>
          <w:b w:val="0"/>
          <w:bCs w:val="0"/>
        </w:rPr>
      </w:pPr>
      <w:bookmarkStart w:name="（2）应收股利" w:id="502"/>
      <w:bookmarkEnd w:id="50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3）其他应收款" w:id="503"/>
      <w:bookmarkEnd w:id="50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30,288,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627.01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12.04%</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30,288,627.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143,791,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845.42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850,433.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142,941,4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11.97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221,313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,265.44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220,007,20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4.32</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143,791,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845.42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850,433.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142,941,4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11.97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251,601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,892.45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0.52%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250,295,83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1.33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8,561,098.27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428,054.91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935,413.97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93,541.40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260,397.26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52,079.45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130,925.38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65,462.69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46,147.09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36,917.67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174,377.33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174,377.33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10,108,359.30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850,433.45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40" w:lineRule="auto" w:before="102"/>
        <w:ind w:left="154" w:right="4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r>
        <w:rPr>
          <w:rFonts w:ascii="宋体" w:hAnsi="宋体" w:cs="宋体" w:eastAsia="宋体" w:hint="default"/>
          <w:w w:val="99"/>
          <w:sz w:val="18"/>
          <w:szCs w:val="18"/>
        </w:rPr>
        <w:t> </w:t>
      </w: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275,627.67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1117"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项目合作款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8"/>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福建日报社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38"/>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r>
        <w:rPr/>
        <w:pict>
          <v:group style="position:absolute;margin-left:219.860001pt;margin-top:736.079956pt;width:74.850pt;height:19.6pt;mso-position-horizontal-relative:page;mso-position-vertical-relative:page;z-index:-1017976" coordorigin="4397,14722" coordsize="1497,392">
            <v:shape style="position:absolute;left:4397;top:14722;width:1497;height:392" coordorigin="4397,14722" coordsize="1497,392" path="m4397,15113l5894,15113,5894,14722,4397,14722,4397,1511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11,646,150.30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11,370,658.30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6,803,171.39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32,048.39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并表范围内关联往来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122,037,335.82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192,742,774.86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30,288,627.01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3,273,139.52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17,199,832.28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143,791,845.42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251,601,892.45</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321"/>
        <w:gridCol w:w="1231"/>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鸿博昊天科技有限公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并表范围内关联往 来</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88,688,322.61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福建鸿博致远信息科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并表范围内关联往 来</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14,897,088.71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钻研（北京）国际文 化传媒有限公司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并表范围内关联往 来</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7,021,924.50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残疾人退税收入</w:t>
            </w:r>
          </w:p>
        </w:tc>
        <w:tc>
          <w:tcPr>
            <w:tcW w:w="155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2"/>
              <w:ind w:right="80"/>
              <w:jc w:val="center"/>
              <w:rPr>
                <w:rFonts w:ascii="宋体" w:hAnsi="宋体" w:cs="宋体" w:eastAsia="宋体" w:hint="default"/>
                <w:sz w:val="18"/>
                <w:szCs w:val="18"/>
              </w:rPr>
            </w:pPr>
            <w:r>
              <w:rPr>
                <w:rFonts w:ascii="宋体" w:hAnsi="宋体" w:cs="宋体" w:eastAsia="宋体" w:hint="default"/>
                <w:spacing w:val="-5"/>
                <w:sz w:val="18"/>
                <w:szCs w:val="18"/>
              </w:rPr>
              <w:t>往来款（政府补助</w:t>
            </w:r>
          </w:p>
        </w:tc>
        <w:tc>
          <w:tcPr>
            <w:tcW w:w="321"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58" w:right="0"/>
              <w:jc w:val="left"/>
              <w:rPr>
                <w:rFonts w:ascii="Times New Roman" w:hAnsi="Times New Roman" w:cs="Times New Roman" w:eastAsia="Times New Roman" w:hint="default"/>
                <w:sz w:val="18"/>
                <w:szCs w:val="18"/>
              </w:rPr>
            </w:pPr>
            <w:r>
              <w:rPr>
                <w:rFonts w:ascii="Times New Roman"/>
                <w:sz w:val="18"/>
              </w:rPr>
              <w:t>5,975,250.35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298,762.52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重庆市鸿海印务有限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并表范围内关联往 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121,582,586.17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298,762.52</w:t>
            </w: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促进残疾人就业税收优 惠</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9" w:right="0"/>
              <w:jc w:val="left"/>
              <w:rPr>
                <w:rFonts w:ascii="Times New Roman" w:hAnsi="Times New Roman" w:cs="Times New Roman" w:eastAsia="Times New Roman" w:hint="default"/>
                <w:sz w:val="18"/>
                <w:szCs w:val="18"/>
              </w:rPr>
            </w:pPr>
            <w:r>
              <w:rPr>
                <w:rFonts w:ascii="Times New Roman"/>
                <w:sz w:val="18"/>
              </w:rPr>
              <w:t>5,975,250.35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2"/>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pStyle w:val="Heading4"/>
        <w:spacing w:line="240" w:lineRule="auto"/>
        <w:ind w:right="1117"/>
        <w:jc w:val="left"/>
        <w:rPr>
          <w:b w:val="0"/>
          <w:bCs w:val="0"/>
        </w:rPr>
      </w:pPr>
      <w:bookmarkStart w:name="3、长期股权投资" w:id="504"/>
      <w:bookmarkEnd w:id="50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943,133,814.83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943,133,814.83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896,633,814.83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896,633,814.83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943,133,814.83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943,133,814.83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896,633,814.83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896,633,814.83</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1）对子公司投资" w:id="505"/>
      <w:bookmarkEnd w:id="50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重庆市鸿海印务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128,431,608.54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128,431,608.54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福州港龙贸易有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鸿博（福建）数据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网络科技股份有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无锡双龙信息纸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94,454,794.35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134,454,794.35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钻研（北京）国际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文化传媒有限公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鸿博昊天科技有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349,198,256.15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349,198,256.15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广州彩创网络技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50,108,500.00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50,108,500.00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福建鸿博致远信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北京科信盛彩投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133,081,948.29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133,081,948.29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鸿博彩票（海南）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106,458,707.50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106,458,707.50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海南鸿铂文化有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896,633,814.83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943,133,814.83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2）对联营、合营企业投资" w:id="506"/>
      <w:bookmarkEnd w:id="50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3）其他说明" w:id="507"/>
      <w:bookmarkEnd w:id="50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4、营业收入和营业成本" w:id="508"/>
      <w:bookmarkEnd w:id="50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200,860,890.33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165,819,986.18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163,536,600.46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114,453,485.17</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590,300.89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426,492.27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11,086,647.21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8,867,331.55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201,451,191.22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166,246,478.45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174,623,247.67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123,320,816.72</w:t>
            </w:r>
          </w:p>
        </w:tc>
      </w:tr>
    </w:tbl>
    <w:p>
      <w:pPr>
        <w:spacing w:before="51"/>
        <w:ind w:left="154"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5、投资收益" w:id="509"/>
      <w:bookmarkEnd w:id="50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72,330,000.00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7,543,305.93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6,911,393.12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9,662,055.94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81,841,393.12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21,105,361.87</w:t>
            </w:r>
          </w:p>
        </w:tc>
      </w:tr>
    </w:tbl>
    <w:p>
      <w:pPr>
        <w:spacing w:line="240" w:lineRule="auto" w:before="2"/>
        <w:rPr>
          <w:rFonts w:ascii="宋体" w:hAnsi="宋体" w:cs="宋体" w:eastAsia="宋体" w:hint="default"/>
          <w:sz w:val="19"/>
          <w:szCs w:val="19"/>
        </w:rPr>
      </w:pPr>
    </w:p>
    <w:p>
      <w:pPr>
        <w:pStyle w:val="Heading4"/>
        <w:spacing w:line="240" w:lineRule="auto" w:before="35"/>
        <w:ind w:right="1117"/>
        <w:jc w:val="left"/>
        <w:rPr>
          <w:b w:val="0"/>
          <w:bCs w:val="0"/>
        </w:rPr>
      </w:pPr>
      <w:bookmarkStart w:name="6、其他" w:id="510"/>
      <w:bookmarkEnd w:id="51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117"/>
        <w:jc w:val="left"/>
        <w:rPr>
          <w:b w:val="0"/>
          <w:bCs w:val="0"/>
        </w:rPr>
      </w:pPr>
      <w:bookmarkStart w:name="十八、补充资料" w:id="511"/>
      <w:bookmarkEnd w:id="51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当期非经常性损益明细表" w:id="512"/>
      <w:bookmarkEnd w:id="51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spacing w:before="44"/>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-727,998.59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4,389,337.10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6,911,393.12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35,631.25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1,216,507.90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3,443,187.21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2,665,372.37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37,533.64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12,565,151.98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2、净资产收益率及每股收益" w:id="513"/>
      <w:bookmarkEnd w:id="51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0.0103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-0.0148</w:t>
            </w:r>
          </w:p>
        </w:tc>
      </w:tr>
    </w:tbl>
    <w:p>
      <w:pPr>
        <w:spacing w:line="240" w:lineRule="auto" w:before="3"/>
        <w:rPr>
          <w:rFonts w:ascii="宋体" w:hAnsi="宋体" w:cs="宋体" w:eastAsia="宋体" w:hint="default"/>
          <w:b/>
          <w:bCs/>
          <w:sz w:val="19"/>
          <w:szCs w:val="19"/>
        </w:rPr>
      </w:pPr>
    </w:p>
    <w:p>
      <w:pPr>
        <w:pStyle w:val="Heading4"/>
        <w:spacing w:line="240" w:lineRule="auto" w:before="35"/>
        <w:ind w:right="1117"/>
        <w:jc w:val="left"/>
        <w:rPr>
          <w:b w:val="0"/>
          <w:bCs w:val="0"/>
        </w:rPr>
      </w:pPr>
      <w:bookmarkStart w:name="3、境内外会计准则下会计数据差异" w:id="514"/>
      <w:bookmarkEnd w:id="51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同时按照国际会计准则与按中国会计准则披露的财务报告中净利润和净资产差异情况" w:id="515"/>
      <w:bookmarkEnd w:id="51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2）同时按照境外会计准则与按中国会计准则披露的财务报告中净利润和净资产差异情况" w:id="516"/>
      <w:bookmarkEnd w:id="51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1117"/>
        <w:jc w:val="left"/>
        <w:rPr>
          <w:b w:val="0"/>
          <w:bCs w:val="0"/>
        </w:rPr>
      </w:pPr>
      <w:bookmarkStart w:name="（3）境内外会计准则下会计数据差异原因说明，对已经境外审计机构审计的数据进行差异" w:id="517"/>
      <w:bookmarkEnd w:id="51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4、其他" w:id="518"/>
      <w:bookmarkEnd w:id="51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17"/>
        <w:jc w:val="left"/>
        <w:rPr>
          <w:b w:val="0"/>
          <w:bCs w:val="0"/>
        </w:rPr>
      </w:pPr>
      <w:bookmarkStart w:name="第十二节 备查文件目录" w:id="519"/>
      <w:bookmarkEnd w:id="519"/>
      <w:r>
        <w:rPr>
          <w:b w:val="0"/>
          <w:bCs w:val="0"/>
        </w:rPr>
      </w:r>
      <w:bookmarkStart w:name="_bookmark11" w:id="520"/>
      <w:bookmarkEnd w:id="520"/>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73" w:lineRule="auto" w:before="0"/>
        <w:ind w:left="574" w:right="1197"/>
        <w:jc w:val="left"/>
      </w:pPr>
      <w:r>
        <w:rPr/>
        <w:t>一、载有公司负责人、主管会计工作负责人及会计机构负责人签名并盖章的财务报表。 二、报告期内在中国证监会指定信息披露载体上公开披露过的所有公司文件的正本及公告的原稿。 三、载有法定代表人签名的公司</w:t>
      </w:r>
      <w:r>
        <w:rPr>
          <w:rFonts w:ascii="宋体" w:hAnsi="宋体" w:cs="宋体" w:eastAsia="宋体" w:hint="default"/>
        </w:rPr>
        <w:t>2018</w:t>
      </w:r>
      <w:r>
        <w:rPr/>
        <w:t>年年度报告文本。 四、以上备查文件的备置地点：福建省福州市仓山区南江滨西大道</w:t>
      </w:r>
      <w:r>
        <w:rPr>
          <w:rFonts w:ascii="宋体" w:hAnsi="宋体" w:cs="宋体" w:eastAsia="宋体" w:hint="default"/>
        </w:rPr>
        <w:t>26</w:t>
      </w:r>
      <w:r>
        <w:rPr/>
        <w:t>号鸿博梅岭观海</w:t>
      </w:r>
      <w:r>
        <w:rPr>
          <w:rFonts w:ascii="宋体" w:hAnsi="宋体" w:cs="宋体" w:eastAsia="宋体" w:hint="default"/>
        </w:rPr>
        <w:t>B</w:t>
      </w:r>
      <w:r>
        <w:rPr/>
        <w:t>座</w:t>
      </w:r>
      <w:r>
        <w:rPr>
          <w:rFonts w:ascii="宋体" w:hAnsi="宋体" w:cs="宋体" w:eastAsia="宋体" w:hint="default"/>
        </w:rPr>
        <w:t>21</w:t>
      </w:r>
      <w:r>
        <w:rPr/>
        <w:t>层公司证</w:t>
      </w:r>
    </w:p>
    <w:p>
      <w:pPr>
        <w:pStyle w:val="BodyText"/>
        <w:spacing w:line="240" w:lineRule="auto"/>
        <w:ind w:right="1117"/>
        <w:jc w:val="left"/>
      </w:pPr>
      <w:r>
        <w:rPr/>
        <w:t>券部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8744" type="#_x0000_t75" stroked="false">
          <v:imagedata r:id="rId1" o:title=""/>
        </v:shape>
      </w:pict>
    </w:r>
    <w:r>
      <w:rPr/>
      <w:pict>
        <v:shape style="position:absolute;margin-left:533.179993pt;margin-top:795.517944pt;width:6.5pt;height:11pt;mso-position-horizontal-relative:page;mso-position-vertical-relative:page;z-index:-1018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8696" type="#_x0000_t75" stroked="false">
          <v:imagedata r:id="rId1" o:title=""/>
        </v:shape>
      </w:pict>
    </w:r>
    <w:r>
      <w:rPr/>
      <w:pict>
        <v:shape style="position:absolute;margin-left:527.679993pt;margin-top:781.957947pt;width:13pt;height:11pt;mso-position-horizontal-relative:page;mso-position-vertical-relative:page;z-index:-1018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8648" type="#_x0000_t75" stroked="false">
          <v:imagedata r:id="rId1" o:title=""/>
        </v:shape>
      </w:pict>
    </w:r>
    <w:r>
      <w:rPr/>
      <w:pict>
        <v:shape style="position:absolute;margin-left:524.179993pt;margin-top:781.957947pt;width:15.5pt;height:11pt;mso-position-horizontal-relative:page;mso-position-vertical-relative:page;z-index:-1018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18600" type="#_x0000_t75" stroked="false">
          <v:imagedata r:id="rId1" o:title=""/>
        </v:shape>
      </w:pict>
    </w:r>
    <w:r>
      <w:rPr/>
      <w:pict>
        <v:shape style="position:absolute;margin-left:523.179993pt;margin-top:781.957947pt;width:17.5pt;height:11pt;mso-position-horizontal-relative:page;mso-position-vertical-relative:page;z-index:-1018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018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鸿博股份有限公司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ind w:left="61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b-print.com.cn/" TargetMode="External"/><Relationship Id="rId10" Type="http://schemas.openxmlformats.org/officeDocument/2006/relationships/hyperlink" Target="mailto:hongbo-printing@hongbo.net.cn" TargetMode="External"/><Relationship Id="rId11" Type="http://schemas.openxmlformats.org/officeDocument/2006/relationships/hyperlink" Target="http://www.cninfo.com.cn/" TargetMode="External"/><Relationship Id="rId12" Type="http://schemas.openxmlformats.org/officeDocument/2006/relationships/hyperlink" Target="http://www.csgbj.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鸿博股份有限公司</dc:creator>
  <dc:title>鸿博股份有限公司2018年年度报告全文</dc:title>
  <dcterms:created xsi:type="dcterms:W3CDTF">2020-05-04T21:14:46Z</dcterms:created>
  <dcterms:modified xsi:type="dcterms:W3CDTF">2020-05-04T21:14:46Z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Office Word 2007</vt:lpwstr>
  </property>
  <property fmtid="{D5CDD505-2E9C-101B-9397-08002B2CF9AE}" pid="4" name="LastSaved">
    <vt:filetime>2020-05-04T00:00:00Z</vt:filetime>
  </property>
</Properties>
</file>